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DCD7F7" w14:textId="257E9B17" w:rsidR="00846F1D" w:rsidRPr="00846F1D" w:rsidRDefault="00846F1D" w:rsidP="00846F1D">
      <w:pPr>
        <w:spacing w:after="480"/>
      </w:pPr>
      <w:r w:rsidRPr="00404724">
        <w:rPr>
          <w:noProof/>
        </w:rPr>
        <w:drawing>
          <wp:inline distT="0" distB="0" distL="0" distR="0" wp14:anchorId="05108B04" wp14:editId="66B1BAC5">
            <wp:extent cx="4068000" cy="669600"/>
            <wp:effectExtent l="0" t="0" r="0" b="0"/>
            <wp:docPr id="4" name="Picture 4" descr="Australian Government&#10;Department of Infrastructure, Transport, Regional Development, Communications, Sport and the Ar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8000" cy="669600"/>
                    </a:xfrm>
                    <a:prstGeom prst="rect">
                      <a:avLst/>
                    </a:prstGeom>
                    <a:noFill/>
                    <a:ln>
                      <a:noFill/>
                    </a:ln>
                  </pic:spPr>
                </pic:pic>
              </a:graphicData>
            </a:graphic>
          </wp:inline>
        </w:drawing>
      </w:r>
    </w:p>
    <w:p w14:paraId="4DBB70F6" w14:textId="5C3F0CD9" w:rsidR="00C43B18" w:rsidRPr="00846F1D" w:rsidRDefault="00DD1A5C" w:rsidP="00846F1D">
      <w:pPr>
        <w:pStyle w:val="Heading1"/>
        <w:spacing w:before="120"/>
      </w:pPr>
      <w:bookmarkStart w:id="0" w:name="_Toc210040285"/>
      <w:r w:rsidRPr="00846F1D">
        <w:t>Consultation Regulatory Impact Analysis</w:t>
      </w:r>
      <w:bookmarkEnd w:id="0"/>
    </w:p>
    <w:p w14:paraId="2AE96183" w14:textId="41BFA64B" w:rsidR="00C43B18" w:rsidRDefault="00DD1A5C" w:rsidP="00C43B18">
      <w:pPr>
        <w:pStyle w:val="CoverDate"/>
        <w:ind w:left="1276"/>
        <w:rPr>
          <w:rFonts w:asciiTheme="majorHAnsi" w:eastAsiaTheme="minorEastAsia" w:hAnsiTheme="majorHAnsi"/>
          <w:b w:val="0"/>
          <w:color w:val="377B88"/>
          <w:sz w:val="44"/>
        </w:rPr>
      </w:pPr>
      <w:r w:rsidRPr="00404724">
        <w:rPr>
          <w:rFonts w:asciiTheme="majorHAnsi" w:eastAsiaTheme="minorEastAsia" w:hAnsiTheme="majorHAnsi"/>
          <w:b w:val="0"/>
          <w:color w:val="377B88"/>
          <w:sz w:val="44"/>
        </w:rPr>
        <w:t>Reducing default speed limits outside of built-up areas</w:t>
      </w:r>
    </w:p>
    <w:p w14:paraId="37A377CD" w14:textId="2A714749" w:rsidR="00846F1D" w:rsidRDefault="00846F1D" w:rsidP="00846F1D">
      <w:pPr>
        <w:pStyle w:val="CoverDate"/>
        <w:ind w:left="1276"/>
      </w:pPr>
      <w:r w:rsidRPr="00846F1D">
        <w:t>September 2025</w:t>
      </w:r>
    </w:p>
    <w:p w14:paraId="34ACF5A1" w14:textId="6A57DE67" w:rsidR="00846F1D" w:rsidRPr="00846F1D" w:rsidRDefault="00846F1D" w:rsidP="00846F1D">
      <w:pPr>
        <w:pStyle w:val="CoverDate"/>
        <w:ind w:left="1276"/>
      </w:pPr>
      <w:r w:rsidRPr="00404724">
        <w:rPr>
          <w:noProof/>
          <w:lang w:eastAsia="en-AU"/>
        </w:rPr>
        <w:drawing>
          <wp:inline distT="0" distB="0" distL="0" distR="0" wp14:anchorId="47FC091B" wp14:editId="494D4CCE">
            <wp:extent cx="5321300" cy="33528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1743" cy="3353079"/>
                    </a:xfrm>
                    <a:prstGeom prst="rect">
                      <a:avLst/>
                    </a:prstGeom>
                  </pic:spPr>
                </pic:pic>
              </a:graphicData>
            </a:graphic>
          </wp:inline>
        </w:drawing>
      </w:r>
    </w:p>
    <w:p w14:paraId="56426897" w14:textId="77777777" w:rsidR="00B54E13" w:rsidRPr="00404724" w:rsidRDefault="00992711" w:rsidP="00B54E13">
      <w:pPr>
        <w:framePr w:w="11907" w:h="5443" w:wrap="around" w:vAnchor="page" w:hAnchor="page" w:x="1" w:yAlign="bottom"/>
        <w:spacing w:before="0" w:after="0"/>
        <w:jc w:val="both"/>
      </w:pPr>
      <w:r w:rsidRPr="00404724">
        <w:rPr>
          <w:noProof/>
          <w:lang w:eastAsia="en-AU"/>
        </w:rPr>
        <w:drawing>
          <wp:inline distT="0" distB="0" distL="0" distR="0" wp14:anchorId="01F834EB" wp14:editId="6E3A80F9">
            <wp:extent cx="7553325" cy="3493135"/>
            <wp:effectExtent l="0" t="0" r="9525" b="0"/>
            <wp:docPr id="3" name="Picture 3" descr="Department connected web 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3325" cy="3493135"/>
                    </a:xfrm>
                    <a:prstGeom prst="rect">
                      <a:avLst/>
                    </a:prstGeom>
                    <a:noFill/>
                  </pic:spPr>
                </pic:pic>
              </a:graphicData>
            </a:graphic>
          </wp:inline>
        </w:drawing>
      </w:r>
    </w:p>
    <w:p w14:paraId="725BBCE2" w14:textId="77777777" w:rsidR="00B54E13" w:rsidRPr="00404724" w:rsidRDefault="00B54E13">
      <w:pPr>
        <w:sectPr w:rsidR="00B54E13" w:rsidRPr="00404724" w:rsidSect="00BA24FB">
          <w:headerReference w:type="first" r:id="rId15"/>
          <w:footerReference w:type="first" r:id="rId16"/>
          <w:pgSz w:w="11906" w:h="16838" w:code="9"/>
          <w:pgMar w:top="1021" w:right="1021" w:bottom="1021" w:left="1021" w:header="340" w:footer="397" w:gutter="0"/>
          <w:cols w:space="708"/>
          <w:docGrid w:linePitch="360"/>
        </w:sectPr>
      </w:pPr>
    </w:p>
    <w:p w14:paraId="42B5E426" w14:textId="77777777" w:rsidR="002D01AA" w:rsidRPr="00846F1D" w:rsidRDefault="002D01AA" w:rsidP="00846F1D">
      <w:pPr>
        <w:pStyle w:val="Heading2notshowing"/>
      </w:pPr>
      <w:r w:rsidRPr="00846F1D">
        <w:lastRenderedPageBreak/>
        <w:t>Ownership of intellectual property rights in this publication</w:t>
      </w:r>
    </w:p>
    <w:p w14:paraId="56FE59B9" w14:textId="77777777" w:rsidR="002D01AA" w:rsidRPr="00404724" w:rsidRDefault="002D01AA" w:rsidP="002D01AA">
      <w:pPr>
        <w:spacing w:before="120"/>
      </w:pPr>
      <w:r w:rsidRPr="00404724">
        <w:t>Unless otherwise noted, copyright (and any other intellectual property rights, if any) in this publication is owned by the Commonwealth of Australia (referred to below as the Commonwealth).</w:t>
      </w:r>
    </w:p>
    <w:p w14:paraId="76C4F8D4" w14:textId="77777777" w:rsidR="002D01AA" w:rsidRPr="00404724" w:rsidRDefault="002D01AA" w:rsidP="00846F1D">
      <w:pPr>
        <w:pStyle w:val="Heading2notshowing"/>
      </w:pPr>
      <w:r w:rsidRPr="00404724">
        <w:t>Disclaimer</w:t>
      </w:r>
    </w:p>
    <w:p w14:paraId="7D8AC90F" w14:textId="77777777" w:rsidR="002D01AA" w:rsidRPr="00404724" w:rsidRDefault="002D01AA" w:rsidP="002D01AA">
      <w:pPr>
        <w:spacing w:before="120"/>
      </w:pPr>
      <w:r w:rsidRPr="00404724">
        <w:t>The material contained in this publication is made available on the understanding that the Commonwealth is not providing professional advice, and that users exercise their own skill and care with respect to its use, and seek independent advice if necessary.</w:t>
      </w:r>
    </w:p>
    <w:p w14:paraId="505041F4" w14:textId="77777777" w:rsidR="002D01AA" w:rsidRPr="00404724" w:rsidRDefault="002D01AA" w:rsidP="002D01AA">
      <w:pPr>
        <w:spacing w:before="120"/>
      </w:pPr>
      <w:r w:rsidRPr="00404724">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14:paraId="213EBACE" w14:textId="77777777" w:rsidR="002D01AA" w:rsidRPr="00404724" w:rsidRDefault="002D01AA" w:rsidP="00846F1D">
      <w:pPr>
        <w:pStyle w:val="Heading2notshowing"/>
      </w:pPr>
      <w:r w:rsidRPr="00404724">
        <w:t>Creative Commons licence</w:t>
      </w:r>
    </w:p>
    <w:p w14:paraId="7E912D73" w14:textId="77777777" w:rsidR="002D01AA" w:rsidRPr="00404724" w:rsidRDefault="002D01AA" w:rsidP="00C527FC">
      <w:r w:rsidRPr="00404724">
        <w:rPr>
          <w:noProof/>
        </w:rPr>
        <w:drawing>
          <wp:inline distT="0" distB="0" distL="0" distR="0" wp14:anchorId="7D79279E" wp14:editId="13D30EC1">
            <wp:extent cx="1007927" cy="352649"/>
            <wp:effectExtent l="0" t="0" r="1905" b="9525"/>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9741" cy="360281"/>
                    </a:xfrm>
                    <a:prstGeom prst="rect">
                      <a:avLst/>
                    </a:prstGeom>
                    <a:noFill/>
                    <a:ln>
                      <a:noFill/>
                    </a:ln>
                  </pic:spPr>
                </pic:pic>
              </a:graphicData>
            </a:graphic>
          </wp:inline>
        </w:drawing>
      </w:r>
    </w:p>
    <w:p w14:paraId="228992F5" w14:textId="77777777" w:rsidR="002D01AA" w:rsidRPr="00404724" w:rsidRDefault="002D01AA" w:rsidP="002D01AA">
      <w:r w:rsidRPr="00404724">
        <w:t>With the exception of (a) the Coat of Arms; (b) the Department of Infrastructure, Transport, Regional Development, Communications</w:t>
      </w:r>
      <w:r w:rsidR="00CB0D5F" w:rsidRPr="00404724">
        <w:t>, Sport</w:t>
      </w:r>
      <w:r w:rsidRPr="00404724">
        <w:t xml:space="preserve"> and the Arts photos and graphics; (c) content supplied by third parties; (d) content otherwise labelled; copyright in this publication is licensed under a Creative Commons BY Attribution 4.0 International Licence.</w:t>
      </w:r>
    </w:p>
    <w:p w14:paraId="12D7965A" w14:textId="77777777" w:rsidR="002D01AA" w:rsidRPr="00404724" w:rsidRDefault="002D01AA" w:rsidP="00846F1D">
      <w:pPr>
        <w:pStyle w:val="Heading2notshowing"/>
      </w:pPr>
      <w:r w:rsidRPr="00404724">
        <w:t>Use of the Coat of Arms</w:t>
      </w:r>
    </w:p>
    <w:p w14:paraId="73AFA9E6" w14:textId="46CF1680" w:rsidR="00F90578" w:rsidRPr="00404724" w:rsidRDefault="00F90578" w:rsidP="00F90578">
      <w:pPr>
        <w:spacing w:before="120"/>
      </w:pPr>
      <w:r w:rsidRPr="00404724">
        <w:t xml:space="preserve">The Department of the Prime Minister and Cabinet (PM&amp;C) sets the terms under which the Coat of Arms is used. Please refer to the </w:t>
      </w:r>
      <w:hyperlink r:id="rId18" w:history="1">
        <w:r w:rsidRPr="00404724">
          <w:rPr>
            <w:rStyle w:val="Hyperlink"/>
          </w:rPr>
          <w:t>Commonwealth Coat of Arms Information and Guidelines | PM&amp;C</w:t>
        </w:r>
      </w:hyperlink>
      <w:r w:rsidRPr="00404724">
        <w:t>.</w:t>
      </w:r>
    </w:p>
    <w:p w14:paraId="3515C707" w14:textId="77777777" w:rsidR="002D01AA" w:rsidRPr="00404724" w:rsidRDefault="002D01AA" w:rsidP="00846F1D">
      <w:pPr>
        <w:pStyle w:val="Heading2notshowing"/>
      </w:pPr>
      <w:r w:rsidRPr="00404724">
        <w:t>Contact us</w:t>
      </w:r>
    </w:p>
    <w:p w14:paraId="1F8135BB" w14:textId="07D07BD4" w:rsidR="002D01AA" w:rsidRPr="00404724" w:rsidRDefault="002D01AA" w:rsidP="002D01AA">
      <w:pPr>
        <w:spacing w:before="120"/>
      </w:pPr>
      <w:r w:rsidRPr="00404724">
        <w:t xml:space="preserve">This publication is available in </w:t>
      </w:r>
      <w:sdt>
        <w:sdtPr>
          <w:rPr>
            <w:color w:val="081E3E" w:themeColor="accent1"/>
          </w:rPr>
          <w:tag w:val="[select format option]"/>
          <w:id w:val="1958295965"/>
          <w:placeholder>
            <w:docPart w:val="0FF558FCC2924FAAA7E264D921694342"/>
          </w:placeholder>
          <w:dropDownList>
            <w:listItem w:value="Choose an item."/>
            <w:listItem w:displayText="hard copy" w:value="hard copy"/>
            <w:listItem w:displayText="PDF format" w:value="PDF format"/>
            <w:listItem w:displayText="Word format" w:value="Word format"/>
            <w:listItem w:displayText="other format" w:value="other format"/>
          </w:dropDownList>
        </w:sdtPr>
        <w:sdtContent>
          <w:r w:rsidR="00BB3FB3" w:rsidRPr="00BF489D">
            <w:rPr>
              <w:color w:val="081E3E" w:themeColor="accent1"/>
            </w:rPr>
            <w:t>PDF format</w:t>
          </w:r>
        </w:sdtContent>
      </w:sdt>
      <w:r w:rsidRPr="00404724">
        <w:t xml:space="preserve">. All other rights are reserved, including in relation to any departmental logos or trademarks which may exist. </w:t>
      </w:r>
    </w:p>
    <w:p w14:paraId="615CD91B" w14:textId="06EC6337" w:rsidR="00546218" w:rsidRPr="00404724" w:rsidRDefault="00546218" w:rsidP="002D01AA">
      <w:pPr>
        <w:suppressAutoHyphens w:val="0"/>
        <w:spacing w:before="120"/>
      </w:pPr>
      <w:r w:rsidRPr="00404724">
        <w:br w:type="page"/>
      </w:r>
    </w:p>
    <w:p w14:paraId="4289CCF5" w14:textId="77777777" w:rsidR="003979C3" w:rsidRPr="00FC7DDF" w:rsidRDefault="003979C3" w:rsidP="003979C3">
      <w:pPr>
        <w:pStyle w:val="Heading2notshowing"/>
        <w:rPr>
          <w:sz w:val="28"/>
          <w:szCs w:val="28"/>
        </w:rPr>
      </w:pPr>
      <w:r w:rsidRPr="00FC7DDF">
        <w:rPr>
          <w:sz w:val="28"/>
          <w:szCs w:val="28"/>
        </w:rPr>
        <w:lastRenderedPageBreak/>
        <w:t>Table of contents</w:t>
      </w:r>
    </w:p>
    <w:p w14:paraId="7C11710F" w14:textId="67EA77B6" w:rsidR="00E25C26" w:rsidRDefault="00E25C26" w:rsidP="00E25C26">
      <w:pPr>
        <w:pStyle w:val="TOC1"/>
        <w:rPr>
          <w:rFonts w:eastAsiaTheme="minorEastAsia"/>
          <w:noProof/>
          <w:color w:val="auto"/>
          <w:sz w:val="22"/>
          <w:u w:val="none"/>
          <w:lang w:eastAsia="en-AU"/>
        </w:rPr>
      </w:pPr>
      <w:r w:rsidRPr="00E25C26">
        <w:rPr>
          <w:rFonts w:ascii="Calibri" w:eastAsia="Calibri" w:hAnsi="Calibri" w:cs="Times New Roman"/>
          <w:color w:val="000000"/>
          <w:u w:color="4BB3B5"/>
        </w:rPr>
        <w:fldChar w:fldCharType="begin"/>
      </w:r>
      <w:r w:rsidRPr="00E25C26">
        <w:rPr>
          <w:rFonts w:ascii="Calibri" w:eastAsia="Calibri" w:hAnsi="Calibri" w:cs="Times New Roman"/>
          <w:color w:val="000000"/>
          <w:u w:color="4BB3B5"/>
        </w:rPr>
        <w:instrText xml:space="preserve"> TOC \h \z \t "Heading 2,1,Heading 3,2,Heading 4,3" </w:instrText>
      </w:r>
      <w:r w:rsidRPr="00E25C26">
        <w:rPr>
          <w:rFonts w:ascii="Calibri" w:eastAsia="Calibri" w:hAnsi="Calibri" w:cs="Times New Roman"/>
          <w:color w:val="000000"/>
          <w:u w:color="4BB3B5"/>
        </w:rPr>
        <w:fldChar w:fldCharType="separate"/>
      </w:r>
      <w:hyperlink w:anchor="_Toc210051675" w:history="1">
        <w:r w:rsidRPr="008A2BE3">
          <w:rPr>
            <w:rStyle w:val="Hyperlink"/>
            <w:noProof/>
          </w:rPr>
          <w:t>Executive summary</w:t>
        </w:r>
        <w:r>
          <w:rPr>
            <w:noProof/>
            <w:webHidden/>
          </w:rPr>
          <w:tab/>
        </w:r>
        <w:r>
          <w:rPr>
            <w:noProof/>
            <w:webHidden/>
          </w:rPr>
          <w:fldChar w:fldCharType="begin"/>
        </w:r>
        <w:r>
          <w:rPr>
            <w:noProof/>
            <w:webHidden/>
          </w:rPr>
          <w:instrText xml:space="preserve"> PAGEREF _Toc210051675 \h </w:instrText>
        </w:r>
        <w:r>
          <w:rPr>
            <w:noProof/>
            <w:webHidden/>
          </w:rPr>
        </w:r>
        <w:r>
          <w:rPr>
            <w:noProof/>
            <w:webHidden/>
          </w:rPr>
          <w:fldChar w:fldCharType="separate"/>
        </w:r>
        <w:r>
          <w:rPr>
            <w:noProof/>
            <w:webHidden/>
          </w:rPr>
          <w:t>7</w:t>
        </w:r>
        <w:r>
          <w:rPr>
            <w:noProof/>
            <w:webHidden/>
          </w:rPr>
          <w:fldChar w:fldCharType="end"/>
        </w:r>
      </w:hyperlink>
    </w:p>
    <w:p w14:paraId="442B3413" w14:textId="680092C9" w:rsidR="00E25C26" w:rsidRDefault="00E25C26" w:rsidP="00E25C26">
      <w:pPr>
        <w:pStyle w:val="TOC1"/>
        <w:rPr>
          <w:rFonts w:eastAsiaTheme="minorEastAsia"/>
          <w:noProof/>
          <w:color w:val="auto"/>
          <w:sz w:val="22"/>
          <w:u w:val="none"/>
          <w:lang w:eastAsia="en-AU"/>
        </w:rPr>
      </w:pPr>
      <w:hyperlink w:anchor="_Toc210051676" w:history="1">
        <w:r w:rsidRPr="008A2BE3">
          <w:rPr>
            <w:rStyle w:val="Hyperlink"/>
            <w:noProof/>
          </w:rPr>
          <w:t>Statement of the problem</w:t>
        </w:r>
        <w:r>
          <w:rPr>
            <w:noProof/>
            <w:webHidden/>
          </w:rPr>
          <w:tab/>
        </w:r>
        <w:r>
          <w:rPr>
            <w:noProof/>
            <w:webHidden/>
          </w:rPr>
          <w:fldChar w:fldCharType="begin"/>
        </w:r>
        <w:r>
          <w:rPr>
            <w:noProof/>
            <w:webHidden/>
          </w:rPr>
          <w:instrText xml:space="preserve"> PAGEREF _Toc210051676 \h </w:instrText>
        </w:r>
        <w:r>
          <w:rPr>
            <w:noProof/>
            <w:webHidden/>
          </w:rPr>
        </w:r>
        <w:r>
          <w:rPr>
            <w:noProof/>
            <w:webHidden/>
          </w:rPr>
          <w:fldChar w:fldCharType="separate"/>
        </w:r>
        <w:r>
          <w:rPr>
            <w:noProof/>
            <w:webHidden/>
          </w:rPr>
          <w:t>8</w:t>
        </w:r>
        <w:r>
          <w:rPr>
            <w:noProof/>
            <w:webHidden/>
          </w:rPr>
          <w:fldChar w:fldCharType="end"/>
        </w:r>
      </w:hyperlink>
    </w:p>
    <w:p w14:paraId="48799ED5" w14:textId="5F5786C1" w:rsidR="00E25C26" w:rsidRDefault="00E25C26" w:rsidP="00E25C26">
      <w:pPr>
        <w:pStyle w:val="TOC2"/>
        <w:tabs>
          <w:tab w:val="right" w:leader="underscore" w:pos="9854"/>
        </w:tabs>
        <w:spacing w:after="0"/>
        <w:rPr>
          <w:rFonts w:eastAsiaTheme="minorEastAsia"/>
          <w:noProof/>
          <w:color w:val="auto"/>
          <w:lang w:eastAsia="en-AU"/>
        </w:rPr>
      </w:pPr>
      <w:hyperlink w:anchor="_Toc210051677" w:history="1">
        <w:r w:rsidRPr="008A2BE3">
          <w:rPr>
            <w:rStyle w:val="Hyperlink"/>
            <w:noProof/>
          </w:rPr>
          <w:t>Objectives and options</w:t>
        </w:r>
        <w:r>
          <w:rPr>
            <w:noProof/>
            <w:webHidden/>
          </w:rPr>
          <w:tab/>
        </w:r>
        <w:r>
          <w:rPr>
            <w:noProof/>
            <w:webHidden/>
          </w:rPr>
          <w:fldChar w:fldCharType="begin"/>
        </w:r>
        <w:r>
          <w:rPr>
            <w:noProof/>
            <w:webHidden/>
          </w:rPr>
          <w:instrText xml:space="preserve"> PAGEREF _Toc210051677 \h </w:instrText>
        </w:r>
        <w:r>
          <w:rPr>
            <w:noProof/>
            <w:webHidden/>
          </w:rPr>
        </w:r>
        <w:r>
          <w:rPr>
            <w:noProof/>
            <w:webHidden/>
          </w:rPr>
          <w:fldChar w:fldCharType="separate"/>
        </w:r>
        <w:r>
          <w:rPr>
            <w:noProof/>
            <w:webHidden/>
          </w:rPr>
          <w:t>9</w:t>
        </w:r>
        <w:r>
          <w:rPr>
            <w:noProof/>
            <w:webHidden/>
          </w:rPr>
          <w:fldChar w:fldCharType="end"/>
        </w:r>
      </w:hyperlink>
    </w:p>
    <w:p w14:paraId="7CCF3ABA" w14:textId="2075E6FD" w:rsidR="00E25C26" w:rsidRDefault="00E25C26" w:rsidP="00E25C26">
      <w:pPr>
        <w:pStyle w:val="TOC2"/>
        <w:tabs>
          <w:tab w:val="right" w:leader="underscore" w:pos="9854"/>
        </w:tabs>
        <w:spacing w:after="0"/>
        <w:rPr>
          <w:rFonts w:eastAsiaTheme="minorEastAsia"/>
          <w:noProof/>
          <w:color w:val="auto"/>
          <w:lang w:eastAsia="en-AU"/>
        </w:rPr>
      </w:pPr>
      <w:hyperlink w:anchor="_Toc210051678" w:history="1">
        <w:r w:rsidRPr="008A2BE3">
          <w:rPr>
            <w:rStyle w:val="Hyperlink"/>
            <w:noProof/>
          </w:rPr>
          <w:t>Methodology</w:t>
        </w:r>
        <w:r>
          <w:rPr>
            <w:noProof/>
            <w:webHidden/>
          </w:rPr>
          <w:tab/>
        </w:r>
        <w:r>
          <w:rPr>
            <w:noProof/>
            <w:webHidden/>
          </w:rPr>
          <w:fldChar w:fldCharType="begin"/>
        </w:r>
        <w:r>
          <w:rPr>
            <w:noProof/>
            <w:webHidden/>
          </w:rPr>
          <w:instrText xml:space="preserve"> PAGEREF _Toc210051678 \h </w:instrText>
        </w:r>
        <w:r>
          <w:rPr>
            <w:noProof/>
            <w:webHidden/>
          </w:rPr>
        </w:r>
        <w:r>
          <w:rPr>
            <w:noProof/>
            <w:webHidden/>
          </w:rPr>
          <w:fldChar w:fldCharType="separate"/>
        </w:r>
        <w:r>
          <w:rPr>
            <w:noProof/>
            <w:webHidden/>
          </w:rPr>
          <w:t>9</w:t>
        </w:r>
        <w:r>
          <w:rPr>
            <w:noProof/>
            <w:webHidden/>
          </w:rPr>
          <w:fldChar w:fldCharType="end"/>
        </w:r>
      </w:hyperlink>
    </w:p>
    <w:p w14:paraId="350CDA3F" w14:textId="217CC305" w:rsidR="00E25C26" w:rsidRDefault="00E25C26" w:rsidP="00E25C26">
      <w:pPr>
        <w:pStyle w:val="TOC2"/>
        <w:tabs>
          <w:tab w:val="right" w:leader="underscore" w:pos="9854"/>
        </w:tabs>
        <w:spacing w:after="0"/>
        <w:rPr>
          <w:rFonts w:eastAsiaTheme="minorEastAsia"/>
          <w:noProof/>
          <w:color w:val="auto"/>
          <w:lang w:eastAsia="en-AU"/>
        </w:rPr>
      </w:pPr>
      <w:hyperlink w:anchor="_Toc210051679" w:history="1">
        <w:r w:rsidRPr="008A2BE3">
          <w:rPr>
            <w:rStyle w:val="Hyperlink"/>
            <w:noProof/>
          </w:rPr>
          <w:t>Impacts of the regulation</w:t>
        </w:r>
        <w:r>
          <w:rPr>
            <w:noProof/>
            <w:webHidden/>
          </w:rPr>
          <w:tab/>
        </w:r>
        <w:r>
          <w:rPr>
            <w:noProof/>
            <w:webHidden/>
          </w:rPr>
          <w:fldChar w:fldCharType="begin"/>
        </w:r>
        <w:r>
          <w:rPr>
            <w:noProof/>
            <w:webHidden/>
          </w:rPr>
          <w:instrText xml:space="preserve"> PAGEREF _Toc210051679 \h </w:instrText>
        </w:r>
        <w:r>
          <w:rPr>
            <w:noProof/>
            <w:webHidden/>
          </w:rPr>
        </w:r>
        <w:r>
          <w:rPr>
            <w:noProof/>
            <w:webHidden/>
          </w:rPr>
          <w:fldChar w:fldCharType="separate"/>
        </w:r>
        <w:r>
          <w:rPr>
            <w:noProof/>
            <w:webHidden/>
          </w:rPr>
          <w:t>10</w:t>
        </w:r>
        <w:r>
          <w:rPr>
            <w:noProof/>
            <w:webHidden/>
          </w:rPr>
          <w:fldChar w:fldCharType="end"/>
        </w:r>
      </w:hyperlink>
    </w:p>
    <w:p w14:paraId="491D7349" w14:textId="51DC3236" w:rsidR="00E25C26" w:rsidRDefault="00E25C26" w:rsidP="00E25C26">
      <w:pPr>
        <w:pStyle w:val="TOC3"/>
        <w:tabs>
          <w:tab w:val="right" w:leader="underscore" w:pos="9854"/>
        </w:tabs>
        <w:spacing w:after="0"/>
        <w:rPr>
          <w:rFonts w:eastAsiaTheme="minorEastAsia"/>
          <w:noProof/>
          <w:color w:val="auto"/>
          <w:lang w:eastAsia="en-AU"/>
        </w:rPr>
      </w:pPr>
      <w:hyperlink w:anchor="_Toc210051680" w:history="1">
        <w:r w:rsidRPr="008A2BE3">
          <w:rPr>
            <w:rStyle w:val="Hyperlink"/>
            <w:noProof/>
          </w:rPr>
          <w:t>Sealed roads</w:t>
        </w:r>
        <w:r>
          <w:rPr>
            <w:noProof/>
            <w:webHidden/>
          </w:rPr>
          <w:tab/>
        </w:r>
        <w:r>
          <w:rPr>
            <w:noProof/>
            <w:webHidden/>
          </w:rPr>
          <w:fldChar w:fldCharType="begin"/>
        </w:r>
        <w:r>
          <w:rPr>
            <w:noProof/>
            <w:webHidden/>
          </w:rPr>
          <w:instrText xml:space="preserve"> PAGEREF _Toc210051680 \h </w:instrText>
        </w:r>
        <w:r>
          <w:rPr>
            <w:noProof/>
            <w:webHidden/>
          </w:rPr>
        </w:r>
        <w:r>
          <w:rPr>
            <w:noProof/>
            <w:webHidden/>
          </w:rPr>
          <w:fldChar w:fldCharType="separate"/>
        </w:r>
        <w:r>
          <w:rPr>
            <w:noProof/>
            <w:webHidden/>
          </w:rPr>
          <w:t>10</w:t>
        </w:r>
        <w:r>
          <w:rPr>
            <w:noProof/>
            <w:webHidden/>
          </w:rPr>
          <w:fldChar w:fldCharType="end"/>
        </w:r>
      </w:hyperlink>
    </w:p>
    <w:p w14:paraId="09DC8D8A" w14:textId="32A9250A" w:rsidR="00E25C26" w:rsidRDefault="00E25C26" w:rsidP="00E25C26">
      <w:pPr>
        <w:pStyle w:val="TOC3"/>
        <w:tabs>
          <w:tab w:val="right" w:leader="underscore" w:pos="9854"/>
        </w:tabs>
        <w:spacing w:after="0"/>
        <w:rPr>
          <w:rFonts w:eastAsiaTheme="minorEastAsia"/>
          <w:noProof/>
          <w:color w:val="auto"/>
          <w:lang w:eastAsia="en-AU"/>
        </w:rPr>
      </w:pPr>
      <w:hyperlink w:anchor="_Toc210051681" w:history="1">
        <w:r w:rsidRPr="008A2BE3">
          <w:rPr>
            <w:rStyle w:val="Hyperlink"/>
            <w:noProof/>
          </w:rPr>
          <w:t>Unsealed roads</w:t>
        </w:r>
        <w:r>
          <w:rPr>
            <w:noProof/>
            <w:webHidden/>
          </w:rPr>
          <w:tab/>
        </w:r>
        <w:r>
          <w:rPr>
            <w:noProof/>
            <w:webHidden/>
          </w:rPr>
          <w:fldChar w:fldCharType="begin"/>
        </w:r>
        <w:r>
          <w:rPr>
            <w:noProof/>
            <w:webHidden/>
          </w:rPr>
          <w:instrText xml:space="preserve"> PAGEREF _Toc210051681 \h </w:instrText>
        </w:r>
        <w:r>
          <w:rPr>
            <w:noProof/>
            <w:webHidden/>
          </w:rPr>
        </w:r>
        <w:r>
          <w:rPr>
            <w:noProof/>
            <w:webHidden/>
          </w:rPr>
          <w:fldChar w:fldCharType="separate"/>
        </w:r>
        <w:r>
          <w:rPr>
            <w:noProof/>
            <w:webHidden/>
          </w:rPr>
          <w:t>11</w:t>
        </w:r>
        <w:r>
          <w:rPr>
            <w:noProof/>
            <w:webHidden/>
          </w:rPr>
          <w:fldChar w:fldCharType="end"/>
        </w:r>
      </w:hyperlink>
    </w:p>
    <w:p w14:paraId="6D2EAEB0" w14:textId="50153360" w:rsidR="00E25C26" w:rsidRDefault="00E25C26" w:rsidP="00E25C26">
      <w:pPr>
        <w:pStyle w:val="TOC2"/>
        <w:tabs>
          <w:tab w:val="right" w:leader="underscore" w:pos="9854"/>
        </w:tabs>
        <w:spacing w:after="0"/>
        <w:rPr>
          <w:rFonts w:eastAsiaTheme="minorEastAsia"/>
          <w:noProof/>
          <w:color w:val="auto"/>
          <w:lang w:eastAsia="en-AU"/>
        </w:rPr>
      </w:pPr>
      <w:hyperlink w:anchor="_Toc210051682" w:history="1">
        <w:r w:rsidRPr="008A2BE3">
          <w:rPr>
            <w:rStyle w:val="Hyperlink"/>
            <w:noProof/>
          </w:rPr>
          <w:t>Implementation and review</w:t>
        </w:r>
        <w:r>
          <w:rPr>
            <w:noProof/>
            <w:webHidden/>
          </w:rPr>
          <w:tab/>
        </w:r>
        <w:r>
          <w:rPr>
            <w:noProof/>
            <w:webHidden/>
          </w:rPr>
          <w:fldChar w:fldCharType="begin"/>
        </w:r>
        <w:r>
          <w:rPr>
            <w:noProof/>
            <w:webHidden/>
          </w:rPr>
          <w:instrText xml:space="preserve"> PAGEREF _Toc210051682 \h </w:instrText>
        </w:r>
        <w:r>
          <w:rPr>
            <w:noProof/>
            <w:webHidden/>
          </w:rPr>
        </w:r>
        <w:r>
          <w:rPr>
            <w:noProof/>
            <w:webHidden/>
          </w:rPr>
          <w:fldChar w:fldCharType="separate"/>
        </w:r>
        <w:r>
          <w:rPr>
            <w:noProof/>
            <w:webHidden/>
          </w:rPr>
          <w:t>12</w:t>
        </w:r>
        <w:r>
          <w:rPr>
            <w:noProof/>
            <w:webHidden/>
          </w:rPr>
          <w:fldChar w:fldCharType="end"/>
        </w:r>
      </w:hyperlink>
    </w:p>
    <w:p w14:paraId="32F081AF" w14:textId="1180A955" w:rsidR="00E25C26" w:rsidRDefault="00E25C26" w:rsidP="00E25C26">
      <w:pPr>
        <w:pStyle w:val="TOC2"/>
        <w:tabs>
          <w:tab w:val="right" w:leader="underscore" w:pos="9854"/>
        </w:tabs>
        <w:spacing w:after="0"/>
        <w:rPr>
          <w:rFonts w:eastAsiaTheme="minorEastAsia"/>
          <w:noProof/>
          <w:color w:val="auto"/>
          <w:lang w:eastAsia="en-AU"/>
        </w:rPr>
      </w:pPr>
      <w:hyperlink w:anchor="_Toc210051683" w:history="1">
        <w:r w:rsidRPr="008A2BE3">
          <w:rPr>
            <w:rStyle w:val="Hyperlink"/>
            <w:noProof/>
          </w:rPr>
          <w:t>Conclusion</w:t>
        </w:r>
        <w:r>
          <w:rPr>
            <w:noProof/>
            <w:webHidden/>
          </w:rPr>
          <w:tab/>
        </w:r>
        <w:r>
          <w:rPr>
            <w:noProof/>
            <w:webHidden/>
          </w:rPr>
          <w:fldChar w:fldCharType="begin"/>
        </w:r>
        <w:r>
          <w:rPr>
            <w:noProof/>
            <w:webHidden/>
          </w:rPr>
          <w:instrText xml:space="preserve"> PAGEREF _Toc210051683 \h </w:instrText>
        </w:r>
        <w:r>
          <w:rPr>
            <w:noProof/>
            <w:webHidden/>
          </w:rPr>
        </w:r>
        <w:r>
          <w:rPr>
            <w:noProof/>
            <w:webHidden/>
          </w:rPr>
          <w:fldChar w:fldCharType="separate"/>
        </w:r>
        <w:r>
          <w:rPr>
            <w:noProof/>
            <w:webHidden/>
          </w:rPr>
          <w:t>12</w:t>
        </w:r>
        <w:r>
          <w:rPr>
            <w:noProof/>
            <w:webHidden/>
          </w:rPr>
          <w:fldChar w:fldCharType="end"/>
        </w:r>
      </w:hyperlink>
    </w:p>
    <w:p w14:paraId="4FABF835" w14:textId="0A4C268C" w:rsidR="00E25C26" w:rsidRDefault="00E25C26" w:rsidP="00E25C26">
      <w:pPr>
        <w:pStyle w:val="TOC2"/>
        <w:tabs>
          <w:tab w:val="right" w:leader="underscore" w:pos="9854"/>
        </w:tabs>
        <w:spacing w:after="0"/>
        <w:rPr>
          <w:rFonts w:eastAsiaTheme="minorEastAsia"/>
          <w:noProof/>
          <w:color w:val="auto"/>
          <w:lang w:eastAsia="en-AU"/>
        </w:rPr>
      </w:pPr>
      <w:hyperlink w:anchor="_Toc210051684" w:history="1">
        <w:r w:rsidRPr="008A2BE3">
          <w:rPr>
            <w:rStyle w:val="Hyperlink"/>
            <w:noProof/>
          </w:rPr>
          <w:t>Questions for stakeholders</w:t>
        </w:r>
        <w:r>
          <w:rPr>
            <w:noProof/>
            <w:webHidden/>
          </w:rPr>
          <w:tab/>
        </w:r>
        <w:r>
          <w:rPr>
            <w:noProof/>
            <w:webHidden/>
          </w:rPr>
          <w:fldChar w:fldCharType="begin"/>
        </w:r>
        <w:r>
          <w:rPr>
            <w:noProof/>
            <w:webHidden/>
          </w:rPr>
          <w:instrText xml:space="preserve"> PAGEREF _Toc210051684 \h </w:instrText>
        </w:r>
        <w:r>
          <w:rPr>
            <w:noProof/>
            <w:webHidden/>
          </w:rPr>
        </w:r>
        <w:r>
          <w:rPr>
            <w:noProof/>
            <w:webHidden/>
          </w:rPr>
          <w:fldChar w:fldCharType="separate"/>
        </w:r>
        <w:r>
          <w:rPr>
            <w:noProof/>
            <w:webHidden/>
          </w:rPr>
          <w:t>13</w:t>
        </w:r>
        <w:r>
          <w:rPr>
            <w:noProof/>
            <w:webHidden/>
          </w:rPr>
          <w:fldChar w:fldCharType="end"/>
        </w:r>
      </w:hyperlink>
    </w:p>
    <w:p w14:paraId="135DD6BC" w14:textId="1DBCC405" w:rsidR="00E25C26" w:rsidRDefault="00E25C26" w:rsidP="00E25C26">
      <w:pPr>
        <w:pStyle w:val="TOC1"/>
        <w:rPr>
          <w:rFonts w:eastAsiaTheme="minorEastAsia"/>
          <w:noProof/>
          <w:color w:val="auto"/>
          <w:sz w:val="22"/>
          <w:u w:val="none"/>
          <w:lang w:eastAsia="en-AU"/>
        </w:rPr>
      </w:pPr>
      <w:hyperlink w:anchor="_Toc210051685" w:history="1">
        <w:r w:rsidRPr="008A2BE3">
          <w:rPr>
            <w:rStyle w:val="Hyperlink"/>
            <w:noProof/>
          </w:rPr>
          <w:t>1.</w:t>
        </w:r>
        <w:r>
          <w:rPr>
            <w:rFonts w:eastAsiaTheme="minorEastAsia"/>
            <w:noProof/>
            <w:color w:val="auto"/>
            <w:sz w:val="22"/>
            <w:u w:val="none"/>
            <w:lang w:eastAsia="en-AU"/>
          </w:rPr>
          <w:tab/>
        </w:r>
        <w:r w:rsidRPr="008A2BE3">
          <w:rPr>
            <w:rStyle w:val="Hyperlink"/>
            <w:noProof/>
          </w:rPr>
          <w:t>Introduction</w:t>
        </w:r>
        <w:r>
          <w:rPr>
            <w:noProof/>
            <w:webHidden/>
          </w:rPr>
          <w:tab/>
        </w:r>
        <w:r>
          <w:rPr>
            <w:noProof/>
            <w:webHidden/>
          </w:rPr>
          <w:fldChar w:fldCharType="begin"/>
        </w:r>
        <w:r>
          <w:rPr>
            <w:noProof/>
            <w:webHidden/>
          </w:rPr>
          <w:instrText xml:space="preserve"> PAGEREF _Toc210051685 \h </w:instrText>
        </w:r>
        <w:r>
          <w:rPr>
            <w:noProof/>
            <w:webHidden/>
          </w:rPr>
        </w:r>
        <w:r>
          <w:rPr>
            <w:noProof/>
            <w:webHidden/>
          </w:rPr>
          <w:fldChar w:fldCharType="separate"/>
        </w:r>
        <w:r>
          <w:rPr>
            <w:noProof/>
            <w:webHidden/>
          </w:rPr>
          <w:t>15</w:t>
        </w:r>
        <w:r>
          <w:rPr>
            <w:noProof/>
            <w:webHidden/>
          </w:rPr>
          <w:fldChar w:fldCharType="end"/>
        </w:r>
      </w:hyperlink>
    </w:p>
    <w:p w14:paraId="120396BC" w14:textId="63385469" w:rsidR="00E25C26" w:rsidRDefault="00E25C26" w:rsidP="00E25C26">
      <w:pPr>
        <w:pStyle w:val="TOC2"/>
        <w:tabs>
          <w:tab w:val="right" w:leader="underscore" w:pos="9854"/>
        </w:tabs>
        <w:spacing w:after="0"/>
        <w:rPr>
          <w:rFonts w:eastAsiaTheme="minorEastAsia"/>
          <w:noProof/>
          <w:color w:val="auto"/>
          <w:lang w:eastAsia="en-AU"/>
        </w:rPr>
      </w:pPr>
      <w:hyperlink w:anchor="_Toc210051686" w:history="1">
        <w:r w:rsidRPr="008A2BE3">
          <w:rPr>
            <w:rStyle w:val="Hyperlink"/>
            <w:noProof/>
          </w:rPr>
          <w:t>1.1</w:t>
        </w:r>
        <w:r>
          <w:rPr>
            <w:rFonts w:eastAsiaTheme="minorEastAsia"/>
            <w:noProof/>
            <w:color w:val="auto"/>
            <w:lang w:eastAsia="en-AU"/>
          </w:rPr>
          <w:tab/>
        </w:r>
        <w:r w:rsidRPr="008A2BE3">
          <w:rPr>
            <w:rStyle w:val="Hyperlink"/>
            <w:noProof/>
          </w:rPr>
          <w:t>Scope of this report</w:t>
        </w:r>
        <w:r>
          <w:rPr>
            <w:noProof/>
            <w:webHidden/>
          </w:rPr>
          <w:tab/>
        </w:r>
        <w:r>
          <w:rPr>
            <w:noProof/>
            <w:webHidden/>
          </w:rPr>
          <w:fldChar w:fldCharType="begin"/>
        </w:r>
        <w:r>
          <w:rPr>
            <w:noProof/>
            <w:webHidden/>
          </w:rPr>
          <w:instrText xml:space="preserve"> PAGEREF _Toc210051686 \h </w:instrText>
        </w:r>
        <w:r>
          <w:rPr>
            <w:noProof/>
            <w:webHidden/>
          </w:rPr>
        </w:r>
        <w:r>
          <w:rPr>
            <w:noProof/>
            <w:webHidden/>
          </w:rPr>
          <w:fldChar w:fldCharType="separate"/>
        </w:r>
        <w:r>
          <w:rPr>
            <w:noProof/>
            <w:webHidden/>
          </w:rPr>
          <w:t>15</w:t>
        </w:r>
        <w:r>
          <w:rPr>
            <w:noProof/>
            <w:webHidden/>
          </w:rPr>
          <w:fldChar w:fldCharType="end"/>
        </w:r>
      </w:hyperlink>
    </w:p>
    <w:p w14:paraId="2EBA52C2" w14:textId="60BEF2DE" w:rsidR="00E25C26" w:rsidRDefault="00E25C26" w:rsidP="00E25C26">
      <w:pPr>
        <w:pStyle w:val="TOC2"/>
        <w:tabs>
          <w:tab w:val="right" w:leader="underscore" w:pos="9854"/>
        </w:tabs>
        <w:spacing w:after="0"/>
        <w:rPr>
          <w:rFonts w:eastAsiaTheme="minorEastAsia"/>
          <w:noProof/>
          <w:color w:val="auto"/>
          <w:lang w:eastAsia="en-AU"/>
        </w:rPr>
      </w:pPr>
      <w:hyperlink w:anchor="_Toc210051687" w:history="1">
        <w:r w:rsidRPr="008A2BE3">
          <w:rPr>
            <w:rStyle w:val="Hyperlink"/>
            <w:noProof/>
          </w:rPr>
          <w:t>1.2</w:t>
        </w:r>
        <w:r>
          <w:rPr>
            <w:rFonts w:eastAsiaTheme="minorEastAsia"/>
            <w:noProof/>
            <w:color w:val="auto"/>
            <w:lang w:eastAsia="en-AU"/>
          </w:rPr>
          <w:tab/>
        </w:r>
        <w:r w:rsidRPr="008A2BE3">
          <w:rPr>
            <w:rStyle w:val="Hyperlink"/>
            <w:noProof/>
          </w:rPr>
          <w:t>Background</w:t>
        </w:r>
        <w:r>
          <w:rPr>
            <w:noProof/>
            <w:webHidden/>
          </w:rPr>
          <w:tab/>
        </w:r>
        <w:r>
          <w:rPr>
            <w:noProof/>
            <w:webHidden/>
          </w:rPr>
          <w:fldChar w:fldCharType="begin"/>
        </w:r>
        <w:r>
          <w:rPr>
            <w:noProof/>
            <w:webHidden/>
          </w:rPr>
          <w:instrText xml:space="preserve"> PAGEREF _Toc210051687 \h </w:instrText>
        </w:r>
        <w:r>
          <w:rPr>
            <w:noProof/>
            <w:webHidden/>
          </w:rPr>
        </w:r>
        <w:r>
          <w:rPr>
            <w:noProof/>
            <w:webHidden/>
          </w:rPr>
          <w:fldChar w:fldCharType="separate"/>
        </w:r>
        <w:r>
          <w:rPr>
            <w:noProof/>
            <w:webHidden/>
          </w:rPr>
          <w:t>16</w:t>
        </w:r>
        <w:r>
          <w:rPr>
            <w:noProof/>
            <w:webHidden/>
          </w:rPr>
          <w:fldChar w:fldCharType="end"/>
        </w:r>
      </w:hyperlink>
    </w:p>
    <w:p w14:paraId="3D05B99D" w14:textId="4FFBCB4F" w:rsidR="00E25C26" w:rsidRDefault="00E25C26" w:rsidP="00E25C26">
      <w:pPr>
        <w:pStyle w:val="TOC2"/>
        <w:tabs>
          <w:tab w:val="right" w:leader="underscore" w:pos="9854"/>
        </w:tabs>
        <w:spacing w:after="0"/>
        <w:rPr>
          <w:rFonts w:eastAsiaTheme="minorEastAsia"/>
          <w:noProof/>
          <w:color w:val="auto"/>
          <w:lang w:eastAsia="en-AU"/>
        </w:rPr>
      </w:pPr>
      <w:hyperlink w:anchor="_Toc210051688" w:history="1">
        <w:r w:rsidRPr="008A2BE3">
          <w:rPr>
            <w:rStyle w:val="Hyperlink"/>
            <w:noProof/>
          </w:rPr>
          <w:t>1.3</w:t>
        </w:r>
        <w:r>
          <w:rPr>
            <w:rFonts w:eastAsiaTheme="minorEastAsia"/>
            <w:noProof/>
            <w:color w:val="auto"/>
            <w:lang w:eastAsia="en-AU"/>
          </w:rPr>
          <w:tab/>
        </w:r>
        <w:r w:rsidRPr="008A2BE3">
          <w:rPr>
            <w:rStyle w:val="Hyperlink"/>
            <w:noProof/>
          </w:rPr>
          <w:t>RIA requirements</w:t>
        </w:r>
        <w:r>
          <w:rPr>
            <w:noProof/>
            <w:webHidden/>
          </w:rPr>
          <w:tab/>
        </w:r>
        <w:r>
          <w:rPr>
            <w:noProof/>
            <w:webHidden/>
          </w:rPr>
          <w:fldChar w:fldCharType="begin"/>
        </w:r>
        <w:r>
          <w:rPr>
            <w:noProof/>
            <w:webHidden/>
          </w:rPr>
          <w:instrText xml:space="preserve"> PAGEREF _Toc210051688 \h </w:instrText>
        </w:r>
        <w:r>
          <w:rPr>
            <w:noProof/>
            <w:webHidden/>
          </w:rPr>
        </w:r>
        <w:r>
          <w:rPr>
            <w:noProof/>
            <w:webHidden/>
          </w:rPr>
          <w:fldChar w:fldCharType="separate"/>
        </w:r>
        <w:r>
          <w:rPr>
            <w:noProof/>
            <w:webHidden/>
          </w:rPr>
          <w:t>17</w:t>
        </w:r>
        <w:r>
          <w:rPr>
            <w:noProof/>
            <w:webHidden/>
          </w:rPr>
          <w:fldChar w:fldCharType="end"/>
        </w:r>
      </w:hyperlink>
    </w:p>
    <w:p w14:paraId="1FAE8D69" w14:textId="4468EBB1" w:rsidR="00E25C26" w:rsidRDefault="00E25C26" w:rsidP="00E25C26">
      <w:pPr>
        <w:pStyle w:val="TOC2"/>
        <w:tabs>
          <w:tab w:val="right" w:leader="underscore" w:pos="9854"/>
        </w:tabs>
        <w:spacing w:after="0"/>
        <w:rPr>
          <w:rFonts w:eastAsiaTheme="minorEastAsia"/>
          <w:noProof/>
          <w:color w:val="auto"/>
          <w:lang w:eastAsia="en-AU"/>
        </w:rPr>
      </w:pPr>
      <w:hyperlink w:anchor="_Toc210051689" w:history="1">
        <w:r w:rsidRPr="008A2BE3">
          <w:rPr>
            <w:rStyle w:val="Hyperlink"/>
            <w:noProof/>
          </w:rPr>
          <w:t>1.4</w:t>
        </w:r>
        <w:r>
          <w:rPr>
            <w:rFonts w:eastAsiaTheme="minorEastAsia"/>
            <w:noProof/>
            <w:color w:val="auto"/>
            <w:lang w:eastAsia="en-AU"/>
          </w:rPr>
          <w:tab/>
        </w:r>
        <w:r w:rsidRPr="008A2BE3">
          <w:rPr>
            <w:rStyle w:val="Hyperlink"/>
            <w:noProof/>
          </w:rPr>
          <w:t>Structure of this report</w:t>
        </w:r>
        <w:r>
          <w:rPr>
            <w:noProof/>
            <w:webHidden/>
          </w:rPr>
          <w:tab/>
        </w:r>
        <w:r>
          <w:rPr>
            <w:noProof/>
            <w:webHidden/>
          </w:rPr>
          <w:fldChar w:fldCharType="begin"/>
        </w:r>
        <w:r>
          <w:rPr>
            <w:noProof/>
            <w:webHidden/>
          </w:rPr>
          <w:instrText xml:space="preserve"> PAGEREF _Toc210051689 \h </w:instrText>
        </w:r>
        <w:r>
          <w:rPr>
            <w:noProof/>
            <w:webHidden/>
          </w:rPr>
        </w:r>
        <w:r>
          <w:rPr>
            <w:noProof/>
            <w:webHidden/>
          </w:rPr>
          <w:fldChar w:fldCharType="separate"/>
        </w:r>
        <w:r>
          <w:rPr>
            <w:noProof/>
            <w:webHidden/>
          </w:rPr>
          <w:t>17</w:t>
        </w:r>
        <w:r>
          <w:rPr>
            <w:noProof/>
            <w:webHidden/>
          </w:rPr>
          <w:fldChar w:fldCharType="end"/>
        </w:r>
      </w:hyperlink>
    </w:p>
    <w:p w14:paraId="0673B2AA" w14:textId="51F57472" w:rsidR="00E25C26" w:rsidRDefault="00E25C26" w:rsidP="00E25C26">
      <w:pPr>
        <w:pStyle w:val="TOC1"/>
        <w:rPr>
          <w:rFonts w:eastAsiaTheme="minorEastAsia"/>
          <w:noProof/>
          <w:color w:val="auto"/>
          <w:sz w:val="22"/>
          <w:u w:val="none"/>
          <w:lang w:eastAsia="en-AU"/>
        </w:rPr>
      </w:pPr>
      <w:hyperlink w:anchor="_Toc210051690" w:history="1">
        <w:r w:rsidRPr="008A2BE3">
          <w:rPr>
            <w:rStyle w:val="Hyperlink"/>
            <w:noProof/>
          </w:rPr>
          <w:t>2.</w:t>
        </w:r>
        <w:r>
          <w:rPr>
            <w:rFonts w:eastAsiaTheme="minorEastAsia"/>
            <w:noProof/>
            <w:color w:val="auto"/>
            <w:sz w:val="22"/>
            <w:u w:val="none"/>
            <w:lang w:eastAsia="en-AU"/>
          </w:rPr>
          <w:tab/>
        </w:r>
        <w:r w:rsidRPr="008A2BE3">
          <w:rPr>
            <w:rStyle w:val="Hyperlink"/>
            <w:noProof/>
          </w:rPr>
          <w:t>Statement of the problem</w:t>
        </w:r>
        <w:r>
          <w:rPr>
            <w:noProof/>
            <w:webHidden/>
          </w:rPr>
          <w:tab/>
        </w:r>
        <w:r>
          <w:rPr>
            <w:noProof/>
            <w:webHidden/>
          </w:rPr>
          <w:fldChar w:fldCharType="begin"/>
        </w:r>
        <w:r>
          <w:rPr>
            <w:noProof/>
            <w:webHidden/>
          </w:rPr>
          <w:instrText xml:space="preserve"> PAGEREF _Toc210051690 \h </w:instrText>
        </w:r>
        <w:r>
          <w:rPr>
            <w:noProof/>
            <w:webHidden/>
          </w:rPr>
        </w:r>
        <w:r>
          <w:rPr>
            <w:noProof/>
            <w:webHidden/>
          </w:rPr>
          <w:fldChar w:fldCharType="separate"/>
        </w:r>
        <w:r>
          <w:rPr>
            <w:noProof/>
            <w:webHidden/>
          </w:rPr>
          <w:t>18</w:t>
        </w:r>
        <w:r>
          <w:rPr>
            <w:noProof/>
            <w:webHidden/>
          </w:rPr>
          <w:fldChar w:fldCharType="end"/>
        </w:r>
      </w:hyperlink>
    </w:p>
    <w:p w14:paraId="1F99DC1B" w14:textId="0627EF9F" w:rsidR="00E25C26" w:rsidRDefault="00E25C26" w:rsidP="00E25C26">
      <w:pPr>
        <w:pStyle w:val="TOC2"/>
        <w:tabs>
          <w:tab w:val="right" w:leader="underscore" w:pos="9854"/>
        </w:tabs>
        <w:spacing w:after="0"/>
        <w:rPr>
          <w:rFonts w:eastAsiaTheme="minorEastAsia"/>
          <w:noProof/>
          <w:color w:val="auto"/>
          <w:lang w:eastAsia="en-AU"/>
        </w:rPr>
      </w:pPr>
      <w:hyperlink w:anchor="_Toc210051691" w:history="1">
        <w:r w:rsidRPr="008A2BE3">
          <w:rPr>
            <w:rStyle w:val="Hyperlink"/>
            <w:noProof/>
          </w:rPr>
          <w:t>2.1</w:t>
        </w:r>
        <w:r>
          <w:rPr>
            <w:rFonts w:eastAsiaTheme="minorEastAsia"/>
            <w:noProof/>
            <w:color w:val="auto"/>
            <w:lang w:eastAsia="en-AU"/>
          </w:rPr>
          <w:tab/>
        </w:r>
        <w:r w:rsidRPr="008A2BE3">
          <w:rPr>
            <w:rStyle w:val="Hyperlink"/>
            <w:noProof/>
          </w:rPr>
          <w:t>Identifying the problem</w:t>
        </w:r>
        <w:r>
          <w:rPr>
            <w:noProof/>
            <w:webHidden/>
          </w:rPr>
          <w:tab/>
        </w:r>
        <w:r>
          <w:rPr>
            <w:noProof/>
            <w:webHidden/>
          </w:rPr>
          <w:fldChar w:fldCharType="begin"/>
        </w:r>
        <w:r>
          <w:rPr>
            <w:noProof/>
            <w:webHidden/>
          </w:rPr>
          <w:instrText xml:space="preserve"> PAGEREF _Toc210051691 \h </w:instrText>
        </w:r>
        <w:r>
          <w:rPr>
            <w:noProof/>
            <w:webHidden/>
          </w:rPr>
        </w:r>
        <w:r>
          <w:rPr>
            <w:noProof/>
            <w:webHidden/>
          </w:rPr>
          <w:fldChar w:fldCharType="separate"/>
        </w:r>
        <w:r>
          <w:rPr>
            <w:noProof/>
            <w:webHidden/>
          </w:rPr>
          <w:t>18</w:t>
        </w:r>
        <w:r>
          <w:rPr>
            <w:noProof/>
            <w:webHidden/>
          </w:rPr>
          <w:fldChar w:fldCharType="end"/>
        </w:r>
      </w:hyperlink>
    </w:p>
    <w:p w14:paraId="6C9DC20F" w14:textId="04721080"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692" w:history="1">
        <w:r w:rsidRPr="008A2BE3">
          <w:rPr>
            <w:rStyle w:val="Hyperlink"/>
            <w:noProof/>
          </w:rPr>
          <w:t>2.1.1</w:t>
        </w:r>
        <w:r>
          <w:rPr>
            <w:rFonts w:eastAsiaTheme="minorEastAsia"/>
            <w:noProof/>
            <w:color w:val="auto"/>
            <w:lang w:eastAsia="en-AU"/>
          </w:rPr>
          <w:tab/>
        </w:r>
        <w:r w:rsidRPr="008A2BE3">
          <w:rPr>
            <w:rStyle w:val="Hyperlink"/>
            <w:noProof/>
          </w:rPr>
          <w:t>Road safety trends</w:t>
        </w:r>
        <w:r>
          <w:rPr>
            <w:noProof/>
            <w:webHidden/>
          </w:rPr>
          <w:tab/>
        </w:r>
        <w:r>
          <w:rPr>
            <w:noProof/>
            <w:webHidden/>
          </w:rPr>
          <w:fldChar w:fldCharType="begin"/>
        </w:r>
        <w:r>
          <w:rPr>
            <w:noProof/>
            <w:webHidden/>
          </w:rPr>
          <w:instrText xml:space="preserve"> PAGEREF _Toc210051692 \h </w:instrText>
        </w:r>
        <w:r>
          <w:rPr>
            <w:noProof/>
            <w:webHidden/>
          </w:rPr>
        </w:r>
        <w:r>
          <w:rPr>
            <w:noProof/>
            <w:webHidden/>
          </w:rPr>
          <w:fldChar w:fldCharType="separate"/>
        </w:r>
        <w:r>
          <w:rPr>
            <w:noProof/>
            <w:webHidden/>
          </w:rPr>
          <w:t>18</w:t>
        </w:r>
        <w:r>
          <w:rPr>
            <w:noProof/>
            <w:webHidden/>
          </w:rPr>
          <w:fldChar w:fldCharType="end"/>
        </w:r>
      </w:hyperlink>
    </w:p>
    <w:p w14:paraId="7B2AB9DF" w14:textId="559CA935"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693" w:history="1">
        <w:r w:rsidRPr="008A2BE3">
          <w:rPr>
            <w:rStyle w:val="Hyperlink"/>
            <w:noProof/>
          </w:rPr>
          <w:t>2.1.2</w:t>
        </w:r>
        <w:r>
          <w:rPr>
            <w:rFonts w:eastAsiaTheme="minorEastAsia"/>
            <w:noProof/>
            <w:color w:val="auto"/>
            <w:lang w:eastAsia="en-AU"/>
          </w:rPr>
          <w:tab/>
        </w:r>
        <w:r w:rsidRPr="008A2BE3">
          <w:rPr>
            <w:rStyle w:val="Hyperlink"/>
            <w:noProof/>
          </w:rPr>
          <w:t>Cost of road trauma</w:t>
        </w:r>
        <w:r>
          <w:rPr>
            <w:noProof/>
            <w:webHidden/>
          </w:rPr>
          <w:tab/>
        </w:r>
        <w:r>
          <w:rPr>
            <w:noProof/>
            <w:webHidden/>
          </w:rPr>
          <w:fldChar w:fldCharType="begin"/>
        </w:r>
        <w:r>
          <w:rPr>
            <w:noProof/>
            <w:webHidden/>
          </w:rPr>
          <w:instrText xml:space="preserve"> PAGEREF _Toc210051693 \h </w:instrText>
        </w:r>
        <w:r>
          <w:rPr>
            <w:noProof/>
            <w:webHidden/>
          </w:rPr>
        </w:r>
        <w:r>
          <w:rPr>
            <w:noProof/>
            <w:webHidden/>
          </w:rPr>
          <w:fldChar w:fldCharType="separate"/>
        </w:r>
        <w:r>
          <w:rPr>
            <w:noProof/>
            <w:webHidden/>
          </w:rPr>
          <w:t>21</w:t>
        </w:r>
        <w:r>
          <w:rPr>
            <w:noProof/>
            <w:webHidden/>
          </w:rPr>
          <w:fldChar w:fldCharType="end"/>
        </w:r>
      </w:hyperlink>
    </w:p>
    <w:p w14:paraId="3129AD1A" w14:textId="7E46C8BE"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694" w:history="1">
        <w:r w:rsidRPr="008A2BE3">
          <w:rPr>
            <w:rStyle w:val="Hyperlink"/>
            <w:noProof/>
          </w:rPr>
          <w:t>2.1.3</w:t>
        </w:r>
        <w:r>
          <w:rPr>
            <w:rFonts w:eastAsiaTheme="minorEastAsia"/>
            <w:noProof/>
            <w:color w:val="auto"/>
            <w:lang w:eastAsia="en-AU"/>
          </w:rPr>
          <w:tab/>
        </w:r>
        <w:r w:rsidRPr="008A2BE3">
          <w:rPr>
            <w:rStyle w:val="Hyperlink"/>
            <w:noProof/>
          </w:rPr>
          <w:t>Primary causes of road crashes</w:t>
        </w:r>
        <w:r>
          <w:rPr>
            <w:noProof/>
            <w:webHidden/>
          </w:rPr>
          <w:tab/>
        </w:r>
        <w:r>
          <w:rPr>
            <w:noProof/>
            <w:webHidden/>
          </w:rPr>
          <w:fldChar w:fldCharType="begin"/>
        </w:r>
        <w:r>
          <w:rPr>
            <w:noProof/>
            <w:webHidden/>
          </w:rPr>
          <w:instrText xml:space="preserve"> PAGEREF _Toc210051694 \h </w:instrText>
        </w:r>
        <w:r>
          <w:rPr>
            <w:noProof/>
            <w:webHidden/>
          </w:rPr>
        </w:r>
        <w:r>
          <w:rPr>
            <w:noProof/>
            <w:webHidden/>
          </w:rPr>
          <w:fldChar w:fldCharType="separate"/>
        </w:r>
        <w:r>
          <w:rPr>
            <w:noProof/>
            <w:webHidden/>
          </w:rPr>
          <w:t>22</w:t>
        </w:r>
        <w:r>
          <w:rPr>
            <w:noProof/>
            <w:webHidden/>
          </w:rPr>
          <w:fldChar w:fldCharType="end"/>
        </w:r>
      </w:hyperlink>
    </w:p>
    <w:p w14:paraId="26E2997C" w14:textId="3FD90582" w:rsidR="00E25C26" w:rsidRDefault="00E25C26" w:rsidP="00E25C26">
      <w:pPr>
        <w:pStyle w:val="TOC2"/>
        <w:tabs>
          <w:tab w:val="right" w:leader="underscore" w:pos="9854"/>
        </w:tabs>
        <w:spacing w:after="0"/>
        <w:rPr>
          <w:rFonts w:eastAsiaTheme="minorEastAsia"/>
          <w:noProof/>
          <w:color w:val="auto"/>
          <w:lang w:eastAsia="en-AU"/>
        </w:rPr>
      </w:pPr>
      <w:hyperlink w:anchor="_Toc210051695" w:history="1">
        <w:r w:rsidRPr="008A2BE3">
          <w:rPr>
            <w:rStyle w:val="Hyperlink"/>
            <w:noProof/>
          </w:rPr>
          <w:t>2.2</w:t>
        </w:r>
        <w:r>
          <w:rPr>
            <w:rFonts w:eastAsiaTheme="minorEastAsia"/>
            <w:noProof/>
            <w:color w:val="auto"/>
            <w:lang w:eastAsia="en-AU"/>
          </w:rPr>
          <w:tab/>
        </w:r>
        <w:r w:rsidRPr="008A2BE3">
          <w:rPr>
            <w:rStyle w:val="Hyperlink"/>
            <w:noProof/>
          </w:rPr>
          <w:t>The need for government intervention in road safety</w:t>
        </w:r>
        <w:r>
          <w:rPr>
            <w:noProof/>
            <w:webHidden/>
          </w:rPr>
          <w:tab/>
        </w:r>
        <w:r>
          <w:rPr>
            <w:noProof/>
            <w:webHidden/>
          </w:rPr>
          <w:fldChar w:fldCharType="begin"/>
        </w:r>
        <w:r>
          <w:rPr>
            <w:noProof/>
            <w:webHidden/>
          </w:rPr>
          <w:instrText xml:space="preserve"> PAGEREF _Toc210051695 \h </w:instrText>
        </w:r>
        <w:r>
          <w:rPr>
            <w:noProof/>
            <w:webHidden/>
          </w:rPr>
        </w:r>
        <w:r>
          <w:rPr>
            <w:noProof/>
            <w:webHidden/>
          </w:rPr>
          <w:fldChar w:fldCharType="separate"/>
        </w:r>
        <w:r>
          <w:rPr>
            <w:noProof/>
            <w:webHidden/>
          </w:rPr>
          <w:t>26</w:t>
        </w:r>
        <w:r>
          <w:rPr>
            <w:noProof/>
            <w:webHidden/>
          </w:rPr>
          <w:fldChar w:fldCharType="end"/>
        </w:r>
      </w:hyperlink>
    </w:p>
    <w:p w14:paraId="5E26F81F" w14:textId="56ECB292"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696" w:history="1">
        <w:r w:rsidRPr="008A2BE3">
          <w:rPr>
            <w:rStyle w:val="Hyperlink"/>
            <w:noProof/>
          </w:rPr>
          <w:t>2.2.1</w:t>
        </w:r>
        <w:r>
          <w:rPr>
            <w:rFonts w:eastAsiaTheme="minorEastAsia"/>
            <w:noProof/>
            <w:color w:val="auto"/>
            <w:lang w:eastAsia="en-AU"/>
          </w:rPr>
          <w:tab/>
        </w:r>
        <w:r w:rsidRPr="008A2BE3">
          <w:rPr>
            <w:rStyle w:val="Hyperlink"/>
            <w:noProof/>
          </w:rPr>
          <w:t>Negative externalities and moral hazard</w:t>
        </w:r>
        <w:r>
          <w:rPr>
            <w:noProof/>
            <w:webHidden/>
          </w:rPr>
          <w:tab/>
        </w:r>
        <w:r>
          <w:rPr>
            <w:noProof/>
            <w:webHidden/>
          </w:rPr>
          <w:fldChar w:fldCharType="begin"/>
        </w:r>
        <w:r>
          <w:rPr>
            <w:noProof/>
            <w:webHidden/>
          </w:rPr>
          <w:instrText xml:space="preserve"> PAGEREF _Toc210051696 \h </w:instrText>
        </w:r>
        <w:r>
          <w:rPr>
            <w:noProof/>
            <w:webHidden/>
          </w:rPr>
        </w:r>
        <w:r>
          <w:rPr>
            <w:noProof/>
            <w:webHidden/>
          </w:rPr>
          <w:fldChar w:fldCharType="separate"/>
        </w:r>
        <w:r>
          <w:rPr>
            <w:noProof/>
            <w:webHidden/>
          </w:rPr>
          <w:t>26</w:t>
        </w:r>
        <w:r>
          <w:rPr>
            <w:noProof/>
            <w:webHidden/>
          </w:rPr>
          <w:fldChar w:fldCharType="end"/>
        </w:r>
      </w:hyperlink>
    </w:p>
    <w:p w14:paraId="1809A172" w14:textId="6EF6F763"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697" w:history="1">
        <w:r w:rsidRPr="008A2BE3">
          <w:rPr>
            <w:rStyle w:val="Hyperlink"/>
            <w:noProof/>
          </w:rPr>
          <w:t>2.2.2</w:t>
        </w:r>
        <w:r>
          <w:rPr>
            <w:rFonts w:eastAsiaTheme="minorEastAsia"/>
            <w:noProof/>
            <w:color w:val="auto"/>
            <w:lang w:eastAsia="en-AU"/>
          </w:rPr>
          <w:tab/>
        </w:r>
        <w:r w:rsidRPr="008A2BE3">
          <w:rPr>
            <w:rStyle w:val="Hyperlink"/>
            <w:noProof/>
          </w:rPr>
          <w:t>Imperfect information</w:t>
        </w:r>
        <w:r>
          <w:rPr>
            <w:noProof/>
            <w:webHidden/>
          </w:rPr>
          <w:tab/>
        </w:r>
        <w:r>
          <w:rPr>
            <w:noProof/>
            <w:webHidden/>
          </w:rPr>
          <w:fldChar w:fldCharType="begin"/>
        </w:r>
        <w:r>
          <w:rPr>
            <w:noProof/>
            <w:webHidden/>
          </w:rPr>
          <w:instrText xml:space="preserve"> PAGEREF _Toc210051697 \h </w:instrText>
        </w:r>
        <w:r>
          <w:rPr>
            <w:noProof/>
            <w:webHidden/>
          </w:rPr>
        </w:r>
        <w:r>
          <w:rPr>
            <w:noProof/>
            <w:webHidden/>
          </w:rPr>
          <w:fldChar w:fldCharType="separate"/>
        </w:r>
        <w:r>
          <w:rPr>
            <w:noProof/>
            <w:webHidden/>
          </w:rPr>
          <w:t>26</w:t>
        </w:r>
        <w:r>
          <w:rPr>
            <w:noProof/>
            <w:webHidden/>
          </w:rPr>
          <w:fldChar w:fldCharType="end"/>
        </w:r>
      </w:hyperlink>
    </w:p>
    <w:p w14:paraId="44834045" w14:textId="4FCD17AF" w:rsidR="00E25C26" w:rsidRDefault="00E25C26" w:rsidP="00E25C26">
      <w:pPr>
        <w:pStyle w:val="TOC2"/>
        <w:tabs>
          <w:tab w:val="right" w:leader="underscore" w:pos="9854"/>
        </w:tabs>
        <w:spacing w:after="0"/>
        <w:rPr>
          <w:rFonts w:eastAsiaTheme="minorEastAsia"/>
          <w:noProof/>
          <w:color w:val="auto"/>
          <w:lang w:eastAsia="en-AU"/>
        </w:rPr>
      </w:pPr>
      <w:hyperlink w:anchor="_Toc210051698" w:history="1">
        <w:r w:rsidRPr="008A2BE3">
          <w:rPr>
            <w:rStyle w:val="Hyperlink"/>
            <w:noProof/>
          </w:rPr>
          <w:t>2.3</w:t>
        </w:r>
        <w:r>
          <w:rPr>
            <w:rFonts w:eastAsiaTheme="minorEastAsia"/>
            <w:noProof/>
            <w:color w:val="auto"/>
            <w:lang w:eastAsia="en-AU"/>
          </w:rPr>
          <w:tab/>
        </w:r>
        <w:r w:rsidRPr="008A2BE3">
          <w:rPr>
            <w:rStyle w:val="Hyperlink"/>
            <w:noProof/>
          </w:rPr>
          <w:t>The policy response</w:t>
        </w:r>
        <w:r>
          <w:rPr>
            <w:noProof/>
            <w:webHidden/>
          </w:rPr>
          <w:tab/>
        </w:r>
        <w:r>
          <w:rPr>
            <w:noProof/>
            <w:webHidden/>
          </w:rPr>
          <w:fldChar w:fldCharType="begin"/>
        </w:r>
        <w:r>
          <w:rPr>
            <w:noProof/>
            <w:webHidden/>
          </w:rPr>
          <w:instrText xml:space="preserve"> PAGEREF _Toc210051698 \h </w:instrText>
        </w:r>
        <w:r>
          <w:rPr>
            <w:noProof/>
            <w:webHidden/>
          </w:rPr>
        </w:r>
        <w:r>
          <w:rPr>
            <w:noProof/>
            <w:webHidden/>
          </w:rPr>
          <w:fldChar w:fldCharType="separate"/>
        </w:r>
        <w:r>
          <w:rPr>
            <w:noProof/>
            <w:webHidden/>
          </w:rPr>
          <w:t>27</w:t>
        </w:r>
        <w:r>
          <w:rPr>
            <w:noProof/>
            <w:webHidden/>
          </w:rPr>
          <w:fldChar w:fldCharType="end"/>
        </w:r>
      </w:hyperlink>
    </w:p>
    <w:p w14:paraId="7A457732" w14:textId="7F22D5B0"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699" w:history="1">
        <w:r w:rsidRPr="008A2BE3">
          <w:rPr>
            <w:rStyle w:val="Hyperlink"/>
            <w:noProof/>
          </w:rPr>
          <w:t>2.3.1</w:t>
        </w:r>
        <w:r>
          <w:rPr>
            <w:rFonts w:eastAsiaTheme="minorEastAsia"/>
            <w:noProof/>
            <w:color w:val="auto"/>
            <w:lang w:eastAsia="en-AU"/>
          </w:rPr>
          <w:tab/>
        </w:r>
        <w:r w:rsidRPr="008A2BE3">
          <w:rPr>
            <w:rStyle w:val="Hyperlink"/>
            <w:noProof/>
          </w:rPr>
          <w:t>Default speed limits by state and territory</w:t>
        </w:r>
        <w:r>
          <w:rPr>
            <w:noProof/>
            <w:webHidden/>
          </w:rPr>
          <w:tab/>
        </w:r>
        <w:r>
          <w:rPr>
            <w:noProof/>
            <w:webHidden/>
          </w:rPr>
          <w:fldChar w:fldCharType="begin"/>
        </w:r>
        <w:r>
          <w:rPr>
            <w:noProof/>
            <w:webHidden/>
          </w:rPr>
          <w:instrText xml:space="preserve"> PAGEREF _Toc210051699 \h </w:instrText>
        </w:r>
        <w:r>
          <w:rPr>
            <w:noProof/>
            <w:webHidden/>
          </w:rPr>
        </w:r>
        <w:r>
          <w:rPr>
            <w:noProof/>
            <w:webHidden/>
          </w:rPr>
          <w:fldChar w:fldCharType="separate"/>
        </w:r>
        <w:r>
          <w:rPr>
            <w:noProof/>
            <w:webHidden/>
          </w:rPr>
          <w:t>29</w:t>
        </w:r>
        <w:r>
          <w:rPr>
            <w:noProof/>
            <w:webHidden/>
          </w:rPr>
          <w:fldChar w:fldCharType="end"/>
        </w:r>
      </w:hyperlink>
    </w:p>
    <w:p w14:paraId="55FABB17" w14:textId="42A251A0" w:rsidR="00E25C26" w:rsidRDefault="00E25C26" w:rsidP="00E25C26">
      <w:pPr>
        <w:pStyle w:val="TOC2"/>
        <w:tabs>
          <w:tab w:val="right" w:leader="underscore" w:pos="9854"/>
        </w:tabs>
        <w:spacing w:after="0"/>
        <w:rPr>
          <w:rFonts w:eastAsiaTheme="minorEastAsia"/>
          <w:noProof/>
          <w:color w:val="auto"/>
          <w:lang w:eastAsia="en-AU"/>
        </w:rPr>
      </w:pPr>
      <w:hyperlink w:anchor="_Toc210051700" w:history="1">
        <w:r w:rsidRPr="008A2BE3">
          <w:rPr>
            <w:rStyle w:val="Hyperlink"/>
            <w:noProof/>
          </w:rPr>
          <w:t>2.4</w:t>
        </w:r>
        <w:r>
          <w:rPr>
            <w:rFonts w:eastAsiaTheme="minorEastAsia"/>
            <w:noProof/>
            <w:color w:val="auto"/>
            <w:lang w:eastAsia="en-AU"/>
          </w:rPr>
          <w:tab/>
        </w:r>
        <w:r w:rsidRPr="008A2BE3">
          <w:rPr>
            <w:rStyle w:val="Hyperlink"/>
            <w:noProof/>
          </w:rPr>
          <w:t>Need for further government intervention in managing default speed limits</w:t>
        </w:r>
        <w:r>
          <w:rPr>
            <w:noProof/>
            <w:webHidden/>
          </w:rPr>
          <w:tab/>
        </w:r>
        <w:r>
          <w:rPr>
            <w:noProof/>
            <w:webHidden/>
          </w:rPr>
          <w:fldChar w:fldCharType="begin"/>
        </w:r>
        <w:r>
          <w:rPr>
            <w:noProof/>
            <w:webHidden/>
          </w:rPr>
          <w:instrText xml:space="preserve"> PAGEREF _Toc210051700 \h </w:instrText>
        </w:r>
        <w:r>
          <w:rPr>
            <w:noProof/>
            <w:webHidden/>
          </w:rPr>
        </w:r>
        <w:r>
          <w:rPr>
            <w:noProof/>
            <w:webHidden/>
          </w:rPr>
          <w:fldChar w:fldCharType="separate"/>
        </w:r>
        <w:r>
          <w:rPr>
            <w:noProof/>
            <w:webHidden/>
          </w:rPr>
          <w:t>30</w:t>
        </w:r>
        <w:r>
          <w:rPr>
            <w:noProof/>
            <w:webHidden/>
          </w:rPr>
          <w:fldChar w:fldCharType="end"/>
        </w:r>
      </w:hyperlink>
    </w:p>
    <w:p w14:paraId="0EE83A00" w14:textId="0403A257"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701" w:history="1">
        <w:r w:rsidRPr="008A2BE3">
          <w:rPr>
            <w:rStyle w:val="Hyperlink"/>
            <w:noProof/>
          </w:rPr>
          <w:t>2.4.1</w:t>
        </w:r>
        <w:r>
          <w:rPr>
            <w:rFonts w:eastAsiaTheme="minorEastAsia"/>
            <w:noProof/>
            <w:color w:val="auto"/>
            <w:lang w:eastAsia="en-AU"/>
          </w:rPr>
          <w:tab/>
        </w:r>
        <w:r w:rsidRPr="008A2BE3">
          <w:rPr>
            <w:rStyle w:val="Hyperlink"/>
            <w:noProof/>
          </w:rPr>
          <w:t>Policy imperatives</w:t>
        </w:r>
        <w:r>
          <w:rPr>
            <w:noProof/>
            <w:webHidden/>
          </w:rPr>
          <w:tab/>
        </w:r>
        <w:r>
          <w:rPr>
            <w:noProof/>
            <w:webHidden/>
          </w:rPr>
          <w:fldChar w:fldCharType="begin"/>
        </w:r>
        <w:r>
          <w:rPr>
            <w:noProof/>
            <w:webHidden/>
          </w:rPr>
          <w:instrText xml:space="preserve"> PAGEREF _Toc210051701 \h </w:instrText>
        </w:r>
        <w:r>
          <w:rPr>
            <w:noProof/>
            <w:webHidden/>
          </w:rPr>
        </w:r>
        <w:r>
          <w:rPr>
            <w:noProof/>
            <w:webHidden/>
          </w:rPr>
          <w:fldChar w:fldCharType="separate"/>
        </w:r>
        <w:r>
          <w:rPr>
            <w:noProof/>
            <w:webHidden/>
          </w:rPr>
          <w:t>30</w:t>
        </w:r>
        <w:r>
          <w:rPr>
            <w:noProof/>
            <w:webHidden/>
          </w:rPr>
          <w:fldChar w:fldCharType="end"/>
        </w:r>
      </w:hyperlink>
    </w:p>
    <w:p w14:paraId="7E05C0E7" w14:textId="775F2425"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702" w:history="1">
        <w:r w:rsidRPr="008A2BE3">
          <w:rPr>
            <w:rStyle w:val="Hyperlink"/>
            <w:noProof/>
          </w:rPr>
          <w:t>2.4.2</w:t>
        </w:r>
        <w:r>
          <w:rPr>
            <w:rFonts w:eastAsiaTheme="minorEastAsia"/>
            <w:noProof/>
            <w:color w:val="auto"/>
            <w:lang w:eastAsia="en-AU"/>
          </w:rPr>
          <w:tab/>
        </w:r>
        <w:r w:rsidRPr="008A2BE3">
          <w:rPr>
            <w:rStyle w:val="Hyperlink"/>
            <w:noProof/>
          </w:rPr>
          <w:t>Evidence on cost effectiveness of speed management interventions</w:t>
        </w:r>
        <w:r>
          <w:rPr>
            <w:noProof/>
            <w:webHidden/>
          </w:rPr>
          <w:tab/>
        </w:r>
        <w:r>
          <w:rPr>
            <w:noProof/>
            <w:webHidden/>
          </w:rPr>
          <w:fldChar w:fldCharType="begin"/>
        </w:r>
        <w:r>
          <w:rPr>
            <w:noProof/>
            <w:webHidden/>
          </w:rPr>
          <w:instrText xml:space="preserve"> PAGEREF _Toc210051702 \h </w:instrText>
        </w:r>
        <w:r>
          <w:rPr>
            <w:noProof/>
            <w:webHidden/>
          </w:rPr>
        </w:r>
        <w:r>
          <w:rPr>
            <w:noProof/>
            <w:webHidden/>
          </w:rPr>
          <w:fldChar w:fldCharType="separate"/>
        </w:r>
        <w:r>
          <w:rPr>
            <w:noProof/>
            <w:webHidden/>
          </w:rPr>
          <w:t>31</w:t>
        </w:r>
        <w:r>
          <w:rPr>
            <w:noProof/>
            <w:webHidden/>
          </w:rPr>
          <w:fldChar w:fldCharType="end"/>
        </w:r>
      </w:hyperlink>
    </w:p>
    <w:p w14:paraId="3DC652E2" w14:textId="03B75B1C" w:rsidR="00E25C26" w:rsidRDefault="00E25C26" w:rsidP="00E25C26">
      <w:pPr>
        <w:pStyle w:val="TOC2"/>
        <w:tabs>
          <w:tab w:val="right" w:leader="underscore" w:pos="9854"/>
        </w:tabs>
        <w:spacing w:after="0"/>
        <w:rPr>
          <w:rFonts w:eastAsiaTheme="minorEastAsia"/>
          <w:noProof/>
          <w:color w:val="auto"/>
          <w:lang w:eastAsia="en-AU"/>
        </w:rPr>
      </w:pPr>
      <w:hyperlink w:anchor="_Toc210051703" w:history="1">
        <w:r w:rsidRPr="008A2BE3">
          <w:rPr>
            <w:rStyle w:val="Hyperlink"/>
            <w:noProof/>
          </w:rPr>
          <w:t>2.5</w:t>
        </w:r>
        <w:r>
          <w:rPr>
            <w:rFonts w:eastAsiaTheme="minorEastAsia"/>
            <w:noProof/>
            <w:color w:val="auto"/>
            <w:lang w:eastAsia="en-AU"/>
          </w:rPr>
          <w:tab/>
        </w:r>
        <w:r w:rsidRPr="008A2BE3">
          <w:rPr>
            <w:rStyle w:val="Hyperlink"/>
            <w:noProof/>
          </w:rPr>
          <w:t>Summing up</w:t>
        </w:r>
        <w:r>
          <w:rPr>
            <w:noProof/>
            <w:webHidden/>
          </w:rPr>
          <w:tab/>
        </w:r>
        <w:r>
          <w:rPr>
            <w:noProof/>
            <w:webHidden/>
          </w:rPr>
          <w:fldChar w:fldCharType="begin"/>
        </w:r>
        <w:r>
          <w:rPr>
            <w:noProof/>
            <w:webHidden/>
          </w:rPr>
          <w:instrText xml:space="preserve"> PAGEREF _Toc210051703 \h </w:instrText>
        </w:r>
        <w:r>
          <w:rPr>
            <w:noProof/>
            <w:webHidden/>
          </w:rPr>
        </w:r>
        <w:r>
          <w:rPr>
            <w:noProof/>
            <w:webHidden/>
          </w:rPr>
          <w:fldChar w:fldCharType="separate"/>
        </w:r>
        <w:r>
          <w:rPr>
            <w:noProof/>
            <w:webHidden/>
          </w:rPr>
          <w:t>31</w:t>
        </w:r>
        <w:r>
          <w:rPr>
            <w:noProof/>
            <w:webHidden/>
          </w:rPr>
          <w:fldChar w:fldCharType="end"/>
        </w:r>
      </w:hyperlink>
    </w:p>
    <w:p w14:paraId="7C667067" w14:textId="1D729840" w:rsidR="00E25C26" w:rsidRDefault="00E25C26" w:rsidP="00E25C26">
      <w:pPr>
        <w:pStyle w:val="TOC2"/>
        <w:tabs>
          <w:tab w:val="right" w:leader="underscore" w:pos="9854"/>
        </w:tabs>
        <w:spacing w:after="0"/>
        <w:rPr>
          <w:rFonts w:eastAsiaTheme="minorEastAsia"/>
          <w:noProof/>
          <w:color w:val="auto"/>
          <w:lang w:eastAsia="en-AU"/>
        </w:rPr>
      </w:pPr>
      <w:hyperlink w:anchor="_Toc210051704" w:history="1">
        <w:r w:rsidRPr="008A2BE3">
          <w:rPr>
            <w:rStyle w:val="Hyperlink"/>
            <w:noProof/>
          </w:rPr>
          <w:t>2.6</w:t>
        </w:r>
        <w:r>
          <w:rPr>
            <w:rFonts w:eastAsiaTheme="minorEastAsia"/>
            <w:noProof/>
            <w:color w:val="auto"/>
            <w:lang w:eastAsia="en-AU"/>
          </w:rPr>
          <w:tab/>
        </w:r>
        <w:r w:rsidRPr="008A2BE3">
          <w:rPr>
            <w:rStyle w:val="Hyperlink"/>
            <w:noProof/>
          </w:rPr>
          <w:t>Questions for stakeholders</w:t>
        </w:r>
        <w:r>
          <w:rPr>
            <w:noProof/>
            <w:webHidden/>
          </w:rPr>
          <w:tab/>
        </w:r>
        <w:r>
          <w:rPr>
            <w:noProof/>
            <w:webHidden/>
          </w:rPr>
          <w:fldChar w:fldCharType="begin"/>
        </w:r>
        <w:r>
          <w:rPr>
            <w:noProof/>
            <w:webHidden/>
          </w:rPr>
          <w:instrText xml:space="preserve"> PAGEREF _Toc210051704 \h </w:instrText>
        </w:r>
        <w:r>
          <w:rPr>
            <w:noProof/>
            <w:webHidden/>
          </w:rPr>
        </w:r>
        <w:r>
          <w:rPr>
            <w:noProof/>
            <w:webHidden/>
          </w:rPr>
          <w:fldChar w:fldCharType="separate"/>
        </w:r>
        <w:r>
          <w:rPr>
            <w:noProof/>
            <w:webHidden/>
          </w:rPr>
          <w:t>32</w:t>
        </w:r>
        <w:r>
          <w:rPr>
            <w:noProof/>
            <w:webHidden/>
          </w:rPr>
          <w:fldChar w:fldCharType="end"/>
        </w:r>
      </w:hyperlink>
    </w:p>
    <w:p w14:paraId="00F32A7D" w14:textId="650CAD1B" w:rsidR="00E25C26" w:rsidRDefault="00E25C26" w:rsidP="00E25C26">
      <w:pPr>
        <w:pStyle w:val="TOC1"/>
        <w:rPr>
          <w:rFonts w:eastAsiaTheme="minorEastAsia"/>
          <w:noProof/>
          <w:color w:val="auto"/>
          <w:sz w:val="22"/>
          <w:u w:val="none"/>
          <w:lang w:eastAsia="en-AU"/>
        </w:rPr>
      </w:pPr>
      <w:hyperlink w:anchor="_Toc210051705" w:history="1">
        <w:r w:rsidRPr="008A2BE3">
          <w:rPr>
            <w:rStyle w:val="Hyperlink"/>
            <w:noProof/>
          </w:rPr>
          <w:t>3.</w:t>
        </w:r>
        <w:r>
          <w:rPr>
            <w:rFonts w:eastAsiaTheme="minorEastAsia"/>
            <w:noProof/>
            <w:color w:val="auto"/>
            <w:sz w:val="22"/>
            <w:u w:val="none"/>
            <w:lang w:eastAsia="en-AU"/>
          </w:rPr>
          <w:tab/>
        </w:r>
        <w:r w:rsidRPr="008A2BE3">
          <w:rPr>
            <w:rStyle w:val="Hyperlink"/>
            <w:noProof/>
          </w:rPr>
          <w:t>Objectives and options</w:t>
        </w:r>
        <w:r>
          <w:rPr>
            <w:noProof/>
            <w:webHidden/>
          </w:rPr>
          <w:tab/>
        </w:r>
        <w:r>
          <w:rPr>
            <w:noProof/>
            <w:webHidden/>
          </w:rPr>
          <w:fldChar w:fldCharType="begin"/>
        </w:r>
        <w:r>
          <w:rPr>
            <w:noProof/>
            <w:webHidden/>
          </w:rPr>
          <w:instrText xml:space="preserve"> PAGEREF _Toc210051705 \h </w:instrText>
        </w:r>
        <w:r>
          <w:rPr>
            <w:noProof/>
            <w:webHidden/>
          </w:rPr>
        </w:r>
        <w:r>
          <w:rPr>
            <w:noProof/>
            <w:webHidden/>
          </w:rPr>
          <w:fldChar w:fldCharType="separate"/>
        </w:r>
        <w:r>
          <w:rPr>
            <w:noProof/>
            <w:webHidden/>
          </w:rPr>
          <w:t>33</w:t>
        </w:r>
        <w:r>
          <w:rPr>
            <w:noProof/>
            <w:webHidden/>
          </w:rPr>
          <w:fldChar w:fldCharType="end"/>
        </w:r>
      </w:hyperlink>
    </w:p>
    <w:p w14:paraId="0BB1B5AF" w14:textId="3D77187A" w:rsidR="00E25C26" w:rsidRDefault="00E25C26" w:rsidP="00E25C26">
      <w:pPr>
        <w:pStyle w:val="TOC2"/>
        <w:tabs>
          <w:tab w:val="right" w:leader="underscore" w:pos="9854"/>
        </w:tabs>
        <w:spacing w:after="0"/>
        <w:rPr>
          <w:rFonts w:eastAsiaTheme="minorEastAsia"/>
          <w:noProof/>
          <w:color w:val="auto"/>
          <w:lang w:eastAsia="en-AU"/>
        </w:rPr>
      </w:pPr>
      <w:hyperlink w:anchor="_Toc210051706" w:history="1">
        <w:r w:rsidRPr="008A2BE3">
          <w:rPr>
            <w:rStyle w:val="Hyperlink"/>
            <w:noProof/>
          </w:rPr>
          <w:t>3.1</w:t>
        </w:r>
        <w:r>
          <w:rPr>
            <w:rFonts w:eastAsiaTheme="minorEastAsia"/>
            <w:noProof/>
            <w:color w:val="auto"/>
            <w:lang w:eastAsia="en-AU"/>
          </w:rPr>
          <w:tab/>
        </w:r>
        <w:r w:rsidRPr="008A2BE3">
          <w:rPr>
            <w:rStyle w:val="Hyperlink"/>
            <w:noProof/>
          </w:rPr>
          <w:t>Objectives of government action</w:t>
        </w:r>
        <w:r>
          <w:rPr>
            <w:noProof/>
            <w:webHidden/>
          </w:rPr>
          <w:tab/>
        </w:r>
        <w:r>
          <w:rPr>
            <w:noProof/>
            <w:webHidden/>
          </w:rPr>
          <w:fldChar w:fldCharType="begin"/>
        </w:r>
        <w:r>
          <w:rPr>
            <w:noProof/>
            <w:webHidden/>
          </w:rPr>
          <w:instrText xml:space="preserve"> PAGEREF _Toc210051706 \h </w:instrText>
        </w:r>
        <w:r>
          <w:rPr>
            <w:noProof/>
            <w:webHidden/>
          </w:rPr>
        </w:r>
        <w:r>
          <w:rPr>
            <w:noProof/>
            <w:webHidden/>
          </w:rPr>
          <w:fldChar w:fldCharType="separate"/>
        </w:r>
        <w:r>
          <w:rPr>
            <w:noProof/>
            <w:webHidden/>
          </w:rPr>
          <w:t>33</w:t>
        </w:r>
        <w:r>
          <w:rPr>
            <w:noProof/>
            <w:webHidden/>
          </w:rPr>
          <w:fldChar w:fldCharType="end"/>
        </w:r>
      </w:hyperlink>
    </w:p>
    <w:p w14:paraId="3B93BDDD" w14:textId="2D0F7867" w:rsidR="00E25C26" w:rsidRDefault="00E25C26" w:rsidP="00E25C26">
      <w:pPr>
        <w:pStyle w:val="TOC2"/>
        <w:tabs>
          <w:tab w:val="right" w:leader="underscore" w:pos="9854"/>
        </w:tabs>
        <w:spacing w:after="0"/>
        <w:rPr>
          <w:rFonts w:eastAsiaTheme="minorEastAsia"/>
          <w:noProof/>
          <w:color w:val="auto"/>
          <w:lang w:eastAsia="en-AU"/>
        </w:rPr>
      </w:pPr>
      <w:hyperlink w:anchor="_Toc210051707" w:history="1">
        <w:r w:rsidRPr="008A2BE3">
          <w:rPr>
            <w:rStyle w:val="Hyperlink"/>
            <w:noProof/>
          </w:rPr>
          <w:t>3.2</w:t>
        </w:r>
        <w:r>
          <w:rPr>
            <w:rFonts w:eastAsiaTheme="minorEastAsia"/>
            <w:noProof/>
            <w:color w:val="auto"/>
            <w:lang w:eastAsia="en-AU"/>
          </w:rPr>
          <w:tab/>
        </w:r>
        <w:r w:rsidRPr="008A2BE3">
          <w:rPr>
            <w:rStyle w:val="Hyperlink"/>
            <w:noProof/>
          </w:rPr>
          <w:t>Policy options</w:t>
        </w:r>
        <w:r>
          <w:rPr>
            <w:noProof/>
            <w:webHidden/>
          </w:rPr>
          <w:tab/>
        </w:r>
        <w:r>
          <w:rPr>
            <w:noProof/>
            <w:webHidden/>
          </w:rPr>
          <w:fldChar w:fldCharType="begin"/>
        </w:r>
        <w:r>
          <w:rPr>
            <w:noProof/>
            <w:webHidden/>
          </w:rPr>
          <w:instrText xml:space="preserve"> PAGEREF _Toc210051707 \h </w:instrText>
        </w:r>
        <w:r>
          <w:rPr>
            <w:noProof/>
            <w:webHidden/>
          </w:rPr>
        </w:r>
        <w:r>
          <w:rPr>
            <w:noProof/>
            <w:webHidden/>
          </w:rPr>
          <w:fldChar w:fldCharType="separate"/>
        </w:r>
        <w:r>
          <w:rPr>
            <w:noProof/>
            <w:webHidden/>
          </w:rPr>
          <w:t>33</w:t>
        </w:r>
        <w:r>
          <w:rPr>
            <w:noProof/>
            <w:webHidden/>
          </w:rPr>
          <w:fldChar w:fldCharType="end"/>
        </w:r>
      </w:hyperlink>
    </w:p>
    <w:p w14:paraId="2DE78A9C" w14:textId="7969AFBE"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708" w:history="1">
        <w:r w:rsidRPr="008A2BE3">
          <w:rPr>
            <w:rStyle w:val="Hyperlink"/>
            <w:noProof/>
          </w:rPr>
          <w:t>3.2.1</w:t>
        </w:r>
        <w:r>
          <w:rPr>
            <w:rFonts w:eastAsiaTheme="minorEastAsia"/>
            <w:noProof/>
            <w:color w:val="auto"/>
            <w:lang w:eastAsia="en-AU"/>
          </w:rPr>
          <w:tab/>
        </w:r>
        <w:r w:rsidRPr="008A2BE3">
          <w:rPr>
            <w:rStyle w:val="Hyperlink"/>
            <w:noProof/>
          </w:rPr>
          <w:t>Base case (status quo)</w:t>
        </w:r>
        <w:r>
          <w:rPr>
            <w:noProof/>
            <w:webHidden/>
          </w:rPr>
          <w:tab/>
        </w:r>
        <w:r>
          <w:rPr>
            <w:noProof/>
            <w:webHidden/>
          </w:rPr>
          <w:fldChar w:fldCharType="begin"/>
        </w:r>
        <w:r>
          <w:rPr>
            <w:noProof/>
            <w:webHidden/>
          </w:rPr>
          <w:instrText xml:space="preserve"> PAGEREF _Toc210051708 \h </w:instrText>
        </w:r>
        <w:r>
          <w:rPr>
            <w:noProof/>
            <w:webHidden/>
          </w:rPr>
        </w:r>
        <w:r>
          <w:rPr>
            <w:noProof/>
            <w:webHidden/>
          </w:rPr>
          <w:fldChar w:fldCharType="separate"/>
        </w:r>
        <w:r>
          <w:rPr>
            <w:noProof/>
            <w:webHidden/>
          </w:rPr>
          <w:t>33</w:t>
        </w:r>
        <w:r>
          <w:rPr>
            <w:noProof/>
            <w:webHidden/>
          </w:rPr>
          <w:fldChar w:fldCharType="end"/>
        </w:r>
      </w:hyperlink>
    </w:p>
    <w:p w14:paraId="26BD5133" w14:textId="0D32B445"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709" w:history="1">
        <w:r w:rsidRPr="008A2BE3">
          <w:rPr>
            <w:rStyle w:val="Hyperlink"/>
            <w:noProof/>
          </w:rPr>
          <w:t>3.2.2</w:t>
        </w:r>
        <w:r>
          <w:rPr>
            <w:rFonts w:eastAsiaTheme="minorEastAsia"/>
            <w:noProof/>
            <w:color w:val="auto"/>
            <w:lang w:eastAsia="en-AU"/>
          </w:rPr>
          <w:tab/>
        </w:r>
        <w:r w:rsidRPr="008A2BE3">
          <w:rPr>
            <w:rStyle w:val="Hyperlink"/>
            <w:noProof/>
          </w:rPr>
          <w:t>Reform options</w:t>
        </w:r>
        <w:r>
          <w:rPr>
            <w:noProof/>
            <w:webHidden/>
          </w:rPr>
          <w:tab/>
        </w:r>
        <w:r>
          <w:rPr>
            <w:noProof/>
            <w:webHidden/>
          </w:rPr>
          <w:fldChar w:fldCharType="begin"/>
        </w:r>
        <w:r>
          <w:rPr>
            <w:noProof/>
            <w:webHidden/>
          </w:rPr>
          <w:instrText xml:space="preserve"> PAGEREF _Toc210051709 \h </w:instrText>
        </w:r>
        <w:r>
          <w:rPr>
            <w:noProof/>
            <w:webHidden/>
          </w:rPr>
        </w:r>
        <w:r>
          <w:rPr>
            <w:noProof/>
            <w:webHidden/>
          </w:rPr>
          <w:fldChar w:fldCharType="separate"/>
        </w:r>
        <w:r>
          <w:rPr>
            <w:noProof/>
            <w:webHidden/>
          </w:rPr>
          <w:t>34</w:t>
        </w:r>
        <w:r>
          <w:rPr>
            <w:noProof/>
            <w:webHidden/>
          </w:rPr>
          <w:fldChar w:fldCharType="end"/>
        </w:r>
      </w:hyperlink>
    </w:p>
    <w:p w14:paraId="47E0D2CA" w14:textId="77562927"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710" w:history="1">
        <w:r w:rsidRPr="008A2BE3">
          <w:rPr>
            <w:rStyle w:val="Hyperlink"/>
            <w:noProof/>
          </w:rPr>
          <w:t>3.2.3</w:t>
        </w:r>
        <w:r>
          <w:rPr>
            <w:rFonts w:eastAsiaTheme="minorEastAsia"/>
            <w:noProof/>
            <w:color w:val="auto"/>
            <w:lang w:eastAsia="en-AU"/>
          </w:rPr>
          <w:tab/>
        </w:r>
        <w:r w:rsidRPr="008A2BE3">
          <w:rPr>
            <w:rStyle w:val="Hyperlink"/>
            <w:noProof/>
          </w:rPr>
          <w:t>Alternative approaches</w:t>
        </w:r>
        <w:r>
          <w:rPr>
            <w:noProof/>
            <w:webHidden/>
          </w:rPr>
          <w:tab/>
        </w:r>
        <w:r>
          <w:rPr>
            <w:noProof/>
            <w:webHidden/>
          </w:rPr>
          <w:fldChar w:fldCharType="begin"/>
        </w:r>
        <w:r>
          <w:rPr>
            <w:noProof/>
            <w:webHidden/>
          </w:rPr>
          <w:instrText xml:space="preserve"> PAGEREF _Toc210051710 \h </w:instrText>
        </w:r>
        <w:r>
          <w:rPr>
            <w:noProof/>
            <w:webHidden/>
          </w:rPr>
        </w:r>
        <w:r>
          <w:rPr>
            <w:noProof/>
            <w:webHidden/>
          </w:rPr>
          <w:fldChar w:fldCharType="separate"/>
        </w:r>
        <w:r>
          <w:rPr>
            <w:noProof/>
            <w:webHidden/>
          </w:rPr>
          <w:t>34</w:t>
        </w:r>
        <w:r>
          <w:rPr>
            <w:noProof/>
            <w:webHidden/>
          </w:rPr>
          <w:fldChar w:fldCharType="end"/>
        </w:r>
      </w:hyperlink>
    </w:p>
    <w:p w14:paraId="1703713E" w14:textId="2413EA12" w:rsidR="00E25C26" w:rsidRDefault="00E25C26" w:rsidP="00E25C26">
      <w:pPr>
        <w:pStyle w:val="TOC2"/>
        <w:tabs>
          <w:tab w:val="right" w:leader="underscore" w:pos="9854"/>
        </w:tabs>
        <w:spacing w:after="0"/>
        <w:rPr>
          <w:rFonts w:eastAsiaTheme="minorEastAsia"/>
          <w:noProof/>
          <w:color w:val="auto"/>
          <w:lang w:eastAsia="en-AU"/>
        </w:rPr>
      </w:pPr>
      <w:hyperlink w:anchor="_Toc210051711" w:history="1">
        <w:r w:rsidRPr="008A2BE3">
          <w:rPr>
            <w:rStyle w:val="Hyperlink"/>
            <w:noProof/>
          </w:rPr>
          <w:t>3.3</w:t>
        </w:r>
        <w:r>
          <w:rPr>
            <w:rFonts w:eastAsiaTheme="minorEastAsia"/>
            <w:noProof/>
            <w:color w:val="auto"/>
            <w:lang w:eastAsia="en-AU"/>
          </w:rPr>
          <w:tab/>
        </w:r>
        <w:r w:rsidRPr="008A2BE3">
          <w:rPr>
            <w:rStyle w:val="Hyperlink"/>
            <w:noProof/>
          </w:rPr>
          <w:t>Questions for stakeholders</w:t>
        </w:r>
        <w:r>
          <w:rPr>
            <w:noProof/>
            <w:webHidden/>
          </w:rPr>
          <w:tab/>
        </w:r>
        <w:r>
          <w:rPr>
            <w:noProof/>
            <w:webHidden/>
          </w:rPr>
          <w:fldChar w:fldCharType="begin"/>
        </w:r>
        <w:r>
          <w:rPr>
            <w:noProof/>
            <w:webHidden/>
          </w:rPr>
          <w:instrText xml:space="preserve"> PAGEREF _Toc210051711 \h </w:instrText>
        </w:r>
        <w:r>
          <w:rPr>
            <w:noProof/>
            <w:webHidden/>
          </w:rPr>
        </w:r>
        <w:r>
          <w:rPr>
            <w:noProof/>
            <w:webHidden/>
          </w:rPr>
          <w:fldChar w:fldCharType="separate"/>
        </w:r>
        <w:r>
          <w:rPr>
            <w:noProof/>
            <w:webHidden/>
          </w:rPr>
          <w:t>36</w:t>
        </w:r>
        <w:r>
          <w:rPr>
            <w:noProof/>
            <w:webHidden/>
          </w:rPr>
          <w:fldChar w:fldCharType="end"/>
        </w:r>
      </w:hyperlink>
    </w:p>
    <w:p w14:paraId="7A1C138A" w14:textId="57678507" w:rsidR="00E25C26" w:rsidRDefault="00E25C26" w:rsidP="00E25C26">
      <w:pPr>
        <w:pStyle w:val="TOC1"/>
        <w:rPr>
          <w:rFonts w:eastAsiaTheme="minorEastAsia"/>
          <w:noProof/>
          <w:color w:val="auto"/>
          <w:sz w:val="22"/>
          <w:u w:val="none"/>
          <w:lang w:eastAsia="en-AU"/>
        </w:rPr>
      </w:pPr>
      <w:hyperlink w:anchor="_Toc210051712" w:history="1">
        <w:r w:rsidRPr="008A2BE3">
          <w:rPr>
            <w:rStyle w:val="Hyperlink"/>
            <w:noProof/>
          </w:rPr>
          <w:t>4.</w:t>
        </w:r>
        <w:r>
          <w:rPr>
            <w:rFonts w:eastAsiaTheme="minorEastAsia"/>
            <w:noProof/>
            <w:color w:val="auto"/>
            <w:sz w:val="22"/>
            <w:u w:val="none"/>
            <w:lang w:eastAsia="en-AU"/>
          </w:rPr>
          <w:tab/>
        </w:r>
        <w:r w:rsidRPr="008A2BE3">
          <w:rPr>
            <w:rStyle w:val="Hyperlink"/>
            <w:noProof/>
          </w:rPr>
          <w:t>Modelling approach</w:t>
        </w:r>
        <w:r>
          <w:rPr>
            <w:noProof/>
            <w:webHidden/>
          </w:rPr>
          <w:tab/>
        </w:r>
        <w:r>
          <w:rPr>
            <w:noProof/>
            <w:webHidden/>
          </w:rPr>
          <w:fldChar w:fldCharType="begin"/>
        </w:r>
        <w:r>
          <w:rPr>
            <w:noProof/>
            <w:webHidden/>
          </w:rPr>
          <w:instrText xml:space="preserve"> PAGEREF _Toc210051712 \h </w:instrText>
        </w:r>
        <w:r>
          <w:rPr>
            <w:noProof/>
            <w:webHidden/>
          </w:rPr>
        </w:r>
        <w:r>
          <w:rPr>
            <w:noProof/>
            <w:webHidden/>
          </w:rPr>
          <w:fldChar w:fldCharType="separate"/>
        </w:r>
        <w:r>
          <w:rPr>
            <w:noProof/>
            <w:webHidden/>
          </w:rPr>
          <w:t>37</w:t>
        </w:r>
        <w:r>
          <w:rPr>
            <w:noProof/>
            <w:webHidden/>
          </w:rPr>
          <w:fldChar w:fldCharType="end"/>
        </w:r>
      </w:hyperlink>
    </w:p>
    <w:p w14:paraId="222681EE" w14:textId="495F89C8" w:rsidR="00E25C26" w:rsidRDefault="00E25C26" w:rsidP="00E25C26">
      <w:pPr>
        <w:pStyle w:val="TOC2"/>
        <w:tabs>
          <w:tab w:val="right" w:leader="underscore" w:pos="9854"/>
        </w:tabs>
        <w:spacing w:after="0"/>
        <w:rPr>
          <w:rFonts w:eastAsiaTheme="minorEastAsia"/>
          <w:noProof/>
          <w:color w:val="auto"/>
          <w:lang w:eastAsia="en-AU"/>
        </w:rPr>
      </w:pPr>
      <w:hyperlink w:anchor="_Toc210051713" w:history="1">
        <w:r w:rsidRPr="008A2BE3">
          <w:rPr>
            <w:rStyle w:val="Hyperlink"/>
            <w:noProof/>
          </w:rPr>
          <w:t>4.1</w:t>
        </w:r>
        <w:r>
          <w:rPr>
            <w:rFonts w:eastAsiaTheme="minorEastAsia"/>
            <w:noProof/>
            <w:color w:val="auto"/>
            <w:lang w:eastAsia="en-AU"/>
          </w:rPr>
          <w:tab/>
        </w:r>
        <w:r w:rsidRPr="008A2BE3">
          <w:rPr>
            <w:rStyle w:val="Hyperlink"/>
            <w:noProof/>
          </w:rPr>
          <w:t>General framework</w:t>
        </w:r>
        <w:r>
          <w:rPr>
            <w:noProof/>
            <w:webHidden/>
          </w:rPr>
          <w:tab/>
        </w:r>
        <w:r>
          <w:rPr>
            <w:noProof/>
            <w:webHidden/>
          </w:rPr>
          <w:fldChar w:fldCharType="begin"/>
        </w:r>
        <w:r>
          <w:rPr>
            <w:noProof/>
            <w:webHidden/>
          </w:rPr>
          <w:instrText xml:space="preserve"> PAGEREF _Toc210051713 \h </w:instrText>
        </w:r>
        <w:r>
          <w:rPr>
            <w:noProof/>
            <w:webHidden/>
          </w:rPr>
        </w:r>
        <w:r>
          <w:rPr>
            <w:noProof/>
            <w:webHidden/>
          </w:rPr>
          <w:fldChar w:fldCharType="separate"/>
        </w:r>
        <w:r>
          <w:rPr>
            <w:noProof/>
            <w:webHidden/>
          </w:rPr>
          <w:t>37</w:t>
        </w:r>
        <w:r>
          <w:rPr>
            <w:noProof/>
            <w:webHidden/>
          </w:rPr>
          <w:fldChar w:fldCharType="end"/>
        </w:r>
      </w:hyperlink>
    </w:p>
    <w:p w14:paraId="3A535769" w14:textId="2DDCAD83" w:rsidR="00E25C26" w:rsidRDefault="00E25C26" w:rsidP="00E25C26">
      <w:pPr>
        <w:pStyle w:val="TOC3"/>
        <w:tabs>
          <w:tab w:val="right" w:leader="underscore" w:pos="9854"/>
        </w:tabs>
        <w:spacing w:after="0"/>
        <w:rPr>
          <w:rFonts w:eastAsiaTheme="minorEastAsia"/>
          <w:noProof/>
          <w:color w:val="auto"/>
          <w:lang w:eastAsia="en-AU"/>
        </w:rPr>
      </w:pPr>
      <w:hyperlink w:anchor="_Toc210051714" w:history="1">
        <w:r w:rsidRPr="008A2BE3">
          <w:rPr>
            <w:rStyle w:val="Hyperlink"/>
            <w:noProof/>
          </w:rPr>
          <w:t>Scenario-based modelling</w:t>
        </w:r>
        <w:r>
          <w:rPr>
            <w:noProof/>
            <w:webHidden/>
          </w:rPr>
          <w:tab/>
        </w:r>
        <w:r>
          <w:rPr>
            <w:noProof/>
            <w:webHidden/>
          </w:rPr>
          <w:fldChar w:fldCharType="begin"/>
        </w:r>
        <w:r>
          <w:rPr>
            <w:noProof/>
            <w:webHidden/>
          </w:rPr>
          <w:instrText xml:space="preserve"> PAGEREF _Toc210051714 \h </w:instrText>
        </w:r>
        <w:r>
          <w:rPr>
            <w:noProof/>
            <w:webHidden/>
          </w:rPr>
        </w:r>
        <w:r>
          <w:rPr>
            <w:noProof/>
            <w:webHidden/>
          </w:rPr>
          <w:fldChar w:fldCharType="separate"/>
        </w:r>
        <w:r>
          <w:rPr>
            <w:noProof/>
            <w:webHidden/>
          </w:rPr>
          <w:t>37</w:t>
        </w:r>
        <w:r>
          <w:rPr>
            <w:noProof/>
            <w:webHidden/>
          </w:rPr>
          <w:fldChar w:fldCharType="end"/>
        </w:r>
      </w:hyperlink>
    </w:p>
    <w:p w14:paraId="2A4D29B8" w14:textId="46547239" w:rsidR="00E25C26" w:rsidRDefault="00E25C26" w:rsidP="00E25C26">
      <w:pPr>
        <w:pStyle w:val="TOC3"/>
        <w:tabs>
          <w:tab w:val="right" w:leader="underscore" w:pos="9854"/>
        </w:tabs>
        <w:spacing w:after="0"/>
        <w:rPr>
          <w:rFonts w:eastAsiaTheme="minorEastAsia"/>
          <w:noProof/>
          <w:color w:val="auto"/>
          <w:lang w:eastAsia="en-AU"/>
        </w:rPr>
      </w:pPr>
      <w:hyperlink w:anchor="_Toc210051715" w:history="1">
        <w:r w:rsidRPr="008A2BE3">
          <w:rPr>
            <w:rStyle w:val="Hyperlink"/>
            <w:noProof/>
          </w:rPr>
          <w:t>Timeframe</w:t>
        </w:r>
        <w:r>
          <w:rPr>
            <w:noProof/>
            <w:webHidden/>
          </w:rPr>
          <w:tab/>
        </w:r>
        <w:r>
          <w:rPr>
            <w:noProof/>
            <w:webHidden/>
          </w:rPr>
          <w:fldChar w:fldCharType="begin"/>
        </w:r>
        <w:r>
          <w:rPr>
            <w:noProof/>
            <w:webHidden/>
          </w:rPr>
          <w:instrText xml:space="preserve"> PAGEREF _Toc210051715 \h </w:instrText>
        </w:r>
        <w:r>
          <w:rPr>
            <w:noProof/>
            <w:webHidden/>
          </w:rPr>
        </w:r>
        <w:r>
          <w:rPr>
            <w:noProof/>
            <w:webHidden/>
          </w:rPr>
          <w:fldChar w:fldCharType="separate"/>
        </w:r>
        <w:r>
          <w:rPr>
            <w:noProof/>
            <w:webHidden/>
          </w:rPr>
          <w:t>38</w:t>
        </w:r>
        <w:r>
          <w:rPr>
            <w:noProof/>
            <w:webHidden/>
          </w:rPr>
          <w:fldChar w:fldCharType="end"/>
        </w:r>
      </w:hyperlink>
    </w:p>
    <w:p w14:paraId="6D4631C3" w14:textId="3D8CDEA7" w:rsidR="00E25C26" w:rsidRDefault="00E25C26" w:rsidP="00E25C26">
      <w:pPr>
        <w:pStyle w:val="TOC3"/>
        <w:tabs>
          <w:tab w:val="right" w:leader="underscore" w:pos="9854"/>
        </w:tabs>
        <w:spacing w:after="0"/>
        <w:rPr>
          <w:rFonts w:eastAsiaTheme="minorEastAsia"/>
          <w:noProof/>
          <w:color w:val="auto"/>
          <w:lang w:eastAsia="en-AU"/>
        </w:rPr>
      </w:pPr>
      <w:hyperlink w:anchor="_Toc210051716" w:history="1">
        <w:r w:rsidRPr="008A2BE3">
          <w:rPr>
            <w:rStyle w:val="Hyperlink"/>
            <w:noProof/>
          </w:rPr>
          <w:t>Discount rate</w:t>
        </w:r>
        <w:r>
          <w:rPr>
            <w:noProof/>
            <w:webHidden/>
          </w:rPr>
          <w:tab/>
        </w:r>
        <w:r>
          <w:rPr>
            <w:noProof/>
            <w:webHidden/>
          </w:rPr>
          <w:fldChar w:fldCharType="begin"/>
        </w:r>
        <w:r>
          <w:rPr>
            <w:noProof/>
            <w:webHidden/>
          </w:rPr>
          <w:instrText xml:space="preserve"> PAGEREF _Toc210051716 \h </w:instrText>
        </w:r>
        <w:r>
          <w:rPr>
            <w:noProof/>
            <w:webHidden/>
          </w:rPr>
        </w:r>
        <w:r>
          <w:rPr>
            <w:noProof/>
            <w:webHidden/>
          </w:rPr>
          <w:fldChar w:fldCharType="separate"/>
        </w:r>
        <w:r>
          <w:rPr>
            <w:noProof/>
            <w:webHidden/>
          </w:rPr>
          <w:t>38</w:t>
        </w:r>
        <w:r>
          <w:rPr>
            <w:noProof/>
            <w:webHidden/>
          </w:rPr>
          <w:fldChar w:fldCharType="end"/>
        </w:r>
      </w:hyperlink>
    </w:p>
    <w:p w14:paraId="38EFEF57" w14:textId="0B4A0A6C" w:rsidR="00E25C26" w:rsidRDefault="00E25C26" w:rsidP="00E25C26">
      <w:pPr>
        <w:pStyle w:val="TOC3"/>
        <w:tabs>
          <w:tab w:val="right" w:leader="underscore" w:pos="9854"/>
        </w:tabs>
        <w:spacing w:after="0"/>
        <w:rPr>
          <w:rFonts w:eastAsiaTheme="minorEastAsia"/>
          <w:noProof/>
          <w:color w:val="auto"/>
          <w:lang w:eastAsia="en-AU"/>
        </w:rPr>
      </w:pPr>
      <w:hyperlink w:anchor="_Toc210051717" w:history="1">
        <w:r w:rsidRPr="008A2BE3">
          <w:rPr>
            <w:rStyle w:val="Hyperlink"/>
            <w:noProof/>
          </w:rPr>
          <w:t>Compliance</w:t>
        </w:r>
        <w:r>
          <w:rPr>
            <w:noProof/>
            <w:webHidden/>
          </w:rPr>
          <w:tab/>
        </w:r>
        <w:r>
          <w:rPr>
            <w:noProof/>
            <w:webHidden/>
          </w:rPr>
          <w:fldChar w:fldCharType="begin"/>
        </w:r>
        <w:r>
          <w:rPr>
            <w:noProof/>
            <w:webHidden/>
          </w:rPr>
          <w:instrText xml:space="preserve"> PAGEREF _Toc210051717 \h </w:instrText>
        </w:r>
        <w:r>
          <w:rPr>
            <w:noProof/>
            <w:webHidden/>
          </w:rPr>
        </w:r>
        <w:r>
          <w:rPr>
            <w:noProof/>
            <w:webHidden/>
          </w:rPr>
          <w:fldChar w:fldCharType="separate"/>
        </w:r>
        <w:r>
          <w:rPr>
            <w:noProof/>
            <w:webHidden/>
          </w:rPr>
          <w:t>39</w:t>
        </w:r>
        <w:r>
          <w:rPr>
            <w:noProof/>
            <w:webHidden/>
          </w:rPr>
          <w:fldChar w:fldCharType="end"/>
        </w:r>
      </w:hyperlink>
    </w:p>
    <w:p w14:paraId="67BDACDA" w14:textId="3A03D3CF"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718" w:history="1">
        <w:r w:rsidRPr="008A2BE3">
          <w:rPr>
            <w:rStyle w:val="Hyperlink"/>
            <w:noProof/>
          </w:rPr>
          <w:t>4.1.1</w:t>
        </w:r>
        <w:r>
          <w:rPr>
            <w:rFonts w:eastAsiaTheme="minorEastAsia"/>
            <w:noProof/>
            <w:color w:val="auto"/>
            <w:lang w:eastAsia="en-AU"/>
          </w:rPr>
          <w:tab/>
        </w:r>
        <w:r w:rsidRPr="008A2BE3">
          <w:rPr>
            <w:rStyle w:val="Hyperlink"/>
            <w:noProof/>
          </w:rPr>
          <w:t>Stakeholder consultation</w:t>
        </w:r>
        <w:r>
          <w:rPr>
            <w:noProof/>
            <w:webHidden/>
          </w:rPr>
          <w:tab/>
        </w:r>
        <w:r>
          <w:rPr>
            <w:noProof/>
            <w:webHidden/>
          </w:rPr>
          <w:fldChar w:fldCharType="begin"/>
        </w:r>
        <w:r>
          <w:rPr>
            <w:noProof/>
            <w:webHidden/>
          </w:rPr>
          <w:instrText xml:space="preserve"> PAGEREF _Toc210051718 \h </w:instrText>
        </w:r>
        <w:r>
          <w:rPr>
            <w:noProof/>
            <w:webHidden/>
          </w:rPr>
        </w:r>
        <w:r>
          <w:rPr>
            <w:noProof/>
            <w:webHidden/>
          </w:rPr>
          <w:fldChar w:fldCharType="separate"/>
        </w:r>
        <w:r>
          <w:rPr>
            <w:noProof/>
            <w:webHidden/>
          </w:rPr>
          <w:t>39</w:t>
        </w:r>
        <w:r>
          <w:rPr>
            <w:noProof/>
            <w:webHidden/>
          </w:rPr>
          <w:fldChar w:fldCharType="end"/>
        </w:r>
      </w:hyperlink>
    </w:p>
    <w:p w14:paraId="729D15A3" w14:textId="47DA9695"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719" w:history="1">
        <w:r w:rsidRPr="008A2BE3">
          <w:rPr>
            <w:rStyle w:val="Hyperlink"/>
            <w:noProof/>
          </w:rPr>
          <w:t>4.1.2</w:t>
        </w:r>
        <w:r>
          <w:rPr>
            <w:rFonts w:eastAsiaTheme="minorEastAsia"/>
            <w:noProof/>
            <w:color w:val="auto"/>
            <w:lang w:eastAsia="en-AU"/>
          </w:rPr>
          <w:tab/>
        </w:r>
        <w:r w:rsidRPr="008A2BE3">
          <w:rPr>
            <w:rStyle w:val="Hyperlink"/>
            <w:noProof/>
          </w:rPr>
          <w:t>Interactions with state and territory legislation</w:t>
        </w:r>
        <w:r>
          <w:rPr>
            <w:noProof/>
            <w:webHidden/>
          </w:rPr>
          <w:tab/>
        </w:r>
        <w:r>
          <w:rPr>
            <w:noProof/>
            <w:webHidden/>
          </w:rPr>
          <w:fldChar w:fldCharType="begin"/>
        </w:r>
        <w:r>
          <w:rPr>
            <w:noProof/>
            <w:webHidden/>
          </w:rPr>
          <w:instrText xml:space="preserve"> PAGEREF _Toc210051719 \h </w:instrText>
        </w:r>
        <w:r>
          <w:rPr>
            <w:noProof/>
            <w:webHidden/>
          </w:rPr>
        </w:r>
        <w:r>
          <w:rPr>
            <w:noProof/>
            <w:webHidden/>
          </w:rPr>
          <w:fldChar w:fldCharType="separate"/>
        </w:r>
        <w:r>
          <w:rPr>
            <w:noProof/>
            <w:webHidden/>
          </w:rPr>
          <w:t>39</w:t>
        </w:r>
        <w:r>
          <w:rPr>
            <w:noProof/>
            <w:webHidden/>
          </w:rPr>
          <w:fldChar w:fldCharType="end"/>
        </w:r>
      </w:hyperlink>
    </w:p>
    <w:p w14:paraId="0F540461" w14:textId="66E2454C" w:rsidR="00E25C26" w:rsidRDefault="00E25C26" w:rsidP="00E25C26">
      <w:pPr>
        <w:pStyle w:val="TOC2"/>
        <w:tabs>
          <w:tab w:val="right" w:leader="underscore" w:pos="9854"/>
        </w:tabs>
        <w:spacing w:after="0"/>
        <w:rPr>
          <w:rFonts w:eastAsiaTheme="minorEastAsia"/>
          <w:noProof/>
          <w:color w:val="auto"/>
          <w:lang w:eastAsia="en-AU"/>
        </w:rPr>
      </w:pPr>
      <w:hyperlink w:anchor="_Toc210051720" w:history="1">
        <w:r w:rsidRPr="008A2BE3">
          <w:rPr>
            <w:rStyle w:val="Hyperlink"/>
            <w:noProof/>
          </w:rPr>
          <w:t>4.2</w:t>
        </w:r>
        <w:r>
          <w:rPr>
            <w:rFonts w:eastAsiaTheme="minorEastAsia"/>
            <w:noProof/>
            <w:color w:val="auto"/>
            <w:lang w:eastAsia="en-AU"/>
          </w:rPr>
          <w:tab/>
        </w:r>
        <w:r w:rsidRPr="008A2BE3">
          <w:rPr>
            <w:rStyle w:val="Hyperlink"/>
            <w:noProof/>
          </w:rPr>
          <w:t>Establishing a baseline</w:t>
        </w:r>
        <w:r>
          <w:rPr>
            <w:noProof/>
            <w:webHidden/>
          </w:rPr>
          <w:tab/>
        </w:r>
        <w:r>
          <w:rPr>
            <w:noProof/>
            <w:webHidden/>
          </w:rPr>
          <w:fldChar w:fldCharType="begin"/>
        </w:r>
        <w:r>
          <w:rPr>
            <w:noProof/>
            <w:webHidden/>
          </w:rPr>
          <w:instrText xml:space="preserve"> PAGEREF _Toc210051720 \h </w:instrText>
        </w:r>
        <w:r>
          <w:rPr>
            <w:noProof/>
            <w:webHidden/>
          </w:rPr>
        </w:r>
        <w:r>
          <w:rPr>
            <w:noProof/>
            <w:webHidden/>
          </w:rPr>
          <w:fldChar w:fldCharType="separate"/>
        </w:r>
        <w:r>
          <w:rPr>
            <w:noProof/>
            <w:webHidden/>
          </w:rPr>
          <w:t>40</w:t>
        </w:r>
        <w:r>
          <w:rPr>
            <w:noProof/>
            <w:webHidden/>
          </w:rPr>
          <w:fldChar w:fldCharType="end"/>
        </w:r>
      </w:hyperlink>
    </w:p>
    <w:p w14:paraId="2538C1F3" w14:textId="5C79591A"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721" w:history="1">
        <w:r w:rsidRPr="008A2BE3">
          <w:rPr>
            <w:rStyle w:val="Hyperlink"/>
            <w:noProof/>
          </w:rPr>
          <w:t>4.2.1</w:t>
        </w:r>
        <w:r>
          <w:rPr>
            <w:rFonts w:eastAsiaTheme="minorEastAsia"/>
            <w:noProof/>
            <w:color w:val="auto"/>
            <w:lang w:eastAsia="en-AU"/>
          </w:rPr>
          <w:tab/>
        </w:r>
        <w:r w:rsidRPr="008A2BE3">
          <w:rPr>
            <w:rStyle w:val="Hyperlink"/>
            <w:noProof/>
          </w:rPr>
          <w:t>Fatal and Serious Injuries (FSI)</w:t>
        </w:r>
        <w:r>
          <w:rPr>
            <w:noProof/>
            <w:webHidden/>
          </w:rPr>
          <w:tab/>
        </w:r>
        <w:r>
          <w:rPr>
            <w:noProof/>
            <w:webHidden/>
          </w:rPr>
          <w:fldChar w:fldCharType="begin"/>
        </w:r>
        <w:r>
          <w:rPr>
            <w:noProof/>
            <w:webHidden/>
          </w:rPr>
          <w:instrText xml:space="preserve"> PAGEREF _Toc210051721 \h </w:instrText>
        </w:r>
        <w:r>
          <w:rPr>
            <w:noProof/>
            <w:webHidden/>
          </w:rPr>
        </w:r>
        <w:r>
          <w:rPr>
            <w:noProof/>
            <w:webHidden/>
          </w:rPr>
          <w:fldChar w:fldCharType="separate"/>
        </w:r>
        <w:r>
          <w:rPr>
            <w:noProof/>
            <w:webHidden/>
          </w:rPr>
          <w:t>40</w:t>
        </w:r>
        <w:r>
          <w:rPr>
            <w:noProof/>
            <w:webHidden/>
          </w:rPr>
          <w:fldChar w:fldCharType="end"/>
        </w:r>
      </w:hyperlink>
    </w:p>
    <w:p w14:paraId="0D755069" w14:textId="07C7AC12"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722" w:history="1">
        <w:r w:rsidRPr="008A2BE3">
          <w:rPr>
            <w:rStyle w:val="Hyperlink"/>
            <w:noProof/>
          </w:rPr>
          <w:t>4.2.2</w:t>
        </w:r>
        <w:r>
          <w:rPr>
            <w:rFonts w:eastAsiaTheme="minorEastAsia"/>
            <w:noProof/>
            <w:color w:val="auto"/>
            <w:lang w:eastAsia="en-AU"/>
          </w:rPr>
          <w:tab/>
        </w:r>
        <w:r w:rsidRPr="008A2BE3">
          <w:rPr>
            <w:rStyle w:val="Hyperlink"/>
            <w:noProof/>
          </w:rPr>
          <w:t>Vehicle Kilometres Travelled (VKT)</w:t>
        </w:r>
        <w:r>
          <w:rPr>
            <w:noProof/>
            <w:webHidden/>
          </w:rPr>
          <w:tab/>
        </w:r>
        <w:r>
          <w:rPr>
            <w:noProof/>
            <w:webHidden/>
          </w:rPr>
          <w:fldChar w:fldCharType="begin"/>
        </w:r>
        <w:r>
          <w:rPr>
            <w:noProof/>
            <w:webHidden/>
          </w:rPr>
          <w:instrText xml:space="preserve"> PAGEREF _Toc210051722 \h </w:instrText>
        </w:r>
        <w:r>
          <w:rPr>
            <w:noProof/>
            <w:webHidden/>
          </w:rPr>
        </w:r>
        <w:r>
          <w:rPr>
            <w:noProof/>
            <w:webHidden/>
          </w:rPr>
          <w:fldChar w:fldCharType="separate"/>
        </w:r>
        <w:r>
          <w:rPr>
            <w:noProof/>
            <w:webHidden/>
          </w:rPr>
          <w:t>41</w:t>
        </w:r>
        <w:r>
          <w:rPr>
            <w:noProof/>
            <w:webHidden/>
          </w:rPr>
          <w:fldChar w:fldCharType="end"/>
        </w:r>
      </w:hyperlink>
    </w:p>
    <w:p w14:paraId="689A8A68" w14:textId="1434F1FD"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723" w:history="1">
        <w:r w:rsidRPr="008A2BE3">
          <w:rPr>
            <w:rStyle w:val="Hyperlink"/>
            <w:noProof/>
          </w:rPr>
          <w:t>4.2.3</w:t>
        </w:r>
        <w:r>
          <w:rPr>
            <w:rFonts w:eastAsiaTheme="minorEastAsia"/>
            <w:noProof/>
            <w:color w:val="auto"/>
            <w:lang w:eastAsia="en-AU"/>
          </w:rPr>
          <w:tab/>
        </w:r>
        <w:r w:rsidRPr="008A2BE3">
          <w:rPr>
            <w:rStyle w:val="Hyperlink"/>
            <w:noProof/>
          </w:rPr>
          <w:t>Vehicle fuel efficiency</w:t>
        </w:r>
        <w:r>
          <w:rPr>
            <w:noProof/>
            <w:webHidden/>
          </w:rPr>
          <w:tab/>
        </w:r>
        <w:r>
          <w:rPr>
            <w:noProof/>
            <w:webHidden/>
          </w:rPr>
          <w:fldChar w:fldCharType="begin"/>
        </w:r>
        <w:r>
          <w:rPr>
            <w:noProof/>
            <w:webHidden/>
          </w:rPr>
          <w:instrText xml:space="preserve"> PAGEREF _Toc210051723 \h </w:instrText>
        </w:r>
        <w:r>
          <w:rPr>
            <w:noProof/>
            <w:webHidden/>
          </w:rPr>
        </w:r>
        <w:r>
          <w:rPr>
            <w:noProof/>
            <w:webHidden/>
          </w:rPr>
          <w:fldChar w:fldCharType="separate"/>
        </w:r>
        <w:r>
          <w:rPr>
            <w:noProof/>
            <w:webHidden/>
          </w:rPr>
          <w:t>45</w:t>
        </w:r>
        <w:r>
          <w:rPr>
            <w:noProof/>
            <w:webHidden/>
          </w:rPr>
          <w:fldChar w:fldCharType="end"/>
        </w:r>
      </w:hyperlink>
    </w:p>
    <w:p w14:paraId="0BBCB5D0" w14:textId="42CF23B0"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724" w:history="1">
        <w:r w:rsidRPr="008A2BE3">
          <w:rPr>
            <w:rStyle w:val="Hyperlink"/>
            <w:noProof/>
          </w:rPr>
          <w:t>4.2.4</w:t>
        </w:r>
        <w:r>
          <w:rPr>
            <w:rFonts w:eastAsiaTheme="minorEastAsia"/>
            <w:noProof/>
            <w:color w:val="auto"/>
            <w:lang w:eastAsia="en-AU"/>
          </w:rPr>
          <w:tab/>
        </w:r>
        <w:r w:rsidRPr="008A2BE3">
          <w:rPr>
            <w:rStyle w:val="Hyperlink"/>
            <w:noProof/>
          </w:rPr>
          <w:t>Fuel costs</w:t>
        </w:r>
        <w:r>
          <w:rPr>
            <w:noProof/>
            <w:webHidden/>
          </w:rPr>
          <w:tab/>
        </w:r>
        <w:r>
          <w:rPr>
            <w:noProof/>
            <w:webHidden/>
          </w:rPr>
          <w:fldChar w:fldCharType="begin"/>
        </w:r>
        <w:r>
          <w:rPr>
            <w:noProof/>
            <w:webHidden/>
          </w:rPr>
          <w:instrText xml:space="preserve"> PAGEREF _Toc210051724 \h </w:instrText>
        </w:r>
        <w:r>
          <w:rPr>
            <w:noProof/>
            <w:webHidden/>
          </w:rPr>
        </w:r>
        <w:r>
          <w:rPr>
            <w:noProof/>
            <w:webHidden/>
          </w:rPr>
          <w:fldChar w:fldCharType="separate"/>
        </w:r>
        <w:r>
          <w:rPr>
            <w:noProof/>
            <w:webHidden/>
          </w:rPr>
          <w:t>48</w:t>
        </w:r>
        <w:r>
          <w:rPr>
            <w:noProof/>
            <w:webHidden/>
          </w:rPr>
          <w:fldChar w:fldCharType="end"/>
        </w:r>
      </w:hyperlink>
    </w:p>
    <w:p w14:paraId="6197B3F8" w14:textId="499ED0DC" w:rsidR="00E25C26" w:rsidRDefault="00E25C26" w:rsidP="00E25C26">
      <w:pPr>
        <w:pStyle w:val="TOC2"/>
        <w:tabs>
          <w:tab w:val="right" w:leader="underscore" w:pos="9854"/>
        </w:tabs>
        <w:spacing w:after="0"/>
        <w:rPr>
          <w:rFonts w:eastAsiaTheme="minorEastAsia"/>
          <w:noProof/>
          <w:color w:val="auto"/>
          <w:lang w:eastAsia="en-AU"/>
        </w:rPr>
      </w:pPr>
      <w:hyperlink w:anchor="_Toc210051725" w:history="1">
        <w:r w:rsidRPr="008A2BE3">
          <w:rPr>
            <w:rStyle w:val="Hyperlink"/>
            <w:noProof/>
          </w:rPr>
          <w:t>4.3</w:t>
        </w:r>
        <w:r>
          <w:rPr>
            <w:rFonts w:eastAsiaTheme="minorEastAsia"/>
            <w:noProof/>
            <w:color w:val="auto"/>
            <w:lang w:eastAsia="en-AU"/>
          </w:rPr>
          <w:tab/>
        </w:r>
        <w:r w:rsidRPr="008A2BE3">
          <w:rPr>
            <w:rStyle w:val="Hyperlink"/>
            <w:noProof/>
          </w:rPr>
          <w:t>Determining the impact of change</w:t>
        </w:r>
        <w:r>
          <w:rPr>
            <w:noProof/>
            <w:webHidden/>
          </w:rPr>
          <w:tab/>
        </w:r>
        <w:r>
          <w:rPr>
            <w:noProof/>
            <w:webHidden/>
          </w:rPr>
          <w:fldChar w:fldCharType="begin"/>
        </w:r>
        <w:r>
          <w:rPr>
            <w:noProof/>
            <w:webHidden/>
          </w:rPr>
          <w:instrText xml:space="preserve"> PAGEREF _Toc210051725 \h </w:instrText>
        </w:r>
        <w:r>
          <w:rPr>
            <w:noProof/>
            <w:webHidden/>
          </w:rPr>
        </w:r>
        <w:r>
          <w:rPr>
            <w:noProof/>
            <w:webHidden/>
          </w:rPr>
          <w:fldChar w:fldCharType="separate"/>
        </w:r>
        <w:r>
          <w:rPr>
            <w:noProof/>
            <w:webHidden/>
          </w:rPr>
          <w:t>48</w:t>
        </w:r>
        <w:r>
          <w:rPr>
            <w:noProof/>
            <w:webHidden/>
          </w:rPr>
          <w:fldChar w:fldCharType="end"/>
        </w:r>
      </w:hyperlink>
    </w:p>
    <w:p w14:paraId="13E00EE8" w14:textId="0771EC5B"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726" w:history="1">
        <w:r w:rsidRPr="008A2BE3">
          <w:rPr>
            <w:rStyle w:val="Hyperlink"/>
            <w:noProof/>
          </w:rPr>
          <w:t>4.3.1</w:t>
        </w:r>
        <w:r>
          <w:rPr>
            <w:rFonts w:eastAsiaTheme="minorEastAsia"/>
            <w:noProof/>
            <w:color w:val="auto"/>
            <w:lang w:eastAsia="en-AU"/>
          </w:rPr>
          <w:tab/>
        </w:r>
        <w:r w:rsidRPr="008A2BE3">
          <w:rPr>
            <w:rStyle w:val="Hyperlink"/>
            <w:noProof/>
          </w:rPr>
          <w:t>Impacts of change</w:t>
        </w:r>
        <w:r>
          <w:rPr>
            <w:noProof/>
            <w:webHidden/>
          </w:rPr>
          <w:tab/>
        </w:r>
        <w:r>
          <w:rPr>
            <w:noProof/>
            <w:webHidden/>
          </w:rPr>
          <w:fldChar w:fldCharType="begin"/>
        </w:r>
        <w:r>
          <w:rPr>
            <w:noProof/>
            <w:webHidden/>
          </w:rPr>
          <w:instrText xml:space="preserve"> PAGEREF _Toc210051726 \h </w:instrText>
        </w:r>
        <w:r>
          <w:rPr>
            <w:noProof/>
            <w:webHidden/>
          </w:rPr>
        </w:r>
        <w:r>
          <w:rPr>
            <w:noProof/>
            <w:webHidden/>
          </w:rPr>
          <w:fldChar w:fldCharType="separate"/>
        </w:r>
        <w:r>
          <w:rPr>
            <w:noProof/>
            <w:webHidden/>
          </w:rPr>
          <w:t>48</w:t>
        </w:r>
        <w:r>
          <w:rPr>
            <w:noProof/>
            <w:webHidden/>
          </w:rPr>
          <w:fldChar w:fldCharType="end"/>
        </w:r>
      </w:hyperlink>
    </w:p>
    <w:p w14:paraId="15A89DA5" w14:textId="669D46FD"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727" w:history="1">
        <w:r w:rsidRPr="008A2BE3">
          <w:rPr>
            <w:rStyle w:val="Hyperlink"/>
            <w:noProof/>
          </w:rPr>
          <w:t>4.3.2</w:t>
        </w:r>
        <w:r>
          <w:rPr>
            <w:rFonts w:eastAsiaTheme="minorEastAsia"/>
            <w:noProof/>
            <w:color w:val="auto"/>
            <w:lang w:eastAsia="en-AU"/>
          </w:rPr>
          <w:tab/>
        </w:r>
        <w:r w:rsidRPr="008A2BE3">
          <w:rPr>
            <w:rStyle w:val="Hyperlink"/>
            <w:noProof/>
          </w:rPr>
          <w:t>Road safety benefits</w:t>
        </w:r>
        <w:r>
          <w:rPr>
            <w:noProof/>
            <w:webHidden/>
          </w:rPr>
          <w:tab/>
        </w:r>
        <w:r>
          <w:rPr>
            <w:noProof/>
            <w:webHidden/>
          </w:rPr>
          <w:fldChar w:fldCharType="begin"/>
        </w:r>
        <w:r>
          <w:rPr>
            <w:noProof/>
            <w:webHidden/>
          </w:rPr>
          <w:instrText xml:space="preserve"> PAGEREF _Toc210051727 \h </w:instrText>
        </w:r>
        <w:r>
          <w:rPr>
            <w:noProof/>
            <w:webHidden/>
          </w:rPr>
        </w:r>
        <w:r>
          <w:rPr>
            <w:noProof/>
            <w:webHidden/>
          </w:rPr>
          <w:fldChar w:fldCharType="separate"/>
        </w:r>
        <w:r>
          <w:rPr>
            <w:noProof/>
            <w:webHidden/>
          </w:rPr>
          <w:t>49</w:t>
        </w:r>
        <w:r>
          <w:rPr>
            <w:noProof/>
            <w:webHidden/>
          </w:rPr>
          <w:fldChar w:fldCharType="end"/>
        </w:r>
      </w:hyperlink>
    </w:p>
    <w:p w14:paraId="00B481BC" w14:textId="6FC18CE2"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728" w:history="1">
        <w:r w:rsidRPr="008A2BE3">
          <w:rPr>
            <w:rStyle w:val="Hyperlink"/>
            <w:noProof/>
          </w:rPr>
          <w:t>4.3.3</w:t>
        </w:r>
        <w:r>
          <w:rPr>
            <w:rFonts w:eastAsiaTheme="minorEastAsia"/>
            <w:noProof/>
            <w:color w:val="auto"/>
            <w:lang w:eastAsia="en-AU"/>
          </w:rPr>
          <w:tab/>
        </w:r>
        <w:r w:rsidRPr="008A2BE3">
          <w:rPr>
            <w:rStyle w:val="Hyperlink"/>
            <w:noProof/>
          </w:rPr>
          <w:t>Fuel consumption reduction benefits</w:t>
        </w:r>
        <w:r>
          <w:rPr>
            <w:noProof/>
            <w:webHidden/>
          </w:rPr>
          <w:tab/>
        </w:r>
        <w:r>
          <w:rPr>
            <w:noProof/>
            <w:webHidden/>
          </w:rPr>
          <w:fldChar w:fldCharType="begin"/>
        </w:r>
        <w:r>
          <w:rPr>
            <w:noProof/>
            <w:webHidden/>
          </w:rPr>
          <w:instrText xml:space="preserve"> PAGEREF _Toc210051728 \h </w:instrText>
        </w:r>
        <w:r>
          <w:rPr>
            <w:noProof/>
            <w:webHidden/>
          </w:rPr>
        </w:r>
        <w:r>
          <w:rPr>
            <w:noProof/>
            <w:webHidden/>
          </w:rPr>
          <w:fldChar w:fldCharType="separate"/>
        </w:r>
        <w:r>
          <w:rPr>
            <w:noProof/>
            <w:webHidden/>
          </w:rPr>
          <w:t>55</w:t>
        </w:r>
        <w:r>
          <w:rPr>
            <w:noProof/>
            <w:webHidden/>
          </w:rPr>
          <w:fldChar w:fldCharType="end"/>
        </w:r>
      </w:hyperlink>
    </w:p>
    <w:p w14:paraId="27E1C504" w14:textId="042A3955"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729" w:history="1">
        <w:r w:rsidRPr="008A2BE3">
          <w:rPr>
            <w:rStyle w:val="Hyperlink"/>
            <w:noProof/>
          </w:rPr>
          <w:t>4.3.4</w:t>
        </w:r>
        <w:r>
          <w:rPr>
            <w:rFonts w:eastAsiaTheme="minorEastAsia"/>
            <w:noProof/>
            <w:color w:val="auto"/>
            <w:lang w:eastAsia="en-AU"/>
          </w:rPr>
          <w:tab/>
        </w:r>
        <w:r w:rsidRPr="008A2BE3">
          <w:rPr>
            <w:rStyle w:val="Hyperlink"/>
            <w:noProof/>
          </w:rPr>
          <w:t>Fuel efficiency and emissions benefits</w:t>
        </w:r>
        <w:r>
          <w:rPr>
            <w:noProof/>
            <w:webHidden/>
          </w:rPr>
          <w:tab/>
        </w:r>
        <w:r>
          <w:rPr>
            <w:noProof/>
            <w:webHidden/>
          </w:rPr>
          <w:fldChar w:fldCharType="begin"/>
        </w:r>
        <w:r>
          <w:rPr>
            <w:noProof/>
            <w:webHidden/>
          </w:rPr>
          <w:instrText xml:space="preserve"> PAGEREF _Toc210051729 \h </w:instrText>
        </w:r>
        <w:r>
          <w:rPr>
            <w:noProof/>
            <w:webHidden/>
          </w:rPr>
        </w:r>
        <w:r>
          <w:rPr>
            <w:noProof/>
            <w:webHidden/>
          </w:rPr>
          <w:fldChar w:fldCharType="separate"/>
        </w:r>
        <w:r>
          <w:rPr>
            <w:noProof/>
            <w:webHidden/>
          </w:rPr>
          <w:t>57</w:t>
        </w:r>
        <w:r>
          <w:rPr>
            <w:noProof/>
            <w:webHidden/>
          </w:rPr>
          <w:fldChar w:fldCharType="end"/>
        </w:r>
      </w:hyperlink>
    </w:p>
    <w:p w14:paraId="1B4FFB61" w14:textId="32D4DE7D"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730" w:history="1">
        <w:r w:rsidRPr="008A2BE3">
          <w:rPr>
            <w:rStyle w:val="Hyperlink"/>
            <w:noProof/>
          </w:rPr>
          <w:t>4.3.5</w:t>
        </w:r>
        <w:r>
          <w:rPr>
            <w:rFonts w:eastAsiaTheme="minorEastAsia"/>
            <w:noProof/>
            <w:color w:val="auto"/>
            <w:lang w:eastAsia="en-AU"/>
          </w:rPr>
          <w:tab/>
        </w:r>
        <w:r w:rsidRPr="008A2BE3">
          <w:rPr>
            <w:rStyle w:val="Hyperlink"/>
            <w:noProof/>
          </w:rPr>
          <w:t>Cost of carbon benefit</w:t>
        </w:r>
        <w:r>
          <w:rPr>
            <w:noProof/>
            <w:webHidden/>
          </w:rPr>
          <w:tab/>
        </w:r>
        <w:r>
          <w:rPr>
            <w:noProof/>
            <w:webHidden/>
          </w:rPr>
          <w:fldChar w:fldCharType="begin"/>
        </w:r>
        <w:r>
          <w:rPr>
            <w:noProof/>
            <w:webHidden/>
          </w:rPr>
          <w:instrText xml:space="preserve"> PAGEREF _Toc210051730 \h </w:instrText>
        </w:r>
        <w:r>
          <w:rPr>
            <w:noProof/>
            <w:webHidden/>
          </w:rPr>
        </w:r>
        <w:r>
          <w:rPr>
            <w:noProof/>
            <w:webHidden/>
          </w:rPr>
          <w:fldChar w:fldCharType="separate"/>
        </w:r>
        <w:r>
          <w:rPr>
            <w:noProof/>
            <w:webHidden/>
          </w:rPr>
          <w:t>57</w:t>
        </w:r>
        <w:r>
          <w:rPr>
            <w:noProof/>
            <w:webHidden/>
          </w:rPr>
          <w:fldChar w:fldCharType="end"/>
        </w:r>
      </w:hyperlink>
    </w:p>
    <w:p w14:paraId="666B7DCF" w14:textId="588D99BB"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731" w:history="1">
        <w:r w:rsidRPr="008A2BE3">
          <w:rPr>
            <w:rStyle w:val="Hyperlink"/>
            <w:noProof/>
          </w:rPr>
          <w:t>4.3.6</w:t>
        </w:r>
        <w:r>
          <w:rPr>
            <w:rFonts w:eastAsiaTheme="minorEastAsia"/>
            <w:noProof/>
            <w:color w:val="auto"/>
            <w:lang w:eastAsia="en-AU"/>
          </w:rPr>
          <w:tab/>
        </w:r>
        <w:r w:rsidRPr="008A2BE3">
          <w:rPr>
            <w:rStyle w:val="Hyperlink"/>
            <w:noProof/>
          </w:rPr>
          <w:t>Fuel cost savings benefit</w:t>
        </w:r>
        <w:r>
          <w:rPr>
            <w:noProof/>
            <w:webHidden/>
          </w:rPr>
          <w:tab/>
        </w:r>
        <w:r>
          <w:rPr>
            <w:noProof/>
            <w:webHidden/>
          </w:rPr>
          <w:fldChar w:fldCharType="begin"/>
        </w:r>
        <w:r>
          <w:rPr>
            <w:noProof/>
            <w:webHidden/>
          </w:rPr>
          <w:instrText xml:space="preserve"> PAGEREF _Toc210051731 \h </w:instrText>
        </w:r>
        <w:r>
          <w:rPr>
            <w:noProof/>
            <w:webHidden/>
          </w:rPr>
        </w:r>
        <w:r>
          <w:rPr>
            <w:noProof/>
            <w:webHidden/>
          </w:rPr>
          <w:fldChar w:fldCharType="separate"/>
        </w:r>
        <w:r>
          <w:rPr>
            <w:noProof/>
            <w:webHidden/>
          </w:rPr>
          <w:t>59</w:t>
        </w:r>
        <w:r>
          <w:rPr>
            <w:noProof/>
            <w:webHidden/>
          </w:rPr>
          <w:fldChar w:fldCharType="end"/>
        </w:r>
      </w:hyperlink>
    </w:p>
    <w:p w14:paraId="44C64DEC" w14:textId="45140103"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732" w:history="1">
        <w:r w:rsidRPr="008A2BE3">
          <w:rPr>
            <w:rStyle w:val="Hyperlink"/>
            <w:noProof/>
          </w:rPr>
          <w:t>4.3.7</w:t>
        </w:r>
        <w:r>
          <w:rPr>
            <w:rFonts w:eastAsiaTheme="minorEastAsia"/>
            <w:noProof/>
            <w:color w:val="auto"/>
            <w:lang w:eastAsia="en-AU"/>
          </w:rPr>
          <w:tab/>
        </w:r>
        <w:r w:rsidRPr="008A2BE3">
          <w:rPr>
            <w:rStyle w:val="Hyperlink"/>
            <w:noProof/>
          </w:rPr>
          <w:t>Health benefits</w:t>
        </w:r>
        <w:r>
          <w:rPr>
            <w:noProof/>
            <w:webHidden/>
          </w:rPr>
          <w:tab/>
        </w:r>
        <w:r>
          <w:rPr>
            <w:noProof/>
            <w:webHidden/>
          </w:rPr>
          <w:fldChar w:fldCharType="begin"/>
        </w:r>
        <w:r>
          <w:rPr>
            <w:noProof/>
            <w:webHidden/>
          </w:rPr>
          <w:instrText xml:space="preserve"> PAGEREF _Toc210051732 \h </w:instrText>
        </w:r>
        <w:r>
          <w:rPr>
            <w:noProof/>
            <w:webHidden/>
          </w:rPr>
        </w:r>
        <w:r>
          <w:rPr>
            <w:noProof/>
            <w:webHidden/>
          </w:rPr>
          <w:fldChar w:fldCharType="separate"/>
        </w:r>
        <w:r>
          <w:rPr>
            <w:noProof/>
            <w:webHidden/>
          </w:rPr>
          <w:t>60</w:t>
        </w:r>
        <w:r>
          <w:rPr>
            <w:noProof/>
            <w:webHidden/>
          </w:rPr>
          <w:fldChar w:fldCharType="end"/>
        </w:r>
      </w:hyperlink>
    </w:p>
    <w:p w14:paraId="06A81F1E" w14:textId="28462691"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733" w:history="1">
        <w:r w:rsidRPr="008A2BE3">
          <w:rPr>
            <w:rStyle w:val="Hyperlink"/>
            <w:noProof/>
          </w:rPr>
          <w:t>4.3.8</w:t>
        </w:r>
        <w:r>
          <w:rPr>
            <w:rFonts w:eastAsiaTheme="minorEastAsia"/>
            <w:noProof/>
            <w:color w:val="auto"/>
            <w:lang w:eastAsia="en-AU"/>
          </w:rPr>
          <w:tab/>
        </w:r>
        <w:r w:rsidRPr="008A2BE3">
          <w:rPr>
            <w:rStyle w:val="Hyperlink"/>
            <w:noProof/>
          </w:rPr>
          <w:t>Other intangible benefits</w:t>
        </w:r>
        <w:r>
          <w:rPr>
            <w:noProof/>
            <w:webHidden/>
          </w:rPr>
          <w:tab/>
        </w:r>
        <w:r>
          <w:rPr>
            <w:noProof/>
            <w:webHidden/>
          </w:rPr>
          <w:fldChar w:fldCharType="begin"/>
        </w:r>
        <w:r>
          <w:rPr>
            <w:noProof/>
            <w:webHidden/>
          </w:rPr>
          <w:instrText xml:space="preserve"> PAGEREF _Toc210051733 \h </w:instrText>
        </w:r>
        <w:r>
          <w:rPr>
            <w:noProof/>
            <w:webHidden/>
          </w:rPr>
        </w:r>
        <w:r>
          <w:rPr>
            <w:noProof/>
            <w:webHidden/>
          </w:rPr>
          <w:fldChar w:fldCharType="separate"/>
        </w:r>
        <w:r>
          <w:rPr>
            <w:noProof/>
            <w:webHidden/>
          </w:rPr>
          <w:t>60</w:t>
        </w:r>
        <w:r>
          <w:rPr>
            <w:noProof/>
            <w:webHidden/>
          </w:rPr>
          <w:fldChar w:fldCharType="end"/>
        </w:r>
      </w:hyperlink>
    </w:p>
    <w:p w14:paraId="7ABE8734" w14:textId="58EA54BB"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734" w:history="1">
        <w:r w:rsidRPr="008A2BE3">
          <w:rPr>
            <w:rStyle w:val="Hyperlink"/>
            <w:noProof/>
          </w:rPr>
          <w:t>4.3.9</w:t>
        </w:r>
        <w:r>
          <w:rPr>
            <w:rFonts w:eastAsiaTheme="minorEastAsia"/>
            <w:noProof/>
            <w:color w:val="auto"/>
            <w:lang w:eastAsia="en-AU"/>
          </w:rPr>
          <w:tab/>
        </w:r>
        <w:r w:rsidRPr="008A2BE3">
          <w:rPr>
            <w:rStyle w:val="Hyperlink"/>
            <w:noProof/>
          </w:rPr>
          <w:t>Travel time costs</w:t>
        </w:r>
        <w:r>
          <w:rPr>
            <w:noProof/>
            <w:webHidden/>
          </w:rPr>
          <w:tab/>
        </w:r>
        <w:r>
          <w:rPr>
            <w:noProof/>
            <w:webHidden/>
          </w:rPr>
          <w:fldChar w:fldCharType="begin"/>
        </w:r>
        <w:r>
          <w:rPr>
            <w:noProof/>
            <w:webHidden/>
          </w:rPr>
          <w:instrText xml:space="preserve"> PAGEREF _Toc210051734 \h </w:instrText>
        </w:r>
        <w:r>
          <w:rPr>
            <w:noProof/>
            <w:webHidden/>
          </w:rPr>
        </w:r>
        <w:r>
          <w:rPr>
            <w:noProof/>
            <w:webHidden/>
          </w:rPr>
          <w:fldChar w:fldCharType="separate"/>
        </w:r>
        <w:r>
          <w:rPr>
            <w:noProof/>
            <w:webHidden/>
          </w:rPr>
          <w:t>62</w:t>
        </w:r>
        <w:r>
          <w:rPr>
            <w:noProof/>
            <w:webHidden/>
          </w:rPr>
          <w:fldChar w:fldCharType="end"/>
        </w:r>
      </w:hyperlink>
    </w:p>
    <w:p w14:paraId="7A55D6C4" w14:textId="08EC1446"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735" w:history="1">
        <w:r w:rsidRPr="008A2BE3">
          <w:rPr>
            <w:rStyle w:val="Hyperlink"/>
            <w:noProof/>
          </w:rPr>
          <w:t>4.3.10</w:t>
        </w:r>
        <w:r>
          <w:rPr>
            <w:rFonts w:eastAsiaTheme="minorEastAsia"/>
            <w:noProof/>
            <w:color w:val="auto"/>
            <w:lang w:eastAsia="en-AU"/>
          </w:rPr>
          <w:tab/>
        </w:r>
        <w:r w:rsidRPr="008A2BE3">
          <w:rPr>
            <w:rStyle w:val="Hyperlink"/>
            <w:noProof/>
          </w:rPr>
          <w:t>Government costs</w:t>
        </w:r>
        <w:r>
          <w:rPr>
            <w:noProof/>
            <w:webHidden/>
          </w:rPr>
          <w:tab/>
        </w:r>
        <w:r>
          <w:rPr>
            <w:noProof/>
            <w:webHidden/>
          </w:rPr>
          <w:fldChar w:fldCharType="begin"/>
        </w:r>
        <w:r>
          <w:rPr>
            <w:noProof/>
            <w:webHidden/>
          </w:rPr>
          <w:instrText xml:space="preserve"> PAGEREF _Toc210051735 \h </w:instrText>
        </w:r>
        <w:r>
          <w:rPr>
            <w:noProof/>
            <w:webHidden/>
          </w:rPr>
        </w:r>
        <w:r>
          <w:rPr>
            <w:noProof/>
            <w:webHidden/>
          </w:rPr>
          <w:fldChar w:fldCharType="separate"/>
        </w:r>
        <w:r>
          <w:rPr>
            <w:noProof/>
            <w:webHidden/>
          </w:rPr>
          <w:t>64</w:t>
        </w:r>
        <w:r>
          <w:rPr>
            <w:noProof/>
            <w:webHidden/>
          </w:rPr>
          <w:fldChar w:fldCharType="end"/>
        </w:r>
      </w:hyperlink>
    </w:p>
    <w:p w14:paraId="4A1D073A" w14:textId="1C9F3129"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736" w:history="1">
        <w:r w:rsidRPr="008A2BE3">
          <w:rPr>
            <w:rStyle w:val="Hyperlink"/>
            <w:noProof/>
          </w:rPr>
          <w:t>4.3.11</w:t>
        </w:r>
        <w:r>
          <w:rPr>
            <w:rFonts w:eastAsiaTheme="minorEastAsia"/>
            <w:noProof/>
            <w:color w:val="auto"/>
            <w:lang w:eastAsia="en-AU"/>
          </w:rPr>
          <w:tab/>
        </w:r>
        <w:r w:rsidRPr="008A2BE3">
          <w:rPr>
            <w:rStyle w:val="Hyperlink"/>
            <w:noProof/>
          </w:rPr>
          <w:t>Other possible costs</w:t>
        </w:r>
        <w:r>
          <w:rPr>
            <w:noProof/>
            <w:webHidden/>
          </w:rPr>
          <w:tab/>
        </w:r>
        <w:r>
          <w:rPr>
            <w:noProof/>
            <w:webHidden/>
          </w:rPr>
          <w:fldChar w:fldCharType="begin"/>
        </w:r>
        <w:r>
          <w:rPr>
            <w:noProof/>
            <w:webHidden/>
          </w:rPr>
          <w:instrText xml:space="preserve"> PAGEREF _Toc210051736 \h </w:instrText>
        </w:r>
        <w:r>
          <w:rPr>
            <w:noProof/>
            <w:webHidden/>
          </w:rPr>
        </w:r>
        <w:r>
          <w:rPr>
            <w:noProof/>
            <w:webHidden/>
          </w:rPr>
          <w:fldChar w:fldCharType="separate"/>
        </w:r>
        <w:r>
          <w:rPr>
            <w:noProof/>
            <w:webHidden/>
          </w:rPr>
          <w:t>64</w:t>
        </w:r>
        <w:r>
          <w:rPr>
            <w:noProof/>
            <w:webHidden/>
          </w:rPr>
          <w:fldChar w:fldCharType="end"/>
        </w:r>
      </w:hyperlink>
    </w:p>
    <w:p w14:paraId="56AB16CF" w14:textId="501C11EB" w:rsidR="00E25C26" w:rsidRDefault="00E25C26" w:rsidP="00E25C26">
      <w:pPr>
        <w:pStyle w:val="TOC2"/>
        <w:tabs>
          <w:tab w:val="right" w:leader="underscore" w:pos="9854"/>
        </w:tabs>
        <w:spacing w:after="0"/>
        <w:rPr>
          <w:rFonts w:eastAsiaTheme="minorEastAsia"/>
          <w:noProof/>
          <w:color w:val="auto"/>
          <w:lang w:eastAsia="en-AU"/>
        </w:rPr>
      </w:pPr>
      <w:hyperlink w:anchor="_Toc210051737" w:history="1">
        <w:r w:rsidRPr="008A2BE3">
          <w:rPr>
            <w:rStyle w:val="Hyperlink"/>
            <w:noProof/>
          </w:rPr>
          <w:t>4.4</w:t>
        </w:r>
        <w:r>
          <w:rPr>
            <w:rFonts w:eastAsiaTheme="minorEastAsia"/>
            <w:noProof/>
            <w:color w:val="auto"/>
            <w:lang w:eastAsia="en-AU"/>
          </w:rPr>
          <w:tab/>
        </w:r>
        <w:r w:rsidRPr="008A2BE3">
          <w:rPr>
            <w:rStyle w:val="Hyperlink"/>
            <w:noProof/>
          </w:rPr>
          <w:t>Questions for stakeholders</w:t>
        </w:r>
        <w:r>
          <w:rPr>
            <w:noProof/>
            <w:webHidden/>
          </w:rPr>
          <w:tab/>
        </w:r>
        <w:r>
          <w:rPr>
            <w:noProof/>
            <w:webHidden/>
          </w:rPr>
          <w:fldChar w:fldCharType="begin"/>
        </w:r>
        <w:r>
          <w:rPr>
            <w:noProof/>
            <w:webHidden/>
          </w:rPr>
          <w:instrText xml:space="preserve"> PAGEREF _Toc210051737 \h </w:instrText>
        </w:r>
        <w:r>
          <w:rPr>
            <w:noProof/>
            <w:webHidden/>
          </w:rPr>
        </w:r>
        <w:r>
          <w:rPr>
            <w:noProof/>
            <w:webHidden/>
          </w:rPr>
          <w:fldChar w:fldCharType="separate"/>
        </w:r>
        <w:r>
          <w:rPr>
            <w:noProof/>
            <w:webHidden/>
          </w:rPr>
          <w:t>64</w:t>
        </w:r>
        <w:r>
          <w:rPr>
            <w:noProof/>
            <w:webHidden/>
          </w:rPr>
          <w:fldChar w:fldCharType="end"/>
        </w:r>
      </w:hyperlink>
    </w:p>
    <w:p w14:paraId="7C96DBC3" w14:textId="6DE6556C" w:rsidR="00E25C26" w:rsidRDefault="00E25C26" w:rsidP="00E25C26">
      <w:pPr>
        <w:pStyle w:val="TOC1"/>
        <w:rPr>
          <w:rFonts w:eastAsiaTheme="minorEastAsia"/>
          <w:noProof/>
          <w:color w:val="auto"/>
          <w:sz w:val="22"/>
          <w:u w:val="none"/>
          <w:lang w:eastAsia="en-AU"/>
        </w:rPr>
      </w:pPr>
      <w:hyperlink w:anchor="_Toc210051738" w:history="1">
        <w:r w:rsidRPr="008A2BE3">
          <w:rPr>
            <w:rStyle w:val="Hyperlink"/>
            <w:noProof/>
          </w:rPr>
          <w:t>5.</w:t>
        </w:r>
        <w:r>
          <w:rPr>
            <w:rFonts w:eastAsiaTheme="minorEastAsia"/>
            <w:noProof/>
            <w:color w:val="auto"/>
            <w:sz w:val="22"/>
            <w:u w:val="none"/>
            <w:lang w:eastAsia="en-AU"/>
          </w:rPr>
          <w:tab/>
        </w:r>
        <w:r w:rsidRPr="008A2BE3">
          <w:rPr>
            <w:rStyle w:val="Hyperlink"/>
            <w:noProof/>
          </w:rPr>
          <w:t>Net impacts on the economy</w:t>
        </w:r>
        <w:r>
          <w:rPr>
            <w:noProof/>
            <w:webHidden/>
          </w:rPr>
          <w:tab/>
        </w:r>
        <w:r>
          <w:rPr>
            <w:noProof/>
            <w:webHidden/>
          </w:rPr>
          <w:fldChar w:fldCharType="begin"/>
        </w:r>
        <w:r>
          <w:rPr>
            <w:noProof/>
            <w:webHidden/>
          </w:rPr>
          <w:instrText xml:space="preserve"> PAGEREF _Toc210051738 \h </w:instrText>
        </w:r>
        <w:r>
          <w:rPr>
            <w:noProof/>
            <w:webHidden/>
          </w:rPr>
        </w:r>
        <w:r>
          <w:rPr>
            <w:noProof/>
            <w:webHidden/>
          </w:rPr>
          <w:fldChar w:fldCharType="separate"/>
        </w:r>
        <w:r>
          <w:rPr>
            <w:noProof/>
            <w:webHidden/>
          </w:rPr>
          <w:t>65</w:t>
        </w:r>
        <w:r>
          <w:rPr>
            <w:noProof/>
            <w:webHidden/>
          </w:rPr>
          <w:fldChar w:fldCharType="end"/>
        </w:r>
      </w:hyperlink>
    </w:p>
    <w:p w14:paraId="4279BC81" w14:textId="08714B49" w:rsidR="00E25C26" w:rsidRDefault="00E25C26" w:rsidP="00E25C26">
      <w:pPr>
        <w:pStyle w:val="TOC2"/>
        <w:tabs>
          <w:tab w:val="right" w:leader="underscore" w:pos="9854"/>
        </w:tabs>
        <w:spacing w:after="0"/>
        <w:rPr>
          <w:rFonts w:eastAsiaTheme="minorEastAsia"/>
          <w:noProof/>
          <w:color w:val="auto"/>
          <w:lang w:eastAsia="en-AU"/>
        </w:rPr>
      </w:pPr>
      <w:hyperlink w:anchor="_Toc210051739" w:history="1">
        <w:r w:rsidRPr="008A2BE3">
          <w:rPr>
            <w:rStyle w:val="Hyperlink"/>
            <w:noProof/>
          </w:rPr>
          <w:t>5.1</w:t>
        </w:r>
        <w:r>
          <w:rPr>
            <w:rFonts w:eastAsiaTheme="minorEastAsia"/>
            <w:noProof/>
            <w:color w:val="auto"/>
            <w:lang w:eastAsia="en-AU"/>
          </w:rPr>
          <w:tab/>
        </w:r>
        <w:r w:rsidRPr="008A2BE3">
          <w:rPr>
            <w:rStyle w:val="Hyperlink"/>
            <w:noProof/>
          </w:rPr>
          <w:t>Sealed roads</w:t>
        </w:r>
        <w:r>
          <w:rPr>
            <w:noProof/>
            <w:webHidden/>
          </w:rPr>
          <w:tab/>
        </w:r>
        <w:r>
          <w:rPr>
            <w:noProof/>
            <w:webHidden/>
          </w:rPr>
          <w:fldChar w:fldCharType="begin"/>
        </w:r>
        <w:r>
          <w:rPr>
            <w:noProof/>
            <w:webHidden/>
          </w:rPr>
          <w:instrText xml:space="preserve"> PAGEREF _Toc210051739 \h </w:instrText>
        </w:r>
        <w:r>
          <w:rPr>
            <w:noProof/>
            <w:webHidden/>
          </w:rPr>
        </w:r>
        <w:r>
          <w:rPr>
            <w:noProof/>
            <w:webHidden/>
          </w:rPr>
          <w:fldChar w:fldCharType="separate"/>
        </w:r>
        <w:r>
          <w:rPr>
            <w:noProof/>
            <w:webHidden/>
          </w:rPr>
          <w:t>65</w:t>
        </w:r>
        <w:r>
          <w:rPr>
            <w:noProof/>
            <w:webHidden/>
          </w:rPr>
          <w:fldChar w:fldCharType="end"/>
        </w:r>
      </w:hyperlink>
    </w:p>
    <w:p w14:paraId="534173A8" w14:textId="31EBE42D"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740" w:history="1">
        <w:r w:rsidRPr="008A2BE3">
          <w:rPr>
            <w:rStyle w:val="Hyperlink"/>
            <w:noProof/>
          </w:rPr>
          <w:t>5.1.1</w:t>
        </w:r>
        <w:r>
          <w:rPr>
            <w:rFonts w:eastAsiaTheme="minorEastAsia"/>
            <w:noProof/>
            <w:color w:val="auto"/>
            <w:lang w:eastAsia="en-AU"/>
          </w:rPr>
          <w:tab/>
        </w:r>
        <w:r w:rsidRPr="008A2BE3">
          <w:rPr>
            <w:rStyle w:val="Hyperlink"/>
            <w:noProof/>
          </w:rPr>
          <w:t>Reduction in fatalities and serious injuries</w:t>
        </w:r>
        <w:r>
          <w:rPr>
            <w:noProof/>
            <w:webHidden/>
          </w:rPr>
          <w:tab/>
        </w:r>
        <w:r>
          <w:rPr>
            <w:noProof/>
            <w:webHidden/>
          </w:rPr>
          <w:fldChar w:fldCharType="begin"/>
        </w:r>
        <w:r>
          <w:rPr>
            <w:noProof/>
            <w:webHidden/>
          </w:rPr>
          <w:instrText xml:space="preserve"> PAGEREF _Toc210051740 \h </w:instrText>
        </w:r>
        <w:r>
          <w:rPr>
            <w:noProof/>
            <w:webHidden/>
          </w:rPr>
        </w:r>
        <w:r>
          <w:rPr>
            <w:noProof/>
            <w:webHidden/>
          </w:rPr>
          <w:fldChar w:fldCharType="separate"/>
        </w:r>
        <w:r>
          <w:rPr>
            <w:noProof/>
            <w:webHidden/>
          </w:rPr>
          <w:t>65</w:t>
        </w:r>
        <w:r>
          <w:rPr>
            <w:noProof/>
            <w:webHidden/>
          </w:rPr>
          <w:fldChar w:fldCharType="end"/>
        </w:r>
      </w:hyperlink>
    </w:p>
    <w:p w14:paraId="10FEE939" w14:textId="4F12C1B2"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741" w:history="1">
        <w:r w:rsidRPr="008A2BE3">
          <w:rPr>
            <w:rStyle w:val="Hyperlink"/>
            <w:noProof/>
          </w:rPr>
          <w:t>5.1.2</w:t>
        </w:r>
        <w:r>
          <w:rPr>
            <w:rFonts w:eastAsiaTheme="minorEastAsia"/>
            <w:noProof/>
            <w:color w:val="auto"/>
            <w:lang w:eastAsia="en-AU"/>
          </w:rPr>
          <w:tab/>
        </w:r>
        <w:r w:rsidRPr="008A2BE3">
          <w:rPr>
            <w:rStyle w:val="Hyperlink"/>
            <w:noProof/>
          </w:rPr>
          <w:t>Cost-benefit analysis</w:t>
        </w:r>
        <w:r>
          <w:rPr>
            <w:noProof/>
            <w:webHidden/>
          </w:rPr>
          <w:tab/>
        </w:r>
        <w:r>
          <w:rPr>
            <w:noProof/>
            <w:webHidden/>
          </w:rPr>
          <w:fldChar w:fldCharType="begin"/>
        </w:r>
        <w:r>
          <w:rPr>
            <w:noProof/>
            <w:webHidden/>
          </w:rPr>
          <w:instrText xml:space="preserve"> PAGEREF _Toc210051741 \h </w:instrText>
        </w:r>
        <w:r>
          <w:rPr>
            <w:noProof/>
            <w:webHidden/>
          </w:rPr>
        </w:r>
        <w:r>
          <w:rPr>
            <w:noProof/>
            <w:webHidden/>
          </w:rPr>
          <w:fldChar w:fldCharType="separate"/>
        </w:r>
        <w:r>
          <w:rPr>
            <w:noProof/>
            <w:webHidden/>
          </w:rPr>
          <w:t>65</w:t>
        </w:r>
        <w:r>
          <w:rPr>
            <w:noProof/>
            <w:webHidden/>
          </w:rPr>
          <w:fldChar w:fldCharType="end"/>
        </w:r>
      </w:hyperlink>
    </w:p>
    <w:p w14:paraId="1E45E67B" w14:textId="445F947B" w:rsidR="00E25C26" w:rsidRDefault="00E25C26" w:rsidP="00E25C26">
      <w:pPr>
        <w:pStyle w:val="TOC2"/>
        <w:tabs>
          <w:tab w:val="right" w:leader="underscore" w:pos="9854"/>
        </w:tabs>
        <w:spacing w:after="0"/>
        <w:rPr>
          <w:rFonts w:eastAsiaTheme="minorEastAsia"/>
          <w:noProof/>
          <w:color w:val="auto"/>
          <w:lang w:eastAsia="en-AU"/>
        </w:rPr>
      </w:pPr>
      <w:hyperlink w:anchor="_Toc210051742" w:history="1">
        <w:r w:rsidRPr="008A2BE3">
          <w:rPr>
            <w:rStyle w:val="Hyperlink"/>
            <w:noProof/>
          </w:rPr>
          <w:t>5.2</w:t>
        </w:r>
        <w:r>
          <w:rPr>
            <w:rFonts w:eastAsiaTheme="minorEastAsia"/>
            <w:noProof/>
            <w:color w:val="auto"/>
            <w:lang w:eastAsia="en-AU"/>
          </w:rPr>
          <w:tab/>
        </w:r>
        <w:r w:rsidRPr="008A2BE3">
          <w:rPr>
            <w:rStyle w:val="Hyperlink"/>
            <w:noProof/>
          </w:rPr>
          <w:t>Unsealed roads</w:t>
        </w:r>
        <w:r>
          <w:rPr>
            <w:noProof/>
            <w:webHidden/>
          </w:rPr>
          <w:tab/>
        </w:r>
        <w:r>
          <w:rPr>
            <w:noProof/>
            <w:webHidden/>
          </w:rPr>
          <w:fldChar w:fldCharType="begin"/>
        </w:r>
        <w:r>
          <w:rPr>
            <w:noProof/>
            <w:webHidden/>
          </w:rPr>
          <w:instrText xml:space="preserve"> PAGEREF _Toc210051742 \h </w:instrText>
        </w:r>
        <w:r>
          <w:rPr>
            <w:noProof/>
            <w:webHidden/>
          </w:rPr>
        </w:r>
        <w:r>
          <w:rPr>
            <w:noProof/>
            <w:webHidden/>
          </w:rPr>
          <w:fldChar w:fldCharType="separate"/>
        </w:r>
        <w:r>
          <w:rPr>
            <w:noProof/>
            <w:webHidden/>
          </w:rPr>
          <w:t>69</w:t>
        </w:r>
        <w:r>
          <w:rPr>
            <w:noProof/>
            <w:webHidden/>
          </w:rPr>
          <w:fldChar w:fldCharType="end"/>
        </w:r>
      </w:hyperlink>
    </w:p>
    <w:p w14:paraId="7AA7CE0D" w14:textId="482F2350" w:rsidR="00E25C26" w:rsidRDefault="00E25C26" w:rsidP="00E25C26">
      <w:pPr>
        <w:pStyle w:val="TOC1"/>
        <w:rPr>
          <w:rFonts w:eastAsiaTheme="minorEastAsia"/>
          <w:noProof/>
          <w:color w:val="auto"/>
          <w:sz w:val="22"/>
          <w:u w:val="none"/>
          <w:lang w:eastAsia="en-AU"/>
        </w:rPr>
      </w:pPr>
      <w:hyperlink w:anchor="_Toc210051743" w:history="1">
        <w:r w:rsidRPr="008A2BE3">
          <w:rPr>
            <w:rStyle w:val="Hyperlink"/>
            <w:noProof/>
          </w:rPr>
          <w:t>6.</w:t>
        </w:r>
        <w:r>
          <w:rPr>
            <w:rFonts w:eastAsiaTheme="minorEastAsia"/>
            <w:noProof/>
            <w:color w:val="auto"/>
            <w:sz w:val="22"/>
            <w:u w:val="none"/>
            <w:lang w:eastAsia="en-AU"/>
          </w:rPr>
          <w:tab/>
        </w:r>
        <w:r w:rsidRPr="008A2BE3">
          <w:rPr>
            <w:rStyle w:val="Hyperlink"/>
            <w:noProof/>
          </w:rPr>
          <w:t>Other impacts</w:t>
        </w:r>
        <w:r>
          <w:rPr>
            <w:noProof/>
            <w:webHidden/>
          </w:rPr>
          <w:tab/>
        </w:r>
        <w:r>
          <w:rPr>
            <w:noProof/>
            <w:webHidden/>
          </w:rPr>
          <w:fldChar w:fldCharType="begin"/>
        </w:r>
        <w:r>
          <w:rPr>
            <w:noProof/>
            <w:webHidden/>
          </w:rPr>
          <w:instrText xml:space="preserve"> PAGEREF _Toc210051743 \h </w:instrText>
        </w:r>
        <w:r>
          <w:rPr>
            <w:noProof/>
            <w:webHidden/>
          </w:rPr>
        </w:r>
        <w:r>
          <w:rPr>
            <w:noProof/>
            <w:webHidden/>
          </w:rPr>
          <w:fldChar w:fldCharType="separate"/>
        </w:r>
        <w:r>
          <w:rPr>
            <w:noProof/>
            <w:webHidden/>
          </w:rPr>
          <w:t>72</w:t>
        </w:r>
        <w:r>
          <w:rPr>
            <w:noProof/>
            <w:webHidden/>
          </w:rPr>
          <w:fldChar w:fldCharType="end"/>
        </w:r>
      </w:hyperlink>
    </w:p>
    <w:p w14:paraId="1298D2F8" w14:textId="3B035AE2" w:rsidR="00E25C26" w:rsidRDefault="00E25C26" w:rsidP="00E25C26">
      <w:pPr>
        <w:pStyle w:val="TOC2"/>
        <w:tabs>
          <w:tab w:val="right" w:leader="underscore" w:pos="9854"/>
        </w:tabs>
        <w:spacing w:after="0"/>
        <w:rPr>
          <w:rFonts w:eastAsiaTheme="minorEastAsia"/>
          <w:noProof/>
          <w:color w:val="auto"/>
          <w:lang w:eastAsia="en-AU"/>
        </w:rPr>
      </w:pPr>
      <w:hyperlink w:anchor="_Toc210051744" w:history="1">
        <w:r w:rsidRPr="008A2BE3">
          <w:rPr>
            <w:rStyle w:val="Hyperlink"/>
            <w:noProof/>
          </w:rPr>
          <w:t>6.1</w:t>
        </w:r>
        <w:r>
          <w:rPr>
            <w:rFonts w:eastAsiaTheme="minorEastAsia"/>
            <w:noProof/>
            <w:color w:val="auto"/>
            <w:lang w:eastAsia="en-AU"/>
          </w:rPr>
          <w:tab/>
        </w:r>
        <w:r w:rsidRPr="008A2BE3">
          <w:rPr>
            <w:rStyle w:val="Hyperlink"/>
            <w:noProof/>
          </w:rPr>
          <w:t>Regulatory burden</w:t>
        </w:r>
        <w:r>
          <w:rPr>
            <w:noProof/>
            <w:webHidden/>
          </w:rPr>
          <w:tab/>
        </w:r>
        <w:r>
          <w:rPr>
            <w:noProof/>
            <w:webHidden/>
          </w:rPr>
          <w:fldChar w:fldCharType="begin"/>
        </w:r>
        <w:r>
          <w:rPr>
            <w:noProof/>
            <w:webHidden/>
          </w:rPr>
          <w:instrText xml:space="preserve"> PAGEREF _Toc210051744 \h </w:instrText>
        </w:r>
        <w:r>
          <w:rPr>
            <w:noProof/>
            <w:webHidden/>
          </w:rPr>
        </w:r>
        <w:r>
          <w:rPr>
            <w:noProof/>
            <w:webHidden/>
          </w:rPr>
          <w:fldChar w:fldCharType="separate"/>
        </w:r>
        <w:r>
          <w:rPr>
            <w:noProof/>
            <w:webHidden/>
          </w:rPr>
          <w:t>72</w:t>
        </w:r>
        <w:r>
          <w:rPr>
            <w:noProof/>
            <w:webHidden/>
          </w:rPr>
          <w:fldChar w:fldCharType="end"/>
        </w:r>
      </w:hyperlink>
    </w:p>
    <w:p w14:paraId="0BE22C85" w14:textId="5D1CAE9B"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745" w:history="1">
        <w:r w:rsidRPr="008A2BE3">
          <w:rPr>
            <w:rStyle w:val="Hyperlink"/>
            <w:noProof/>
          </w:rPr>
          <w:t>6.1.1</w:t>
        </w:r>
        <w:r>
          <w:rPr>
            <w:rFonts w:eastAsiaTheme="minorEastAsia"/>
            <w:noProof/>
            <w:color w:val="auto"/>
            <w:lang w:eastAsia="en-AU"/>
          </w:rPr>
          <w:tab/>
        </w:r>
        <w:r w:rsidRPr="008A2BE3">
          <w:rPr>
            <w:rStyle w:val="Hyperlink"/>
            <w:noProof/>
          </w:rPr>
          <w:t>Compliance costs</w:t>
        </w:r>
        <w:r>
          <w:rPr>
            <w:noProof/>
            <w:webHidden/>
          </w:rPr>
          <w:tab/>
        </w:r>
        <w:r>
          <w:rPr>
            <w:noProof/>
            <w:webHidden/>
          </w:rPr>
          <w:fldChar w:fldCharType="begin"/>
        </w:r>
        <w:r>
          <w:rPr>
            <w:noProof/>
            <w:webHidden/>
          </w:rPr>
          <w:instrText xml:space="preserve"> PAGEREF _Toc210051745 \h </w:instrText>
        </w:r>
        <w:r>
          <w:rPr>
            <w:noProof/>
            <w:webHidden/>
          </w:rPr>
        </w:r>
        <w:r>
          <w:rPr>
            <w:noProof/>
            <w:webHidden/>
          </w:rPr>
          <w:fldChar w:fldCharType="separate"/>
        </w:r>
        <w:r>
          <w:rPr>
            <w:noProof/>
            <w:webHidden/>
          </w:rPr>
          <w:t>72</w:t>
        </w:r>
        <w:r>
          <w:rPr>
            <w:noProof/>
            <w:webHidden/>
          </w:rPr>
          <w:fldChar w:fldCharType="end"/>
        </w:r>
      </w:hyperlink>
    </w:p>
    <w:p w14:paraId="7ED2952C" w14:textId="6B90ABF1" w:rsidR="00E25C26" w:rsidRDefault="00E25C26" w:rsidP="00E25C26">
      <w:pPr>
        <w:pStyle w:val="TOC3"/>
        <w:tabs>
          <w:tab w:val="left" w:pos="1684"/>
          <w:tab w:val="right" w:leader="underscore" w:pos="9854"/>
        </w:tabs>
        <w:spacing w:after="0"/>
        <w:rPr>
          <w:rFonts w:eastAsiaTheme="minorEastAsia"/>
          <w:noProof/>
          <w:color w:val="auto"/>
          <w:lang w:eastAsia="en-AU"/>
        </w:rPr>
      </w:pPr>
      <w:hyperlink w:anchor="_Toc210051746" w:history="1">
        <w:r w:rsidRPr="008A2BE3">
          <w:rPr>
            <w:rStyle w:val="Hyperlink"/>
            <w:noProof/>
          </w:rPr>
          <w:t>6.1.2</w:t>
        </w:r>
        <w:r>
          <w:rPr>
            <w:rFonts w:eastAsiaTheme="minorEastAsia"/>
            <w:noProof/>
            <w:color w:val="auto"/>
            <w:lang w:eastAsia="en-AU"/>
          </w:rPr>
          <w:tab/>
        </w:r>
        <w:r w:rsidRPr="008A2BE3">
          <w:rPr>
            <w:rStyle w:val="Hyperlink"/>
            <w:noProof/>
          </w:rPr>
          <w:t>Delay costs</w:t>
        </w:r>
        <w:r>
          <w:rPr>
            <w:noProof/>
            <w:webHidden/>
          </w:rPr>
          <w:tab/>
        </w:r>
        <w:r>
          <w:rPr>
            <w:noProof/>
            <w:webHidden/>
          </w:rPr>
          <w:fldChar w:fldCharType="begin"/>
        </w:r>
        <w:r>
          <w:rPr>
            <w:noProof/>
            <w:webHidden/>
          </w:rPr>
          <w:instrText xml:space="preserve"> PAGEREF _Toc210051746 \h </w:instrText>
        </w:r>
        <w:r>
          <w:rPr>
            <w:noProof/>
            <w:webHidden/>
          </w:rPr>
        </w:r>
        <w:r>
          <w:rPr>
            <w:noProof/>
            <w:webHidden/>
          </w:rPr>
          <w:fldChar w:fldCharType="separate"/>
        </w:r>
        <w:r>
          <w:rPr>
            <w:noProof/>
            <w:webHidden/>
          </w:rPr>
          <w:t>73</w:t>
        </w:r>
        <w:r>
          <w:rPr>
            <w:noProof/>
            <w:webHidden/>
          </w:rPr>
          <w:fldChar w:fldCharType="end"/>
        </w:r>
      </w:hyperlink>
    </w:p>
    <w:p w14:paraId="6FB1B54A" w14:textId="1A75B448" w:rsidR="00E25C26" w:rsidRDefault="00E25C26" w:rsidP="00E25C26">
      <w:pPr>
        <w:pStyle w:val="TOC2"/>
        <w:tabs>
          <w:tab w:val="right" w:leader="underscore" w:pos="9854"/>
        </w:tabs>
        <w:spacing w:after="0"/>
        <w:rPr>
          <w:rFonts w:eastAsiaTheme="minorEastAsia"/>
          <w:noProof/>
          <w:color w:val="auto"/>
          <w:lang w:eastAsia="en-AU"/>
        </w:rPr>
      </w:pPr>
      <w:hyperlink w:anchor="_Toc210051747" w:history="1">
        <w:r w:rsidRPr="008A2BE3">
          <w:rPr>
            <w:rStyle w:val="Hyperlink"/>
            <w:noProof/>
          </w:rPr>
          <w:t>6.2</w:t>
        </w:r>
        <w:r>
          <w:rPr>
            <w:rFonts w:eastAsiaTheme="minorEastAsia"/>
            <w:noProof/>
            <w:color w:val="auto"/>
            <w:lang w:eastAsia="en-AU"/>
          </w:rPr>
          <w:tab/>
        </w:r>
        <w:r w:rsidRPr="008A2BE3">
          <w:rPr>
            <w:rStyle w:val="Hyperlink"/>
            <w:noProof/>
          </w:rPr>
          <w:t>Effects on competition</w:t>
        </w:r>
        <w:r>
          <w:rPr>
            <w:noProof/>
            <w:webHidden/>
          </w:rPr>
          <w:tab/>
        </w:r>
        <w:r>
          <w:rPr>
            <w:noProof/>
            <w:webHidden/>
          </w:rPr>
          <w:fldChar w:fldCharType="begin"/>
        </w:r>
        <w:r>
          <w:rPr>
            <w:noProof/>
            <w:webHidden/>
          </w:rPr>
          <w:instrText xml:space="preserve"> PAGEREF _Toc210051747 \h </w:instrText>
        </w:r>
        <w:r>
          <w:rPr>
            <w:noProof/>
            <w:webHidden/>
          </w:rPr>
        </w:r>
        <w:r>
          <w:rPr>
            <w:noProof/>
            <w:webHidden/>
          </w:rPr>
          <w:fldChar w:fldCharType="separate"/>
        </w:r>
        <w:r>
          <w:rPr>
            <w:noProof/>
            <w:webHidden/>
          </w:rPr>
          <w:t>73</w:t>
        </w:r>
        <w:r>
          <w:rPr>
            <w:noProof/>
            <w:webHidden/>
          </w:rPr>
          <w:fldChar w:fldCharType="end"/>
        </w:r>
      </w:hyperlink>
    </w:p>
    <w:p w14:paraId="0F84BEEA" w14:textId="69DCDAC0" w:rsidR="00E25C26" w:rsidRDefault="00E25C26" w:rsidP="00E25C26">
      <w:pPr>
        <w:pStyle w:val="TOC2"/>
        <w:tabs>
          <w:tab w:val="right" w:leader="underscore" w:pos="9854"/>
        </w:tabs>
        <w:spacing w:after="0"/>
        <w:rPr>
          <w:rFonts w:eastAsiaTheme="minorEastAsia"/>
          <w:noProof/>
          <w:color w:val="auto"/>
          <w:lang w:eastAsia="en-AU"/>
        </w:rPr>
      </w:pPr>
      <w:hyperlink w:anchor="_Toc210051748" w:history="1">
        <w:r w:rsidRPr="008A2BE3">
          <w:rPr>
            <w:rStyle w:val="Hyperlink"/>
            <w:noProof/>
          </w:rPr>
          <w:t>6.3</w:t>
        </w:r>
        <w:r>
          <w:rPr>
            <w:rFonts w:eastAsiaTheme="minorEastAsia"/>
            <w:noProof/>
            <w:color w:val="auto"/>
            <w:lang w:eastAsia="en-AU"/>
          </w:rPr>
          <w:tab/>
        </w:r>
        <w:r w:rsidRPr="008A2BE3">
          <w:rPr>
            <w:rStyle w:val="Hyperlink"/>
            <w:noProof/>
          </w:rPr>
          <w:t>Questions for stakeholders</w:t>
        </w:r>
        <w:r>
          <w:rPr>
            <w:noProof/>
            <w:webHidden/>
          </w:rPr>
          <w:tab/>
        </w:r>
        <w:r>
          <w:rPr>
            <w:noProof/>
            <w:webHidden/>
          </w:rPr>
          <w:fldChar w:fldCharType="begin"/>
        </w:r>
        <w:r>
          <w:rPr>
            <w:noProof/>
            <w:webHidden/>
          </w:rPr>
          <w:instrText xml:space="preserve"> PAGEREF _Toc210051748 \h </w:instrText>
        </w:r>
        <w:r>
          <w:rPr>
            <w:noProof/>
            <w:webHidden/>
          </w:rPr>
        </w:r>
        <w:r>
          <w:rPr>
            <w:noProof/>
            <w:webHidden/>
          </w:rPr>
          <w:fldChar w:fldCharType="separate"/>
        </w:r>
        <w:r>
          <w:rPr>
            <w:noProof/>
            <w:webHidden/>
          </w:rPr>
          <w:t>73</w:t>
        </w:r>
        <w:r>
          <w:rPr>
            <w:noProof/>
            <w:webHidden/>
          </w:rPr>
          <w:fldChar w:fldCharType="end"/>
        </w:r>
      </w:hyperlink>
    </w:p>
    <w:p w14:paraId="729CC131" w14:textId="7C880DBC" w:rsidR="00E25C26" w:rsidRDefault="00E25C26" w:rsidP="00E25C26">
      <w:pPr>
        <w:pStyle w:val="TOC1"/>
        <w:rPr>
          <w:rFonts w:eastAsiaTheme="minorEastAsia"/>
          <w:noProof/>
          <w:color w:val="auto"/>
          <w:sz w:val="22"/>
          <w:u w:val="none"/>
          <w:lang w:eastAsia="en-AU"/>
        </w:rPr>
      </w:pPr>
      <w:hyperlink w:anchor="_Toc210051749" w:history="1">
        <w:r w:rsidRPr="008A2BE3">
          <w:rPr>
            <w:rStyle w:val="Hyperlink"/>
            <w:noProof/>
          </w:rPr>
          <w:t>7.</w:t>
        </w:r>
        <w:r>
          <w:rPr>
            <w:rFonts w:eastAsiaTheme="minorEastAsia"/>
            <w:noProof/>
            <w:color w:val="auto"/>
            <w:sz w:val="22"/>
            <w:u w:val="none"/>
            <w:lang w:eastAsia="en-AU"/>
          </w:rPr>
          <w:tab/>
        </w:r>
        <w:r w:rsidRPr="008A2BE3">
          <w:rPr>
            <w:rStyle w:val="Hyperlink"/>
            <w:noProof/>
          </w:rPr>
          <w:t>Implementation and review</w:t>
        </w:r>
        <w:r>
          <w:rPr>
            <w:noProof/>
            <w:webHidden/>
          </w:rPr>
          <w:tab/>
        </w:r>
        <w:r>
          <w:rPr>
            <w:noProof/>
            <w:webHidden/>
          </w:rPr>
          <w:fldChar w:fldCharType="begin"/>
        </w:r>
        <w:r>
          <w:rPr>
            <w:noProof/>
            <w:webHidden/>
          </w:rPr>
          <w:instrText xml:space="preserve"> PAGEREF _Toc210051749 \h </w:instrText>
        </w:r>
        <w:r>
          <w:rPr>
            <w:noProof/>
            <w:webHidden/>
          </w:rPr>
        </w:r>
        <w:r>
          <w:rPr>
            <w:noProof/>
            <w:webHidden/>
          </w:rPr>
          <w:fldChar w:fldCharType="separate"/>
        </w:r>
        <w:r>
          <w:rPr>
            <w:noProof/>
            <w:webHidden/>
          </w:rPr>
          <w:t>74</w:t>
        </w:r>
        <w:r>
          <w:rPr>
            <w:noProof/>
            <w:webHidden/>
          </w:rPr>
          <w:fldChar w:fldCharType="end"/>
        </w:r>
      </w:hyperlink>
    </w:p>
    <w:p w14:paraId="02AC58C2" w14:textId="7EE8E9C3" w:rsidR="00E25C26" w:rsidRDefault="00E25C26" w:rsidP="00E25C26">
      <w:pPr>
        <w:pStyle w:val="TOC2"/>
        <w:tabs>
          <w:tab w:val="right" w:leader="underscore" w:pos="9854"/>
        </w:tabs>
        <w:spacing w:after="0"/>
        <w:rPr>
          <w:rFonts w:eastAsiaTheme="minorEastAsia"/>
          <w:noProof/>
          <w:color w:val="auto"/>
          <w:lang w:eastAsia="en-AU"/>
        </w:rPr>
      </w:pPr>
      <w:hyperlink w:anchor="_Toc210051750" w:history="1">
        <w:r w:rsidRPr="008A2BE3">
          <w:rPr>
            <w:rStyle w:val="Hyperlink"/>
            <w:noProof/>
          </w:rPr>
          <w:t>7.1</w:t>
        </w:r>
        <w:r>
          <w:rPr>
            <w:rFonts w:eastAsiaTheme="minorEastAsia"/>
            <w:noProof/>
            <w:color w:val="auto"/>
            <w:lang w:eastAsia="en-AU"/>
          </w:rPr>
          <w:tab/>
        </w:r>
        <w:r w:rsidRPr="008A2BE3">
          <w:rPr>
            <w:rStyle w:val="Hyperlink"/>
            <w:noProof/>
          </w:rPr>
          <w:t>Implementation and Consultation</w:t>
        </w:r>
        <w:r>
          <w:rPr>
            <w:noProof/>
            <w:webHidden/>
          </w:rPr>
          <w:tab/>
        </w:r>
        <w:r>
          <w:rPr>
            <w:noProof/>
            <w:webHidden/>
          </w:rPr>
          <w:fldChar w:fldCharType="begin"/>
        </w:r>
        <w:r>
          <w:rPr>
            <w:noProof/>
            <w:webHidden/>
          </w:rPr>
          <w:instrText xml:space="preserve"> PAGEREF _Toc210051750 \h </w:instrText>
        </w:r>
        <w:r>
          <w:rPr>
            <w:noProof/>
            <w:webHidden/>
          </w:rPr>
        </w:r>
        <w:r>
          <w:rPr>
            <w:noProof/>
            <w:webHidden/>
          </w:rPr>
          <w:fldChar w:fldCharType="separate"/>
        </w:r>
        <w:r>
          <w:rPr>
            <w:noProof/>
            <w:webHidden/>
          </w:rPr>
          <w:t>74</w:t>
        </w:r>
        <w:r>
          <w:rPr>
            <w:noProof/>
            <w:webHidden/>
          </w:rPr>
          <w:fldChar w:fldCharType="end"/>
        </w:r>
      </w:hyperlink>
    </w:p>
    <w:p w14:paraId="28D5C9F1" w14:textId="2BC254B6" w:rsidR="00E25C26" w:rsidRDefault="00E25C26" w:rsidP="00E25C26">
      <w:pPr>
        <w:pStyle w:val="TOC2"/>
        <w:tabs>
          <w:tab w:val="right" w:leader="underscore" w:pos="9854"/>
        </w:tabs>
        <w:spacing w:after="0"/>
        <w:rPr>
          <w:rFonts w:eastAsiaTheme="minorEastAsia"/>
          <w:noProof/>
          <w:color w:val="auto"/>
          <w:lang w:eastAsia="en-AU"/>
        </w:rPr>
      </w:pPr>
      <w:hyperlink w:anchor="_Toc210051751" w:history="1">
        <w:r w:rsidRPr="008A2BE3">
          <w:rPr>
            <w:rStyle w:val="Hyperlink"/>
            <w:noProof/>
          </w:rPr>
          <w:t>7.2</w:t>
        </w:r>
        <w:r>
          <w:rPr>
            <w:rFonts w:eastAsiaTheme="minorEastAsia"/>
            <w:noProof/>
            <w:color w:val="auto"/>
            <w:lang w:eastAsia="en-AU"/>
          </w:rPr>
          <w:tab/>
        </w:r>
        <w:r w:rsidRPr="008A2BE3">
          <w:rPr>
            <w:rStyle w:val="Hyperlink"/>
            <w:noProof/>
          </w:rPr>
          <w:t>Approval and Adoption</w:t>
        </w:r>
        <w:r>
          <w:rPr>
            <w:noProof/>
            <w:webHidden/>
          </w:rPr>
          <w:tab/>
        </w:r>
        <w:r>
          <w:rPr>
            <w:noProof/>
            <w:webHidden/>
          </w:rPr>
          <w:fldChar w:fldCharType="begin"/>
        </w:r>
        <w:r>
          <w:rPr>
            <w:noProof/>
            <w:webHidden/>
          </w:rPr>
          <w:instrText xml:space="preserve"> PAGEREF _Toc210051751 \h </w:instrText>
        </w:r>
        <w:r>
          <w:rPr>
            <w:noProof/>
            <w:webHidden/>
          </w:rPr>
        </w:r>
        <w:r>
          <w:rPr>
            <w:noProof/>
            <w:webHidden/>
          </w:rPr>
          <w:fldChar w:fldCharType="separate"/>
        </w:r>
        <w:r>
          <w:rPr>
            <w:noProof/>
            <w:webHidden/>
          </w:rPr>
          <w:t>74</w:t>
        </w:r>
        <w:r>
          <w:rPr>
            <w:noProof/>
            <w:webHidden/>
          </w:rPr>
          <w:fldChar w:fldCharType="end"/>
        </w:r>
      </w:hyperlink>
    </w:p>
    <w:p w14:paraId="2CB0F6A0" w14:textId="695089B4" w:rsidR="00E25C26" w:rsidRDefault="00E25C26" w:rsidP="00E25C26">
      <w:pPr>
        <w:pStyle w:val="TOC2"/>
        <w:tabs>
          <w:tab w:val="right" w:leader="underscore" w:pos="9854"/>
        </w:tabs>
        <w:spacing w:after="0"/>
        <w:rPr>
          <w:rFonts w:eastAsiaTheme="minorEastAsia"/>
          <w:noProof/>
          <w:color w:val="auto"/>
          <w:lang w:eastAsia="en-AU"/>
        </w:rPr>
      </w:pPr>
      <w:hyperlink w:anchor="_Toc210051752" w:history="1">
        <w:r w:rsidRPr="008A2BE3">
          <w:rPr>
            <w:rStyle w:val="Hyperlink"/>
            <w:noProof/>
          </w:rPr>
          <w:t>7.3</w:t>
        </w:r>
        <w:r>
          <w:rPr>
            <w:rFonts w:eastAsiaTheme="minorEastAsia"/>
            <w:noProof/>
            <w:color w:val="auto"/>
            <w:lang w:eastAsia="en-AU"/>
          </w:rPr>
          <w:tab/>
        </w:r>
        <w:r w:rsidRPr="008A2BE3">
          <w:rPr>
            <w:rStyle w:val="Hyperlink"/>
            <w:noProof/>
          </w:rPr>
          <w:t>Risks and Considerations</w:t>
        </w:r>
        <w:r>
          <w:rPr>
            <w:noProof/>
            <w:webHidden/>
          </w:rPr>
          <w:tab/>
        </w:r>
        <w:r>
          <w:rPr>
            <w:noProof/>
            <w:webHidden/>
          </w:rPr>
          <w:fldChar w:fldCharType="begin"/>
        </w:r>
        <w:r>
          <w:rPr>
            <w:noProof/>
            <w:webHidden/>
          </w:rPr>
          <w:instrText xml:space="preserve"> PAGEREF _Toc210051752 \h </w:instrText>
        </w:r>
        <w:r>
          <w:rPr>
            <w:noProof/>
            <w:webHidden/>
          </w:rPr>
        </w:r>
        <w:r>
          <w:rPr>
            <w:noProof/>
            <w:webHidden/>
          </w:rPr>
          <w:fldChar w:fldCharType="separate"/>
        </w:r>
        <w:r>
          <w:rPr>
            <w:noProof/>
            <w:webHidden/>
          </w:rPr>
          <w:t>74</w:t>
        </w:r>
        <w:r>
          <w:rPr>
            <w:noProof/>
            <w:webHidden/>
          </w:rPr>
          <w:fldChar w:fldCharType="end"/>
        </w:r>
      </w:hyperlink>
    </w:p>
    <w:p w14:paraId="1BF21AF7" w14:textId="436D057C" w:rsidR="00E25C26" w:rsidRDefault="00E25C26" w:rsidP="00E25C26">
      <w:pPr>
        <w:pStyle w:val="TOC2"/>
        <w:tabs>
          <w:tab w:val="right" w:leader="underscore" w:pos="9854"/>
        </w:tabs>
        <w:spacing w:after="0"/>
        <w:rPr>
          <w:rFonts w:eastAsiaTheme="minorEastAsia"/>
          <w:noProof/>
          <w:color w:val="auto"/>
          <w:lang w:eastAsia="en-AU"/>
        </w:rPr>
      </w:pPr>
      <w:hyperlink w:anchor="_Toc210051753" w:history="1">
        <w:r w:rsidRPr="008A2BE3">
          <w:rPr>
            <w:rStyle w:val="Hyperlink"/>
            <w:noProof/>
          </w:rPr>
          <w:t>7.4</w:t>
        </w:r>
        <w:r>
          <w:rPr>
            <w:rFonts w:eastAsiaTheme="minorEastAsia"/>
            <w:noProof/>
            <w:color w:val="auto"/>
            <w:lang w:eastAsia="en-AU"/>
          </w:rPr>
          <w:tab/>
        </w:r>
        <w:r w:rsidRPr="008A2BE3">
          <w:rPr>
            <w:rStyle w:val="Hyperlink"/>
            <w:noProof/>
          </w:rPr>
          <w:t>Timeframe and evaluation</w:t>
        </w:r>
        <w:r>
          <w:rPr>
            <w:noProof/>
            <w:webHidden/>
          </w:rPr>
          <w:tab/>
        </w:r>
        <w:r>
          <w:rPr>
            <w:noProof/>
            <w:webHidden/>
          </w:rPr>
          <w:fldChar w:fldCharType="begin"/>
        </w:r>
        <w:r>
          <w:rPr>
            <w:noProof/>
            <w:webHidden/>
          </w:rPr>
          <w:instrText xml:space="preserve"> PAGEREF _Toc210051753 \h </w:instrText>
        </w:r>
        <w:r>
          <w:rPr>
            <w:noProof/>
            <w:webHidden/>
          </w:rPr>
        </w:r>
        <w:r>
          <w:rPr>
            <w:noProof/>
            <w:webHidden/>
          </w:rPr>
          <w:fldChar w:fldCharType="separate"/>
        </w:r>
        <w:r>
          <w:rPr>
            <w:noProof/>
            <w:webHidden/>
          </w:rPr>
          <w:t>74</w:t>
        </w:r>
        <w:r>
          <w:rPr>
            <w:noProof/>
            <w:webHidden/>
          </w:rPr>
          <w:fldChar w:fldCharType="end"/>
        </w:r>
      </w:hyperlink>
    </w:p>
    <w:p w14:paraId="32012A1B" w14:textId="4AE6BA3A" w:rsidR="00E25C26" w:rsidRDefault="00E25C26" w:rsidP="00E25C26">
      <w:pPr>
        <w:pStyle w:val="TOC1"/>
        <w:rPr>
          <w:rFonts w:eastAsiaTheme="minorEastAsia"/>
          <w:noProof/>
          <w:color w:val="auto"/>
          <w:sz w:val="22"/>
          <w:u w:val="none"/>
          <w:lang w:eastAsia="en-AU"/>
        </w:rPr>
      </w:pPr>
      <w:hyperlink w:anchor="_Toc210051754" w:history="1">
        <w:r w:rsidRPr="008A2BE3">
          <w:rPr>
            <w:rStyle w:val="Hyperlink"/>
            <w:noProof/>
          </w:rPr>
          <w:t>8.</w:t>
        </w:r>
        <w:r>
          <w:rPr>
            <w:rFonts w:eastAsiaTheme="minorEastAsia"/>
            <w:noProof/>
            <w:color w:val="auto"/>
            <w:sz w:val="22"/>
            <w:u w:val="none"/>
            <w:lang w:eastAsia="en-AU"/>
          </w:rPr>
          <w:tab/>
        </w:r>
        <w:r w:rsidRPr="008A2BE3">
          <w:rPr>
            <w:rStyle w:val="Hyperlink"/>
            <w:noProof/>
          </w:rPr>
          <w:t>Conclusion</w:t>
        </w:r>
        <w:r>
          <w:rPr>
            <w:noProof/>
            <w:webHidden/>
          </w:rPr>
          <w:tab/>
        </w:r>
        <w:r>
          <w:rPr>
            <w:noProof/>
            <w:webHidden/>
          </w:rPr>
          <w:fldChar w:fldCharType="begin"/>
        </w:r>
        <w:r>
          <w:rPr>
            <w:noProof/>
            <w:webHidden/>
          </w:rPr>
          <w:instrText xml:space="preserve"> PAGEREF _Toc210051754 \h </w:instrText>
        </w:r>
        <w:r>
          <w:rPr>
            <w:noProof/>
            <w:webHidden/>
          </w:rPr>
        </w:r>
        <w:r>
          <w:rPr>
            <w:noProof/>
            <w:webHidden/>
          </w:rPr>
          <w:fldChar w:fldCharType="separate"/>
        </w:r>
        <w:r>
          <w:rPr>
            <w:noProof/>
            <w:webHidden/>
          </w:rPr>
          <w:t>75</w:t>
        </w:r>
        <w:r>
          <w:rPr>
            <w:noProof/>
            <w:webHidden/>
          </w:rPr>
          <w:fldChar w:fldCharType="end"/>
        </w:r>
      </w:hyperlink>
    </w:p>
    <w:p w14:paraId="71B9265F" w14:textId="12C7B37F" w:rsidR="00E25C26" w:rsidRDefault="00E25C26" w:rsidP="00E25C26">
      <w:pPr>
        <w:pStyle w:val="TOC1"/>
        <w:rPr>
          <w:rFonts w:eastAsiaTheme="minorEastAsia"/>
          <w:noProof/>
          <w:color w:val="auto"/>
          <w:sz w:val="22"/>
          <w:u w:val="none"/>
          <w:lang w:eastAsia="en-AU"/>
        </w:rPr>
      </w:pPr>
      <w:hyperlink w:anchor="_Toc210051755" w:history="1">
        <w:r w:rsidRPr="008A2BE3">
          <w:rPr>
            <w:rStyle w:val="Hyperlink"/>
            <w:noProof/>
          </w:rPr>
          <w:t>Appendix A—Stakeholder consultation overview</w:t>
        </w:r>
        <w:r>
          <w:rPr>
            <w:noProof/>
            <w:webHidden/>
          </w:rPr>
          <w:tab/>
        </w:r>
        <w:r>
          <w:rPr>
            <w:noProof/>
            <w:webHidden/>
          </w:rPr>
          <w:fldChar w:fldCharType="begin"/>
        </w:r>
        <w:r>
          <w:rPr>
            <w:noProof/>
            <w:webHidden/>
          </w:rPr>
          <w:instrText xml:space="preserve"> PAGEREF _Toc210051755 \h </w:instrText>
        </w:r>
        <w:r>
          <w:rPr>
            <w:noProof/>
            <w:webHidden/>
          </w:rPr>
        </w:r>
        <w:r>
          <w:rPr>
            <w:noProof/>
            <w:webHidden/>
          </w:rPr>
          <w:fldChar w:fldCharType="separate"/>
        </w:r>
        <w:r>
          <w:rPr>
            <w:noProof/>
            <w:webHidden/>
          </w:rPr>
          <w:t>77</w:t>
        </w:r>
        <w:r>
          <w:rPr>
            <w:noProof/>
            <w:webHidden/>
          </w:rPr>
          <w:fldChar w:fldCharType="end"/>
        </w:r>
      </w:hyperlink>
    </w:p>
    <w:p w14:paraId="428FF53F" w14:textId="0E4FC5B3" w:rsidR="003979C3" w:rsidRPr="00FC7DDF" w:rsidRDefault="00E25C26" w:rsidP="00E25C26">
      <w:pPr>
        <w:pStyle w:val="Heading2notshowing"/>
      </w:pPr>
      <w:r w:rsidRPr="00E25C26">
        <w:rPr>
          <w:rFonts w:ascii="Calibri" w:eastAsia="Calibri" w:hAnsi="Calibri" w:cs="Times New Roman"/>
          <w:color w:val="000000"/>
          <w:u w:val="single" w:color="4BB3B5"/>
        </w:rPr>
        <w:lastRenderedPageBreak/>
        <w:fldChar w:fldCharType="end"/>
      </w:r>
      <w:r w:rsidR="003979C3" w:rsidRPr="00FC7DDF">
        <w:t>List of figures and tables</w:t>
      </w:r>
    </w:p>
    <w:bookmarkStart w:id="1" w:name="_GoBack"/>
    <w:p w14:paraId="0DAD6498" w14:textId="1ABA3CD9" w:rsidR="00E25C26" w:rsidRDefault="003979C3" w:rsidP="00E25C26">
      <w:pPr>
        <w:pStyle w:val="TableofFigures"/>
        <w:tabs>
          <w:tab w:val="left" w:pos="1134"/>
          <w:tab w:val="right" w:leader="dot" w:pos="9854"/>
        </w:tabs>
        <w:ind w:left="1134" w:hanging="1134"/>
        <w:rPr>
          <w:rFonts w:eastAsiaTheme="minorEastAsia"/>
          <w:noProof/>
          <w:color w:val="auto"/>
          <w:lang w:eastAsia="en-AU"/>
        </w:rPr>
      </w:pPr>
      <w:r>
        <w:rPr>
          <w:kern w:val="12"/>
          <w:szCs w:val="20"/>
        </w:rPr>
        <w:fldChar w:fldCharType="begin"/>
      </w:r>
      <w:r>
        <w:instrText xml:space="preserve"> TOC \h \z \t "Table/figure heading" \c </w:instrText>
      </w:r>
      <w:r>
        <w:rPr>
          <w:kern w:val="12"/>
          <w:szCs w:val="20"/>
        </w:rPr>
        <w:fldChar w:fldCharType="separate"/>
      </w:r>
      <w:hyperlink w:anchor="_Toc210051873" w:history="1">
        <w:r w:rsidR="00E25C26" w:rsidRPr="00F90823">
          <w:rPr>
            <w:rStyle w:val="Hyperlink"/>
            <w:noProof/>
          </w:rPr>
          <w:t>Figure 1</w:t>
        </w:r>
        <w:r w:rsidR="00E25C26">
          <w:rPr>
            <w:rFonts w:eastAsiaTheme="minorEastAsia"/>
            <w:noProof/>
            <w:color w:val="auto"/>
            <w:lang w:eastAsia="en-AU"/>
          </w:rPr>
          <w:tab/>
        </w:r>
        <w:r w:rsidR="00E25C26" w:rsidRPr="00F90823">
          <w:rPr>
            <w:rStyle w:val="Hyperlink"/>
            <w:noProof/>
          </w:rPr>
          <w:t>National annual road fatalities, 1989 to 2024</w:t>
        </w:r>
        <w:r w:rsidR="00E25C26">
          <w:rPr>
            <w:noProof/>
            <w:webHidden/>
          </w:rPr>
          <w:tab/>
        </w:r>
        <w:r w:rsidR="00E25C26">
          <w:rPr>
            <w:noProof/>
            <w:webHidden/>
          </w:rPr>
          <w:fldChar w:fldCharType="begin"/>
        </w:r>
        <w:r w:rsidR="00E25C26">
          <w:rPr>
            <w:noProof/>
            <w:webHidden/>
          </w:rPr>
          <w:instrText xml:space="preserve"> PAGEREF _Toc210051873 \h </w:instrText>
        </w:r>
        <w:r w:rsidR="00E25C26">
          <w:rPr>
            <w:noProof/>
            <w:webHidden/>
          </w:rPr>
        </w:r>
        <w:r w:rsidR="00E25C26">
          <w:rPr>
            <w:noProof/>
            <w:webHidden/>
          </w:rPr>
          <w:fldChar w:fldCharType="separate"/>
        </w:r>
        <w:r w:rsidR="00E25C26">
          <w:rPr>
            <w:noProof/>
            <w:webHidden/>
          </w:rPr>
          <w:t>8</w:t>
        </w:r>
        <w:r w:rsidR="00E25C26">
          <w:rPr>
            <w:noProof/>
            <w:webHidden/>
          </w:rPr>
          <w:fldChar w:fldCharType="end"/>
        </w:r>
      </w:hyperlink>
    </w:p>
    <w:p w14:paraId="4FF8CB3F" w14:textId="65F55414"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874" w:history="1">
        <w:r w:rsidRPr="00F90823">
          <w:rPr>
            <w:rStyle w:val="Hyperlink"/>
            <w:noProof/>
          </w:rPr>
          <w:t>Table 1</w:t>
        </w:r>
        <w:r>
          <w:rPr>
            <w:rFonts w:eastAsiaTheme="minorEastAsia"/>
            <w:noProof/>
            <w:color w:val="auto"/>
            <w:lang w:eastAsia="en-AU"/>
          </w:rPr>
          <w:tab/>
        </w:r>
        <w:r w:rsidRPr="00F90823">
          <w:rPr>
            <w:rStyle w:val="Hyperlink"/>
            <w:noProof/>
          </w:rPr>
          <w:t>Proposed options for sealed and unsealed roads</w:t>
        </w:r>
        <w:r>
          <w:rPr>
            <w:noProof/>
            <w:webHidden/>
          </w:rPr>
          <w:tab/>
        </w:r>
        <w:r>
          <w:rPr>
            <w:noProof/>
            <w:webHidden/>
          </w:rPr>
          <w:fldChar w:fldCharType="begin"/>
        </w:r>
        <w:r>
          <w:rPr>
            <w:noProof/>
            <w:webHidden/>
          </w:rPr>
          <w:instrText xml:space="preserve"> PAGEREF _Toc210051874 \h </w:instrText>
        </w:r>
        <w:r>
          <w:rPr>
            <w:noProof/>
            <w:webHidden/>
          </w:rPr>
        </w:r>
        <w:r>
          <w:rPr>
            <w:noProof/>
            <w:webHidden/>
          </w:rPr>
          <w:fldChar w:fldCharType="separate"/>
        </w:r>
        <w:r>
          <w:rPr>
            <w:noProof/>
            <w:webHidden/>
          </w:rPr>
          <w:t>9</w:t>
        </w:r>
        <w:r>
          <w:rPr>
            <w:noProof/>
            <w:webHidden/>
          </w:rPr>
          <w:fldChar w:fldCharType="end"/>
        </w:r>
      </w:hyperlink>
    </w:p>
    <w:p w14:paraId="169A1A4A" w14:textId="2298962C"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875" w:history="1">
        <w:r w:rsidRPr="00F90823">
          <w:rPr>
            <w:rStyle w:val="Hyperlink"/>
            <w:noProof/>
          </w:rPr>
          <w:t>Table 2</w:t>
        </w:r>
        <w:r>
          <w:rPr>
            <w:rFonts w:eastAsiaTheme="minorEastAsia"/>
            <w:noProof/>
            <w:color w:val="auto"/>
            <w:lang w:eastAsia="en-AU"/>
          </w:rPr>
          <w:tab/>
        </w:r>
        <w:r w:rsidRPr="00F90823">
          <w:rPr>
            <w:rStyle w:val="Hyperlink"/>
            <w:noProof/>
          </w:rPr>
          <w:t>Costs and benefits framework</w:t>
        </w:r>
        <w:r>
          <w:rPr>
            <w:noProof/>
            <w:webHidden/>
          </w:rPr>
          <w:tab/>
        </w:r>
        <w:r>
          <w:rPr>
            <w:noProof/>
            <w:webHidden/>
          </w:rPr>
          <w:fldChar w:fldCharType="begin"/>
        </w:r>
        <w:r>
          <w:rPr>
            <w:noProof/>
            <w:webHidden/>
          </w:rPr>
          <w:instrText xml:space="preserve"> PAGEREF _Toc210051875 \h </w:instrText>
        </w:r>
        <w:r>
          <w:rPr>
            <w:noProof/>
            <w:webHidden/>
          </w:rPr>
        </w:r>
        <w:r>
          <w:rPr>
            <w:noProof/>
            <w:webHidden/>
          </w:rPr>
          <w:fldChar w:fldCharType="separate"/>
        </w:r>
        <w:r>
          <w:rPr>
            <w:noProof/>
            <w:webHidden/>
          </w:rPr>
          <w:t>9</w:t>
        </w:r>
        <w:r>
          <w:rPr>
            <w:noProof/>
            <w:webHidden/>
          </w:rPr>
          <w:fldChar w:fldCharType="end"/>
        </w:r>
      </w:hyperlink>
    </w:p>
    <w:p w14:paraId="30EF39AA" w14:textId="65B211AB"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876" w:history="1">
        <w:r w:rsidRPr="00F90823">
          <w:rPr>
            <w:rStyle w:val="Hyperlink"/>
            <w:noProof/>
          </w:rPr>
          <w:t>Table 3</w:t>
        </w:r>
        <w:r>
          <w:rPr>
            <w:rFonts w:eastAsiaTheme="minorEastAsia"/>
            <w:noProof/>
            <w:color w:val="auto"/>
            <w:lang w:eastAsia="en-AU"/>
          </w:rPr>
          <w:tab/>
        </w:r>
        <w:r w:rsidRPr="00F90823">
          <w:rPr>
            <w:rStyle w:val="Hyperlink"/>
            <w:noProof/>
          </w:rPr>
          <w:t>Avoided FSI by option by scenario</w:t>
        </w:r>
        <w:r>
          <w:rPr>
            <w:noProof/>
            <w:webHidden/>
          </w:rPr>
          <w:tab/>
        </w:r>
        <w:r>
          <w:rPr>
            <w:noProof/>
            <w:webHidden/>
          </w:rPr>
          <w:fldChar w:fldCharType="begin"/>
        </w:r>
        <w:r>
          <w:rPr>
            <w:noProof/>
            <w:webHidden/>
          </w:rPr>
          <w:instrText xml:space="preserve"> PAGEREF _Toc210051876 \h </w:instrText>
        </w:r>
        <w:r>
          <w:rPr>
            <w:noProof/>
            <w:webHidden/>
          </w:rPr>
        </w:r>
        <w:r>
          <w:rPr>
            <w:noProof/>
            <w:webHidden/>
          </w:rPr>
          <w:fldChar w:fldCharType="separate"/>
        </w:r>
        <w:r>
          <w:rPr>
            <w:noProof/>
            <w:webHidden/>
          </w:rPr>
          <w:t>11</w:t>
        </w:r>
        <w:r>
          <w:rPr>
            <w:noProof/>
            <w:webHidden/>
          </w:rPr>
          <w:fldChar w:fldCharType="end"/>
        </w:r>
      </w:hyperlink>
    </w:p>
    <w:p w14:paraId="6483EBBF" w14:textId="46BBA5AD"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877" w:history="1">
        <w:r w:rsidRPr="00F90823">
          <w:rPr>
            <w:rStyle w:val="Hyperlink"/>
            <w:noProof/>
          </w:rPr>
          <w:t>Table 4</w:t>
        </w:r>
        <w:r>
          <w:rPr>
            <w:rFonts w:eastAsiaTheme="minorEastAsia"/>
            <w:noProof/>
            <w:color w:val="auto"/>
            <w:lang w:eastAsia="en-AU"/>
          </w:rPr>
          <w:tab/>
        </w:r>
        <w:r w:rsidRPr="00F90823">
          <w:rPr>
            <w:rStyle w:val="Hyperlink"/>
            <w:noProof/>
          </w:rPr>
          <w:t>Central estimate NPVs and BCRs</w:t>
        </w:r>
        <w:r>
          <w:rPr>
            <w:noProof/>
            <w:webHidden/>
          </w:rPr>
          <w:tab/>
        </w:r>
        <w:r>
          <w:rPr>
            <w:noProof/>
            <w:webHidden/>
          </w:rPr>
          <w:fldChar w:fldCharType="begin"/>
        </w:r>
        <w:r>
          <w:rPr>
            <w:noProof/>
            <w:webHidden/>
          </w:rPr>
          <w:instrText xml:space="preserve"> PAGEREF _Toc210051877 \h </w:instrText>
        </w:r>
        <w:r>
          <w:rPr>
            <w:noProof/>
            <w:webHidden/>
          </w:rPr>
        </w:r>
        <w:r>
          <w:rPr>
            <w:noProof/>
            <w:webHidden/>
          </w:rPr>
          <w:fldChar w:fldCharType="separate"/>
        </w:r>
        <w:r>
          <w:rPr>
            <w:noProof/>
            <w:webHidden/>
          </w:rPr>
          <w:t>11</w:t>
        </w:r>
        <w:r>
          <w:rPr>
            <w:noProof/>
            <w:webHidden/>
          </w:rPr>
          <w:fldChar w:fldCharType="end"/>
        </w:r>
      </w:hyperlink>
    </w:p>
    <w:p w14:paraId="33F7F90C" w14:textId="19D3A379"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878" w:history="1">
        <w:r w:rsidRPr="00F90823">
          <w:rPr>
            <w:rStyle w:val="Hyperlink"/>
            <w:noProof/>
          </w:rPr>
          <w:t>Table 5</w:t>
        </w:r>
        <w:r>
          <w:rPr>
            <w:rFonts w:eastAsiaTheme="minorEastAsia"/>
            <w:noProof/>
            <w:color w:val="auto"/>
            <w:lang w:eastAsia="en-AU"/>
          </w:rPr>
          <w:tab/>
        </w:r>
        <w:r w:rsidRPr="00F90823">
          <w:rPr>
            <w:rStyle w:val="Hyperlink"/>
            <w:noProof/>
          </w:rPr>
          <w:t>Modelled reductions in fatalities and serious injuries on unsealed roads by option</w:t>
        </w:r>
        <w:r>
          <w:rPr>
            <w:noProof/>
            <w:webHidden/>
          </w:rPr>
          <w:tab/>
        </w:r>
        <w:r>
          <w:rPr>
            <w:noProof/>
            <w:webHidden/>
          </w:rPr>
          <w:fldChar w:fldCharType="begin"/>
        </w:r>
        <w:r>
          <w:rPr>
            <w:noProof/>
            <w:webHidden/>
          </w:rPr>
          <w:instrText xml:space="preserve"> PAGEREF _Toc210051878 \h </w:instrText>
        </w:r>
        <w:r>
          <w:rPr>
            <w:noProof/>
            <w:webHidden/>
          </w:rPr>
        </w:r>
        <w:r>
          <w:rPr>
            <w:noProof/>
            <w:webHidden/>
          </w:rPr>
          <w:fldChar w:fldCharType="separate"/>
        </w:r>
        <w:r>
          <w:rPr>
            <w:noProof/>
            <w:webHidden/>
          </w:rPr>
          <w:t>11</w:t>
        </w:r>
        <w:r>
          <w:rPr>
            <w:noProof/>
            <w:webHidden/>
          </w:rPr>
          <w:fldChar w:fldCharType="end"/>
        </w:r>
      </w:hyperlink>
    </w:p>
    <w:p w14:paraId="4B1A0219" w14:textId="651E90F9"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879" w:history="1">
        <w:r w:rsidRPr="00F90823">
          <w:rPr>
            <w:rStyle w:val="Hyperlink"/>
            <w:noProof/>
          </w:rPr>
          <w:t>Table 6</w:t>
        </w:r>
        <w:r>
          <w:rPr>
            <w:rFonts w:eastAsiaTheme="minorEastAsia"/>
            <w:noProof/>
            <w:color w:val="auto"/>
            <w:lang w:eastAsia="en-AU"/>
          </w:rPr>
          <w:tab/>
        </w:r>
        <w:r w:rsidRPr="00F90823">
          <w:rPr>
            <w:rStyle w:val="Hyperlink"/>
            <w:noProof/>
          </w:rPr>
          <w:t>Unsealed roads BCR by option by VKT scenario</w:t>
        </w:r>
        <w:r>
          <w:rPr>
            <w:noProof/>
            <w:webHidden/>
          </w:rPr>
          <w:tab/>
        </w:r>
        <w:r>
          <w:rPr>
            <w:noProof/>
            <w:webHidden/>
          </w:rPr>
          <w:fldChar w:fldCharType="begin"/>
        </w:r>
        <w:r>
          <w:rPr>
            <w:noProof/>
            <w:webHidden/>
          </w:rPr>
          <w:instrText xml:space="preserve"> PAGEREF _Toc210051879 \h </w:instrText>
        </w:r>
        <w:r>
          <w:rPr>
            <w:noProof/>
            <w:webHidden/>
          </w:rPr>
        </w:r>
        <w:r>
          <w:rPr>
            <w:noProof/>
            <w:webHidden/>
          </w:rPr>
          <w:fldChar w:fldCharType="separate"/>
        </w:r>
        <w:r>
          <w:rPr>
            <w:noProof/>
            <w:webHidden/>
          </w:rPr>
          <w:t>11</w:t>
        </w:r>
        <w:r>
          <w:rPr>
            <w:noProof/>
            <w:webHidden/>
          </w:rPr>
          <w:fldChar w:fldCharType="end"/>
        </w:r>
      </w:hyperlink>
    </w:p>
    <w:p w14:paraId="3FCF5086" w14:textId="54C5395E"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880" w:history="1">
        <w:r w:rsidRPr="00F90823">
          <w:rPr>
            <w:rStyle w:val="Hyperlink"/>
            <w:noProof/>
          </w:rPr>
          <w:t>Figure 2</w:t>
        </w:r>
        <w:r>
          <w:rPr>
            <w:rFonts w:eastAsiaTheme="minorEastAsia"/>
            <w:noProof/>
            <w:color w:val="auto"/>
            <w:lang w:eastAsia="en-AU"/>
          </w:rPr>
          <w:tab/>
        </w:r>
        <w:r w:rsidRPr="00F90823">
          <w:rPr>
            <w:rStyle w:val="Hyperlink"/>
            <w:noProof/>
          </w:rPr>
          <w:t>Potential impact of the proposed policy options under different scenarios</w:t>
        </w:r>
        <w:r>
          <w:rPr>
            <w:noProof/>
            <w:webHidden/>
          </w:rPr>
          <w:tab/>
        </w:r>
        <w:r>
          <w:rPr>
            <w:noProof/>
            <w:webHidden/>
          </w:rPr>
          <w:fldChar w:fldCharType="begin"/>
        </w:r>
        <w:r>
          <w:rPr>
            <w:noProof/>
            <w:webHidden/>
          </w:rPr>
          <w:instrText xml:space="preserve"> PAGEREF _Toc210051880 \h </w:instrText>
        </w:r>
        <w:r>
          <w:rPr>
            <w:noProof/>
            <w:webHidden/>
          </w:rPr>
        </w:r>
        <w:r>
          <w:rPr>
            <w:noProof/>
            <w:webHidden/>
          </w:rPr>
          <w:fldChar w:fldCharType="separate"/>
        </w:r>
        <w:r>
          <w:rPr>
            <w:noProof/>
            <w:webHidden/>
          </w:rPr>
          <w:t>13</w:t>
        </w:r>
        <w:r>
          <w:rPr>
            <w:noProof/>
            <w:webHidden/>
          </w:rPr>
          <w:fldChar w:fldCharType="end"/>
        </w:r>
      </w:hyperlink>
    </w:p>
    <w:p w14:paraId="0F50FD8C" w14:textId="22DB3DEB"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881" w:history="1">
        <w:r w:rsidRPr="00F90823">
          <w:rPr>
            <w:rStyle w:val="Hyperlink"/>
            <w:noProof/>
          </w:rPr>
          <w:t>Figure 3</w:t>
        </w:r>
        <w:r>
          <w:rPr>
            <w:rFonts w:eastAsiaTheme="minorEastAsia"/>
            <w:noProof/>
            <w:color w:val="auto"/>
            <w:lang w:eastAsia="en-AU"/>
          </w:rPr>
          <w:tab/>
        </w:r>
        <w:r w:rsidRPr="00F90823">
          <w:rPr>
            <w:rStyle w:val="Hyperlink"/>
            <w:noProof/>
          </w:rPr>
          <w:t>Examples of default speed-limited roads outside of built-up areas</w:t>
        </w:r>
        <w:r>
          <w:rPr>
            <w:noProof/>
            <w:webHidden/>
          </w:rPr>
          <w:tab/>
        </w:r>
        <w:r>
          <w:rPr>
            <w:noProof/>
            <w:webHidden/>
          </w:rPr>
          <w:fldChar w:fldCharType="begin"/>
        </w:r>
        <w:r>
          <w:rPr>
            <w:noProof/>
            <w:webHidden/>
          </w:rPr>
          <w:instrText xml:space="preserve"> PAGEREF _Toc210051881 \h </w:instrText>
        </w:r>
        <w:r>
          <w:rPr>
            <w:noProof/>
            <w:webHidden/>
          </w:rPr>
        </w:r>
        <w:r>
          <w:rPr>
            <w:noProof/>
            <w:webHidden/>
          </w:rPr>
          <w:fldChar w:fldCharType="separate"/>
        </w:r>
        <w:r>
          <w:rPr>
            <w:noProof/>
            <w:webHidden/>
          </w:rPr>
          <w:t>15</w:t>
        </w:r>
        <w:r>
          <w:rPr>
            <w:noProof/>
            <w:webHidden/>
          </w:rPr>
          <w:fldChar w:fldCharType="end"/>
        </w:r>
      </w:hyperlink>
    </w:p>
    <w:p w14:paraId="311BA7AC" w14:textId="7157BEE6"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882" w:history="1">
        <w:r w:rsidRPr="00F90823">
          <w:rPr>
            <w:rStyle w:val="Hyperlink"/>
            <w:noProof/>
          </w:rPr>
          <w:t>Figure 4</w:t>
        </w:r>
        <w:r>
          <w:rPr>
            <w:rFonts w:eastAsiaTheme="minorEastAsia"/>
            <w:noProof/>
            <w:color w:val="auto"/>
            <w:lang w:eastAsia="en-AU"/>
          </w:rPr>
          <w:tab/>
        </w:r>
        <w:r w:rsidRPr="00F90823">
          <w:rPr>
            <w:rStyle w:val="Hyperlink"/>
            <w:noProof/>
          </w:rPr>
          <w:t>National Road Safety Strategy 2021-30, Targets for 2030</w:t>
        </w:r>
        <w:r>
          <w:rPr>
            <w:noProof/>
            <w:webHidden/>
          </w:rPr>
          <w:tab/>
        </w:r>
        <w:r>
          <w:rPr>
            <w:noProof/>
            <w:webHidden/>
          </w:rPr>
          <w:fldChar w:fldCharType="begin"/>
        </w:r>
        <w:r>
          <w:rPr>
            <w:noProof/>
            <w:webHidden/>
          </w:rPr>
          <w:instrText xml:space="preserve"> PAGEREF _Toc210051882 \h </w:instrText>
        </w:r>
        <w:r>
          <w:rPr>
            <w:noProof/>
            <w:webHidden/>
          </w:rPr>
        </w:r>
        <w:r>
          <w:rPr>
            <w:noProof/>
            <w:webHidden/>
          </w:rPr>
          <w:fldChar w:fldCharType="separate"/>
        </w:r>
        <w:r>
          <w:rPr>
            <w:noProof/>
            <w:webHidden/>
          </w:rPr>
          <w:t>16</w:t>
        </w:r>
        <w:r>
          <w:rPr>
            <w:noProof/>
            <w:webHidden/>
          </w:rPr>
          <w:fldChar w:fldCharType="end"/>
        </w:r>
      </w:hyperlink>
    </w:p>
    <w:p w14:paraId="0CFC33B9" w14:textId="301556CE"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883" w:history="1">
        <w:r w:rsidRPr="00F90823">
          <w:rPr>
            <w:rStyle w:val="Hyperlink"/>
            <w:noProof/>
          </w:rPr>
          <w:t>Figure 5</w:t>
        </w:r>
        <w:r>
          <w:rPr>
            <w:rFonts w:eastAsiaTheme="minorEastAsia"/>
            <w:noProof/>
            <w:color w:val="auto"/>
            <w:lang w:eastAsia="en-AU"/>
          </w:rPr>
          <w:tab/>
        </w:r>
        <w:r w:rsidRPr="00F90823">
          <w:rPr>
            <w:rStyle w:val="Hyperlink"/>
            <w:noProof/>
          </w:rPr>
          <w:t>National annual road fatalities, 2000 to 2024</w:t>
        </w:r>
        <w:r>
          <w:rPr>
            <w:noProof/>
            <w:webHidden/>
          </w:rPr>
          <w:tab/>
        </w:r>
        <w:r>
          <w:rPr>
            <w:noProof/>
            <w:webHidden/>
          </w:rPr>
          <w:fldChar w:fldCharType="begin"/>
        </w:r>
        <w:r>
          <w:rPr>
            <w:noProof/>
            <w:webHidden/>
          </w:rPr>
          <w:instrText xml:space="preserve"> PAGEREF _Toc210051883 \h </w:instrText>
        </w:r>
        <w:r>
          <w:rPr>
            <w:noProof/>
            <w:webHidden/>
          </w:rPr>
        </w:r>
        <w:r>
          <w:rPr>
            <w:noProof/>
            <w:webHidden/>
          </w:rPr>
          <w:fldChar w:fldCharType="separate"/>
        </w:r>
        <w:r>
          <w:rPr>
            <w:noProof/>
            <w:webHidden/>
          </w:rPr>
          <w:t>19</w:t>
        </w:r>
        <w:r>
          <w:rPr>
            <w:noProof/>
            <w:webHidden/>
          </w:rPr>
          <w:fldChar w:fldCharType="end"/>
        </w:r>
      </w:hyperlink>
    </w:p>
    <w:p w14:paraId="42590990" w14:textId="0864E680"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884" w:history="1">
        <w:r w:rsidRPr="00F90823">
          <w:rPr>
            <w:rStyle w:val="Hyperlink"/>
            <w:noProof/>
          </w:rPr>
          <w:t>Table 7</w:t>
        </w:r>
        <w:r>
          <w:rPr>
            <w:rFonts w:eastAsiaTheme="minorEastAsia"/>
            <w:noProof/>
            <w:color w:val="auto"/>
            <w:lang w:eastAsia="en-AU"/>
          </w:rPr>
          <w:tab/>
        </w:r>
        <w:r w:rsidRPr="00F90823">
          <w:rPr>
            <w:rStyle w:val="Hyperlink"/>
            <w:noProof/>
          </w:rPr>
          <w:t>Fatalities per 100,000 population in 2020 and 2023 by country</w:t>
        </w:r>
        <w:r>
          <w:rPr>
            <w:noProof/>
            <w:webHidden/>
          </w:rPr>
          <w:tab/>
        </w:r>
        <w:r>
          <w:rPr>
            <w:noProof/>
            <w:webHidden/>
          </w:rPr>
          <w:fldChar w:fldCharType="begin"/>
        </w:r>
        <w:r>
          <w:rPr>
            <w:noProof/>
            <w:webHidden/>
          </w:rPr>
          <w:instrText xml:space="preserve"> PAGEREF _Toc210051884 \h </w:instrText>
        </w:r>
        <w:r>
          <w:rPr>
            <w:noProof/>
            <w:webHidden/>
          </w:rPr>
        </w:r>
        <w:r>
          <w:rPr>
            <w:noProof/>
            <w:webHidden/>
          </w:rPr>
          <w:fldChar w:fldCharType="separate"/>
        </w:r>
        <w:r>
          <w:rPr>
            <w:noProof/>
            <w:webHidden/>
          </w:rPr>
          <w:t>19</w:t>
        </w:r>
        <w:r>
          <w:rPr>
            <w:noProof/>
            <w:webHidden/>
          </w:rPr>
          <w:fldChar w:fldCharType="end"/>
        </w:r>
      </w:hyperlink>
    </w:p>
    <w:p w14:paraId="6CD0AC7B" w14:textId="5E835F82"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885" w:history="1">
        <w:r w:rsidRPr="00F90823">
          <w:rPr>
            <w:rStyle w:val="Hyperlink"/>
            <w:noProof/>
          </w:rPr>
          <w:t>Figure 6</w:t>
        </w:r>
        <w:r>
          <w:rPr>
            <w:rFonts w:eastAsiaTheme="minorEastAsia"/>
            <w:noProof/>
            <w:color w:val="auto"/>
            <w:lang w:eastAsia="en-AU"/>
          </w:rPr>
          <w:tab/>
        </w:r>
        <w:r w:rsidRPr="00F90823">
          <w:rPr>
            <w:rStyle w:val="Hyperlink"/>
            <w:noProof/>
          </w:rPr>
          <w:t>Comparison of fatality rate per 100,000 population in 32 OECD countries, 2023</w:t>
        </w:r>
        <w:r>
          <w:rPr>
            <w:noProof/>
            <w:webHidden/>
          </w:rPr>
          <w:tab/>
        </w:r>
        <w:r>
          <w:rPr>
            <w:noProof/>
            <w:webHidden/>
          </w:rPr>
          <w:fldChar w:fldCharType="begin"/>
        </w:r>
        <w:r>
          <w:rPr>
            <w:noProof/>
            <w:webHidden/>
          </w:rPr>
          <w:instrText xml:space="preserve"> PAGEREF _Toc210051885 \h </w:instrText>
        </w:r>
        <w:r>
          <w:rPr>
            <w:noProof/>
            <w:webHidden/>
          </w:rPr>
        </w:r>
        <w:r>
          <w:rPr>
            <w:noProof/>
            <w:webHidden/>
          </w:rPr>
          <w:fldChar w:fldCharType="separate"/>
        </w:r>
        <w:r>
          <w:rPr>
            <w:noProof/>
            <w:webHidden/>
          </w:rPr>
          <w:t>20</w:t>
        </w:r>
        <w:r>
          <w:rPr>
            <w:noProof/>
            <w:webHidden/>
          </w:rPr>
          <w:fldChar w:fldCharType="end"/>
        </w:r>
      </w:hyperlink>
    </w:p>
    <w:p w14:paraId="1C75DC5A" w14:textId="62033F72"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886" w:history="1">
        <w:r w:rsidRPr="00F90823">
          <w:rPr>
            <w:rStyle w:val="Hyperlink"/>
            <w:noProof/>
          </w:rPr>
          <w:t>Figure 7</w:t>
        </w:r>
        <w:r>
          <w:rPr>
            <w:rFonts w:eastAsiaTheme="minorEastAsia"/>
            <w:noProof/>
            <w:color w:val="auto"/>
            <w:lang w:eastAsia="en-AU"/>
          </w:rPr>
          <w:tab/>
        </w:r>
        <w:r w:rsidRPr="00F90823">
          <w:rPr>
            <w:rStyle w:val="Hyperlink"/>
            <w:noProof/>
          </w:rPr>
          <w:t>Road fatalities per 100,000 population by remoteness region, 2014 to 2024</w:t>
        </w:r>
        <w:r>
          <w:rPr>
            <w:noProof/>
            <w:webHidden/>
          </w:rPr>
          <w:tab/>
        </w:r>
        <w:r>
          <w:rPr>
            <w:noProof/>
            <w:webHidden/>
          </w:rPr>
          <w:fldChar w:fldCharType="begin"/>
        </w:r>
        <w:r>
          <w:rPr>
            <w:noProof/>
            <w:webHidden/>
          </w:rPr>
          <w:instrText xml:space="preserve"> PAGEREF _Toc210051886 \h </w:instrText>
        </w:r>
        <w:r>
          <w:rPr>
            <w:noProof/>
            <w:webHidden/>
          </w:rPr>
        </w:r>
        <w:r>
          <w:rPr>
            <w:noProof/>
            <w:webHidden/>
          </w:rPr>
          <w:fldChar w:fldCharType="separate"/>
        </w:r>
        <w:r>
          <w:rPr>
            <w:noProof/>
            <w:webHidden/>
          </w:rPr>
          <w:t>21</w:t>
        </w:r>
        <w:r>
          <w:rPr>
            <w:noProof/>
            <w:webHidden/>
          </w:rPr>
          <w:fldChar w:fldCharType="end"/>
        </w:r>
      </w:hyperlink>
    </w:p>
    <w:p w14:paraId="7093314C" w14:textId="1C94AF16"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887" w:history="1">
        <w:r w:rsidRPr="00F90823">
          <w:rPr>
            <w:rStyle w:val="Hyperlink"/>
            <w:noProof/>
          </w:rPr>
          <w:t>Figure 8</w:t>
        </w:r>
        <w:r>
          <w:rPr>
            <w:rFonts w:eastAsiaTheme="minorEastAsia"/>
            <w:noProof/>
            <w:color w:val="auto"/>
            <w:lang w:eastAsia="en-AU"/>
          </w:rPr>
          <w:tab/>
        </w:r>
        <w:r w:rsidRPr="00F90823">
          <w:rPr>
            <w:rStyle w:val="Hyperlink"/>
            <w:noProof/>
          </w:rPr>
          <w:t>Hospitalised injuries per 100,000 population, 2011-2021</w:t>
        </w:r>
        <w:r>
          <w:rPr>
            <w:noProof/>
            <w:webHidden/>
          </w:rPr>
          <w:tab/>
        </w:r>
        <w:r>
          <w:rPr>
            <w:noProof/>
            <w:webHidden/>
          </w:rPr>
          <w:fldChar w:fldCharType="begin"/>
        </w:r>
        <w:r>
          <w:rPr>
            <w:noProof/>
            <w:webHidden/>
          </w:rPr>
          <w:instrText xml:space="preserve"> PAGEREF _Toc210051887 \h </w:instrText>
        </w:r>
        <w:r>
          <w:rPr>
            <w:noProof/>
            <w:webHidden/>
          </w:rPr>
        </w:r>
        <w:r>
          <w:rPr>
            <w:noProof/>
            <w:webHidden/>
          </w:rPr>
          <w:fldChar w:fldCharType="separate"/>
        </w:r>
        <w:r>
          <w:rPr>
            <w:noProof/>
            <w:webHidden/>
          </w:rPr>
          <w:t>21</w:t>
        </w:r>
        <w:r>
          <w:rPr>
            <w:noProof/>
            <w:webHidden/>
          </w:rPr>
          <w:fldChar w:fldCharType="end"/>
        </w:r>
      </w:hyperlink>
    </w:p>
    <w:p w14:paraId="59D7312F" w14:textId="5631C6B1"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888" w:history="1">
        <w:r w:rsidRPr="00F90823">
          <w:rPr>
            <w:rStyle w:val="Hyperlink"/>
            <w:noProof/>
          </w:rPr>
          <w:t>Figure 9</w:t>
        </w:r>
        <w:r>
          <w:rPr>
            <w:rFonts w:eastAsiaTheme="minorEastAsia"/>
            <w:noProof/>
            <w:color w:val="auto"/>
            <w:lang w:eastAsia="en-AU"/>
          </w:rPr>
          <w:tab/>
        </w:r>
        <w:r w:rsidRPr="00F90823">
          <w:rPr>
            <w:rStyle w:val="Hyperlink"/>
            <w:noProof/>
          </w:rPr>
          <w:t>Causes of road fatalities in Australia in 2017</w:t>
        </w:r>
        <w:r>
          <w:rPr>
            <w:noProof/>
            <w:webHidden/>
          </w:rPr>
          <w:tab/>
        </w:r>
        <w:r>
          <w:rPr>
            <w:noProof/>
            <w:webHidden/>
          </w:rPr>
          <w:fldChar w:fldCharType="begin"/>
        </w:r>
        <w:r>
          <w:rPr>
            <w:noProof/>
            <w:webHidden/>
          </w:rPr>
          <w:instrText xml:space="preserve"> PAGEREF _Toc210051888 \h </w:instrText>
        </w:r>
        <w:r>
          <w:rPr>
            <w:noProof/>
            <w:webHidden/>
          </w:rPr>
        </w:r>
        <w:r>
          <w:rPr>
            <w:noProof/>
            <w:webHidden/>
          </w:rPr>
          <w:fldChar w:fldCharType="separate"/>
        </w:r>
        <w:r>
          <w:rPr>
            <w:noProof/>
            <w:webHidden/>
          </w:rPr>
          <w:t>23</w:t>
        </w:r>
        <w:r>
          <w:rPr>
            <w:noProof/>
            <w:webHidden/>
          </w:rPr>
          <w:fldChar w:fldCharType="end"/>
        </w:r>
      </w:hyperlink>
    </w:p>
    <w:p w14:paraId="2F86CC97" w14:textId="299B2D24"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889" w:history="1">
        <w:r w:rsidRPr="00F90823">
          <w:rPr>
            <w:rStyle w:val="Hyperlink"/>
            <w:noProof/>
          </w:rPr>
          <w:t>Table 8</w:t>
        </w:r>
        <w:r>
          <w:rPr>
            <w:rFonts w:eastAsiaTheme="minorEastAsia"/>
            <w:noProof/>
            <w:color w:val="auto"/>
            <w:lang w:eastAsia="en-AU"/>
          </w:rPr>
          <w:tab/>
        </w:r>
        <w:r w:rsidRPr="00F90823">
          <w:rPr>
            <w:rStyle w:val="Hyperlink"/>
            <w:noProof/>
          </w:rPr>
          <w:t>Safe system approaches</w:t>
        </w:r>
        <w:r>
          <w:rPr>
            <w:noProof/>
            <w:webHidden/>
          </w:rPr>
          <w:tab/>
        </w:r>
        <w:r>
          <w:rPr>
            <w:noProof/>
            <w:webHidden/>
          </w:rPr>
          <w:fldChar w:fldCharType="begin"/>
        </w:r>
        <w:r>
          <w:rPr>
            <w:noProof/>
            <w:webHidden/>
          </w:rPr>
          <w:instrText xml:space="preserve"> PAGEREF _Toc210051889 \h </w:instrText>
        </w:r>
        <w:r>
          <w:rPr>
            <w:noProof/>
            <w:webHidden/>
          </w:rPr>
        </w:r>
        <w:r>
          <w:rPr>
            <w:noProof/>
            <w:webHidden/>
          </w:rPr>
          <w:fldChar w:fldCharType="separate"/>
        </w:r>
        <w:r>
          <w:rPr>
            <w:noProof/>
            <w:webHidden/>
          </w:rPr>
          <w:t>28</w:t>
        </w:r>
        <w:r>
          <w:rPr>
            <w:noProof/>
            <w:webHidden/>
          </w:rPr>
          <w:fldChar w:fldCharType="end"/>
        </w:r>
      </w:hyperlink>
    </w:p>
    <w:p w14:paraId="616381A3" w14:textId="428FC358"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890" w:history="1">
        <w:r w:rsidRPr="00F90823">
          <w:rPr>
            <w:rStyle w:val="Hyperlink"/>
            <w:noProof/>
          </w:rPr>
          <w:t>Table 9</w:t>
        </w:r>
        <w:r>
          <w:rPr>
            <w:rFonts w:eastAsiaTheme="minorEastAsia"/>
            <w:noProof/>
            <w:color w:val="auto"/>
            <w:lang w:eastAsia="en-AU"/>
          </w:rPr>
          <w:tab/>
        </w:r>
        <w:r w:rsidRPr="00F90823">
          <w:rPr>
            <w:rStyle w:val="Hyperlink"/>
            <w:noProof/>
          </w:rPr>
          <w:t>Default speed limits by State and Territory</w:t>
        </w:r>
        <w:r>
          <w:rPr>
            <w:noProof/>
            <w:webHidden/>
          </w:rPr>
          <w:tab/>
        </w:r>
        <w:r>
          <w:rPr>
            <w:noProof/>
            <w:webHidden/>
          </w:rPr>
          <w:fldChar w:fldCharType="begin"/>
        </w:r>
        <w:r>
          <w:rPr>
            <w:noProof/>
            <w:webHidden/>
          </w:rPr>
          <w:instrText xml:space="preserve"> PAGEREF _Toc210051890 \h </w:instrText>
        </w:r>
        <w:r>
          <w:rPr>
            <w:noProof/>
            <w:webHidden/>
          </w:rPr>
        </w:r>
        <w:r>
          <w:rPr>
            <w:noProof/>
            <w:webHidden/>
          </w:rPr>
          <w:fldChar w:fldCharType="separate"/>
        </w:r>
        <w:r>
          <w:rPr>
            <w:noProof/>
            <w:webHidden/>
          </w:rPr>
          <w:t>29</w:t>
        </w:r>
        <w:r>
          <w:rPr>
            <w:noProof/>
            <w:webHidden/>
          </w:rPr>
          <w:fldChar w:fldCharType="end"/>
        </w:r>
      </w:hyperlink>
    </w:p>
    <w:p w14:paraId="417140AD" w14:textId="1E66BAC0"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891" w:history="1">
        <w:r w:rsidRPr="00F90823">
          <w:rPr>
            <w:rStyle w:val="Hyperlink"/>
            <w:noProof/>
          </w:rPr>
          <w:t>Table 10</w:t>
        </w:r>
        <w:r>
          <w:rPr>
            <w:rFonts w:eastAsiaTheme="minorEastAsia"/>
            <w:noProof/>
            <w:color w:val="auto"/>
            <w:lang w:eastAsia="en-AU"/>
          </w:rPr>
          <w:tab/>
        </w:r>
        <w:r w:rsidRPr="00F90823">
          <w:rPr>
            <w:rStyle w:val="Hyperlink"/>
            <w:noProof/>
          </w:rPr>
          <w:t>Proposed options for sealed and unsealed roads</w:t>
        </w:r>
        <w:r>
          <w:rPr>
            <w:noProof/>
            <w:webHidden/>
          </w:rPr>
          <w:tab/>
        </w:r>
        <w:r>
          <w:rPr>
            <w:noProof/>
            <w:webHidden/>
          </w:rPr>
          <w:fldChar w:fldCharType="begin"/>
        </w:r>
        <w:r>
          <w:rPr>
            <w:noProof/>
            <w:webHidden/>
          </w:rPr>
          <w:instrText xml:space="preserve"> PAGEREF _Toc210051891 \h </w:instrText>
        </w:r>
        <w:r>
          <w:rPr>
            <w:noProof/>
            <w:webHidden/>
          </w:rPr>
        </w:r>
        <w:r>
          <w:rPr>
            <w:noProof/>
            <w:webHidden/>
          </w:rPr>
          <w:fldChar w:fldCharType="separate"/>
        </w:r>
        <w:r>
          <w:rPr>
            <w:noProof/>
            <w:webHidden/>
          </w:rPr>
          <w:t>34</w:t>
        </w:r>
        <w:r>
          <w:rPr>
            <w:noProof/>
            <w:webHidden/>
          </w:rPr>
          <w:fldChar w:fldCharType="end"/>
        </w:r>
      </w:hyperlink>
    </w:p>
    <w:p w14:paraId="30CB0D5B" w14:textId="65DF8603"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892" w:history="1">
        <w:r w:rsidRPr="00F90823">
          <w:rPr>
            <w:rStyle w:val="Hyperlink"/>
            <w:noProof/>
          </w:rPr>
          <w:t>Table 11</w:t>
        </w:r>
        <w:r>
          <w:rPr>
            <w:rFonts w:eastAsiaTheme="minorEastAsia"/>
            <w:noProof/>
            <w:color w:val="auto"/>
            <w:lang w:eastAsia="en-AU"/>
          </w:rPr>
          <w:tab/>
        </w:r>
        <w:r w:rsidRPr="00F90823">
          <w:rPr>
            <w:rStyle w:val="Hyperlink"/>
            <w:noProof/>
          </w:rPr>
          <w:t>Cost of obtaining reductions on state-controlled roads in South Australia with infrastructure changes or speed limits on 100 km/h roads</w:t>
        </w:r>
        <w:r>
          <w:rPr>
            <w:noProof/>
            <w:webHidden/>
          </w:rPr>
          <w:tab/>
        </w:r>
        <w:r>
          <w:rPr>
            <w:noProof/>
            <w:webHidden/>
          </w:rPr>
          <w:fldChar w:fldCharType="begin"/>
        </w:r>
        <w:r>
          <w:rPr>
            <w:noProof/>
            <w:webHidden/>
          </w:rPr>
          <w:instrText xml:space="preserve"> PAGEREF _Toc210051892 \h </w:instrText>
        </w:r>
        <w:r>
          <w:rPr>
            <w:noProof/>
            <w:webHidden/>
          </w:rPr>
        </w:r>
        <w:r>
          <w:rPr>
            <w:noProof/>
            <w:webHidden/>
          </w:rPr>
          <w:fldChar w:fldCharType="separate"/>
        </w:r>
        <w:r>
          <w:rPr>
            <w:noProof/>
            <w:webHidden/>
          </w:rPr>
          <w:t>35</w:t>
        </w:r>
        <w:r>
          <w:rPr>
            <w:noProof/>
            <w:webHidden/>
          </w:rPr>
          <w:fldChar w:fldCharType="end"/>
        </w:r>
      </w:hyperlink>
    </w:p>
    <w:p w14:paraId="78CC3419" w14:textId="4F35D0D5"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893" w:history="1">
        <w:r w:rsidRPr="00F90823">
          <w:rPr>
            <w:rStyle w:val="Hyperlink"/>
            <w:noProof/>
          </w:rPr>
          <w:t>Table 12</w:t>
        </w:r>
        <w:r>
          <w:rPr>
            <w:rFonts w:eastAsiaTheme="minorEastAsia"/>
            <w:noProof/>
            <w:color w:val="auto"/>
            <w:lang w:eastAsia="en-AU"/>
          </w:rPr>
          <w:tab/>
        </w:r>
        <w:r w:rsidRPr="00F90823">
          <w:rPr>
            <w:rStyle w:val="Hyperlink"/>
            <w:noProof/>
          </w:rPr>
          <w:t>Costs and benefits framework</w:t>
        </w:r>
        <w:r>
          <w:rPr>
            <w:noProof/>
            <w:webHidden/>
          </w:rPr>
          <w:tab/>
        </w:r>
        <w:r>
          <w:rPr>
            <w:noProof/>
            <w:webHidden/>
          </w:rPr>
          <w:fldChar w:fldCharType="begin"/>
        </w:r>
        <w:r>
          <w:rPr>
            <w:noProof/>
            <w:webHidden/>
          </w:rPr>
          <w:instrText xml:space="preserve"> PAGEREF _Toc210051893 \h </w:instrText>
        </w:r>
        <w:r>
          <w:rPr>
            <w:noProof/>
            <w:webHidden/>
          </w:rPr>
        </w:r>
        <w:r>
          <w:rPr>
            <w:noProof/>
            <w:webHidden/>
          </w:rPr>
          <w:fldChar w:fldCharType="separate"/>
        </w:r>
        <w:r>
          <w:rPr>
            <w:noProof/>
            <w:webHidden/>
          </w:rPr>
          <w:t>37</w:t>
        </w:r>
        <w:r>
          <w:rPr>
            <w:noProof/>
            <w:webHidden/>
          </w:rPr>
          <w:fldChar w:fldCharType="end"/>
        </w:r>
      </w:hyperlink>
    </w:p>
    <w:p w14:paraId="4CF78D54" w14:textId="1AFE142B"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894" w:history="1">
        <w:r w:rsidRPr="00F90823">
          <w:rPr>
            <w:rStyle w:val="Hyperlink"/>
            <w:noProof/>
          </w:rPr>
          <w:t>Table 13</w:t>
        </w:r>
        <w:r>
          <w:rPr>
            <w:rFonts w:eastAsiaTheme="minorEastAsia"/>
            <w:noProof/>
            <w:color w:val="auto"/>
            <w:lang w:eastAsia="en-AU"/>
          </w:rPr>
          <w:tab/>
        </w:r>
        <w:r w:rsidRPr="00F90823">
          <w:rPr>
            <w:rStyle w:val="Hyperlink"/>
            <w:noProof/>
          </w:rPr>
          <w:t>Net impact measures</w:t>
        </w:r>
        <w:r>
          <w:rPr>
            <w:noProof/>
            <w:webHidden/>
          </w:rPr>
          <w:tab/>
        </w:r>
        <w:r>
          <w:rPr>
            <w:noProof/>
            <w:webHidden/>
          </w:rPr>
          <w:fldChar w:fldCharType="begin"/>
        </w:r>
        <w:r>
          <w:rPr>
            <w:noProof/>
            <w:webHidden/>
          </w:rPr>
          <w:instrText xml:space="preserve"> PAGEREF _Toc210051894 \h </w:instrText>
        </w:r>
        <w:r>
          <w:rPr>
            <w:noProof/>
            <w:webHidden/>
          </w:rPr>
        </w:r>
        <w:r>
          <w:rPr>
            <w:noProof/>
            <w:webHidden/>
          </w:rPr>
          <w:fldChar w:fldCharType="separate"/>
        </w:r>
        <w:r>
          <w:rPr>
            <w:noProof/>
            <w:webHidden/>
          </w:rPr>
          <w:t>38</w:t>
        </w:r>
        <w:r>
          <w:rPr>
            <w:noProof/>
            <w:webHidden/>
          </w:rPr>
          <w:fldChar w:fldCharType="end"/>
        </w:r>
      </w:hyperlink>
    </w:p>
    <w:p w14:paraId="4FF5BF3C" w14:textId="6608D6DF"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895" w:history="1">
        <w:r w:rsidRPr="00F90823">
          <w:rPr>
            <w:rStyle w:val="Hyperlink"/>
            <w:noProof/>
          </w:rPr>
          <w:t>Table 14</w:t>
        </w:r>
        <w:r>
          <w:rPr>
            <w:rFonts w:eastAsiaTheme="minorEastAsia"/>
            <w:noProof/>
            <w:color w:val="auto"/>
            <w:lang w:eastAsia="en-AU"/>
          </w:rPr>
          <w:tab/>
        </w:r>
        <w:r w:rsidRPr="00F90823">
          <w:rPr>
            <w:rStyle w:val="Hyperlink"/>
            <w:noProof/>
          </w:rPr>
          <w:t>Summary of VKT by vehicle type forecasts</w:t>
        </w:r>
        <w:r>
          <w:rPr>
            <w:noProof/>
            <w:webHidden/>
          </w:rPr>
          <w:tab/>
        </w:r>
        <w:r>
          <w:rPr>
            <w:noProof/>
            <w:webHidden/>
          </w:rPr>
          <w:fldChar w:fldCharType="begin"/>
        </w:r>
        <w:r>
          <w:rPr>
            <w:noProof/>
            <w:webHidden/>
          </w:rPr>
          <w:instrText xml:space="preserve"> PAGEREF _Toc210051895 \h </w:instrText>
        </w:r>
        <w:r>
          <w:rPr>
            <w:noProof/>
            <w:webHidden/>
          </w:rPr>
        </w:r>
        <w:r>
          <w:rPr>
            <w:noProof/>
            <w:webHidden/>
          </w:rPr>
          <w:fldChar w:fldCharType="separate"/>
        </w:r>
        <w:r>
          <w:rPr>
            <w:noProof/>
            <w:webHidden/>
          </w:rPr>
          <w:t>42</w:t>
        </w:r>
        <w:r>
          <w:rPr>
            <w:noProof/>
            <w:webHidden/>
          </w:rPr>
          <w:fldChar w:fldCharType="end"/>
        </w:r>
      </w:hyperlink>
    </w:p>
    <w:p w14:paraId="21B633F8" w14:textId="7D20094A"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896" w:history="1">
        <w:r w:rsidRPr="00F90823">
          <w:rPr>
            <w:rStyle w:val="Hyperlink"/>
            <w:noProof/>
          </w:rPr>
          <w:t>Table 15</w:t>
        </w:r>
        <w:r>
          <w:rPr>
            <w:rFonts w:eastAsiaTheme="minorEastAsia"/>
            <w:noProof/>
            <w:color w:val="auto"/>
            <w:lang w:eastAsia="en-AU"/>
          </w:rPr>
          <w:tab/>
        </w:r>
        <w:r w:rsidRPr="00F90823">
          <w:rPr>
            <w:rStyle w:val="Hyperlink"/>
            <w:noProof/>
          </w:rPr>
          <w:t>Number of vehicle per capita</w:t>
        </w:r>
        <w:r>
          <w:rPr>
            <w:noProof/>
            <w:webHidden/>
          </w:rPr>
          <w:tab/>
        </w:r>
        <w:r>
          <w:rPr>
            <w:noProof/>
            <w:webHidden/>
          </w:rPr>
          <w:fldChar w:fldCharType="begin"/>
        </w:r>
        <w:r>
          <w:rPr>
            <w:noProof/>
            <w:webHidden/>
          </w:rPr>
          <w:instrText xml:space="preserve"> PAGEREF _Toc210051896 \h </w:instrText>
        </w:r>
        <w:r>
          <w:rPr>
            <w:noProof/>
            <w:webHidden/>
          </w:rPr>
        </w:r>
        <w:r>
          <w:rPr>
            <w:noProof/>
            <w:webHidden/>
          </w:rPr>
          <w:fldChar w:fldCharType="separate"/>
        </w:r>
        <w:r>
          <w:rPr>
            <w:noProof/>
            <w:webHidden/>
          </w:rPr>
          <w:t>42</w:t>
        </w:r>
        <w:r>
          <w:rPr>
            <w:noProof/>
            <w:webHidden/>
          </w:rPr>
          <w:fldChar w:fldCharType="end"/>
        </w:r>
      </w:hyperlink>
    </w:p>
    <w:p w14:paraId="65F47C65" w14:textId="5F6E0E1D"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897" w:history="1">
        <w:r w:rsidRPr="00F90823">
          <w:rPr>
            <w:rStyle w:val="Hyperlink"/>
            <w:noProof/>
          </w:rPr>
          <w:t>Table 16</w:t>
        </w:r>
        <w:r>
          <w:rPr>
            <w:rFonts w:eastAsiaTheme="minorEastAsia"/>
            <w:noProof/>
            <w:color w:val="auto"/>
            <w:lang w:eastAsia="en-AU"/>
          </w:rPr>
          <w:tab/>
        </w:r>
        <w:r w:rsidRPr="00F90823">
          <w:rPr>
            <w:rStyle w:val="Hyperlink"/>
            <w:noProof/>
          </w:rPr>
          <w:t>Summary of number of vehicles forecasts, 2034</w:t>
        </w:r>
        <w:r>
          <w:rPr>
            <w:noProof/>
            <w:webHidden/>
          </w:rPr>
          <w:tab/>
        </w:r>
        <w:r>
          <w:rPr>
            <w:noProof/>
            <w:webHidden/>
          </w:rPr>
          <w:fldChar w:fldCharType="begin"/>
        </w:r>
        <w:r>
          <w:rPr>
            <w:noProof/>
            <w:webHidden/>
          </w:rPr>
          <w:instrText xml:space="preserve"> PAGEREF _Toc210051897 \h </w:instrText>
        </w:r>
        <w:r>
          <w:rPr>
            <w:noProof/>
            <w:webHidden/>
          </w:rPr>
        </w:r>
        <w:r>
          <w:rPr>
            <w:noProof/>
            <w:webHidden/>
          </w:rPr>
          <w:fldChar w:fldCharType="separate"/>
        </w:r>
        <w:r>
          <w:rPr>
            <w:noProof/>
            <w:webHidden/>
          </w:rPr>
          <w:t>42</w:t>
        </w:r>
        <w:r>
          <w:rPr>
            <w:noProof/>
            <w:webHidden/>
          </w:rPr>
          <w:fldChar w:fldCharType="end"/>
        </w:r>
      </w:hyperlink>
    </w:p>
    <w:p w14:paraId="6F551D95" w14:textId="6C149027"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898" w:history="1">
        <w:r w:rsidRPr="00F90823">
          <w:rPr>
            <w:rStyle w:val="Hyperlink"/>
            <w:noProof/>
          </w:rPr>
          <w:t>Table 17</w:t>
        </w:r>
        <w:r>
          <w:rPr>
            <w:rFonts w:eastAsiaTheme="minorEastAsia"/>
            <w:noProof/>
            <w:color w:val="auto"/>
            <w:lang w:eastAsia="en-AU"/>
          </w:rPr>
          <w:tab/>
        </w:r>
        <w:r w:rsidRPr="00F90823">
          <w:rPr>
            <w:rStyle w:val="Hyperlink"/>
            <w:noProof/>
          </w:rPr>
          <w:t>Average VKT per vehicle per year by vehicle type (km)</w:t>
        </w:r>
        <w:r>
          <w:rPr>
            <w:noProof/>
            <w:webHidden/>
          </w:rPr>
          <w:tab/>
        </w:r>
        <w:r>
          <w:rPr>
            <w:noProof/>
            <w:webHidden/>
          </w:rPr>
          <w:fldChar w:fldCharType="begin"/>
        </w:r>
        <w:r>
          <w:rPr>
            <w:noProof/>
            <w:webHidden/>
          </w:rPr>
          <w:instrText xml:space="preserve"> PAGEREF _Toc210051898 \h </w:instrText>
        </w:r>
        <w:r>
          <w:rPr>
            <w:noProof/>
            <w:webHidden/>
          </w:rPr>
        </w:r>
        <w:r>
          <w:rPr>
            <w:noProof/>
            <w:webHidden/>
          </w:rPr>
          <w:fldChar w:fldCharType="separate"/>
        </w:r>
        <w:r>
          <w:rPr>
            <w:noProof/>
            <w:webHidden/>
          </w:rPr>
          <w:t>43</w:t>
        </w:r>
        <w:r>
          <w:rPr>
            <w:noProof/>
            <w:webHidden/>
          </w:rPr>
          <w:fldChar w:fldCharType="end"/>
        </w:r>
      </w:hyperlink>
    </w:p>
    <w:p w14:paraId="2F5CD6BD" w14:textId="5C7A360B"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899" w:history="1">
        <w:r w:rsidRPr="00F90823">
          <w:rPr>
            <w:rStyle w:val="Hyperlink"/>
            <w:noProof/>
          </w:rPr>
          <w:t>Table 18</w:t>
        </w:r>
        <w:r>
          <w:rPr>
            <w:rFonts w:eastAsiaTheme="minorEastAsia"/>
            <w:noProof/>
            <w:color w:val="auto"/>
            <w:lang w:eastAsia="en-AU"/>
          </w:rPr>
          <w:tab/>
        </w:r>
        <w:r w:rsidRPr="00F90823">
          <w:rPr>
            <w:rStyle w:val="Hyperlink"/>
            <w:noProof/>
          </w:rPr>
          <w:t>Ratio of distance travelled by remoteness region</w:t>
        </w:r>
        <w:r>
          <w:rPr>
            <w:noProof/>
            <w:webHidden/>
          </w:rPr>
          <w:tab/>
        </w:r>
        <w:r>
          <w:rPr>
            <w:noProof/>
            <w:webHidden/>
          </w:rPr>
          <w:fldChar w:fldCharType="begin"/>
        </w:r>
        <w:r>
          <w:rPr>
            <w:noProof/>
            <w:webHidden/>
          </w:rPr>
          <w:instrText xml:space="preserve"> PAGEREF _Toc210051899 \h </w:instrText>
        </w:r>
        <w:r>
          <w:rPr>
            <w:noProof/>
            <w:webHidden/>
          </w:rPr>
        </w:r>
        <w:r>
          <w:rPr>
            <w:noProof/>
            <w:webHidden/>
          </w:rPr>
          <w:fldChar w:fldCharType="separate"/>
        </w:r>
        <w:r>
          <w:rPr>
            <w:noProof/>
            <w:webHidden/>
          </w:rPr>
          <w:t>43</w:t>
        </w:r>
        <w:r>
          <w:rPr>
            <w:noProof/>
            <w:webHidden/>
          </w:rPr>
          <w:fldChar w:fldCharType="end"/>
        </w:r>
      </w:hyperlink>
    </w:p>
    <w:p w14:paraId="17A6E302" w14:textId="21490A1A"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00" w:history="1">
        <w:r w:rsidRPr="00F90823">
          <w:rPr>
            <w:rStyle w:val="Hyperlink"/>
            <w:noProof/>
          </w:rPr>
          <w:t>Table 19</w:t>
        </w:r>
        <w:r>
          <w:rPr>
            <w:rFonts w:eastAsiaTheme="minorEastAsia"/>
            <w:noProof/>
            <w:color w:val="auto"/>
            <w:lang w:eastAsia="en-AU"/>
          </w:rPr>
          <w:tab/>
        </w:r>
        <w:r w:rsidRPr="00F90823">
          <w:rPr>
            <w:rStyle w:val="Hyperlink"/>
            <w:noProof/>
          </w:rPr>
          <w:t>Proportion of VKT by vehicle type by purpose, 2019-20 financial year</w:t>
        </w:r>
        <w:r>
          <w:rPr>
            <w:noProof/>
            <w:webHidden/>
          </w:rPr>
          <w:tab/>
        </w:r>
        <w:r>
          <w:rPr>
            <w:noProof/>
            <w:webHidden/>
          </w:rPr>
          <w:fldChar w:fldCharType="begin"/>
        </w:r>
        <w:r>
          <w:rPr>
            <w:noProof/>
            <w:webHidden/>
          </w:rPr>
          <w:instrText xml:space="preserve"> PAGEREF _Toc210051900 \h </w:instrText>
        </w:r>
        <w:r>
          <w:rPr>
            <w:noProof/>
            <w:webHidden/>
          </w:rPr>
        </w:r>
        <w:r>
          <w:rPr>
            <w:noProof/>
            <w:webHidden/>
          </w:rPr>
          <w:fldChar w:fldCharType="separate"/>
        </w:r>
        <w:r>
          <w:rPr>
            <w:noProof/>
            <w:webHidden/>
          </w:rPr>
          <w:t>44</w:t>
        </w:r>
        <w:r>
          <w:rPr>
            <w:noProof/>
            <w:webHidden/>
          </w:rPr>
          <w:fldChar w:fldCharType="end"/>
        </w:r>
      </w:hyperlink>
    </w:p>
    <w:p w14:paraId="785F8F1A" w14:textId="1C4ABC15"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01" w:history="1">
        <w:r w:rsidRPr="00F90823">
          <w:rPr>
            <w:rStyle w:val="Hyperlink"/>
            <w:noProof/>
          </w:rPr>
          <w:t>Table 20</w:t>
        </w:r>
        <w:r>
          <w:rPr>
            <w:rFonts w:eastAsiaTheme="minorEastAsia"/>
            <w:noProof/>
            <w:color w:val="auto"/>
            <w:lang w:eastAsia="en-AU"/>
          </w:rPr>
          <w:tab/>
        </w:r>
        <w:r w:rsidRPr="00F90823">
          <w:rPr>
            <w:rStyle w:val="Hyperlink"/>
            <w:noProof/>
          </w:rPr>
          <w:t>Adjusted proportion of VKT by vehicle type by purpose</w:t>
        </w:r>
        <w:r>
          <w:rPr>
            <w:noProof/>
            <w:webHidden/>
          </w:rPr>
          <w:tab/>
        </w:r>
        <w:r>
          <w:rPr>
            <w:noProof/>
            <w:webHidden/>
          </w:rPr>
          <w:fldChar w:fldCharType="begin"/>
        </w:r>
        <w:r>
          <w:rPr>
            <w:noProof/>
            <w:webHidden/>
          </w:rPr>
          <w:instrText xml:space="preserve"> PAGEREF _Toc210051901 \h </w:instrText>
        </w:r>
        <w:r>
          <w:rPr>
            <w:noProof/>
            <w:webHidden/>
          </w:rPr>
        </w:r>
        <w:r>
          <w:rPr>
            <w:noProof/>
            <w:webHidden/>
          </w:rPr>
          <w:fldChar w:fldCharType="separate"/>
        </w:r>
        <w:r>
          <w:rPr>
            <w:noProof/>
            <w:webHidden/>
          </w:rPr>
          <w:t>44</w:t>
        </w:r>
        <w:r>
          <w:rPr>
            <w:noProof/>
            <w:webHidden/>
          </w:rPr>
          <w:fldChar w:fldCharType="end"/>
        </w:r>
      </w:hyperlink>
    </w:p>
    <w:p w14:paraId="0501CE50" w14:textId="2982E570"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02" w:history="1">
        <w:r w:rsidRPr="00F90823">
          <w:rPr>
            <w:rStyle w:val="Hyperlink"/>
            <w:noProof/>
          </w:rPr>
          <w:t>Table 21</w:t>
        </w:r>
        <w:r>
          <w:rPr>
            <w:rFonts w:eastAsiaTheme="minorEastAsia"/>
            <w:noProof/>
            <w:color w:val="auto"/>
            <w:lang w:eastAsia="en-AU"/>
          </w:rPr>
          <w:tab/>
        </w:r>
        <w:r w:rsidRPr="00F90823">
          <w:rPr>
            <w:rStyle w:val="Hyperlink"/>
            <w:noProof/>
          </w:rPr>
          <w:t>Assumed proportion of VKT on default roads</w:t>
        </w:r>
        <w:r>
          <w:rPr>
            <w:noProof/>
            <w:webHidden/>
          </w:rPr>
          <w:tab/>
        </w:r>
        <w:r>
          <w:rPr>
            <w:noProof/>
            <w:webHidden/>
          </w:rPr>
          <w:fldChar w:fldCharType="begin"/>
        </w:r>
        <w:r>
          <w:rPr>
            <w:noProof/>
            <w:webHidden/>
          </w:rPr>
          <w:instrText xml:space="preserve"> PAGEREF _Toc210051902 \h </w:instrText>
        </w:r>
        <w:r>
          <w:rPr>
            <w:noProof/>
            <w:webHidden/>
          </w:rPr>
        </w:r>
        <w:r>
          <w:rPr>
            <w:noProof/>
            <w:webHidden/>
          </w:rPr>
          <w:fldChar w:fldCharType="separate"/>
        </w:r>
        <w:r>
          <w:rPr>
            <w:noProof/>
            <w:webHidden/>
          </w:rPr>
          <w:t>45</w:t>
        </w:r>
        <w:r>
          <w:rPr>
            <w:noProof/>
            <w:webHidden/>
          </w:rPr>
          <w:fldChar w:fldCharType="end"/>
        </w:r>
      </w:hyperlink>
    </w:p>
    <w:p w14:paraId="31547BE6" w14:textId="31981C19"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03" w:history="1">
        <w:r w:rsidRPr="00F90823">
          <w:rPr>
            <w:rStyle w:val="Hyperlink"/>
            <w:noProof/>
          </w:rPr>
          <w:t>Table 22</w:t>
        </w:r>
        <w:r>
          <w:rPr>
            <w:rFonts w:eastAsiaTheme="minorEastAsia"/>
            <w:noProof/>
            <w:color w:val="auto"/>
            <w:lang w:eastAsia="en-AU"/>
          </w:rPr>
          <w:tab/>
        </w:r>
        <w:r w:rsidRPr="00F90823">
          <w:rPr>
            <w:rStyle w:val="Hyperlink"/>
            <w:noProof/>
          </w:rPr>
          <w:t>Fuel efficiency by vehicle type (litre/100km)</w:t>
        </w:r>
        <w:r>
          <w:rPr>
            <w:noProof/>
            <w:webHidden/>
          </w:rPr>
          <w:tab/>
        </w:r>
        <w:r>
          <w:rPr>
            <w:noProof/>
            <w:webHidden/>
          </w:rPr>
          <w:fldChar w:fldCharType="begin"/>
        </w:r>
        <w:r>
          <w:rPr>
            <w:noProof/>
            <w:webHidden/>
          </w:rPr>
          <w:instrText xml:space="preserve"> PAGEREF _Toc210051903 \h </w:instrText>
        </w:r>
        <w:r>
          <w:rPr>
            <w:noProof/>
            <w:webHidden/>
          </w:rPr>
        </w:r>
        <w:r>
          <w:rPr>
            <w:noProof/>
            <w:webHidden/>
          </w:rPr>
          <w:fldChar w:fldCharType="separate"/>
        </w:r>
        <w:r>
          <w:rPr>
            <w:noProof/>
            <w:webHidden/>
          </w:rPr>
          <w:t>46</w:t>
        </w:r>
        <w:r>
          <w:rPr>
            <w:noProof/>
            <w:webHidden/>
          </w:rPr>
          <w:fldChar w:fldCharType="end"/>
        </w:r>
      </w:hyperlink>
    </w:p>
    <w:p w14:paraId="1122002C" w14:textId="02927110"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04" w:history="1">
        <w:r w:rsidRPr="00F90823">
          <w:rPr>
            <w:rStyle w:val="Hyperlink"/>
            <w:noProof/>
          </w:rPr>
          <w:t>Table 23</w:t>
        </w:r>
        <w:r>
          <w:rPr>
            <w:rFonts w:eastAsiaTheme="minorEastAsia"/>
            <w:noProof/>
            <w:color w:val="auto"/>
            <w:lang w:eastAsia="en-AU"/>
          </w:rPr>
          <w:tab/>
        </w:r>
        <w:r w:rsidRPr="00F90823">
          <w:rPr>
            <w:rStyle w:val="Hyperlink"/>
            <w:noProof/>
          </w:rPr>
          <w:t>Summary: Fuel efficiency assumptions (litres/100km)</w:t>
        </w:r>
        <w:r>
          <w:rPr>
            <w:noProof/>
            <w:webHidden/>
          </w:rPr>
          <w:tab/>
        </w:r>
        <w:r>
          <w:rPr>
            <w:noProof/>
            <w:webHidden/>
          </w:rPr>
          <w:fldChar w:fldCharType="begin"/>
        </w:r>
        <w:r>
          <w:rPr>
            <w:noProof/>
            <w:webHidden/>
          </w:rPr>
          <w:instrText xml:space="preserve"> PAGEREF _Toc210051904 \h </w:instrText>
        </w:r>
        <w:r>
          <w:rPr>
            <w:noProof/>
            <w:webHidden/>
          </w:rPr>
        </w:r>
        <w:r>
          <w:rPr>
            <w:noProof/>
            <w:webHidden/>
          </w:rPr>
          <w:fldChar w:fldCharType="separate"/>
        </w:r>
        <w:r>
          <w:rPr>
            <w:noProof/>
            <w:webHidden/>
          </w:rPr>
          <w:t>47</w:t>
        </w:r>
        <w:r>
          <w:rPr>
            <w:noProof/>
            <w:webHidden/>
          </w:rPr>
          <w:fldChar w:fldCharType="end"/>
        </w:r>
      </w:hyperlink>
    </w:p>
    <w:p w14:paraId="606D54C0" w14:textId="0E27951A"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05" w:history="1">
        <w:r w:rsidRPr="00F90823">
          <w:rPr>
            <w:rStyle w:val="Hyperlink"/>
            <w:noProof/>
          </w:rPr>
          <w:t>Table 24</w:t>
        </w:r>
        <w:r>
          <w:rPr>
            <w:rFonts w:eastAsiaTheme="minorEastAsia"/>
            <w:noProof/>
            <w:color w:val="auto"/>
            <w:lang w:eastAsia="en-AU"/>
          </w:rPr>
          <w:tab/>
        </w:r>
        <w:r w:rsidRPr="00F90823">
          <w:rPr>
            <w:rStyle w:val="Hyperlink"/>
            <w:noProof/>
          </w:rPr>
          <w:t>Fuel efficiency assumptions (grams of carbon per kilometre)</w:t>
        </w:r>
        <w:r>
          <w:rPr>
            <w:noProof/>
            <w:webHidden/>
          </w:rPr>
          <w:tab/>
        </w:r>
        <w:r>
          <w:rPr>
            <w:noProof/>
            <w:webHidden/>
          </w:rPr>
          <w:fldChar w:fldCharType="begin"/>
        </w:r>
        <w:r>
          <w:rPr>
            <w:noProof/>
            <w:webHidden/>
          </w:rPr>
          <w:instrText xml:space="preserve"> PAGEREF _Toc210051905 \h </w:instrText>
        </w:r>
        <w:r>
          <w:rPr>
            <w:noProof/>
            <w:webHidden/>
          </w:rPr>
        </w:r>
        <w:r>
          <w:rPr>
            <w:noProof/>
            <w:webHidden/>
          </w:rPr>
          <w:fldChar w:fldCharType="separate"/>
        </w:r>
        <w:r>
          <w:rPr>
            <w:noProof/>
            <w:webHidden/>
          </w:rPr>
          <w:t>48</w:t>
        </w:r>
        <w:r>
          <w:rPr>
            <w:noProof/>
            <w:webHidden/>
          </w:rPr>
          <w:fldChar w:fldCharType="end"/>
        </w:r>
      </w:hyperlink>
    </w:p>
    <w:p w14:paraId="5D592F80" w14:textId="3EEFC355"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06" w:history="1">
        <w:r w:rsidRPr="00F90823">
          <w:rPr>
            <w:rStyle w:val="Hyperlink"/>
            <w:noProof/>
          </w:rPr>
          <w:t>Table 25</w:t>
        </w:r>
        <w:r>
          <w:rPr>
            <w:rFonts w:eastAsiaTheme="minorEastAsia"/>
            <w:noProof/>
            <w:color w:val="auto"/>
            <w:lang w:eastAsia="en-AU"/>
          </w:rPr>
          <w:tab/>
        </w:r>
        <w:r w:rsidRPr="00F90823">
          <w:rPr>
            <w:rStyle w:val="Hyperlink"/>
            <w:noProof/>
          </w:rPr>
          <w:t>Projected fuel costs ($/litre)</w:t>
        </w:r>
        <w:r>
          <w:rPr>
            <w:noProof/>
            <w:webHidden/>
          </w:rPr>
          <w:tab/>
        </w:r>
        <w:r>
          <w:rPr>
            <w:noProof/>
            <w:webHidden/>
          </w:rPr>
          <w:fldChar w:fldCharType="begin"/>
        </w:r>
        <w:r>
          <w:rPr>
            <w:noProof/>
            <w:webHidden/>
          </w:rPr>
          <w:instrText xml:space="preserve"> PAGEREF _Toc210051906 \h </w:instrText>
        </w:r>
        <w:r>
          <w:rPr>
            <w:noProof/>
            <w:webHidden/>
          </w:rPr>
        </w:r>
        <w:r>
          <w:rPr>
            <w:noProof/>
            <w:webHidden/>
          </w:rPr>
          <w:fldChar w:fldCharType="separate"/>
        </w:r>
        <w:r>
          <w:rPr>
            <w:noProof/>
            <w:webHidden/>
          </w:rPr>
          <w:t>48</w:t>
        </w:r>
        <w:r>
          <w:rPr>
            <w:noProof/>
            <w:webHidden/>
          </w:rPr>
          <w:fldChar w:fldCharType="end"/>
        </w:r>
      </w:hyperlink>
    </w:p>
    <w:p w14:paraId="418034F7" w14:textId="3002CDE6"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07" w:history="1">
        <w:r w:rsidRPr="00F90823">
          <w:rPr>
            <w:rStyle w:val="Hyperlink"/>
            <w:noProof/>
          </w:rPr>
          <w:t>Table 26</w:t>
        </w:r>
        <w:r>
          <w:rPr>
            <w:rFonts w:eastAsiaTheme="minorEastAsia"/>
            <w:noProof/>
            <w:color w:val="auto"/>
            <w:lang w:eastAsia="en-AU"/>
          </w:rPr>
          <w:tab/>
        </w:r>
        <w:r w:rsidRPr="00F90823">
          <w:rPr>
            <w:rStyle w:val="Hyperlink"/>
            <w:noProof/>
          </w:rPr>
          <w:t>Total projected annual FSI for Australia, 2025-2030.  Source: MUARC Baseline Trauma Trends Model</w:t>
        </w:r>
        <w:r>
          <w:rPr>
            <w:noProof/>
            <w:webHidden/>
          </w:rPr>
          <w:tab/>
        </w:r>
        <w:r>
          <w:rPr>
            <w:noProof/>
            <w:webHidden/>
          </w:rPr>
          <w:fldChar w:fldCharType="begin"/>
        </w:r>
        <w:r>
          <w:rPr>
            <w:noProof/>
            <w:webHidden/>
          </w:rPr>
          <w:instrText xml:space="preserve"> PAGEREF _Toc210051907 \h </w:instrText>
        </w:r>
        <w:r>
          <w:rPr>
            <w:noProof/>
            <w:webHidden/>
          </w:rPr>
        </w:r>
        <w:r>
          <w:rPr>
            <w:noProof/>
            <w:webHidden/>
          </w:rPr>
          <w:fldChar w:fldCharType="separate"/>
        </w:r>
        <w:r>
          <w:rPr>
            <w:noProof/>
            <w:webHidden/>
          </w:rPr>
          <w:t>51</w:t>
        </w:r>
        <w:r>
          <w:rPr>
            <w:noProof/>
            <w:webHidden/>
          </w:rPr>
          <w:fldChar w:fldCharType="end"/>
        </w:r>
      </w:hyperlink>
    </w:p>
    <w:p w14:paraId="6E7CBE0C" w14:textId="129F0081"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08" w:history="1">
        <w:r w:rsidRPr="00F90823">
          <w:rPr>
            <w:rStyle w:val="Hyperlink"/>
            <w:noProof/>
          </w:rPr>
          <w:t>Table 27</w:t>
        </w:r>
        <w:r>
          <w:rPr>
            <w:rFonts w:eastAsiaTheme="minorEastAsia"/>
            <w:noProof/>
            <w:color w:val="auto"/>
            <w:lang w:eastAsia="en-AU"/>
          </w:rPr>
          <w:tab/>
        </w:r>
        <w:r w:rsidRPr="00F90823">
          <w:rPr>
            <w:rStyle w:val="Hyperlink"/>
            <w:noProof/>
          </w:rPr>
          <w:t>Extrapolated FSI for Australia, 2031-2036.  Source: author calculations</w:t>
        </w:r>
        <w:r>
          <w:rPr>
            <w:noProof/>
            <w:webHidden/>
          </w:rPr>
          <w:tab/>
        </w:r>
        <w:r>
          <w:rPr>
            <w:noProof/>
            <w:webHidden/>
          </w:rPr>
          <w:fldChar w:fldCharType="begin"/>
        </w:r>
        <w:r>
          <w:rPr>
            <w:noProof/>
            <w:webHidden/>
          </w:rPr>
          <w:instrText xml:space="preserve"> PAGEREF _Toc210051908 \h </w:instrText>
        </w:r>
        <w:r>
          <w:rPr>
            <w:noProof/>
            <w:webHidden/>
          </w:rPr>
        </w:r>
        <w:r>
          <w:rPr>
            <w:noProof/>
            <w:webHidden/>
          </w:rPr>
          <w:fldChar w:fldCharType="separate"/>
        </w:r>
        <w:r>
          <w:rPr>
            <w:noProof/>
            <w:webHidden/>
          </w:rPr>
          <w:t>51</w:t>
        </w:r>
        <w:r>
          <w:rPr>
            <w:noProof/>
            <w:webHidden/>
          </w:rPr>
          <w:fldChar w:fldCharType="end"/>
        </w:r>
      </w:hyperlink>
    </w:p>
    <w:p w14:paraId="4293B5CA" w14:textId="26D899CF"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09" w:history="1">
        <w:r w:rsidRPr="00F90823">
          <w:rPr>
            <w:rStyle w:val="Hyperlink"/>
            <w:noProof/>
          </w:rPr>
          <w:t>Table 28</w:t>
        </w:r>
        <w:r>
          <w:rPr>
            <w:rFonts w:eastAsiaTheme="minorEastAsia"/>
            <w:noProof/>
            <w:color w:val="auto"/>
            <w:lang w:eastAsia="en-AU"/>
          </w:rPr>
          <w:tab/>
        </w:r>
        <w:r w:rsidRPr="00F90823">
          <w:rPr>
            <w:rStyle w:val="Hyperlink"/>
            <w:noProof/>
          </w:rPr>
          <w:t xml:space="preserve"> Estimated annual fatalities (Jul 2015-Jun 2018) on sealed high-speed roads, rounded</w:t>
        </w:r>
        <w:r>
          <w:rPr>
            <w:noProof/>
            <w:webHidden/>
          </w:rPr>
          <w:tab/>
        </w:r>
        <w:r>
          <w:rPr>
            <w:noProof/>
            <w:webHidden/>
          </w:rPr>
          <w:fldChar w:fldCharType="begin"/>
        </w:r>
        <w:r>
          <w:rPr>
            <w:noProof/>
            <w:webHidden/>
          </w:rPr>
          <w:instrText xml:space="preserve"> PAGEREF _Toc210051909 \h </w:instrText>
        </w:r>
        <w:r>
          <w:rPr>
            <w:noProof/>
            <w:webHidden/>
          </w:rPr>
        </w:r>
        <w:r>
          <w:rPr>
            <w:noProof/>
            <w:webHidden/>
          </w:rPr>
          <w:fldChar w:fldCharType="separate"/>
        </w:r>
        <w:r>
          <w:rPr>
            <w:noProof/>
            <w:webHidden/>
          </w:rPr>
          <w:t>51</w:t>
        </w:r>
        <w:r>
          <w:rPr>
            <w:noProof/>
            <w:webHidden/>
          </w:rPr>
          <w:fldChar w:fldCharType="end"/>
        </w:r>
      </w:hyperlink>
    </w:p>
    <w:p w14:paraId="37B1E1B9" w14:textId="432DA1B4"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10" w:history="1">
        <w:r w:rsidRPr="00F90823">
          <w:rPr>
            <w:rStyle w:val="Hyperlink"/>
            <w:noProof/>
          </w:rPr>
          <w:t>Table 29</w:t>
        </w:r>
        <w:r>
          <w:rPr>
            <w:rFonts w:eastAsiaTheme="minorEastAsia"/>
            <w:noProof/>
            <w:color w:val="auto"/>
            <w:lang w:eastAsia="en-AU"/>
          </w:rPr>
          <w:tab/>
        </w:r>
        <w:r w:rsidRPr="00F90823">
          <w:rPr>
            <w:rStyle w:val="Hyperlink"/>
            <w:noProof/>
          </w:rPr>
          <w:t>Estimated annual weighted serious injuries (SI) (Jul 2015-Jun 2018) on sealed roads outside of built-up areas, rounded</w:t>
        </w:r>
        <w:r>
          <w:rPr>
            <w:noProof/>
            <w:webHidden/>
          </w:rPr>
          <w:tab/>
        </w:r>
        <w:r>
          <w:rPr>
            <w:noProof/>
            <w:webHidden/>
          </w:rPr>
          <w:fldChar w:fldCharType="begin"/>
        </w:r>
        <w:r>
          <w:rPr>
            <w:noProof/>
            <w:webHidden/>
          </w:rPr>
          <w:instrText xml:space="preserve"> PAGEREF _Toc210051910 \h </w:instrText>
        </w:r>
        <w:r>
          <w:rPr>
            <w:noProof/>
            <w:webHidden/>
          </w:rPr>
        </w:r>
        <w:r>
          <w:rPr>
            <w:noProof/>
            <w:webHidden/>
          </w:rPr>
          <w:fldChar w:fldCharType="separate"/>
        </w:r>
        <w:r>
          <w:rPr>
            <w:noProof/>
            <w:webHidden/>
          </w:rPr>
          <w:t>52</w:t>
        </w:r>
        <w:r>
          <w:rPr>
            <w:noProof/>
            <w:webHidden/>
          </w:rPr>
          <w:fldChar w:fldCharType="end"/>
        </w:r>
      </w:hyperlink>
    </w:p>
    <w:p w14:paraId="3E2D39CB" w14:textId="46291214"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11" w:history="1">
        <w:r w:rsidRPr="00F90823">
          <w:rPr>
            <w:rStyle w:val="Hyperlink"/>
            <w:noProof/>
          </w:rPr>
          <w:t>Table 30</w:t>
        </w:r>
        <w:r>
          <w:rPr>
            <w:rFonts w:eastAsiaTheme="minorEastAsia"/>
            <w:noProof/>
            <w:color w:val="auto"/>
            <w:lang w:eastAsia="en-AU"/>
          </w:rPr>
          <w:tab/>
        </w:r>
        <w:r w:rsidRPr="00F90823">
          <w:rPr>
            <w:rStyle w:val="Hyperlink"/>
            <w:noProof/>
          </w:rPr>
          <w:t>Estimated annual fatalities (Jul 2015-Jun 2018) on unsealed roads outside of built-up areas, rounded</w:t>
        </w:r>
        <w:r>
          <w:rPr>
            <w:noProof/>
            <w:webHidden/>
          </w:rPr>
          <w:tab/>
        </w:r>
        <w:r>
          <w:rPr>
            <w:noProof/>
            <w:webHidden/>
          </w:rPr>
          <w:fldChar w:fldCharType="begin"/>
        </w:r>
        <w:r>
          <w:rPr>
            <w:noProof/>
            <w:webHidden/>
          </w:rPr>
          <w:instrText xml:space="preserve"> PAGEREF _Toc210051911 \h </w:instrText>
        </w:r>
        <w:r>
          <w:rPr>
            <w:noProof/>
            <w:webHidden/>
          </w:rPr>
        </w:r>
        <w:r>
          <w:rPr>
            <w:noProof/>
            <w:webHidden/>
          </w:rPr>
          <w:fldChar w:fldCharType="separate"/>
        </w:r>
        <w:r>
          <w:rPr>
            <w:noProof/>
            <w:webHidden/>
          </w:rPr>
          <w:t>52</w:t>
        </w:r>
        <w:r>
          <w:rPr>
            <w:noProof/>
            <w:webHidden/>
          </w:rPr>
          <w:fldChar w:fldCharType="end"/>
        </w:r>
      </w:hyperlink>
    </w:p>
    <w:p w14:paraId="680EF470" w14:textId="65F2DBBC"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12" w:history="1">
        <w:r w:rsidRPr="00F90823">
          <w:rPr>
            <w:rStyle w:val="Hyperlink"/>
            <w:noProof/>
          </w:rPr>
          <w:t>Table 32</w:t>
        </w:r>
        <w:r>
          <w:rPr>
            <w:rFonts w:eastAsiaTheme="minorEastAsia"/>
            <w:noProof/>
            <w:color w:val="auto"/>
            <w:lang w:eastAsia="en-AU"/>
          </w:rPr>
          <w:tab/>
        </w:r>
        <w:r w:rsidRPr="00F90823">
          <w:rPr>
            <w:rStyle w:val="Hyperlink"/>
            <w:noProof/>
          </w:rPr>
          <w:t>Crash reduction factors, sealed roads where the default speed limit applies</w:t>
        </w:r>
        <w:r>
          <w:rPr>
            <w:noProof/>
            <w:webHidden/>
          </w:rPr>
          <w:tab/>
        </w:r>
        <w:r>
          <w:rPr>
            <w:noProof/>
            <w:webHidden/>
          </w:rPr>
          <w:fldChar w:fldCharType="begin"/>
        </w:r>
        <w:r>
          <w:rPr>
            <w:noProof/>
            <w:webHidden/>
          </w:rPr>
          <w:instrText xml:space="preserve"> PAGEREF _Toc210051912 \h </w:instrText>
        </w:r>
        <w:r>
          <w:rPr>
            <w:noProof/>
            <w:webHidden/>
          </w:rPr>
        </w:r>
        <w:r>
          <w:rPr>
            <w:noProof/>
            <w:webHidden/>
          </w:rPr>
          <w:fldChar w:fldCharType="separate"/>
        </w:r>
        <w:r>
          <w:rPr>
            <w:noProof/>
            <w:webHidden/>
          </w:rPr>
          <w:t>54</w:t>
        </w:r>
        <w:r>
          <w:rPr>
            <w:noProof/>
            <w:webHidden/>
          </w:rPr>
          <w:fldChar w:fldCharType="end"/>
        </w:r>
      </w:hyperlink>
    </w:p>
    <w:p w14:paraId="20C468C5" w14:textId="576EE078"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13" w:history="1">
        <w:r w:rsidRPr="00F90823">
          <w:rPr>
            <w:rStyle w:val="Hyperlink"/>
            <w:noProof/>
          </w:rPr>
          <w:t>Table 34</w:t>
        </w:r>
        <w:r>
          <w:rPr>
            <w:rFonts w:eastAsiaTheme="minorEastAsia"/>
            <w:noProof/>
            <w:color w:val="auto"/>
            <w:lang w:eastAsia="en-AU"/>
          </w:rPr>
          <w:tab/>
        </w:r>
        <w:r w:rsidRPr="00F90823">
          <w:rPr>
            <w:rStyle w:val="Hyperlink"/>
            <w:noProof/>
          </w:rPr>
          <w:t>Average casualty costs per person</w:t>
        </w:r>
        <w:r>
          <w:rPr>
            <w:noProof/>
            <w:webHidden/>
          </w:rPr>
          <w:tab/>
        </w:r>
        <w:r>
          <w:rPr>
            <w:noProof/>
            <w:webHidden/>
          </w:rPr>
          <w:fldChar w:fldCharType="begin"/>
        </w:r>
        <w:r>
          <w:rPr>
            <w:noProof/>
            <w:webHidden/>
          </w:rPr>
          <w:instrText xml:space="preserve"> PAGEREF _Toc210051913 \h </w:instrText>
        </w:r>
        <w:r>
          <w:rPr>
            <w:noProof/>
            <w:webHidden/>
          </w:rPr>
        </w:r>
        <w:r>
          <w:rPr>
            <w:noProof/>
            <w:webHidden/>
          </w:rPr>
          <w:fldChar w:fldCharType="separate"/>
        </w:r>
        <w:r>
          <w:rPr>
            <w:noProof/>
            <w:webHidden/>
          </w:rPr>
          <w:t>54</w:t>
        </w:r>
        <w:r>
          <w:rPr>
            <w:noProof/>
            <w:webHidden/>
          </w:rPr>
          <w:fldChar w:fldCharType="end"/>
        </w:r>
      </w:hyperlink>
    </w:p>
    <w:p w14:paraId="29F41F9D" w14:textId="45FEA485"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14" w:history="1">
        <w:r w:rsidRPr="00F90823">
          <w:rPr>
            <w:rStyle w:val="Hyperlink"/>
            <w:noProof/>
          </w:rPr>
          <w:t>Figure 10</w:t>
        </w:r>
        <w:r>
          <w:rPr>
            <w:rFonts w:eastAsiaTheme="minorEastAsia"/>
            <w:noProof/>
            <w:color w:val="auto"/>
            <w:lang w:eastAsia="en-AU"/>
          </w:rPr>
          <w:tab/>
        </w:r>
        <w:r w:rsidRPr="00F90823">
          <w:rPr>
            <w:rStyle w:val="Hyperlink"/>
            <w:noProof/>
          </w:rPr>
          <w:t>Emission factor curve for a passenger vehicle with a petrol engine calibrated for Australia</w:t>
        </w:r>
        <w:r>
          <w:rPr>
            <w:noProof/>
            <w:webHidden/>
          </w:rPr>
          <w:tab/>
        </w:r>
        <w:r>
          <w:rPr>
            <w:noProof/>
            <w:webHidden/>
          </w:rPr>
          <w:fldChar w:fldCharType="begin"/>
        </w:r>
        <w:r>
          <w:rPr>
            <w:noProof/>
            <w:webHidden/>
          </w:rPr>
          <w:instrText xml:space="preserve"> PAGEREF _Toc210051914 \h </w:instrText>
        </w:r>
        <w:r>
          <w:rPr>
            <w:noProof/>
            <w:webHidden/>
          </w:rPr>
        </w:r>
        <w:r>
          <w:rPr>
            <w:noProof/>
            <w:webHidden/>
          </w:rPr>
          <w:fldChar w:fldCharType="separate"/>
        </w:r>
        <w:r>
          <w:rPr>
            <w:noProof/>
            <w:webHidden/>
          </w:rPr>
          <w:t>56</w:t>
        </w:r>
        <w:r>
          <w:rPr>
            <w:noProof/>
            <w:webHidden/>
          </w:rPr>
          <w:fldChar w:fldCharType="end"/>
        </w:r>
      </w:hyperlink>
    </w:p>
    <w:p w14:paraId="156D9FE8" w14:textId="6F896687"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15" w:history="1">
        <w:r w:rsidRPr="00F90823">
          <w:rPr>
            <w:rStyle w:val="Hyperlink"/>
            <w:noProof/>
          </w:rPr>
          <w:t>Table 35</w:t>
        </w:r>
        <w:r>
          <w:rPr>
            <w:rFonts w:eastAsiaTheme="minorEastAsia"/>
            <w:noProof/>
            <w:color w:val="auto"/>
            <w:lang w:eastAsia="en-AU"/>
          </w:rPr>
          <w:tab/>
        </w:r>
        <w:r w:rsidRPr="00F90823">
          <w:rPr>
            <w:rStyle w:val="Hyperlink"/>
            <w:noProof/>
          </w:rPr>
          <w:t>Average change in fuel efficiency (l/100km) by speed example, by vehicle type</w:t>
        </w:r>
        <w:r>
          <w:rPr>
            <w:noProof/>
            <w:webHidden/>
          </w:rPr>
          <w:tab/>
        </w:r>
        <w:r>
          <w:rPr>
            <w:noProof/>
            <w:webHidden/>
          </w:rPr>
          <w:fldChar w:fldCharType="begin"/>
        </w:r>
        <w:r>
          <w:rPr>
            <w:noProof/>
            <w:webHidden/>
          </w:rPr>
          <w:instrText xml:space="preserve"> PAGEREF _Toc210051915 \h </w:instrText>
        </w:r>
        <w:r>
          <w:rPr>
            <w:noProof/>
            <w:webHidden/>
          </w:rPr>
        </w:r>
        <w:r>
          <w:rPr>
            <w:noProof/>
            <w:webHidden/>
          </w:rPr>
          <w:fldChar w:fldCharType="separate"/>
        </w:r>
        <w:r>
          <w:rPr>
            <w:noProof/>
            <w:webHidden/>
          </w:rPr>
          <w:t>57</w:t>
        </w:r>
        <w:r>
          <w:rPr>
            <w:noProof/>
            <w:webHidden/>
          </w:rPr>
          <w:fldChar w:fldCharType="end"/>
        </w:r>
      </w:hyperlink>
    </w:p>
    <w:p w14:paraId="299C40E7" w14:textId="716ECB8F"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16" w:history="1">
        <w:r w:rsidRPr="00F90823">
          <w:rPr>
            <w:rStyle w:val="Hyperlink"/>
            <w:noProof/>
          </w:rPr>
          <w:t>Figure 11</w:t>
        </w:r>
        <w:r>
          <w:rPr>
            <w:rFonts w:eastAsiaTheme="minorEastAsia"/>
            <w:noProof/>
            <w:color w:val="auto"/>
            <w:lang w:eastAsia="en-AU"/>
          </w:rPr>
          <w:tab/>
        </w:r>
        <w:r w:rsidRPr="00F90823">
          <w:rPr>
            <w:rStyle w:val="Hyperlink"/>
            <w:noProof/>
          </w:rPr>
          <w:t>Cost of carbon estimates (AUD, $2025)</w:t>
        </w:r>
        <w:r>
          <w:rPr>
            <w:noProof/>
            <w:webHidden/>
          </w:rPr>
          <w:tab/>
        </w:r>
        <w:r>
          <w:rPr>
            <w:noProof/>
            <w:webHidden/>
          </w:rPr>
          <w:fldChar w:fldCharType="begin"/>
        </w:r>
        <w:r>
          <w:rPr>
            <w:noProof/>
            <w:webHidden/>
          </w:rPr>
          <w:instrText xml:space="preserve"> PAGEREF _Toc210051916 \h </w:instrText>
        </w:r>
        <w:r>
          <w:rPr>
            <w:noProof/>
            <w:webHidden/>
          </w:rPr>
        </w:r>
        <w:r>
          <w:rPr>
            <w:noProof/>
            <w:webHidden/>
          </w:rPr>
          <w:fldChar w:fldCharType="separate"/>
        </w:r>
        <w:r>
          <w:rPr>
            <w:noProof/>
            <w:webHidden/>
          </w:rPr>
          <w:t>59</w:t>
        </w:r>
        <w:r>
          <w:rPr>
            <w:noProof/>
            <w:webHidden/>
          </w:rPr>
          <w:fldChar w:fldCharType="end"/>
        </w:r>
      </w:hyperlink>
    </w:p>
    <w:p w14:paraId="6A72AB8B" w14:textId="195B3E01"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17" w:history="1">
        <w:r w:rsidRPr="00F90823">
          <w:rPr>
            <w:rStyle w:val="Hyperlink"/>
            <w:noProof/>
          </w:rPr>
          <w:t>Figure 12</w:t>
        </w:r>
        <w:r>
          <w:rPr>
            <w:rFonts w:eastAsiaTheme="minorEastAsia"/>
            <w:noProof/>
            <w:color w:val="auto"/>
            <w:lang w:eastAsia="en-AU"/>
          </w:rPr>
          <w:tab/>
        </w:r>
        <w:r w:rsidRPr="00F90823">
          <w:rPr>
            <w:rStyle w:val="Hyperlink"/>
            <w:noProof/>
          </w:rPr>
          <w:t>Approach to modelling emissions abatement and fuel cost savings for each road type, remoteness areas, and modelling scenario</w:t>
        </w:r>
        <w:r>
          <w:rPr>
            <w:noProof/>
            <w:webHidden/>
          </w:rPr>
          <w:tab/>
        </w:r>
        <w:r>
          <w:rPr>
            <w:noProof/>
            <w:webHidden/>
          </w:rPr>
          <w:fldChar w:fldCharType="begin"/>
        </w:r>
        <w:r>
          <w:rPr>
            <w:noProof/>
            <w:webHidden/>
          </w:rPr>
          <w:instrText xml:space="preserve"> PAGEREF _Toc210051917 \h </w:instrText>
        </w:r>
        <w:r>
          <w:rPr>
            <w:noProof/>
            <w:webHidden/>
          </w:rPr>
        </w:r>
        <w:r>
          <w:rPr>
            <w:noProof/>
            <w:webHidden/>
          </w:rPr>
          <w:fldChar w:fldCharType="separate"/>
        </w:r>
        <w:r>
          <w:rPr>
            <w:noProof/>
            <w:webHidden/>
          </w:rPr>
          <w:t>60</w:t>
        </w:r>
        <w:r>
          <w:rPr>
            <w:noProof/>
            <w:webHidden/>
          </w:rPr>
          <w:fldChar w:fldCharType="end"/>
        </w:r>
      </w:hyperlink>
    </w:p>
    <w:p w14:paraId="4C2BD43A" w14:textId="06838D97"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18" w:history="1">
        <w:r w:rsidRPr="00F90823">
          <w:rPr>
            <w:rStyle w:val="Hyperlink"/>
            <w:noProof/>
          </w:rPr>
          <w:t>Figure 13</w:t>
        </w:r>
        <w:r>
          <w:rPr>
            <w:rFonts w:eastAsiaTheme="minorEastAsia"/>
            <w:noProof/>
            <w:color w:val="auto"/>
            <w:lang w:eastAsia="en-AU"/>
          </w:rPr>
          <w:tab/>
        </w:r>
        <w:r w:rsidRPr="00F90823">
          <w:rPr>
            <w:rStyle w:val="Hyperlink"/>
            <w:noProof/>
          </w:rPr>
          <w:t>Traffic flow (vehicle/hour) by travel speed on an urban motorway</w:t>
        </w:r>
        <w:r>
          <w:rPr>
            <w:noProof/>
            <w:webHidden/>
          </w:rPr>
          <w:tab/>
        </w:r>
        <w:r>
          <w:rPr>
            <w:noProof/>
            <w:webHidden/>
          </w:rPr>
          <w:fldChar w:fldCharType="begin"/>
        </w:r>
        <w:r>
          <w:rPr>
            <w:noProof/>
            <w:webHidden/>
          </w:rPr>
          <w:instrText xml:space="preserve"> PAGEREF _Toc210051918 \h </w:instrText>
        </w:r>
        <w:r>
          <w:rPr>
            <w:noProof/>
            <w:webHidden/>
          </w:rPr>
        </w:r>
        <w:r>
          <w:rPr>
            <w:noProof/>
            <w:webHidden/>
          </w:rPr>
          <w:fldChar w:fldCharType="separate"/>
        </w:r>
        <w:r>
          <w:rPr>
            <w:noProof/>
            <w:webHidden/>
          </w:rPr>
          <w:t>62</w:t>
        </w:r>
        <w:r>
          <w:rPr>
            <w:noProof/>
            <w:webHidden/>
          </w:rPr>
          <w:fldChar w:fldCharType="end"/>
        </w:r>
      </w:hyperlink>
    </w:p>
    <w:p w14:paraId="4879A204" w14:textId="3F6E8BCB"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19" w:history="1">
        <w:r w:rsidRPr="00F90823">
          <w:rPr>
            <w:rStyle w:val="Hyperlink"/>
            <w:noProof/>
          </w:rPr>
          <w:t>Table 36</w:t>
        </w:r>
        <w:r>
          <w:rPr>
            <w:rFonts w:eastAsiaTheme="minorEastAsia"/>
            <w:noProof/>
            <w:color w:val="auto"/>
            <w:lang w:eastAsia="en-AU"/>
          </w:rPr>
          <w:tab/>
        </w:r>
        <w:r w:rsidRPr="00F90823">
          <w:rPr>
            <w:rStyle w:val="Hyperlink"/>
            <w:noProof/>
          </w:rPr>
          <w:t>ATAP time value estimates</w:t>
        </w:r>
        <w:r>
          <w:rPr>
            <w:noProof/>
            <w:webHidden/>
          </w:rPr>
          <w:tab/>
        </w:r>
        <w:r>
          <w:rPr>
            <w:noProof/>
            <w:webHidden/>
          </w:rPr>
          <w:fldChar w:fldCharType="begin"/>
        </w:r>
        <w:r>
          <w:rPr>
            <w:noProof/>
            <w:webHidden/>
          </w:rPr>
          <w:instrText xml:space="preserve"> PAGEREF _Toc210051919 \h </w:instrText>
        </w:r>
        <w:r>
          <w:rPr>
            <w:noProof/>
            <w:webHidden/>
          </w:rPr>
        </w:r>
        <w:r>
          <w:rPr>
            <w:noProof/>
            <w:webHidden/>
          </w:rPr>
          <w:fldChar w:fldCharType="separate"/>
        </w:r>
        <w:r>
          <w:rPr>
            <w:noProof/>
            <w:webHidden/>
          </w:rPr>
          <w:t>63</w:t>
        </w:r>
        <w:r>
          <w:rPr>
            <w:noProof/>
            <w:webHidden/>
          </w:rPr>
          <w:fldChar w:fldCharType="end"/>
        </w:r>
      </w:hyperlink>
    </w:p>
    <w:p w14:paraId="7D495156" w14:textId="6FBB6837"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20" w:history="1">
        <w:r w:rsidRPr="00F90823">
          <w:rPr>
            <w:rStyle w:val="Hyperlink"/>
            <w:noProof/>
          </w:rPr>
          <w:t>Figure 14</w:t>
        </w:r>
        <w:r>
          <w:rPr>
            <w:rFonts w:eastAsiaTheme="minorEastAsia"/>
            <w:noProof/>
            <w:color w:val="auto"/>
            <w:lang w:eastAsia="en-AU"/>
          </w:rPr>
          <w:tab/>
        </w:r>
        <w:r w:rsidRPr="00F90823">
          <w:rPr>
            <w:rStyle w:val="Hyperlink"/>
            <w:noProof/>
          </w:rPr>
          <w:t xml:space="preserve">Approach to modelling travel time costs for each vehicle type, </w:t>
        </w:r>
        <w:r w:rsidRPr="00F90823">
          <w:rPr>
            <w:rStyle w:val="Hyperlink"/>
            <w:bCs/>
            <w:noProof/>
          </w:rPr>
          <w:t>road type, remoteness areas, and modelling scenario</w:t>
        </w:r>
        <w:r>
          <w:rPr>
            <w:noProof/>
            <w:webHidden/>
          </w:rPr>
          <w:tab/>
        </w:r>
        <w:r>
          <w:rPr>
            <w:noProof/>
            <w:webHidden/>
          </w:rPr>
          <w:fldChar w:fldCharType="begin"/>
        </w:r>
        <w:r>
          <w:rPr>
            <w:noProof/>
            <w:webHidden/>
          </w:rPr>
          <w:instrText xml:space="preserve"> PAGEREF _Toc210051920 \h </w:instrText>
        </w:r>
        <w:r>
          <w:rPr>
            <w:noProof/>
            <w:webHidden/>
          </w:rPr>
        </w:r>
        <w:r>
          <w:rPr>
            <w:noProof/>
            <w:webHidden/>
          </w:rPr>
          <w:fldChar w:fldCharType="separate"/>
        </w:r>
        <w:r>
          <w:rPr>
            <w:noProof/>
            <w:webHidden/>
          </w:rPr>
          <w:t>63</w:t>
        </w:r>
        <w:r>
          <w:rPr>
            <w:noProof/>
            <w:webHidden/>
          </w:rPr>
          <w:fldChar w:fldCharType="end"/>
        </w:r>
      </w:hyperlink>
    </w:p>
    <w:p w14:paraId="00C240F0" w14:textId="3F887B6D"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21" w:history="1">
        <w:r w:rsidRPr="00F90823">
          <w:rPr>
            <w:rStyle w:val="Hyperlink"/>
            <w:noProof/>
          </w:rPr>
          <w:t>Table 37</w:t>
        </w:r>
        <w:r>
          <w:rPr>
            <w:rFonts w:eastAsiaTheme="minorEastAsia"/>
            <w:noProof/>
            <w:color w:val="auto"/>
            <w:lang w:eastAsia="en-AU"/>
          </w:rPr>
          <w:tab/>
        </w:r>
        <w:r w:rsidRPr="00F90823">
          <w:rPr>
            <w:rStyle w:val="Hyperlink"/>
            <w:noProof/>
          </w:rPr>
          <w:t>Annual avoided FSI by option by scenario</w:t>
        </w:r>
        <w:r>
          <w:rPr>
            <w:noProof/>
            <w:webHidden/>
          </w:rPr>
          <w:tab/>
        </w:r>
        <w:r>
          <w:rPr>
            <w:noProof/>
            <w:webHidden/>
          </w:rPr>
          <w:fldChar w:fldCharType="begin"/>
        </w:r>
        <w:r>
          <w:rPr>
            <w:noProof/>
            <w:webHidden/>
          </w:rPr>
          <w:instrText xml:space="preserve"> PAGEREF _Toc210051921 \h </w:instrText>
        </w:r>
        <w:r>
          <w:rPr>
            <w:noProof/>
            <w:webHidden/>
          </w:rPr>
        </w:r>
        <w:r>
          <w:rPr>
            <w:noProof/>
            <w:webHidden/>
          </w:rPr>
          <w:fldChar w:fldCharType="separate"/>
        </w:r>
        <w:r>
          <w:rPr>
            <w:noProof/>
            <w:webHidden/>
          </w:rPr>
          <w:t>65</w:t>
        </w:r>
        <w:r>
          <w:rPr>
            <w:noProof/>
            <w:webHidden/>
          </w:rPr>
          <w:fldChar w:fldCharType="end"/>
        </w:r>
      </w:hyperlink>
    </w:p>
    <w:p w14:paraId="3741F1DB" w14:textId="3CD19A9D"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22" w:history="1">
        <w:r w:rsidRPr="00F90823">
          <w:rPr>
            <w:rStyle w:val="Hyperlink"/>
            <w:noProof/>
          </w:rPr>
          <w:t>Table 40</w:t>
        </w:r>
        <w:r>
          <w:rPr>
            <w:rFonts w:eastAsiaTheme="minorEastAsia"/>
            <w:noProof/>
            <w:color w:val="auto"/>
            <w:lang w:eastAsia="en-AU"/>
          </w:rPr>
          <w:tab/>
        </w:r>
        <w:r w:rsidRPr="00F90823">
          <w:rPr>
            <w:rStyle w:val="Hyperlink"/>
            <w:noProof/>
          </w:rPr>
          <w:t>Central estimate BCRs</w:t>
        </w:r>
        <w:r>
          <w:rPr>
            <w:noProof/>
            <w:webHidden/>
          </w:rPr>
          <w:tab/>
        </w:r>
        <w:r>
          <w:rPr>
            <w:noProof/>
            <w:webHidden/>
          </w:rPr>
          <w:fldChar w:fldCharType="begin"/>
        </w:r>
        <w:r>
          <w:rPr>
            <w:noProof/>
            <w:webHidden/>
          </w:rPr>
          <w:instrText xml:space="preserve"> PAGEREF _Toc210051922 \h </w:instrText>
        </w:r>
        <w:r>
          <w:rPr>
            <w:noProof/>
            <w:webHidden/>
          </w:rPr>
        </w:r>
        <w:r>
          <w:rPr>
            <w:noProof/>
            <w:webHidden/>
          </w:rPr>
          <w:fldChar w:fldCharType="separate"/>
        </w:r>
        <w:r>
          <w:rPr>
            <w:noProof/>
            <w:webHidden/>
          </w:rPr>
          <w:t>66</w:t>
        </w:r>
        <w:r>
          <w:rPr>
            <w:noProof/>
            <w:webHidden/>
          </w:rPr>
          <w:fldChar w:fldCharType="end"/>
        </w:r>
      </w:hyperlink>
    </w:p>
    <w:p w14:paraId="77E84103" w14:textId="73079DAD"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23" w:history="1">
        <w:r w:rsidRPr="00F90823">
          <w:rPr>
            <w:rStyle w:val="Hyperlink"/>
            <w:noProof/>
          </w:rPr>
          <w:t>Table 41</w:t>
        </w:r>
        <w:r>
          <w:rPr>
            <w:rFonts w:eastAsiaTheme="minorEastAsia"/>
            <w:noProof/>
            <w:color w:val="auto"/>
            <w:lang w:eastAsia="en-AU"/>
          </w:rPr>
          <w:tab/>
        </w:r>
        <w:r w:rsidRPr="00F90823">
          <w:rPr>
            <w:rStyle w:val="Hyperlink"/>
            <w:noProof/>
          </w:rPr>
          <w:t>Modelled reductions in fatalities and serious injuries on unsealed roads by option</w:t>
        </w:r>
        <w:r>
          <w:rPr>
            <w:noProof/>
            <w:webHidden/>
          </w:rPr>
          <w:tab/>
        </w:r>
        <w:r>
          <w:rPr>
            <w:noProof/>
            <w:webHidden/>
          </w:rPr>
          <w:fldChar w:fldCharType="begin"/>
        </w:r>
        <w:r>
          <w:rPr>
            <w:noProof/>
            <w:webHidden/>
          </w:rPr>
          <w:instrText xml:space="preserve"> PAGEREF _Toc210051923 \h </w:instrText>
        </w:r>
        <w:r>
          <w:rPr>
            <w:noProof/>
            <w:webHidden/>
          </w:rPr>
        </w:r>
        <w:r>
          <w:rPr>
            <w:noProof/>
            <w:webHidden/>
          </w:rPr>
          <w:fldChar w:fldCharType="separate"/>
        </w:r>
        <w:r>
          <w:rPr>
            <w:noProof/>
            <w:webHidden/>
          </w:rPr>
          <w:t>69</w:t>
        </w:r>
        <w:r>
          <w:rPr>
            <w:noProof/>
            <w:webHidden/>
          </w:rPr>
          <w:fldChar w:fldCharType="end"/>
        </w:r>
      </w:hyperlink>
    </w:p>
    <w:p w14:paraId="24130F52" w14:textId="000C81AF"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24" w:history="1">
        <w:r w:rsidRPr="00F90823">
          <w:rPr>
            <w:rStyle w:val="Hyperlink"/>
            <w:noProof/>
          </w:rPr>
          <w:t>Table 42</w:t>
        </w:r>
        <w:r>
          <w:rPr>
            <w:rFonts w:eastAsiaTheme="minorEastAsia"/>
            <w:noProof/>
            <w:color w:val="auto"/>
            <w:lang w:eastAsia="en-AU"/>
          </w:rPr>
          <w:tab/>
        </w:r>
        <w:r w:rsidRPr="00F90823">
          <w:rPr>
            <w:rStyle w:val="Hyperlink"/>
            <w:noProof/>
          </w:rPr>
          <w:t>Unsealed roads BCR by option by VKT scenario</w:t>
        </w:r>
        <w:r>
          <w:rPr>
            <w:noProof/>
            <w:webHidden/>
          </w:rPr>
          <w:tab/>
        </w:r>
        <w:r>
          <w:rPr>
            <w:noProof/>
            <w:webHidden/>
          </w:rPr>
          <w:fldChar w:fldCharType="begin"/>
        </w:r>
        <w:r>
          <w:rPr>
            <w:noProof/>
            <w:webHidden/>
          </w:rPr>
          <w:instrText xml:space="preserve"> PAGEREF _Toc210051924 \h </w:instrText>
        </w:r>
        <w:r>
          <w:rPr>
            <w:noProof/>
            <w:webHidden/>
          </w:rPr>
        </w:r>
        <w:r>
          <w:rPr>
            <w:noProof/>
            <w:webHidden/>
          </w:rPr>
          <w:fldChar w:fldCharType="separate"/>
        </w:r>
        <w:r>
          <w:rPr>
            <w:noProof/>
            <w:webHidden/>
          </w:rPr>
          <w:t>69</w:t>
        </w:r>
        <w:r>
          <w:rPr>
            <w:noProof/>
            <w:webHidden/>
          </w:rPr>
          <w:fldChar w:fldCharType="end"/>
        </w:r>
      </w:hyperlink>
    </w:p>
    <w:p w14:paraId="0A3F80C1" w14:textId="69951018"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25" w:history="1">
        <w:r w:rsidRPr="00F90823">
          <w:rPr>
            <w:rStyle w:val="Hyperlink"/>
            <w:noProof/>
          </w:rPr>
          <w:t>Table 43</w:t>
        </w:r>
        <w:r>
          <w:rPr>
            <w:rFonts w:eastAsiaTheme="minorEastAsia"/>
            <w:noProof/>
            <w:color w:val="auto"/>
            <w:lang w:eastAsia="en-AU"/>
          </w:rPr>
          <w:tab/>
        </w:r>
        <w:r w:rsidRPr="00F90823">
          <w:rPr>
            <w:rStyle w:val="Hyperlink"/>
            <w:noProof/>
          </w:rPr>
          <w:t>Unsealed roads NPV by option by VKT scenario</w:t>
        </w:r>
        <w:r>
          <w:rPr>
            <w:noProof/>
            <w:webHidden/>
          </w:rPr>
          <w:tab/>
        </w:r>
        <w:r>
          <w:rPr>
            <w:noProof/>
            <w:webHidden/>
          </w:rPr>
          <w:fldChar w:fldCharType="begin"/>
        </w:r>
        <w:r>
          <w:rPr>
            <w:noProof/>
            <w:webHidden/>
          </w:rPr>
          <w:instrText xml:space="preserve"> PAGEREF _Toc210051925 \h </w:instrText>
        </w:r>
        <w:r>
          <w:rPr>
            <w:noProof/>
            <w:webHidden/>
          </w:rPr>
        </w:r>
        <w:r>
          <w:rPr>
            <w:noProof/>
            <w:webHidden/>
          </w:rPr>
          <w:fldChar w:fldCharType="separate"/>
        </w:r>
        <w:r>
          <w:rPr>
            <w:noProof/>
            <w:webHidden/>
          </w:rPr>
          <w:t>69</w:t>
        </w:r>
        <w:r>
          <w:rPr>
            <w:noProof/>
            <w:webHidden/>
          </w:rPr>
          <w:fldChar w:fldCharType="end"/>
        </w:r>
      </w:hyperlink>
    </w:p>
    <w:p w14:paraId="413B15EC" w14:textId="17C3C67C"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26" w:history="1">
        <w:r w:rsidRPr="00F90823">
          <w:rPr>
            <w:rStyle w:val="Hyperlink"/>
            <w:noProof/>
          </w:rPr>
          <w:t>Table 44</w:t>
        </w:r>
        <w:r>
          <w:rPr>
            <w:rFonts w:eastAsiaTheme="minorEastAsia"/>
            <w:noProof/>
            <w:color w:val="auto"/>
            <w:lang w:eastAsia="en-AU"/>
          </w:rPr>
          <w:tab/>
        </w:r>
        <w:r w:rsidRPr="00F90823">
          <w:rPr>
            <w:rStyle w:val="Hyperlink"/>
            <w:noProof/>
          </w:rPr>
          <w:t>Regulatory Burden measurement Framework</w:t>
        </w:r>
        <w:r>
          <w:rPr>
            <w:noProof/>
            <w:webHidden/>
          </w:rPr>
          <w:tab/>
        </w:r>
        <w:r>
          <w:rPr>
            <w:noProof/>
            <w:webHidden/>
          </w:rPr>
          <w:fldChar w:fldCharType="begin"/>
        </w:r>
        <w:r>
          <w:rPr>
            <w:noProof/>
            <w:webHidden/>
          </w:rPr>
          <w:instrText xml:space="preserve"> PAGEREF _Toc210051926 \h </w:instrText>
        </w:r>
        <w:r>
          <w:rPr>
            <w:noProof/>
            <w:webHidden/>
          </w:rPr>
        </w:r>
        <w:r>
          <w:rPr>
            <w:noProof/>
            <w:webHidden/>
          </w:rPr>
          <w:fldChar w:fldCharType="separate"/>
        </w:r>
        <w:r>
          <w:rPr>
            <w:noProof/>
            <w:webHidden/>
          </w:rPr>
          <w:t>72</w:t>
        </w:r>
        <w:r>
          <w:rPr>
            <w:noProof/>
            <w:webHidden/>
          </w:rPr>
          <w:fldChar w:fldCharType="end"/>
        </w:r>
      </w:hyperlink>
    </w:p>
    <w:p w14:paraId="12C4E637" w14:textId="02F0FD8E"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27" w:history="1">
        <w:r w:rsidRPr="00F90823">
          <w:rPr>
            <w:rStyle w:val="Hyperlink"/>
            <w:noProof/>
          </w:rPr>
          <w:t>Table 45</w:t>
        </w:r>
        <w:r>
          <w:rPr>
            <w:rFonts w:eastAsiaTheme="minorEastAsia"/>
            <w:noProof/>
            <w:color w:val="auto"/>
            <w:lang w:eastAsia="en-AU"/>
          </w:rPr>
          <w:tab/>
        </w:r>
        <w:r w:rsidRPr="00F90823">
          <w:rPr>
            <w:rStyle w:val="Hyperlink"/>
            <w:noProof/>
          </w:rPr>
          <w:t>10-year regulatory burden on sealed roads ($ million)</w:t>
        </w:r>
        <w:r>
          <w:rPr>
            <w:noProof/>
            <w:webHidden/>
          </w:rPr>
          <w:tab/>
        </w:r>
        <w:r>
          <w:rPr>
            <w:noProof/>
            <w:webHidden/>
          </w:rPr>
          <w:fldChar w:fldCharType="begin"/>
        </w:r>
        <w:r>
          <w:rPr>
            <w:noProof/>
            <w:webHidden/>
          </w:rPr>
          <w:instrText xml:space="preserve"> PAGEREF _Toc210051927 \h </w:instrText>
        </w:r>
        <w:r>
          <w:rPr>
            <w:noProof/>
            <w:webHidden/>
          </w:rPr>
        </w:r>
        <w:r>
          <w:rPr>
            <w:noProof/>
            <w:webHidden/>
          </w:rPr>
          <w:fldChar w:fldCharType="separate"/>
        </w:r>
        <w:r>
          <w:rPr>
            <w:noProof/>
            <w:webHidden/>
          </w:rPr>
          <w:t>72</w:t>
        </w:r>
        <w:r>
          <w:rPr>
            <w:noProof/>
            <w:webHidden/>
          </w:rPr>
          <w:fldChar w:fldCharType="end"/>
        </w:r>
      </w:hyperlink>
    </w:p>
    <w:p w14:paraId="26C0798A" w14:textId="28BB2FEC"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28" w:history="1">
        <w:r w:rsidRPr="00F90823">
          <w:rPr>
            <w:rStyle w:val="Hyperlink"/>
            <w:noProof/>
          </w:rPr>
          <w:t>Table 46</w:t>
        </w:r>
        <w:r>
          <w:rPr>
            <w:rFonts w:eastAsiaTheme="minorEastAsia"/>
            <w:noProof/>
            <w:color w:val="auto"/>
            <w:lang w:eastAsia="en-AU"/>
          </w:rPr>
          <w:tab/>
        </w:r>
        <w:r w:rsidRPr="00F90823">
          <w:rPr>
            <w:rStyle w:val="Hyperlink"/>
            <w:noProof/>
          </w:rPr>
          <w:t>10-year regulatory burden on unsealed roads ($ million)</w:t>
        </w:r>
        <w:r>
          <w:rPr>
            <w:noProof/>
            <w:webHidden/>
          </w:rPr>
          <w:tab/>
        </w:r>
        <w:r>
          <w:rPr>
            <w:noProof/>
            <w:webHidden/>
          </w:rPr>
          <w:fldChar w:fldCharType="begin"/>
        </w:r>
        <w:r>
          <w:rPr>
            <w:noProof/>
            <w:webHidden/>
          </w:rPr>
          <w:instrText xml:space="preserve"> PAGEREF _Toc210051928 \h </w:instrText>
        </w:r>
        <w:r>
          <w:rPr>
            <w:noProof/>
            <w:webHidden/>
          </w:rPr>
        </w:r>
        <w:r>
          <w:rPr>
            <w:noProof/>
            <w:webHidden/>
          </w:rPr>
          <w:fldChar w:fldCharType="separate"/>
        </w:r>
        <w:r>
          <w:rPr>
            <w:noProof/>
            <w:webHidden/>
          </w:rPr>
          <w:t>73</w:t>
        </w:r>
        <w:r>
          <w:rPr>
            <w:noProof/>
            <w:webHidden/>
          </w:rPr>
          <w:fldChar w:fldCharType="end"/>
        </w:r>
      </w:hyperlink>
    </w:p>
    <w:p w14:paraId="41036765" w14:textId="176E6033"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29" w:history="1">
        <w:r w:rsidRPr="00F90823">
          <w:rPr>
            <w:rStyle w:val="Hyperlink"/>
            <w:noProof/>
          </w:rPr>
          <w:t>Figure 15</w:t>
        </w:r>
        <w:r>
          <w:rPr>
            <w:rFonts w:eastAsiaTheme="minorEastAsia"/>
            <w:noProof/>
            <w:color w:val="auto"/>
            <w:lang w:eastAsia="en-AU"/>
          </w:rPr>
          <w:tab/>
        </w:r>
        <w:r w:rsidRPr="00F90823">
          <w:rPr>
            <w:rStyle w:val="Hyperlink"/>
            <w:noProof/>
          </w:rPr>
          <w:t>Potential impact of the proposed policy options under different scenarios</w:t>
        </w:r>
        <w:r>
          <w:rPr>
            <w:noProof/>
            <w:webHidden/>
          </w:rPr>
          <w:tab/>
        </w:r>
        <w:r>
          <w:rPr>
            <w:noProof/>
            <w:webHidden/>
          </w:rPr>
          <w:fldChar w:fldCharType="begin"/>
        </w:r>
        <w:r>
          <w:rPr>
            <w:noProof/>
            <w:webHidden/>
          </w:rPr>
          <w:instrText xml:space="preserve"> PAGEREF _Toc210051929 \h </w:instrText>
        </w:r>
        <w:r>
          <w:rPr>
            <w:noProof/>
            <w:webHidden/>
          </w:rPr>
        </w:r>
        <w:r>
          <w:rPr>
            <w:noProof/>
            <w:webHidden/>
          </w:rPr>
          <w:fldChar w:fldCharType="separate"/>
        </w:r>
        <w:r>
          <w:rPr>
            <w:noProof/>
            <w:webHidden/>
          </w:rPr>
          <w:t>75</w:t>
        </w:r>
        <w:r>
          <w:rPr>
            <w:noProof/>
            <w:webHidden/>
          </w:rPr>
          <w:fldChar w:fldCharType="end"/>
        </w:r>
      </w:hyperlink>
    </w:p>
    <w:p w14:paraId="3AA25360" w14:textId="394AF2F1" w:rsidR="00E25C26" w:rsidRDefault="00E25C26" w:rsidP="00E25C26">
      <w:pPr>
        <w:pStyle w:val="TableofFigures"/>
        <w:tabs>
          <w:tab w:val="left" w:pos="1134"/>
          <w:tab w:val="right" w:leader="dot" w:pos="9854"/>
        </w:tabs>
        <w:ind w:left="1134" w:hanging="1134"/>
        <w:rPr>
          <w:rFonts w:eastAsiaTheme="minorEastAsia"/>
          <w:noProof/>
          <w:color w:val="auto"/>
          <w:lang w:eastAsia="en-AU"/>
        </w:rPr>
      </w:pPr>
      <w:hyperlink w:anchor="_Toc210051930" w:history="1">
        <w:r w:rsidRPr="00F90823">
          <w:rPr>
            <w:rStyle w:val="Hyperlink"/>
            <w:noProof/>
          </w:rPr>
          <w:t>Table 47</w:t>
        </w:r>
        <w:r>
          <w:rPr>
            <w:rFonts w:eastAsiaTheme="minorEastAsia"/>
            <w:noProof/>
            <w:color w:val="auto"/>
            <w:lang w:eastAsia="en-AU"/>
          </w:rPr>
          <w:tab/>
        </w:r>
        <w:r w:rsidRPr="00F90823">
          <w:rPr>
            <w:rStyle w:val="Hyperlink"/>
            <w:noProof/>
          </w:rPr>
          <w:t>Stakeholder groups</w:t>
        </w:r>
        <w:r>
          <w:rPr>
            <w:noProof/>
            <w:webHidden/>
          </w:rPr>
          <w:tab/>
        </w:r>
        <w:r>
          <w:rPr>
            <w:noProof/>
            <w:webHidden/>
          </w:rPr>
          <w:fldChar w:fldCharType="begin"/>
        </w:r>
        <w:r>
          <w:rPr>
            <w:noProof/>
            <w:webHidden/>
          </w:rPr>
          <w:instrText xml:space="preserve"> PAGEREF _Toc210051930 \h </w:instrText>
        </w:r>
        <w:r>
          <w:rPr>
            <w:noProof/>
            <w:webHidden/>
          </w:rPr>
        </w:r>
        <w:r>
          <w:rPr>
            <w:noProof/>
            <w:webHidden/>
          </w:rPr>
          <w:fldChar w:fldCharType="separate"/>
        </w:r>
        <w:r>
          <w:rPr>
            <w:noProof/>
            <w:webHidden/>
          </w:rPr>
          <w:t>77</w:t>
        </w:r>
        <w:r>
          <w:rPr>
            <w:noProof/>
            <w:webHidden/>
          </w:rPr>
          <w:fldChar w:fldCharType="end"/>
        </w:r>
      </w:hyperlink>
    </w:p>
    <w:p w14:paraId="15C88525" w14:textId="257ED490" w:rsidR="005F794B" w:rsidRPr="00404724" w:rsidRDefault="003979C3" w:rsidP="00E25C26">
      <w:pPr>
        <w:ind w:left="1134" w:hanging="1134"/>
        <w:rPr>
          <w:highlight w:val="yellow"/>
        </w:rPr>
      </w:pPr>
      <w:r>
        <w:fldChar w:fldCharType="end"/>
      </w:r>
      <w:bookmarkEnd w:id="1"/>
    </w:p>
    <w:p w14:paraId="5D9E0639" w14:textId="77777777" w:rsidR="005912BE" w:rsidRPr="00404724" w:rsidRDefault="005912BE" w:rsidP="00C3007A">
      <w:pPr>
        <w:tabs>
          <w:tab w:val="center" w:pos="4932"/>
        </w:tabs>
        <w:sectPr w:rsidR="005912BE" w:rsidRPr="00404724" w:rsidSect="00BA24FB">
          <w:headerReference w:type="default" r:id="rId19"/>
          <w:footerReference w:type="default" r:id="rId20"/>
          <w:pgSz w:w="11906" w:h="16838" w:code="9"/>
          <w:pgMar w:top="1021" w:right="1021" w:bottom="1021" w:left="1021" w:header="340" w:footer="397" w:gutter="0"/>
          <w:cols w:space="708"/>
          <w:docGrid w:linePitch="360"/>
        </w:sectPr>
      </w:pPr>
    </w:p>
    <w:p w14:paraId="237DAA1B" w14:textId="77777777" w:rsidR="00E3432A" w:rsidRPr="00404724" w:rsidRDefault="00E3432A" w:rsidP="00846F1D">
      <w:pPr>
        <w:pStyle w:val="Heading2"/>
      </w:pPr>
      <w:bookmarkStart w:id="2" w:name="_Toc210040286"/>
      <w:bookmarkStart w:id="3" w:name="_Toc210042521"/>
      <w:bookmarkStart w:id="4" w:name="_Toc207785692"/>
      <w:bookmarkStart w:id="5" w:name="_Hlk159929407"/>
      <w:bookmarkStart w:id="6" w:name="_Hlk159929398"/>
      <w:bookmarkStart w:id="7" w:name="_Toc210049154"/>
      <w:bookmarkStart w:id="8" w:name="_Toc210051594"/>
      <w:bookmarkStart w:id="9" w:name="_Toc210051675"/>
      <w:r w:rsidRPr="00404724">
        <w:lastRenderedPageBreak/>
        <w:t>Executive summary</w:t>
      </w:r>
      <w:bookmarkEnd w:id="2"/>
      <w:bookmarkEnd w:id="3"/>
      <w:bookmarkEnd w:id="7"/>
      <w:bookmarkEnd w:id="8"/>
      <w:bookmarkEnd w:id="9"/>
    </w:p>
    <w:p w14:paraId="26F3979D" w14:textId="409F1EEC" w:rsidR="00E3432A" w:rsidRPr="00404724" w:rsidRDefault="00E3432A" w:rsidP="00E3432A">
      <w:r w:rsidRPr="00404724">
        <w:t xml:space="preserve">Speed limits in Australia are primarily set by state and territory governments, with the </w:t>
      </w:r>
      <w:hyperlink r:id="rId21" w:history="1">
        <w:r w:rsidRPr="00404724">
          <w:rPr>
            <w:rStyle w:val="Hyperlink"/>
          </w:rPr>
          <w:t>Australian Road Rules</w:t>
        </w:r>
      </w:hyperlink>
      <w:r w:rsidRPr="00404724">
        <w:t xml:space="preserve"> (ARR) serving as the foundational model legislation that provides national consistency across jurisdictions. The ARR establish a uniform system of default speed limits that apply on roads where there is no sign-posted speed limit. The default speed limits under the ARR include 50 km/h in built-up areas, 100 km/h outside built-up areas.</w:t>
      </w:r>
    </w:p>
    <w:p w14:paraId="6A0C38A6" w14:textId="77777777" w:rsidR="00E3432A" w:rsidRPr="00404724" w:rsidRDefault="00E3432A" w:rsidP="00E3432A">
      <w:pPr>
        <w:pStyle w:val="Box2Heading"/>
        <w:rPr>
          <w:lang w:val="en-AU"/>
        </w:rPr>
      </w:pPr>
      <w:r w:rsidRPr="00404724">
        <w:rPr>
          <w:lang w:val="en-AU"/>
        </w:rPr>
        <w:t xml:space="preserve">Built-up area, </w:t>
      </w:r>
      <w:r w:rsidRPr="00404724">
        <w:rPr>
          <w:i/>
          <w:iCs/>
          <w:lang w:val="en-AU"/>
        </w:rPr>
        <w:t>Australian Road Rules</w:t>
      </w:r>
      <w:r w:rsidRPr="00404724">
        <w:rPr>
          <w:lang w:val="en-AU"/>
        </w:rPr>
        <w:t xml:space="preserve"> definition:</w:t>
      </w:r>
    </w:p>
    <w:p w14:paraId="71E6379B" w14:textId="77777777" w:rsidR="00E3432A" w:rsidRPr="00404724" w:rsidRDefault="00E3432A" w:rsidP="00E3432A">
      <w:pPr>
        <w:pStyle w:val="Box2Text"/>
        <w:rPr>
          <w:lang w:val="en-AU"/>
        </w:rPr>
      </w:pPr>
      <w:r w:rsidRPr="00404724">
        <w:rPr>
          <w:b/>
          <w:bCs/>
          <w:i/>
          <w:iCs/>
          <w:lang w:val="en-AU"/>
        </w:rPr>
        <w:t>Built-up area</w:t>
      </w:r>
      <w:r w:rsidRPr="00404724">
        <w:rPr>
          <w:lang w:val="en-AU"/>
        </w:rPr>
        <w:t xml:space="preserve">, </w:t>
      </w:r>
      <w:r w:rsidRPr="00404724">
        <w:rPr>
          <w:i/>
          <w:iCs/>
          <w:lang w:val="en-AU"/>
        </w:rPr>
        <w:t xml:space="preserve">in relation to a length of road, means an area in which either of the following is present for a distance of at least 500 metres or, if the length of road is shorter than 500 metres, for the whole road: </w:t>
      </w:r>
      <w:r w:rsidRPr="00404724">
        <w:rPr>
          <w:i/>
          <w:iCs/>
          <w:lang w:val="en-AU"/>
        </w:rPr>
        <w:br/>
        <w:t xml:space="preserve">(a) buildings, not over 100 metres apart, on land next to the road; </w:t>
      </w:r>
      <w:r w:rsidRPr="00404724">
        <w:rPr>
          <w:i/>
          <w:iCs/>
          <w:lang w:val="en-AU"/>
        </w:rPr>
        <w:br/>
        <w:t>(b) street lights not over 100 metres apart.</w:t>
      </w:r>
    </w:p>
    <w:p w14:paraId="27F02674" w14:textId="77777777" w:rsidR="00E3432A" w:rsidRPr="00404724" w:rsidRDefault="00E3432A" w:rsidP="00E3432A">
      <w:pPr>
        <w:rPr>
          <w:b/>
          <w:bCs/>
        </w:rPr>
      </w:pPr>
      <w:r w:rsidRPr="00404724">
        <w:rPr>
          <w:b/>
          <w:bCs/>
        </w:rPr>
        <w:t>This RIA assesses proposed changes to default speed limits on roads without a sign-posted speed limit. It does not propose, nor consider, changes to any current sign-posted speed limits.</w:t>
      </w:r>
    </w:p>
    <w:p w14:paraId="42FFEE68" w14:textId="77777777" w:rsidR="00E3432A" w:rsidRPr="00404724" w:rsidRDefault="00E3432A" w:rsidP="00E3432A">
      <w:r w:rsidRPr="00404724">
        <w:t xml:space="preserve">In May 2021, the Australian Government and all state and territory governments agreed to the National Road Safety Strategy 2021-30 (the Strategy), which sets out the collective ambition of governments to improve road safety. Notably, this includes a reduction in road fatalities serious injuries by 50% and 30% (respectively) by 2030, with a long-term goal of zero by 2050. </w:t>
      </w:r>
    </w:p>
    <w:p w14:paraId="6F69E372" w14:textId="2854CF6F" w:rsidR="00E3432A" w:rsidRPr="00404724" w:rsidRDefault="00E3432A" w:rsidP="00E3432A">
      <w:r w:rsidRPr="00404724">
        <w:t xml:space="preserve">To that end, the Infrastructure and Transport Ministers launched the National Road Safety Action Plan 2023-25 (the Action Plan) which detailed the actions each government would take to contribute to the 2030 goal. This included a commitment by the Australian Government, through the </w:t>
      </w:r>
      <w:r w:rsidR="00E24F60" w:rsidRPr="00404724">
        <w:t>Department of Infrastructure, Transport, Regional Development, Communications, Sport and the Arts</w:t>
      </w:r>
      <w:r w:rsidRPr="00404724">
        <w:t xml:space="preserve"> (the Department) to:</w:t>
      </w:r>
    </w:p>
    <w:p w14:paraId="4C477A2F" w14:textId="77777777" w:rsidR="00E3432A" w:rsidRPr="00404724" w:rsidRDefault="00E3432A" w:rsidP="00E3432A">
      <w:pPr>
        <w:pStyle w:val="Quote"/>
      </w:pPr>
      <w:r w:rsidRPr="00404724">
        <w:t>Co-ordinate a review of the Australian Road Rules and development of a Regulatory Impact Statement (RIS) on reducing the open road default speed limit in consultation with state and territory governments, including police, and local government.</w:t>
      </w:r>
    </w:p>
    <w:p w14:paraId="6D273AF5" w14:textId="77777777" w:rsidR="00E3432A" w:rsidRPr="00404724" w:rsidRDefault="00E3432A" w:rsidP="00E3432A">
      <w:pPr>
        <w:pStyle w:val="Quote"/>
      </w:pPr>
      <w:r w:rsidRPr="00404724">
        <w:t>Page 14, National Road Safety Action Plan 2023–25</w:t>
      </w:r>
    </w:p>
    <w:p w14:paraId="150DB9B3" w14:textId="77777777" w:rsidR="00E3432A" w:rsidRPr="00404724" w:rsidRDefault="00E3432A" w:rsidP="00E3432A">
      <w:r w:rsidRPr="00404724">
        <w:t>As part of this process, the Department engaged ACIL Allen and the Monash University Accident Research Centre (MUARC) to develop a Regulatory Impact Analysis (RIA) for proposed reductions in default speed limits for roads outside built-up areas. This is that RIA.</w:t>
      </w:r>
    </w:p>
    <w:p w14:paraId="4A99C2B2" w14:textId="19300F69" w:rsidR="00E3432A" w:rsidRDefault="00E3432A" w:rsidP="00E3432A">
      <w:pPr>
        <w:pStyle w:val="BodyText"/>
        <w:keepNext/>
      </w:pPr>
      <w:r w:rsidRPr="00404724">
        <w:t xml:space="preserve">The RIA is developed in </w:t>
      </w:r>
      <w:r w:rsidR="0002045B" w:rsidRPr="00404724">
        <w:t xml:space="preserve">2 </w:t>
      </w:r>
      <w:r w:rsidRPr="00404724">
        <w:t>stages:</w:t>
      </w:r>
    </w:p>
    <w:p w14:paraId="07CF0920" w14:textId="77777777" w:rsidR="00E3432A" w:rsidRPr="00404724" w:rsidRDefault="00E3432A" w:rsidP="004F2C7A">
      <w:pPr>
        <w:pStyle w:val="ListParagraph"/>
        <w:numPr>
          <w:ilvl w:val="0"/>
          <w:numId w:val="50"/>
        </w:numPr>
        <w:ind w:left="567" w:hanging="567"/>
      </w:pPr>
      <w:r w:rsidRPr="00404724">
        <w:t>a Consultation RIA (CRIA) for the purpose of consulting with interested stakeholders (this report)</w:t>
      </w:r>
    </w:p>
    <w:p w14:paraId="2C9DB7AA" w14:textId="77777777" w:rsidR="00E3432A" w:rsidRPr="00404724" w:rsidRDefault="00E3432A" w:rsidP="004F2C7A">
      <w:pPr>
        <w:pStyle w:val="ListParagraph"/>
        <w:numPr>
          <w:ilvl w:val="0"/>
          <w:numId w:val="50"/>
        </w:numPr>
        <w:ind w:left="567" w:hanging="567"/>
      </w:pPr>
      <w:r w:rsidRPr="00404724">
        <w:t>a Decision RIA (DRIA) incorporating relevant information and data gathered through the consultation process with interested stakeholders. The DRIA is used by decision makers as an input into its decision on the matter that is the subject of the RIA.</w:t>
      </w:r>
    </w:p>
    <w:p w14:paraId="399BC096" w14:textId="77777777" w:rsidR="00E3432A" w:rsidRPr="00404724" w:rsidRDefault="00E3432A" w:rsidP="00E3432A">
      <w:pPr>
        <w:pStyle w:val="Heading2"/>
      </w:pPr>
      <w:bookmarkStart w:id="10" w:name="_Toc210040287"/>
      <w:bookmarkStart w:id="11" w:name="_Toc210042522"/>
      <w:bookmarkStart w:id="12" w:name="_Toc210049155"/>
      <w:bookmarkStart w:id="13" w:name="_Toc210051595"/>
      <w:bookmarkStart w:id="14" w:name="_Toc210051676"/>
      <w:r w:rsidRPr="00404724">
        <w:lastRenderedPageBreak/>
        <w:t>Statement of the problem</w:t>
      </w:r>
      <w:bookmarkEnd w:id="10"/>
      <w:bookmarkEnd w:id="11"/>
      <w:bookmarkEnd w:id="12"/>
      <w:bookmarkEnd w:id="13"/>
      <w:bookmarkEnd w:id="14"/>
    </w:p>
    <w:p w14:paraId="27380D71" w14:textId="77777777" w:rsidR="00E3432A" w:rsidRPr="00404724" w:rsidRDefault="00E3432A" w:rsidP="004B42C7">
      <w:r w:rsidRPr="00404724">
        <w:t>Australia is a very large country with an extensive road network that serves a relatively small population. In 2023 it was estimated that Australia has over 460,000km of sealed roads and nearly 860,000km of unsealed roads, for a total of over 1.3 million km.</w:t>
      </w:r>
      <w:r w:rsidRPr="00404724">
        <w:rPr>
          <w:rStyle w:val="FootnoteReference"/>
        </w:rPr>
        <w:footnoteReference w:id="1"/>
      </w:r>
      <w:r w:rsidRPr="00404724">
        <w:t xml:space="preserve"> </w:t>
      </w:r>
    </w:p>
    <w:p w14:paraId="2C685E73" w14:textId="318CA7CF" w:rsidR="00E3432A" w:rsidRDefault="00E3432A" w:rsidP="004B42C7">
      <w:r w:rsidRPr="00404724">
        <w:t xml:space="preserve">Between 2000 and 2020, Australia recorded a significant decline in road fatalities (see </w:t>
      </w:r>
      <w:r w:rsidRPr="00404724">
        <w:fldChar w:fldCharType="begin"/>
      </w:r>
      <w:r w:rsidRPr="00404724">
        <w:instrText xml:space="preserve"> REF _Ref209620070 \h </w:instrText>
      </w:r>
      <w:r w:rsidR="004B42C7" w:rsidRPr="00404724">
        <w:instrText xml:space="preserve"> \* MERGEFORMAT </w:instrText>
      </w:r>
      <w:r w:rsidRPr="00404724">
        <w:fldChar w:fldCharType="separate"/>
      </w:r>
      <w:r w:rsidR="00BF489D" w:rsidRPr="00404724">
        <w:t xml:space="preserve">Figure </w:t>
      </w:r>
      <w:r w:rsidR="00BF489D">
        <w:rPr>
          <w:noProof/>
        </w:rPr>
        <w:t>1</w:t>
      </w:r>
      <w:r w:rsidRPr="00404724">
        <w:fldChar w:fldCharType="end"/>
      </w:r>
      <w:r w:rsidRPr="00404724">
        <w:t>). This positive trend has been attributed to factors such as improved vehicle safety features (such as adoption of seatbelts and airbags), investments in road infrastructure and design, and shifts in driver behaviour.</w:t>
      </w:r>
      <w:r w:rsidRPr="00404724">
        <w:rPr>
          <w:rStyle w:val="FootnoteReference"/>
        </w:rPr>
        <w:footnoteReference w:id="2"/>
      </w:r>
      <w:r w:rsidRPr="00404724">
        <w:t xml:space="preserve"> However this trend has reversed in recent years. In 2024 there were 1,291 recorded road deaths, the highest annual toll in 12 years and an increase of 18.6% compared with 2020.</w:t>
      </w:r>
      <w:r w:rsidRPr="00404724">
        <w:rPr>
          <w:rStyle w:val="FootnoteReference"/>
        </w:rPr>
        <w:footnoteReference w:id="3"/>
      </w:r>
      <w:r w:rsidRPr="00404724">
        <w:t xml:space="preserve"> Other measures also tell a similar story, with the fatalities rate per 100,000 people, billion vehicle kilometre travelled (VKT) and fatalities rate per number of registered vehicles following similar trends.</w:t>
      </w:r>
      <w:r w:rsidRPr="00404724">
        <w:rPr>
          <w:rStyle w:val="FootnoteReference"/>
        </w:rPr>
        <w:footnoteReference w:id="4"/>
      </w:r>
    </w:p>
    <w:p w14:paraId="3AFC36AC" w14:textId="17A26CBF" w:rsidR="00E3432A" w:rsidRPr="00404724" w:rsidRDefault="00E3432A" w:rsidP="003979C3">
      <w:pPr>
        <w:pStyle w:val="Tablefigureheading"/>
      </w:pPr>
      <w:bookmarkStart w:id="15" w:name="_Ref209620070"/>
      <w:bookmarkStart w:id="16" w:name="_Toc210040337"/>
      <w:bookmarkStart w:id="17" w:name="_Toc210051873"/>
      <w:r w:rsidRPr="00404724">
        <w:t xml:space="preserve">Figure </w:t>
      </w:r>
      <w:r w:rsidR="00EC39D5">
        <w:fldChar w:fldCharType="begin"/>
      </w:r>
      <w:r w:rsidR="00EC39D5">
        <w:instrText xml:space="preserve"> SEQ Figure \* ARABIC </w:instrText>
      </w:r>
      <w:r w:rsidR="00EC39D5">
        <w:fldChar w:fldCharType="separate"/>
      </w:r>
      <w:r w:rsidR="00BF489D">
        <w:rPr>
          <w:noProof/>
        </w:rPr>
        <w:t>1</w:t>
      </w:r>
      <w:r w:rsidR="00EC39D5">
        <w:rPr>
          <w:noProof/>
        </w:rPr>
        <w:fldChar w:fldCharType="end"/>
      </w:r>
      <w:bookmarkEnd w:id="15"/>
      <w:r w:rsidRPr="00404724">
        <w:tab/>
        <w:t xml:space="preserve">National annual road fatalities, </w:t>
      </w:r>
      <w:r w:rsidR="00E24F60" w:rsidRPr="00404724">
        <w:t>1989</w:t>
      </w:r>
      <w:r w:rsidRPr="00404724">
        <w:t xml:space="preserve"> to 2024</w:t>
      </w:r>
      <w:bookmarkEnd w:id="16"/>
      <w:bookmarkEnd w:id="17"/>
    </w:p>
    <w:p w14:paraId="78CA369A" w14:textId="77777777" w:rsidR="00E3432A" w:rsidRPr="00404724" w:rsidRDefault="00E3432A" w:rsidP="00E3432A">
      <w:r w:rsidRPr="00404724">
        <w:rPr>
          <w:noProof/>
        </w:rPr>
        <w:drawing>
          <wp:inline distT="0" distB="0" distL="0" distR="0" wp14:anchorId="3B058D0C" wp14:editId="4A2969C4">
            <wp:extent cx="6200140" cy="2212975"/>
            <wp:effectExtent l="0" t="0" r="0" b="0"/>
            <wp:docPr id="1185599304" name="Picture 2" descr="2-series line chart, showing number of fatalities and fatalities per 100,000 population from 1989 to 2024. Fatalities count 2,800 (1989) reduces to 1,097 (2020) with fluctuations and increases from 1,097 (2020) to 1,291 (2024). Fatalities per 100,000 population follows a similar trend, from 16.53 (1989) reduces to 4.28 (2020) with fluctuations and increases to 4.71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99304" name="Picture 2" descr="2-series line chart, showing number of fatalities and fatalities per 100,000 population from 1989 to 2024. Fatalities count 2,800 (1989) reduces to 1,097 (2020) with fluctuations and increases from 1,097 (2020) to 1,291 (2024). Fatalities per 100,000 population follows a similar trend, from 16.53 (1989) reduces to 4.28 (2020) with fluctuations and increases to 4.71 (20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0140" cy="2212975"/>
                    </a:xfrm>
                    <a:prstGeom prst="rect">
                      <a:avLst/>
                    </a:prstGeom>
                    <a:noFill/>
                  </pic:spPr>
                </pic:pic>
              </a:graphicData>
            </a:graphic>
          </wp:inline>
        </w:drawing>
      </w:r>
    </w:p>
    <w:p w14:paraId="009DB526" w14:textId="77777777" w:rsidR="00E3432A" w:rsidRPr="00404724" w:rsidRDefault="00E3432A" w:rsidP="00E3432A">
      <w:pPr>
        <w:rPr>
          <w:color w:val="auto"/>
          <w:sz w:val="16"/>
        </w:rPr>
      </w:pPr>
      <w:r w:rsidRPr="00404724">
        <w:rPr>
          <w:color w:val="auto"/>
          <w:sz w:val="16"/>
        </w:rPr>
        <w:t>Source: ACIL Allen analysis, based on DITRDCSA and ABS</w:t>
      </w:r>
    </w:p>
    <w:p w14:paraId="3D3B2861" w14:textId="1F57440C" w:rsidR="00E3432A" w:rsidRDefault="00E3432A" w:rsidP="004B42C7">
      <w:r w:rsidRPr="00404724">
        <w:t>However, evidence of harm alone is insufficient to justify government intervention, as the problem itself must be amenable to such intervention. Typically, such interventions can be justified where markets fail to provide the most efficient and effective solution to a problem. This is typically described as a market failure. While the road network is not a typical market, these types of failures still apply. Some of the failures identified with road safety include:</w:t>
      </w:r>
    </w:p>
    <w:p w14:paraId="2188E636" w14:textId="77777777" w:rsidR="00E3432A" w:rsidRPr="00404724" w:rsidRDefault="00E3432A" w:rsidP="004B0117">
      <w:pPr>
        <w:pStyle w:val="Listparagraphbullets"/>
      </w:pPr>
      <w:r w:rsidRPr="00404724">
        <w:t>negative externalities and moral hazard</w:t>
      </w:r>
    </w:p>
    <w:p w14:paraId="1BF463CF" w14:textId="77777777" w:rsidR="00E3432A" w:rsidRPr="00404724" w:rsidRDefault="00E3432A" w:rsidP="004B0117">
      <w:pPr>
        <w:pStyle w:val="Listparagraphbullets"/>
      </w:pPr>
      <w:r w:rsidRPr="00404724">
        <w:t>imperfect information.</w:t>
      </w:r>
    </w:p>
    <w:p w14:paraId="09A5CCE7" w14:textId="3B4B8E42" w:rsidR="00E3432A" w:rsidRPr="00404724" w:rsidRDefault="00E3432A" w:rsidP="004B42C7">
      <w:r w:rsidRPr="00404724">
        <w:t xml:space="preserve">In responding to these failures, governments have introduced a number of measures, which can broadly be categorised under the Safe Systems approach as interventions to achieve safe roads, safe speeds, safe vehicles, safe road users, or post-crash care. The ARR addresses the need for safe speeds, among other things, through its provisions on default speed limits, which set the default speed limits in built up areas at 50 km/h and those outside of </w:t>
      </w:r>
      <w:r w:rsidR="00C94374" w:rsidRPr="00404724">
        <w:t>built-up</w:t>
      </w:r>
      <w:r w:rsidRPr="00404724">
        <w:t xml:space="preserve"> areas at 100 km/h and have been adopted by most jurisdictions.</w:t>
      </w:r>
      <w:r w:rsidRPr="00404724">
        <w:rPr>
          <w:rStyle w:val="FootnoteReference"/>
        </w:rPr>
        <w:footnoteReference w:id="5"/>
      </w:r>
      <w:r w:rsidRPr="00404724">
        <w:t xml:space="preserve"> </w:t>
      </w:r>
    </w:p>
    <w:p w14:paraId="38B25F15" w14:textId="1E5DD2EE" w:rsidR="00E3432A" w:rsidRPr="00404724" w:rsidRDefault="00E3432A" w:rsidP="00E3432A">
      <w:r w:rsidRPr="00404724">
        <w:lastRenderedPageBreak/>
        <w:t>As discussed above, governments have agreed to ambitious road safety targets through the Strategy, including a 50% reduction in road fatalities and a 30% reduction in serious injuries by 2030, progressing toward the ultimate goal of zero deaths and serious injuries by 2050. Without action to reverse road safety trends, these goals are unlikely to be met.</w:t>
      </w:r>
    </w:p>
    <w:p w14:paraId="2DF68611" w14:textId="77777777" w:rsidR="00E3432A" w:rsidRPr="00404724" w:rsidRDefault="00E3432A" w:rsidP="00485648">
      <w:pPr>
        <w:pStyle w:val="Listparagraphbullets"/>
      </w:pPr>
      <w:r w:rsidRPr="00404724">
        <w:t>As such, to meet governments’ objectives, additional regulatory action is warranted.</w:t>
      </w:r>
    </w:p>
    <w:p w14:paraId="6582010E" w14:textId="77777777" w:rsidR="00E3432A" w:rsidRPr="00404724" w:rsidRDefault="00E3432A" w:rsidP="004B0117">
      <w:pPr>
        <w:pStyle w:val="Heading3"/>
      </w:pPr>
      <w:bookmarkStart w:id="18" w:name="_Toc210040288"/>
      <w:bookmarkStart w:id="19" w:name="_Toc210042523"/>
      <w:bookmarkStart w:id="20" w:name="_Toc210049156"/>
      <w:bookmarkStart w:id="21" w:name="_Toc210051596"/>
      <w:bookmarkStart w:id="22" w:name="_Toc210051677"/>
      <w:r w:rsidRPr="00404724">
        <w:t>Objectives and options</w:t>
      </w:r>
      <w:bookmarkEnd w:id="18"/>
      <w:bookmarkEnd w:id="19"/>
      <w:bookmarkEnd w:id="20"/>
      <w:bookmarkEnd w:id="21"/>
      <w:bookmarkEnd w:id="22"/>
    </w:p>
    <w:p w14:paraId="476F6FD8" w14:textId="77777777" w:rsidR="00E3432A" w:rsidRPr="00404724" w:rsidRDefault="00E3432A" w:rsidP="00E3432A">
      <w:r w:rsidRPr="00404724">
        <w:t>The objectives of further government action in managing default speed limits outside built-up areas can be summarised to:</w:t>
      </w:r>
    </w:p>
    <w:p w14:paraId="192291AE" w14:textId="77777777" w:rsidR="00E3432A" w:rsidRPr="00404724" w:rsidRDefault="00E3432A" w:rsidP="00485648">
      <w:pPr>
        <w:pStyle w:val="Listparagraphbullets"/>
      </w:pPr>
      <w:r w:rsidRPr="00404724">
        <w:t xml:space="preserve">improve the safety of default roads outside built-up areas </w:t>
      </w:r>
    </w:p>
    <w:p w14:paraId="5E3B7C60" w14:textId="77777777" w:rsidR="00E3432A" w:rsidRPr="00404724" w:rsidRDefault="00E3432A" w:rsidP="00485648">
      <w:pPr>
        <w:pStyle w:val="Listparagraphbullets"/>
      </w:pPr>
      <w:r w:rsidRPr="00404724">
        <w:t>reduce road deaths and serious injuries on default roads outside built-up areas</w:t>
      </w:r>
    </w:p>
    <w:p w14:paraId="2B1F699C" w14:textId="77777777" w:rsidR="00E3432A" w:rsidRPr="00404724" w:rsidRDefault="00E3432A" w:rsidP="00485648">
      <w:pPr>
        <w:pStyle w:val="Listparagraphbullets"/>
      </w:pPr>
      <w:r w:rsidRPr="00404724">
        <w:t>contribute towards reaching the trauma reduction targets set by the Strategy.</w:t>
      </w:r>
    </w:p>
    <w:p w14:paraId="6F234D60" w14:textId="4AA866F4" w:rsidR="00E3432A" w:rsidRPr="00404724" w:rsidRDefault="00E3432A" w:rsidP="00E3432A">
      <w:pPr>
        <w:suppressAutoHyphens w:val="0"/>
      </w:pPr>
      <w:r w:rsidRPr="00404724">
        <w:t xml:space="preserve">To achieve these objectives, we consider 3 options for reform on sealed roads outside of built-up areas and 2 options for unsealed roads outside of built-up areas, all of which are compared against the base case of the status quo. These options are shown in detail in </w:t>
      </w:r>
      <w:r w:rsidRPr="00404724">
        <w:fldChar w:fldCharType="begin"/>
      </w:r>
      <w:r w:rsidRPr="00404724">
        <w:instrText xml:space="preserve"> REF _Ref209624213 \h </w:instrText>
      </w:r>
      <w:r w:rsidRPr="00404724">
        <w:fldChar w:fldCharType="separate"/>
      </w:r>
      <w:r w:rsidR="00BF489D" w:rsidRPr="00404724">
        <w:t xml:space="preserve">Table </w:t>
      </w:r>
      <w:r w:rsidR="00BF489D">
        <w:rPr>
          <w:noProof/>
        </w:rPr>
        <w:t>1</w:t>
      </w:r>
      <w:r w:rsidRPr="00404724">
        <w:fldChar w:fldCharType="end"/>
      </w:r>
      <w:r w:rsidRPr="00404724">
        <w:t xml:space="preserve">. </w:t>
      </w:r>
    </w:p>
    <w:p w14:paraId="385C558F" w14:textId="3AFE1182" w:rsidR="00E3432A" w:rsidRPr="00404724" w:rsidRDefault="00E3432A" w:rsidP="003979C3">
      <w:pPr>
        <w:pStyle w:val="Tablefigureheading"/>
      </w:pPr>
      <w:bookmarkStart w:id="23" w:name="_Ref209624213"/>
      <w:bookmarkStart w:id="24" w:name="_Toc210040338"/>
      <w:bookmarkStart w:id="25" w:name="_Toc210051874"/>
      <w:r w:rsidRPr="00404724">
        <w:t xml:space="preserve">Table </w:t>
      </w:r>
      <w:r w:rsidR="00EC39D5">
        <w:fldChar w:fldCharType="begin"/>
      </w:r>
      <w:r w:rsidR="00EC39D5">
        <w:instrText xml:space="preserve"> SEQ Table \* ARABIC </w:instrText>
      </w:r>
      <w:r w:rsidR="00EC39D5">
        <w:fldChar w:fldCharType="separate"/>
      </w:r>
      <w:r w:rsidR="00BF489D">
        <w:rPr>
          <w:noProof/>
        </w:rPr>
        <w:t>1</w:t>
      </w:r>
      <w:r w:rsidR="00EC39D5">
        <w:rPr>
          <w:noProof/>
        </w:rPr>
        <w:fldChar w:fldCharType="end"/>
      </w:r>
      <w:bookmarkEnd w:id="23"/>
      <w:r w:rsidRPr="00404724">
        <w:tab/>
        <w:t>Proposed options for sealed and unsealed roads</w:t>
      </w:r>
      <w:bookmarkEnd w:id="24"/>
      <w:bookmarkEnd w:id="25"/>
    </w:p>
    <w:tbl>
      <w:tblPr>
        <w:tblStyle w:val="DefaultTable1"/>
        <w:tblW w:w="9639" w:type="dxa"/>
        <w:tblLook w:val="04E0" w:firstRow="1" w:lastRow="1" w:firstColumn="1" w:lastColumn="0" w:noHBand="0" w:noVBand="1"/>
        <w:tblCaption w:val="Table 1 Proposed options for sealed and unsealed roads"/>
        <w:tblDescription w:val="Table 1 Proposed options for sealed and unsealed roads"/>
      </w:tblPr>
      <w:tblGrid>
        <w:gridCol w:w="5245"/>
        <w:gridCol w:w="4394"/>
      </w:tblGrid>
      <w:tr w:rsidR="00E3432A" w:rsidRPr="00404724" w14:paraId="4D776659" w14:textId="77777777" w:rsidTr="00F2666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45" w:type="dxa"/>
          </w:tcPr>
          <w:p w14:paraId="494B2830" w14:textId="77777777" w:rsidR="00E3432A" w:rsidRPr="00404724" w:rsidRDefault="00E3432A" w:rsidP="00846F1D"/>
        </w:tc>
        <w:tc>
          <w:tcPr>
            <w:tcW w:w="4394" w:type="dxa"/>
          </w:tcPr>
          <w:p w14:paraId="6351A016" w14:textId="77777777" w:rsidR="00E3432A" w:rsidRPr="00404724" w:rsidRDefault="00E3432A" w:rsidP="00846F1D">
            <w:pPr>
              <w:cnfStyle w:val="100000000000" w:firstRow="1" w:lastRow="0" w:firstColumn="0" w:lastColumn="0" w:oddVBand="0" w:evenVBand="0" w:oddHBand="0" w:evenHBand="0" w:firstRowFirstColumn="0" w:firstRowLastColumn="0" w:lastRowFirstColumn="0" w:lastRowLastColumn="0"/>
            </w:pPr>
            <w:r w:rsidRPr="00404724">
              <w:t>Options</w:t>
            </w:r>
          </w:p>
        </w:tc>
      </w:tr>
      <w:tr w:rsidR="00E3432A" w:rsidRPr="00404724" w14:paraId="637CBE5A" w14:textId="77777777" w:rsidTr="00F2666A">
        <w:trPr>
          <w:cantSplit/>
        </w:trPr>
        <w:tc>
          <w:tcPr>
            <w:cnfStyle w:val="001000000000" w:firstRow="0" w:lastRow="0" w:firstColumn="1" w:lastColumn="0" w:oddVBand="0" w:evenVBand="0" w:oddHBand="0" w:evenHBand="0" w:firstRowFirstColumn="0" w:firstRowLastColumn="0" w:lastRowFirstColumn="0" w:lastRowLastColumn="0"/>
            <w:tcW w:w="5245" w:type="dxa"/>
          </w:tcPr>
          <w:p w14:paraId="789E55EC" w14:textId="77777777" w:rsidR="00E3432A" w:rsidRPr="00404724" w:rsidRDefault="00E3432A" w:rsidP="00846F1D">
            <w:pPr>
              <w:rPr>
                <w:b w:val="0"/>
                <w:bCs/>
              </w:rPr>
            </w:pPr>
            <w:r w:rsidRPr="00404724">
              <w:rPr>
                <w:b w:val="0"/>
                <w:bCs/>
              </w:rPr>
              <w:t>Options considered for sealed roads</w:t>
            </w:r>
          </w:p>
        </w:tc>
        <w:tc>
          <w:tcPr>
            <w:tcW w:w="4394" w:type="dxa"/>
          </w:tcPr>
          <w:p w14:paraId="6D5326A8" w14:textId="77777777" w:rsidR="00E3432A" w:rsidRPr="00404724" w:rsidRDefault="00E3432A" w:rsidP="00846F1D">
            <w:pPr>
              <w:ind w:left="315" w:hanging="315"/>
              <w:cnfStyle w:val="000000000000" w:firstRow="0" w:lastRow="0" w:firstColumn="0" w:lastColumn="0" w:oddVBand="0" w:evenVBand="0" w:oddHBand="0" w:evenHBand="0" w:firstRowFirstColumn="0" w:firstRowLastColumn="0" w:lastRowFirstColumn="0" w:lastRowLastColumn="0"/>
              <w:rPr>
                <w:bCs/>
              </w:rPr>
            </w:pPr>
            <w:r w:rsidRPr="00404724">
              <w:rPr>
                <w:bCs/>
              </w:rPr>
              <w:t>1.</w:t>
            </w:r>
            <w:r w:rsidRPr="00404724">
              <w:rPr>
                <w:bCs/>
              </w:rPr>
              <w:tab/>
              <w:t>90 km/h</w:t>
            </w:r>
          </w:p>
          <w:p w14:paraId="29FEF8D6" w14:textId="77777777" w:rsidR="00E3432A" w:rsidRPr="00404724" w:rsidRDefault="00E3432A" w:rsidP="00846F1D">
            <w:pPr>
              <w:ind w:left="315" w:hanging="315"/>
              <w:cnfStyle w:val="000000000000" w:firstRow="0" w:lastRow="0" w:firstColumn="0" w:lastColumn="0" w:oddVBand="0" w:evenVBand="0" w:oddHBand="0" w:evenHBand="0" w:firstRowFirstColumn="0" w:firstRowLastColumn="0" w:lastRowFirstColumn="0" w:lastRowLastColumn="0"/>
              <w:rPr>
                <w:bCs/>
              </w:rPr>
            </w:pPr>
            <w:r w:rsidRPr="00404724">
              <w:rPr>
                <w:bCs/>
              </w:rPr>
              <w:t>2.</w:t>
            </w:r>
            <w:r w:rsidRPr="00404724">
              <w:rPr>
                <w:bCs/>
              </w:rPr>
              <w:tab/>
              <w:t>80 km/h</w:t>
            </w:r>
          </w:p>
          <w:p w14:paraId="359D02AF" w14:textId="77777777" w:rsidR="00E3432A" w:rsidRPr="00404724" w:rsidRDefault="00E3432A" w:rsidP="00846F1D">
            <w:pPr>
              <w:ind w:left="315" w:hanging="315"/>
              <w:cnfStyle w:val="000000000000" w:firstRow="0" w:lastRow="0" w:firstColumn="0" w:lastColumn="0" w:oddVBand="0" w:evenVBand="0" w:oddHBand="0" w:evenHBand="0" w:firstRowFirstColumn="0" w:firstRowLastColumn="0" w:lastRowFirstColumn="0" w:lastRowLastColumn="0"/>
              <w:rPr>
                <w:bCs/>
              </w:rPr>
            </w:pPr>
            <w:r w:rsidRPr="00404724">
              <w:rPr>
                <w:bCs/>
              </w:rPr>
              <w:t>3.</w:t>
            </w:r>
            <w:r w:rsidRPr="00404724">
              <w:rPr>
                <w:bCs/>
              </w:rPr>
              <w:tab/>
              <w:t>70 km/h</w:t>
            </w:r>
          </w:p>
        </w:tc>
      </w:tr>
      <w:tr w:rsidR="00E3432A" w:rsidRPr="00404724" w14:paraId="2DD48F12" w14:textId="77777777" w:rsidTr="00F2666A">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45" w:type="dxa"/>
            <w:shd w:val="clear" w:color="auto" w:fill="F2F2F2" w:themeFill="background1" w:themeFillShade="F2"/>
          </w:tcPr>
          <w:p w14:paraId="439F672D" w14:textId="77777777" w:rsidR="00E3432A" w:rsidRPr="00404724" w:rsidRDefault="00E3432A" w:rsidP="00846F1D">
            <w:pPr>
              <w:rPr>
                <w:b w:val="0"/>
                <w:bCs/>
              </w:rPr>
            </w:pPr>
            <w:r w:rsidRPr="00404724">
              <w:rPr>
                <w:b w:val="0"/>
                <w:bCs/>
              </w:rPr>
              <w:t>Options considered for unsealed roads</w:t>
            </w:r>
          </w:p>
        </w:tc>
        <w:tc>
          <w:tcPr>
            <w:tcW w:w="4394" w:type="dxa"/>
            <w:shd w:val="clear" w:color="auto" w:fill="F2F2F2" w:themeFill="background1" w:themeFillShade="F2"/>
          </w:tcPr>
          <w:p w14:paraId="5545F313" w14:textId="77777777" w:rsidR="00E3432A" w:rsidRPr="00404724" w:rsidRDefault="00E3432A" w:rsidP="00846F1D">
            <w:pPr>
              <w:ind w:left="315" w:hanging="315"/>
              <w:cnfStyle w:val="010000000000" w:firstRow="0" w:lastRow="1" w:firstColumn="0" w:lastColumn="0" w:oddVBand="0" w:evenVBand="0" w:oddHBand="0" w:evenHBand="0" w:firstRowFirstColumn="0" w:firstRowLastColumn="0" w:lastRowFirstColumn="0" w:lastRowLastColumn="0"/>
              <w:rPr>
                <w:b w:val="0"/>
                <w:bCs/>
              </w:rPr>
            </w:pPr>
            <w:r w:rsidRPr="00404724">
              <w:rPr>
                <w:b w:val="0"/>
                <w:bCs/>
              </w:rPr>
              <w:t>1.</w:t>
            </w:r>
            <w:r w:rsidRPr="00404724">
              <w:rPr>
                <w:b w:val="0"/>
                <w:bCs/>
              </w:rPr>
              <w:tab/>
              <w:t>80 km/h</w:t>
            </w:r>
          </w:p>
          <w:p w14:paraId="778B15E9" w14:textId="77777777" w:rsidR="00E3432A" w:rsidRPr="00404724" w:rsidRDefault="00E3432A" w:rsidP="00846F1D">
            <w:pPr>
              <w:ind w:left="315" w:hanging="315"/>
              <w:cnfStyle w:val="010000000000" w:firstRow="0" w:lastRow="1" w:firstColumn="0" w:lastColumn="0" w:oddVBand="0" w:evenVBand="0" w:oddHBand="0" w:evenHBand="0" w:firstRowFirstColumn="0" w:firstRowLastColumn="0" w:lastRowFirstColumn="0" w:lastRowLastColumn="0"/>
              <w:rPr>
                <w:b w:val="0"/>
                <w:bCs/>
              </w:rPr>
            </w:pPr>
            <w:r w:rsidRPr="00404724">
              <w:rPr>
                <w:b w:val="0"/>
                <w:bCs/>
              </w:rPr>
              <w:t>2.</w:t>
            </w:r>
            <w:r w:rsidRPr="00404724">
              <w:rPr>
                <w:b w:val="0"/>
                <w:bCs/>
              </w:rPr>
              <w:tab/>
              <w:t>70 km/h</w:t>
            </w:r>
          </w:p>
        </w:tc>
      </w:tr>
    </w:tbl>
    <w:p w14:paraId="4E817018" w14:textId="77777777" w:rsidR="00E3432A" w:rsidRPr="00404724" w:rsidRDefault="00E3432A" w:rsidP="00E3432A">
      <w:pPr>
        <w:pStyle w:val="Sourcenotes"/>
        <w:rPr>
          <w:lang w:val="en-AU"/>
        </w:rPr>
      </w:pPr>
      <w:r w:rsidRPr="00404724">
        <w:rPr>
          <w:lang w:val="en-AU"/>
        </w:rPr>
        <w:t>Source: ACIL Allen</w:t>
      </w:r>
    </w:p>
    <w:p w14:paraId="56B6184B" w14:textId="77777777" w:rsidR="00E3432A" w:rsidRPr="00404724" w:rsidRDefault="00E3432A" w:rsidP="004B42C7">
      <w:r w:rsidRPr="00404724">
        <w:t>While there may be other options to achieve road safety outcomes, these are not considered in this RIA – noting that they are addressed by other elements of the Action Plan and Strategy.</w:t>
      </w:r>
    </w:p>
    <w:p w14:paraId="22CECB57" w14:textId="77777777" w:rsidR="00E3432A" w:rsidRPr="00404724" w:rsidRDefault="00E3432A" w:rsidP="004B0117">
      <w:pPr>
        <w:pStyle w:val="Heading3"/>
      </w:pPr>
      <w:bookmarkStart w:id="26" w:name="_Toc210040289"/>
      <w:bookmarkStart w:id="27" w:name="_Toc210042524"/>
      <w:bookmarkStart w:id="28" w:name="_Toc210049157"/>
      <w:bookmarkStart w:id="29" w:name="_Toc210051597"/>
      <w:bookmarkStart w:id="30" w:name="_Toc210051678"/>
      <w:r w:rsidRPr="00404724">
        <w:t>Methodology</w:t>
      </w:r>
      <w:bookmarkEnd w:id="26"/>
      <w:bookmarkEnd w:id="27"/>
      <w:bookmarkEnd w:id="28"/>
      <w:bookmarkEnd w:id="29"/>
      <w:bookmarkEnd w:id="30"/>
    </w:p>
    <w:p w14:paraId="725B9721" w14:textId="18459004" w:rsidR="00E3432A" w:rsidRPr="00404724" w:rsidRDefault="00E3432A" w:rsidP="00E3432A">
      <w:r w:rsidRPr="00404724">
        <w:t xml:space="preserve">In line with best practice, the impact analysis for this RIA has been prepared using a cost benefit analysis (CBA) framework. CBA is an economic analytical tool used to assess the costs and benefits of regulatory proposals. Costs and benefits are examined from the perspective of the community as a whole to identify the proposal with the highest net benefit. </w:t>
      </w:r>
      <w:r w:rsidRPr="00404724">
        <w:fldChar w:fldCharType="begin"/>
      </w:r>
      <w:r w:rsidRPr="00404724">
        <w:instrText xml:space="preserve"> REF _Ref209624950 \h </w:instrText>
      </w:r>
      <w:r w:rsidRPr="00404724">
        <w:fldChar w:fldCharType="separate"/>
      </w:r>
      <w:r w:rsidR="00BF489D" w:rsidRPr="00404724">
        <w:t xml:space="preserve">Table </w:t>
      </w:r>
      <w:r w:rsidR="00BF489D">
        <w:rPr>
          <w:noProof/>
        </w:rPr>
        <w:t>2</w:t>
      </w:r>
      <w:r w:rsidRPr="00404724">
        <w:fldChar w:fldCharType="end"/>
      </w:r>
      <w:r w:rsidRPr="00404724">
        <w:t xml:space="preserve"> summarises the costs and benefits that will be modelled.</w:t>
      </w:r>
    </w:p>
    <w:p w14:paraId="3EC1B49D" w14:textId="0FC8684B" w:rsidR="00E3432A" w:rsidRPr="00404724" w:rsidRDefault="00E3432A" w:rsidP="003979C3">
      <w:pPr>
        <w:pStyle w:val="Tablefigureheading"/>
      </w:pPr>
      <w:bookmarkStart w:id="31" w:name="_Ref209624950"/>
      <w:bookmarkStart w:id="32" w:name="_Toc210040339"/>
      <w:bookmarkStart w:id="33" w:name="_Toc210051875"/>
      <w:r w:rsidRPr="00404724">
        <w:t xml:space="preserve">Table </w:t>
      </w:r>
      <w:r w:rsidR="00EC39D5">
        <w:fldChar w:fldCharType="begin"/>
      </w:r>
      <w:r w:rsidR="00EC39D5">
        <w:instrText xml:space="preserve"> SEQ Table \* ARABIC </w:instrText>
      </w:r>
      <w:r w:rsidR="00EC39D5">
        <w:fldChar w:fldCharType="separate"/>
      </w:r>
      <w:r w:rsidR="00BF489D">
        <w:rPr>
          <w:noProof/>
        </w:rPr>
        <w:t>2</w:t>
      </w:r>
      <w:r w:rsidR="00EC39D5">
        <w:rPr>
          <w:noProof/>
        </w:rPr>
        <w:fldChar w:fldCharType="end"/>
      </w:r>
      <w:bookmarkEnd w:id="31"/>
      <w:r w:rsidRPr="00404724">
        <w:tab/>
        <w:t>Costs and benefits framework</w:t>
      </w:r>
      <w:bookmarkEnd w:id="32"/>
      <w:bookmarkEnd w:id="33"/>
      <w:r w:rsidRPr="00404724">
        <w:t xml:space="preserve"> </w:t>
      </w:r>
    </w:p>
    <w:tbl>
      <w:tblPr>
        <w:tblStyle w:val="aacTableBasic"/>
        <w:tblW w:w="5000" w:type="pct"/>
        <w:tblLayout w:type="fixed"/>
        <w:tblLook w:val="04A0" w:firstRow="1" w:lastRow="0" w:firstColumn="1" w:lastColumn="0" w:noHBand="0" w:noVBand="1"/>
        <w:tblCaption w:val="Table 2 Costs and benefits framework "/>
        <w:tblDescription w:val="Table 2 Costs and benefits framework "/>
      </w:tblPr>
      <w:tblGrid>
        <w:gridCol w:w="2097"/>
        <w:gridCol w:w="2420"/>
        <w:gridCol w:w="2673"/>
        <w:gridCol w:w="71"/>
        <w:gridCol w:w="2603"/>
      </w:tblGrid>
      <w:tr w:rsidR="00E3432A" w:rsidRPr="00404724" w14:paraId="7562E54B" w14:textId="77777777" w:rsidTr="00846F1D">
        <w:trPr>
          <w:cnfStyle w:val="100000000000" w:firstRow="1" w:lastRow="0" w:firstColumn="0" w:lastColumn="0" w:oddVBand="0" w:evenVBand="0" w:oddHBand="0" w:evenHBand="0" w:firstRowFirstColumn="0" w:firstRowLastColumn="0" w:lastRowFirstColumn="0" w:lastRowLastColumn="0"/>
          <w:cantSplit/>
          <w:tblHeader/>
        </w:trPr>
        <w:tc>
          <w:tcPr>
            <w:tcW w:w="2097" w:type="dxa"/>
          </w:tcPr>
          <w:p w14:paraId="283ACCF8" w14:textId="77777777" w:rsidR="00E3432A" w:rsidRPr="00404724" w:rsidRDefault="00E3432A" w:rsidP="00846F1D">
            <w:pPr>
              <w:spacing w:before="80"/>
              <w:rPr>
                <w:rFonts w:asciiTheme="minorHAnsi" w:hAnsiTheme="minorHAnsi"/>
                <w:b/>
                <w:bCs/>
                <w:lang w:val="en-AU"/>
              </w:rPr>
            </w:pPr>
            <w:r w:rsidRPr="00404724">
              <w:rPr>
                <w:rFonts w:asciiTheme="minorHAnsi" w:hAnsiTheme="minorHAnsi"/>
                <w:b/>
                <w:bCs/>
                <w:lang w:val="en-AU"/>
              </w:rPr>
              <w:t>High level impact</w:t>
            </w:r>
          </w:p>
        </w:tc>
        <w:tc>
          <w:tcPr>
            <w:tcW w:w="2420" w:type="dxa"/>
          </w:tcPr>
          <w:p w14:paraId="72D60914" w14:textId="77777777" w:rsidR="00E3432A" w:rsidRPr="00404724" w:rsidRDefault="00E3432A" w:rsidP="00846F1D">
            <w:pPr>
              <w:spacing w:before="80"/>
              <w:rPr>
                <w:rFonts w:asciiTheme="minorHAnsi" w:hAnsiTheme="minorHAnsi"/>
                <w:b/>
                <w:bCs/>
                <w:lang w:val="en-AU"/>
              </w:rPr>
            </w:pPr>
            <w:r w:rsidRPr="00404724">
              <w:rPr>
                <w:rFonts w:asciiTheme="minorHAnsi" w:hAnsiTheme="minorHAnsi"/>
                <w:b/>
                <w:bCs/>
                <w:lang w:val="en-AU"/>
              </w:rPr>
              <w:t>Detailed benefits</w:t>
            </w:r>
          </w:p>
        </w:tc>
        <w:tc>
          <w:tcPr>
            <w:tcW w:w="2744" w:type="dxa"/>
            <w:gridSpan w:val="2"/>
          </w:tcPr>
          <w:p w14:paraId="18272CF1" w14:textId="77777777" w:rsidR="00E3432A" w:rsidRPr="00404724" w:rsidRDefault="00E3432A" w:rsidP="00846F1D">
            <w:pPr>
              <w:spacing w:before="80"/>
              <w:rPr>
                <w:rFonts w:asciiTheme="minorHAnsi" w:hAnsiTheme="minorHAnsi"/>
                <w:b/>
                <w:bCs/>
                <w:lang w:val="en-AU"/>
              </w:rPr>
            </w:pPr>
            <w:r w:rsidRPr="00404724">
              <w:rPr>
                <w:rFonts w:asciiTheme="minorHAnsi" w:hAnsiTheme="minorHAnsi"/>
                <w:b/>
                <w:bCs/>
                <w:lang w:val="en-AU"/>
              </w:rPr>
              <w:t>Price</w:t>
            </w:r>
          </w:p>
        </w:tc>
        <w:tc>
          <w:tcPr>
            <w:tcW w:w="2603" w:type="dxa"/>
          </w:tcPr>
          <w:p w14:paraId="31F3E9F3" w14:textId="77777777" w:rsidR="00E3432A" w:rsidRPr="00404724" w:rsidRDefault="00E3432A" w:rsidP="00846F1D">
            <w:pPr>
              <w:spacing w:before="80"/>
              <w:rPr>
                <w:rFonts w:asciiTheme="minorHAnsi" w:hAnsiTheme="minorHAnsi"/>
                <w:b/>
                <w:bCs/>
                <w:lang w:val="en-AU"/>
              </w:rPr>
            </w:pPr>
            <w:r w:rsidRPr="00404724">
              <w:rPr>
                <w:rFonts w:asciiTheme="minorHAnsi" w:hAnsiTheme="minorHAnsi"/>
                <w:b/>
                <w:bCs/>
                <w:lang w:val="en-AU"/>
              </w:rPr>
              <w:t>Quantity</w:t>
            </w:r>
          </w:p>
        </w:tc>
      </w:tr>
      <w:tr w:rsidR="00E3432A" w:rsidRPr="00404724" w14:paraId="42B733A5" w14:textId="77777777" w:rsidTr="00C37181">
        <w:trPr>
          <w:cantSplit/>
        </w:trPr>
        <w:tc>
          <w:tcPr>
            <w:tcW w:w="2097" w:type="dxa"/>
            <w:shd w:val="clear" w:color="auto" w:fill="C8ECFA" w:themeFill="accent3" w:themeFillTint="66"/>
          </w:tcPr>
          <w:p w14:paraId="6E035C2A" w14:textId="77777777" w:rsidR="00E3432A" w:rsidRPr="00404724" w:rsidRDefault="00E3432A" w:rsidP="00846F1D">
            <w:pPr>
              <w:spacing w:before="80"/>
              <w:rPr>
                <w:rFonts w:asciiTheme="minorHAnsi" w:hAnsiTheme="minorHAnsi"/>
                <w:b/>
                <w:bCs/>
                <w:lang w:val="en-AU"/>
              </w:rPr>
            </w:pPr>
            <w:r w:rsidRPr="00404724">
              <w:rPr>
                <w:rFonts w:asciiTheme="minorHAnsi" w:hAnsiTheme="minorHAnsi"/>
                <w:b/>
                <w:bCs/>
                <w:lang w:val="en-AU"/>
              </w:rPr>
              <w:t>Benefits</w:t>
            </w:r>
          </w:p>
        </w:tc>
        <w:tc>
          <w:tcPr>
            <w:tcW w:w="2420" w:type="dxa"/>
            <w:shd w:val="clear" w:color="auto" w:fill="C8ECFA" w:themeFill="accent3" w:themeFillTint="66"/>
          </w:tcPr>
          <w:p w14:paraId="11F3A315" w14:textId="77777777" w:rsidR="00E3432A" w:rsidRPr="00404724" w:rsidRDefault="00E3432A" w:rsidP="00846F1D">
            <w:pPr>
              <w:spacing w:before="80"/>
              <w:rPr>
                <w:rFonts w:asciiTheme="minorHAnsi" w:hAnsiTheme="minorHAnsi"/>
                <w:b/>
                <w:bCs/>
                <w:lang w:val="en-AU"/>
              </w:rPr>
            </w:pPr>
          </w:p>
        </w:tc>
        <w:tc>
          <w:tcPr>
            <w:tcW w:w="2744" w:type="dxa"/>
            <w:gridSpan w:val="2"/>
            <w:shd w:val="clear" w:color="auto" w:fill="C8ECFA" w:themeFill="accent3" w:themeFillTint="66"/>
          </w:tcPr>
          <w:p w14:paraId="4AC41ECA" w14:textId="77777777" w:rsidR="00E3432A" w:rsidRPr="00404724" w:rsidRDefault="00E3432A" w:rsidP="00846F1D">
            <w:pPr>
              <w:spacing w:before="80"/>
              <w:rPr>
                <w:rFonts w:asciiTheme="minorHAnsi" w:hAnsiTheme="minorHAnsi"/>
                <w:b/>
                <w:bCs/>
                <w:lang w:val="en-AU"/>
              </w:rPr>
            </w:pPr>
          </w:p>
        </w:tc>
        <w:tc>
          <w:tcPr>
            <w:tcW w:w="2603" w:type="dxa"/>
            <w:shd w:val="clear" w:color="auto" w:fill="C8ECFA" w:themeFill="accent3" w:themeFillTint="66"/>
          </w:tcPr>
          <w:p w14:paraId="60DE1422" w14:textId="77777777" w:rsidR="00E3432A" w:rsidRPr="00404724" w:rsidRDefault="00E3432A" w:rsidP="00846F1D">
            <w:pPr>
              <w:spacing w:before="80"/>
              <w:rPr>
                <w:rFonts w:asciiTheme="minorHAnsi" w:hAnsiTheme="minorHAnsi"/>
                <w:b/>
                <w:bCs/>
                <w:lang w:val="en-AU"/>
              </w:rPr>
            </w:pPr>
          </w:p>
        </w:tc>
      </w:tr>
      <w:tr w:rsidR="00E3432A" w:rsidRPr="00404724" w14:paraId="557E398C" w14:textId="77777777" w:rsidTr="00846F1D">
        <w:trPr>
          <w:cantSplit/>
          <w:trHeight w:val="441"/>
        </w:trPr>
        <w:tc>
          <w:tcPr>
            <w:tcW w:w="2097" w:type="dxa"/>
            <w:vMerge w:val="restart"/>
            <w:shd w:val="clear" w:color="auto" w:fill="F2F2F2" w:themeFill="background1" w:themeFillShade="F2"/>
          </w:tcPr>
          <w:p w14:paraId="09450BE0" w14:textId="77777777" w:rsidR="00E3432A" w:rsidRPr="00404724" w:rsidRDefault="00E3432A" w:rsidP="00846F1D">
            <w:pPr>
              <w:spacing w:before="80"/>
              <w:rPr>
                <w:rFonts w:asciiTheme="minorHAnsi" w:hAnsiTheme="minorHAnsi"/>
                <w:lang w:val="en-AU"/>
              </w:rPr>
            </w:pPr>
            <w:r w:rsidRPr="00404724">
              <w:rPr>
                <w:rFonts w:asciiTheme="minorHAnsi" w:hAnsiTheme="minorHAnsi"/>
                <w:lang w:val="en-AU"/>
              </w:rPr>
              <w:t>Avoided costs of fatalities and serious injuries</w:t>
            </w:r>
          </w:p>
        </w:tc>
        <w:tc>
          <w:tcPr>
            <w:tcW w:w="2420" w:type="dxa"/>
          </w:tcPr>
          <w:p w14:paraId="38E53611" w14:textId="77777777" w:rsidR="00E3432A" w:rsidRPr="00404724" w:rsidRDefault="00E3432A" w:rsidP="00846F1D">
            <w:pPr>
              <w:spacing w:before="80"/>
              <w:rPr>
                <w:rFonts w:asciiTheme="minorHAnsi" w:hAnsiTheme="minorHAnsi"/>
                <w:lang w:val="en-AU"/>
              </w:rPr>
            </w:pPr>
            <w:r w:rsidRPr="00404724">
              <w:rPr>
                <w:rFonts w:asciiTheme="minorHAnsi" w:hAnsiTheme="minorHAnsi"/>
                <w:lang w:val="en-AU"/>
              </w:rPr>
              <w:t>Avoided fatalities</w:t>
            </w:r>
          </w:p>
        </w:tc>
        <w:tc>
          <w:tcPr>
            <w:tcW w:w="2744" w:type="dxa"/>
            <w:gridSpan w:val="2"/>
          </w:tcPr>
          <w:p w14:paraId="4C57EBAA" w14:textId="77777777" w:rsidR="00E3432A" w:rsidRPr="00404724" w:rsidRDefault="00E3432A" w:rsidP="00846F1D">
            <w:pPr>
              <w:spacing w:before="80"/>
              <w:rPr>
                <w:rFonts w:asciiTheme="minorHAnsi" w:hAnsiTheme="minorHAnsi"/>
                <w:lang w:val="en-AU"/>
              </w:rPr>
            </w:pPr>
            <w:r w:rsidRPr="00404724">
              <w:rPr>
                <w:rFonts w:asciiTheme="minorHAnsi" w:hAnsiTheme="minorHAnsi"/>
                <w:lang w:val="en-AU"/>
              </w:rPr>
              <w:t>Office of Impact Assessment (OIA) value of a statistical life</w:t>
            </w:r>
          </w:p>
        </w:tc>
        <w:tc>
          <w:tcPr>
            <w:tcW w:w="2603" w:type="dxa"/>
          </w:tcPr>
          <w:p w14:paraId="63F8A927" w14:textId="77777777" w:rsidR="00E3432A" w:rsidRPr="00404724" w:rsidRDefault="00E3432A" w:rsidP="00846F1D">
            <w:pPr>
              <w:spacing w:before="80"/>
              <w:rPr>
                <w:rFonts w:asciiTheme="minorHAnsi" w:hAnsiTheme="minorHAnsi"/>
                <w:lang w:val="en-AU"/>
              </w:rPr>
            </w:pPr>
            <w:r w:rsidRPr="00404724">
              <w:rPr>
                <w:rFonts w:asciiTheme="minorHAnsi" w:hAnsiTheme="minorHAnsi"/>
                <w:lang w:val="en-AU"/>
              </w:rPr>
              <w:t>MUARC scenario modelling</w:t>
            </w:r>
          </w:p>
        </w:tc>
      </w:tr>
      <w:tr w:rsidR="00E3432A" w:rsidRPr="00404724" w14:paraId="217F35BB" w14:textId="77777777" w:rsidTr="00846F1D">
        <w:trPr>
          <w:cantSplit/>
          <w:trHeight w:val="441"/>
        </w:trPr>
        <w:tc>
          <w:tcPr>
            <w:tcW w:w="2097" w:type="dxa"/>
            <w:vMerge/>
            <w:shd w:val="clear" w:color="auto" w:fill="F2F2F2" w:themeFill="background1" w:themeFillShade="F2"/>
          </w:tcPr>
          <w:p w14:paraId="66729DC7" w14:textId="77777777" w:rsidR="00E3432A" w:rsidRPr="00404724" w:rsidRDefault="00E3432A" w:rsidP="00846F1D">
            <w:pPr>
              <w:spacing w:before="80"/>
              <w:rPr>
                <w:lang w:val="en-AU"/>
              </w:rPr>
            </w:pPr>
          </w:p>
        </w:tc>
        <w:tc>
          <w:tcPr>
            <w:tcW w:w="2420" w:type="dxa"/>
          </w:tcPr>
          <w:p w14:paraId="561BC70A" w14:textId="77777777" w:rsidR="00E3432A" w:rsidRPr="00404724" w:rsidRDefault="00E3432A" w:rsidP="00846F1D">
            <w:pPr>
              <w:spacing w:before="80"/>
              <w:rPr>
                <w:lang w:val="en-AU"/>
              </w:rPr>
            </w:pPr>
            <w:r w:rsidRPr="00404724">
              <w:rPr>
                <w:rFonts w:asciiTheme="minorHAnsi" w:hAnsiTheme="minorHAnsi"/>
                <w:lang w:val="en-AU"/>
              </w:rPr>
              <w:t>Avoided serious injuries</w:t>
            </w:r>
          </w:p>
        </w:tc>
        <w:tc>
          <w:tcPr>
            <w:tcW w:w="2744" w:type="dxa"/>
            <w:gridSpan w:val="2"/>
          </w:tcPr>
          <w:p w14:paraId="02AFAC1E" w14:textId="77777777" w:rsidR="00E3432A" w:rsidRPr="00404724" w:rsidRDefault="00E3432A" w:rsidP="00846F1D">
            <w:pPr>
              <w:spacing w:before="80"/>
              <w:rPr>
                <w:lang w:val="en-AU"/>
              </w:rPr>
            </w:pPr>
            <w:r w:rsidRPr="00404724">
              <w:rPr>
                <w:rFonts w:asciiTheme="minorHAnsi" w:hAnsiTheme="minorHAnsi"/>
                <w:lang w:val="en-AU"/>
              </w:rPr>
              <w:t>Based on Australian Transport Assessment and Planning (ATAP) Guidelines</w:t>
            </w:r>
          </w:p>
        </w:tc>
        <w:tc>
          <w:tcPr>
            <w:tcW w:w="2603" w:type="dxa"/>
          </w:tcPr>
          <w:p w14:paraId="286ABA70" w14:textId="77777777" w:rsidR="00E3432A" w:rsidRPr="00404724" w:rsidRDefault="00E3432A" w:rsidP="00846F1D">
            <w:pPr>
              <w:spacing w:before="80"/>
              <w:rPr>
                <w:lang w:val="en-AU"/>
              </w:rPr>
            </w:pPr>
            <w:r w:rsidRPr="00404724">
              <w:rPr>
                <w:rFonts w:asciiTheme="minorHAnsi" w:hAnsiTheme="minorHAnsi"/>
                <w:lang w:val="en-AU"/>
              </w:rPr>
              <w:t>MUARC scenario modelling</w:t>
            </w:r>
          </w:p>
        </w:tc>
      </w:tr>
      <w:tr w:rsidR="00E3432A" w:rsidRPr="00404724" w14:paraId="3EBB2EEC" w14:textId="77777777" w:rsidTr="00846F1D">
        <w:trPr>
          <w:cantSplit/>
          <w:trHeight w:val="439"/>
        </w:trPr>
        <w:tc>
          <w:tcPr>
            <w:tcW w:w="2097" w:type="dxa"/>
            <w:vMerge/>
            <w:shd w:val="clear" w:color="auto" w:fill="F2F2F2" w:themeFill="background1" w:themeFillShade="F2"/>
          </w:tcPr>
          <w:p w14:paraId="283D05A6" w14:textId="77777777" w:rsidR="00E3432A" w:rsidRPr="00404724" w:rsidRDefault="00E3432A" w:rsidP="00846F1D">
            <w:pPr>
              <w:spacing w:before="80"/>
              <w:rPr>
                <w:rFonts w:asciiTheme="minorHAnsi" w:hAnsiTheme="minorHAnsi"/>
                <w:lang w:val="en-AU"/>
              </w:rPr>
            </w:pPr>
          </w:p>
        </w:tc>
        <w:tc>
          <w:tcPr>
            <w:tcW w:w="2420" w:type="dxa"/>
          </w:tcPr>
          <w:p w14:paraId="480E8C6B" w14:textId="77777777" w:rsidR="00E3432A" w:rsidRPr="00404724" w:rsidRDefault="00E3432A" w:rsidP="00846F1D">
            <w:pPr>
              <w:spacing w:before="80"/>
              <w:rPr>
                <w:rFonts w:asciiTheme="minorHAnsi" w:hAnsiTheme="minorHAnsi"/>
                <w:lang w:val="en-AU"/>
              </w:rPr>
            </w:pPr>
            <w:r w:rsidRPr="00404724">
              <w:rPr>
                <w:rFonts w:asciiTheme="minorHAnsi" w:hAnsiTheme="minorHAnsi"/>
                <w:lang w:val="en-AU"/>
              </w:rPr>
              <w:t>Avoided minor injuries</w:t>
            </w:r>
          </w:p>
        </w:tc>
        <w:tc>
          <w:tcPr>
            <w:tcW w:w="2744" w:type="dxa"/>
            <w:gridSpan w:val="2"/>
          </w:tcPr>
          <w:p w14:paraId="712DB9E9" w14:textId="77777777" w:rsidR="00E3432A" w:rsidRPr="00404724" w:rsidRDefault="00E3432A" w:rsidP="00846F1D">
            <w:pPr>
              <w:spacing w:before="80"/>
              <w:rPr>
                <w:rFonts w:asciiTheme="minorHAnsi" w:hAnsiTheme="minorHAnsi"/>
                <w:lang w:val="en-AU"/>
              </w:rPr>
            </w:pPr>
            <w:r w:rsidRPr="00404724">
              <w:rPr>
                <w:rFonts w:asciiTheme="minorHAnsi" w:hAnsiTheme="minorHAnsi"/>
                <w:lang w:val="en-AU"/>
              </w:rPr>
              <w:t>Based on Australian Transport Assessment and Planning (ATAP) Guidelines</w:t>
            </w:r>
          </w:p>
        </w:tc>
        <w:tc>
          <w:tcPr>
            <w:tcW w:w="2603" w:type="dxa"/>
          </w:tcPr>
          <w:p w14:paraId="02422612" w14:textId="77777777" w:rsidR="00E3432A" w:rsidRPr="00404724" w:rsidRDefault="00E3432A" w:rsidP="00846F1D">
            <w:pPr>
              <w:spacing w:before="80"/>
              <w:rPr>
                <w:rFonts w:asciiTheme="minorHAnsi" w:hAnsiTheme="minorHAnsi"/>
                <w:lang w:val="en-AU"/>
              </w:rPr>
            </w:pPr>
            <w:r w:rsidRPr="00404724">
              <w:rPr>
                <w:rFonts w:asciiTheme="minorHAnsi" w:hAnsiTheme="minorHAnsi"/>
                <w:lang w:val="en-AU"/>
              </w:rPr>
              <w:t>Proportional to serious injuries</w:t>
            </w:r>
          </w:p>
        </w:tc>
      </w:tr>
      <w:tr w:rsidR="00E3432A" w:rsidRPr="00404724" w14:paraId="02F07553" w14:textId="77777777" w:rsidTr="00846F1D">
        <w:trPr>
          <w:cantSplit/>
          <w:trHeight w:val="352"/>
        </w:trPr>
        <w:tc>
          <w:tcPr>
            <w:tcW w:w="2097" w:type="dxa"/>
            <w:vMerge w:val="restart"/>
            <w:shd w:val="clear" w:color="auto" w:fill="F2F2F2" w:themeFill="background1" w:themeFillShade="F2"/>
          </w:tcPr>
          <w:p w14:paraId="2E03D7EC" w14:textId="77777777" w:rsidR="00E3432A" w:rsidRPr="00404724" w:rsidRDefault="00E3432A" w:rsidP="00846F1D">
            <w:pPr>
              <w:spacing w:before="80"/>
              <w:rPr>
                <w:rFonts w:asciiTheme="minorHAnsi" w:hAnsiTheme="minorHAnsi"/>
                <w:lang w:val="en-AU"/>
              </w:rPr>
            </w:pPr>
            <w:r w:rsidRPr="00404724">
              <w:rPr>
                <w:rFonts w:asciiTheme="minorHAnsi" w:hAnsiTheme="minorHAnsi"/>
                <w:lang w:val="en-AU"/>
              </w:rPr>
              <w:t>Avoided fuel consumption</w:t>
            </w:r>
          </w:p>
        </w:tc>
        <w:tc>
          <w:tcPr>
            <w:tcW w:w="2420" w:type="dxa"/>
          </w:tcPr>
          <w:p w14:paraId="647F4E73" w14:textId="77777777" w:rsidR="00E3432A" w:rsidRPr="00404724" w:rsidRDefault="00E3432A" w:rsidP="00846F1D">
            <w:pPr>
              <w:spacing w:before="80"/>
              <w:rPr>
                <w:rFonts w:asciiTheme="minorHAnsi" w:hAnsiTheme="minorHAnsi"/>
                <w:lang w:val="en-AU"/>
              </w:rPr>
            </w:pPr>
            <w:r w:rsidRPr="00404724">
              <w:rPr>
                <w:rFonts w:asciiTheme="minorHAnsi" w:hAnsiTheme="minorHAnsi"/>
                <w:lang w:val="en-AU"/>
              </w:rPr>
              <w:t>Cost of fuel</w:t>
            </w:r>
          </w:p>
        </w:tc>
        <w:tc>
          <w:tcPr>
            <w:tcW w:w="2744" w:type="dxa"/>
            <w:gridSpan w:val="2"/>
            <w:vMerge w:val="restart"/>
          </w:tcPr>
          <w:p w14:paraId="02F18A31" w14:textId="77777777" w:rsidR="00E3432A" w:rsidRPr="00404724" w:rsidRDefault="00E3432A" w:rsidP="00846F1D">
            <w:pPr>
              <w:spacing w:before="80"/>
              <w:rPr>
                <w:rFonts w:asciiTheme="minorHAnsi" w:hAnsiTheme="minorHAnsi"/>
                <w:lang w:val="en-AU"/>
              </w:rPr>
            </w:pPr>
            <w:r w:rsidRPr="00404724">
              <w:rPr>
                <w:rFonts w:asciiTheme="minorHAnsi" w:hAnsiTheme="minorHAnsi"/>
                <w:lang w:val="en-AU"/>
              </w:rPr>
              <w:t>Estimates from ACIL Allen’s previous New Vehicle Efficiency Standards (NVES) work</w:t>
            </w:r>
          </w:p>
        </w:tc>
        <w:tc>
          <w:tcPr>
            <w:tcW w:w="2603" w:type="dxa"/>
            <w:vMerge w:val="restart"/>
          </w:tcPr>
          <w:p w14:paraId="074F294F" w14:textId="77777777" w:rsidR="00E3432A" w:rsidRPr="00404724" w:rsidRDefault="00E3432A" w:rsidP="00846F1D">
            <w:pPr>
              <w:spacing w:before="80"/>
              <w:rPr>
                <w:rFonts w:asciiTheme="minorHAnsi" w:hAnsiTheme="minorHAnsi"/>
                <w:lang w:val="en-AU"/>
              </w:rPr>
            </w:pPr>
            <w:r w:rsidRPr="00404724">
              <w:rPr>
                <w:rFonts w:asciiTheme="minorHAnsi" w:hAnsiTheme="minorHAnsi"/>
                <w:lang w:val="en-AU"/>
              </w:rPr>
              <w:t>Estimated share of VKT on default roads, adjusted by speed change estimates output by MUARC’s modelling</w:t>
            </w:r>
          </w:p>
        </w:tc>
      </w:tr>
      <w:tr w:rsidR="00E3432A" w:rsidRPr="00404724" w14:paraId="34375106" w14:textId="77777777" w:rsidTr="00846F1D">
        <w:trPr>
          <w:cantSplit/>
          <w:trHeight w:val="351"/>
        </w:trPr>
        <w:tc>
          <w:tcPr>
            <w:tcW w:w="2097" w:type="dxa"/>
            <w:vMerge/>
            <w:shd w:val="clear" w:color="auto" w:fill="F2F2F2" w:themeFill="background1" w:themeFillShade="F2"/>
          </w:tcPr>
          <w:p w14:paraId="5DD1AF68" w14:textId="77777777" w:rsidR="00E3432A" w:rsidRPr="00404724" w:rsidRDefault="00E3432A" w:rsidP="00846F1D">
            <w:pPr>
              <w:spacing w:before="80"/>
              <w:rPr>
                <w:rFonts w:asciiTheme="minorHAnsi" w:hAnsiTheme="minorHAnsi"/>
                <w:lang w:val="en-AU"/>
              </w:rPr>
            </w:pPr>
          </w:p>
        </w:tc>
        <w:tc>
          <w:tcPr>
            <w:tcW w:w="2420" w:type="dxa"/>
          </w:tcPr>
          <w:p w14:paraId="5043178E" w14:textId="77777777" w:rsidR="00E3432A" w:rsidRPr="00404724" w:rsidRDefault="00E3432A" w:rsidP="00846F1D">
            <w:pPr>
              <w:spacing w:before="80"/>
              <w:rPr>
                <w:rFonts w:asciiTheme="minorHAnsi" w:hAnsiTheme="minorHAnsi"/>
                <w:lang w:val="en-AU"/>
              </w:rPr>
            </w:pPr>
            <w:r w:rsidRPr="00404724">
              <w:rPr>
                <w:rFonts w:asciiTheme="minorHAnsi" w:hAnsiTheme="minorHAnsi"/>
                <w:lang w:val="en-AU"/>
              </w:rPr>
              <w:t>Emissions benefits</w:t>
            </w:r>
          </w:p>
        </w:tc>
        <w:tc>
          <w:tcPr>
            <w:tcW w:w="2744" w:type="dxa"/>
            <w:gridSpan w:val="2"/>
            <w:vMerge/>
          </w:tcPr>
          <w:p w14:paraId="38EB8651" w14:textId="77777777" w:rsidR="00E3432A" w:rsidRPr="00404724" w:rsidRDefault="00E3432A" w:rsidP="00846F1D">
            <w:pPr>
              <w:spacing w:before="80"/>
              <w:rPr>
                <w:rFonts w:asciiTheme="minorHAnsi" w:hAnsiTheme="minorHAnsi"/>
                <w:lang w:val="en-AU"/>
              </w:rPr>
            </w:pPr>
          </w:p>
        </w:tc>
        <w:tc>
          <w:tcPr>
            <w:tcW w:w="2603" w:type="dxa"/>
            <w:vMerge/>
          </w:tcPr>
          <w:p w14:paraId="3E8CA233" w14:textId="77777777" w:rsidR="00E3432A" w:rsidRPr="00404724" w:rsidRDefault="00E3432A" w:rsidP="00846F1D">
            <w:pPr>
              <w:spacing w:before="80"/>
              <w:rPr>
                <w:rFonts w:asciiTheme="minorHAnsi" w:hAnsiTheme="minorHAnsi"/>
                <w:lang w:val="en-AU"/>
              </w:rPr>
            </w:pPr>
          </w:p>
        </w:tc>
      </w:tr>
      <w:tr w:rsidR="00E3432A" w:rsidRPr="00404724" w14:paraId="103C2F33" w14:textId="77777777" w:rsidTr="00846F1D">
        <w:trPr>
          <w:cantSplit/>
        </w:trPr>
        <w:tc>
          <w:tcPr>
            <w:tcW w:w="2097" w:type="dxa"/>
            <w:shd w:val="clear" w:color="auto" w:fill="F2F2F2" w:themeFill="background1" w:themeFillShade="F2"/>
          </w:tcPr>
          <w:p w14:paraId="492C2C7E" w14:textId="77777777" w:rsidR="00E3432A" w:rsidRPr="00404724" w:rsidRDefault="00E3432A" w:rsidP="00846F1D">
            <w:pPr>
              <w:spacing w:before="80"/>
              <w:rPr>
                <w:rFonts w:asciiTheme="minorHAnsi" w:hAnsiTheme="minorHAnsi"/>
                <w:lang w:val="en-AU"/>
              </w:rPr>
            </w:pPr>
            <w:r w:rsidRPr="00404724">
              <w:rPr>
                <w:rFonts w:asciiTheme="minorHAnsi" w:hAnsiTheme="minorHAnsi"/>
                <w:lang w:val="en-AU"/>
              </w:rPr>
              <w:t>Other intangible benefits</w:t>
            </w:r>
          </w:p>
        </w:tc>
        <w:tc>
          <w:tcPr>
            <w:tcW w:w="2420" w:type="dxa"/>
          </w:tcPr>
          <w:p w14:paraId="3EB3CB65" w14:textId="1071C0AB" w:rsidR="00E3432A" w:rsidRPr="00404724" w:rsidRDefault="00E3432A" w:rsidP="00846F1D">
            <w:pPr>
              <w:spacing w:before="80"/>
              <w:rPr>
                <w:rFonts w:asciiTheme="minorHAnsi" w:hAnsiTheme="minorHAnsi"/>
                <w:lang w:val="en-AU"/>
              </w:rPr>
            </w:pPr>
            <w:r w:rsidRPr="00404724">
              <w:rPr>
                <w:rFonts w:asciiTheme="minorHAnsi" w:hAnsiTheme="minorHAnsi"/>
                <w:lang w:val="en-AU"/>
              </w:rPr>
              <w:t>Improved community amenity, reduced noise, reduced road maintenance, and enhanced perceptions of safety</w:t>
            </w:r>
          </w:p>
        </w:tc>
        <w:tc>
          <w:tcPr>
            <w:tcW w:w="2744" w:type="dxa"/>
            <w:gridSpan w:val="2"/>
          </w:tcPr>
          <w:p w14:paraId="128EB191" w14:textId="77777777" w:rsidR="00E3432A" w:rsidRPr="00404724" w:rsidRDefault="00E3432A" w:rsidP="00846F1D">
            <w:pPr>
              <w:spacing w:before="80"/>
              <w:rPr>
                <w:rFonts w:asciiTheme="minorHAnsi" w:hAnsiTheme="minorHAnsi"/>
                <w:lang w:val="en-AU"/>
              </w:rPr>
            </w:pPr>
            <w:r w:rsidRPr="00404724">
              <w:rPr>
                <w:rFonts w:asciiTheme="minorHAnsi" w:hAnsiTheme="minorHAnsi"/>
                <w:lang w:val="en-AU"/>
              </w:rPr>
              <w:t>Qualitative discussion</w:t>
            </w:r>
          </w:p>
        </w:tc>
        <w:tc>
          <w:tcPr>
            <w:tcW w:w="2603" w:type="dxa"/>
          </w:tcPr>
          <w:p w14:paraId="073ED348" w14:textId="77777777" w:rsidR="00E3432A" w:rsidRPr="00404724" w:rsidRDefault="00E3432A" w:rsidP="00846F1D">
            <w:pPr>
              <w:spacing w:before="80"/>
              <w:rPr>
                <w:rFonts w:asciiTheme="minorHAnsi" w:hAnsiTheme="minorHAnsi"/>
                <w:lang w:val="en-AU"/>
              </w:rPr>
            </w:pPr>
            <w:r w:rsidRPr="00404724">
              <w:rPr>
                <w:rFonts w:asciiTheme="minorHAnsi" w:hAnsiTheme="minorHAnsi"/>
                <w:lang w:val="en-AU"/>
              </w:rPr>
              <w:t>Qualitative discussion</w:t>
            </w:r>
          </w:p>
        </w:tc>
      </w:tr>
      <w:tr w:rsidR="00E3432A" w:rsidRPr="00404724" w14:paraId="54EC8492" w14:textId="77777777" w:rsidTr="00C37181">
        <w:trPr>
          <w:cantSplit/>
        </w:trPr>
        <w:tc>
          <w:tcPr>
            <w:tcW w:w="2097" w:type="dxa"/>
            <w:shd w:val="clear" w:color="auto" w:fill="C8ECFA" w:themeFill="accent3" w:themeFillTint="66"/>
          </w:tcPr>
          <w:p w14:paraId="6FEB7A49" w14:textId="77777777" w:rsidR="00E3432A" w:rsidRPr="00404724" w:rsidRDefault="00E3432A" w:rsidP="00846F1D">
            <w:pPr>
              <w:spacing w:before="80"/>
              <w:rPr>
                <w:rFonts w:ascii="Calibri" w:hAnsi="Calibri" w:cs="Calibri"/>
                <w:b/>
                <w:bCs/>
                <w:lang w:val="en-AU"/>
              </w:rPr>
            </w:pPr>
            <w:r w:rsidRPr="00404724">
              <w:rPr>
                <w:rFonts w:asciiTheme="minorHAnsi" w:hAnsiTheme="minorHAnsi"/>
                <w:b/>
                <w:bCs/>
                <w:lang w:val="en-AU"/>
              </w:rPr>
              <w:t>Costs</w:t>
            </w:r>
          </w:p>
        </w:tc>
        <w:tc>
          <w:tcPr>
            <w:tcW w:w="2420" w:type="dxa"/>
            <w:shd w:val="clear" w:color="auto" w:fill="C8ECFA" w:themeFill="accent3" w:themeFillTint="66"/>
          </w:tcPr>
          <w:p w14:paraId="37BF3CA7" w14:textId="77777777" w:rsidR="00E3432A" w:rsidRPr="00404724" w:rsidRDefault="00E3432A" w:rsidP="00846F1D">
            <w:pPr>
              <w:pStyle w:val="Tabletext"/>
              <w:rPr>
                <w:rFonts w:ascii="Calibri" w:hAnsi="Calibri" w:cs="Calibri"/>
                <w:b/>
                <w:bCs/>
                <w:sz w:val="22"/>
                <w:lang w:val="en-AU"/>
              </w:rPr>
            </w:pPr>
          </w:p>
        </w:tc>
        <w:tc>
          <w:tcPr>
            <w:tcW w:w="2744" w:type="dxa"/>
            <w:gridSpan w:val="2"/>
            <w:shd w:val="clear" w:color="auto" w:fill="C8ECFA" w:themeFill="accent3" w:themeFillTint="66"/>
          </w:tcPr>
          <w:p w14:paraId="3E86AF81" w14:textId="77777777" w:rsidR="00E3432A" w:rsidRPr="00404724" w:rsidRDefault="00E3432A" w:rsidP="00846F1D">
            <w:pPr>
              <w:pStyle w:val="Tabletext"/>
              <w:rPr>
                <w:rFonts w:ascii="Calibri" w:hAnsi="Calibri" w:cs="Calibri"/>
                <w:b/>
                <w:bCs/>
                <w:sz w:val="22"/>
                <w:lang w:val="en-AU"/>
              </w:rPr>
            </w:pPr>
          </w:p>
        </w:tc>
        <w:tc>
          <w:tcPr>
            <w:tcW w:w="2603" w:type="dxa"/>
            <w:shd w:val="clear" w:color="auto" w:fill="C8ECFA" w:themeFill="accent3" w:themeFillTint="66"/>
          </w:tcPr>
          <w:p w14:paraId="5007C3BA" w14:textId="77777777" w:rsidR="00E3432A" w:rsidRPr="00404724" w:rsidRDefault="00E3432A" w:rsidP="00846F1D">
            <w:pPr>
              <w:pStyle w:val="Tabletext"/>
              <w:rPr>
                <w:rFonts w:ascii="Calibri" w:hAnsi="Calibri" w:cs="Calibri"/>
                <w:b/>
                <w:bCs/>
                <w:sz w:val="22"/>
                <w:lang w:val="en-AU"/>
              </w:rPr>
            </w:pPr>
          </w:p>
        </w:tc>
      </w:tr>
      <w:tr w:rsidR="00E3432A" w:rsidRPr="00404724" w14:paraId="52D55A67" w14:textId="77777777" w:rsidTr="00846F1D">
        <w:trPr>
          <w:cantSplit/>
        </w:trPr>
        <w:tc>
          <w:tcPr>
            <w:tcW w:w="2097" w:type="dxa"/>
            <w:shd w:val="clear" w:color="auto" w:fill="F2F2F2" w:themeFill="background1" w:themeFillShade="F2"/>
          </w:tcPr>
          <w:p w14:paraId="10A6B241" w14:textId="77777777" w:rsidR="00E3432A" w:rsidRPr="00404724" w:rsidRDefault="00E3432A" w:rsidP="00846F1D">
            <w:pPr>
              <w:spacing w:before="80"/>
              <w:rPr>
                <w:rFonts w:asciiTheme="minorHAnsi" w:hAnsiTheme="minorHAnsi"/>
                <w:lang w:val="en-AU"/>
              </w:rPr>
            </w:pPr>
            <w:r w:rsidRPr="00404724">
              <w:rPr>
                <w:rFonts w:asciiTheme="minorHAnsi" w:hAnsiTheme="minorHAnsi"/>
                <w:lang w:val="en-AU"/>
              </w:rPr>
              <w:t>Travel time</w:t>
            </w:r>
          </w:p>
        </w:tc>
        <w:tc>
          <w:tcPr>
            <w:tcW w:w="2420" w:type="dxa"/>
          </w:tcPr>
          <w:p w14:paraId="66111997" w14:textId="77777777" w:rsidR="00E3432A" w:rsidRPr="00404724" w:rsidRDefault="00E3432A" w:rsidP="00846F1D">
            <w:pPr>
              <w:spacing w:before="80"/>
              <w:rPr>
                <w:rFonts w:asciiTheme="minorHAnsi" w:hAnsiTheme="minorHAnsi"/>
                <w:lang w:val="en-AU"/>
              </w:rPr>
            </w:pPr>
            <w:r w:rsidRPr="00404724">
              <w:rPr>
                <w:rFonts w:asciiTheme="minorHAnsi" w:hAnsiTheme="minorHAnsi"/>
                <w:lang w:val="en-AU"/>
              </w:rPr>
              <w:t>Private travel time</w:t>
            </w:r>
          </w:p>
          <w:p w14:paraId="390F959D" w14:textId="77777777" w:rsidR="00E3432A" w:rsidRPr="00404724" w:rsidRDefault="00E3432A" w:rsidP="00846F1D">
            <w:pPr>
              <w:spacing w:before="80"/>
              <w:rPr>
                <w:rFonts w:asciiTheme="minorHAnsi" w:hAnsiTheme="minorHAnsi"/>
                <w:lang w:val="en-AU"/>
              </w:rPr>
            </w:pPr>
            <w:r w:rsidRPr="00404724">
              <w:rPr>
                <w:rFonts w:asciiTheme="minorHAnsi" w:hAnsiTheme="minorHAnsi"/>
                <w:lang w:val="en-AU"/>
              </w:rPr>
              <w:t>Business travel time</w:t>
            </w:r>
          </w:p>
          <w:p w14:paraId="25EB871F" w14:textId="77777777" w:rsidR="00E3432A" w:rsidRPr="00404724" w:rsidRDefault="00E3432A" w:rsidP="00846F1D">
            <w:pPr>
              <w:spacing w:before="80"/>
              <w:rPr>
                <w:rFonts w:asciiTheme="minorHAnsi" w:hAnsiTheme="minorHAnsi"/>
                <w:lang w:val="en-AU"/>
              </w:rPr>
            </w:pPr>
            <w:r w:rsidRPr="00404724">
              <w:rPr>
                <w:rFonts w:asciiTheme="minorHAnsi" w:hAnsiTheme="minorHAnsi"/>
                <w:lang w:val="en-AU"/>
              </w:rPr>
              <w:t>Logistics travel time</w:t>
            </w:r>
          </w:p>
        </w:tc>
        <w:tc>
          <w:tcPr>
            <w:tcW w:w="2744" w:type="dxa"/>
            <w:gridSpan w:val="2"/>
          </w:tcPr>
          <w:p w14:paraId="57AB76FE" w14:textId="77777777" w:rsidR="00E3432A" w:rsidRPr="00404724" w:rsidRDefault="00E3432A" w:rsidP="00846F1D">
            <w:pPr>
              <w:spacing w:before="80"/>
              <w:rPr>
                <w:rFonts w:asciiTheme="minorHAnsi" w:hAnsiTheme="minorHAnsi"/>
                <w:lang w:val="en-AU"/>
              </w:rPr>
            </w:pPr>
            <w:r w:rsidRPr="00404724">
              <w:rPr>
                <w:rFonts w:asciiTheme="minorHAnsi" w:hAnsiTheme="minorHAnsi"/>
                <w:lang w:val="en-AU"/>
              </w:rPr>
              <w:t>Austroads estimates of value of travel time</w:t>
            </w:r>
          </w:p>
          <w:p w14:paraId="6800DA18" w14:textId="77777777" w:rsidR="00E3432A" w:rsidRPr="00404724" w:rsidRDefault="00E3432A" w:rsidP="00846F1D">
            <w:pPr>
              <w:spacing w:before="80"/>
              <w:rPr>
                <w:rFonts w:asciiTheme="minorHAnsi" w:hAnsiTheme="minorHAnsi"/>
                <w:lang w:val="en-AU"/>
              </w:rPr>
            </w:pPr>
            <w:r w:rsidRPr="00404724">
              <w:rPr>
                <w:rFonts w:asciiTheme="minorHAnsi" w:hAnsiTheme="minorHAnsi"/>
                <w:lang w:val="en-AU"/>
              </w:rPr>
              <w:t>Logistics company estimates of cost of travel time</w:t>
            </w:r>
          </w:p>
        </w:tc>
        <w:tc>
          <w:tcPr>
            <w:tcW w:w="2603" w:type="dxa"/>
          </w:tcPr>
          <w:p w14:paraId="03BBB32C" w14:textId="77777777" w:rsidR="00E3432A" w:rsidRPr="00404724" w:rsidRDefault="00E3432A" w:rsidP="00846F1D">
            <w:pPr>
              <w:spacing w:before="80"/>
              <w:rPr>
                <w:rFonts w:asciiTheme="minorHAnsi" w:hAnsiTheme="minorHAnsi"/>
                <w:lang w:val="en-AU"/>
              </w:rPr>
            </w:pPr>
            <w:r w:rsidRPr="00404724">
              <w:rPr>
                <w:rFonts w:asciiTheme="minorHAnsi" w:hAnsiTheme="minorHAnsi"/>
                <w:lang w:val="en-AU"/>
              </w:rPr>
              <w:t>Estimated share of VKT on default roads, adjusted by speed change estimates</w:t>
            </w:r>
          </w:p>
        </w:tc>
      </w:tr>
      <w:tr w:rsidR="00E3432A" w:rsidRPr="00404724" w14:paraId="6D034825" w14:textId="77777777" w:rsidTr="00846F1D">
        <w:trPr>
          <w:cantSplit/>
        </w:trPr>
        <w:tc>
          <w:tcPr>
            <w:tcW w:w="2097" w:type="dxa"/>
            <w:shd w:val="clear" w:color="auto" w:fill="F2F2F2" w:themeFill="background1" w:themeFillShade="F2"/>
          </w:tcPr>
          <w:p w14:paraId="5DF9FCD4" w14:textId="77777777" w:rsidR="00E3432A" w:rsidRPr="00404724" w:rsidRDefault="00E3432A" w:rsidP="00846F1D">
            <w:pPr>
              <w:spacing w:before="80"/>
              <w:rPr>
                <w:rFonts w:asciiTheme="minorHAnsi" w:hAnsiTheme="minorHAnsi"/>
                <w:lang w:val="en-AU"/>
              </w:rPr>
            </w:pPr>
            <w:r w:rsidRPr="00404724">
              <w:rPr>
                <w:rFonts w:asciiTheme="minorHAnsi" w:hAnsiTheme="minorHAnsi"/>
                <w:lang w:val="en-AU"/>
              </w:rPr>
              <w:t>Government costs</w:t>
            </w:r>
          </w:p>
        </w:tc>
        <w:tc>
          <w:tcPr>
            <w:tcW w:w="2420" w:type="dxa"/>
          </w:tcPr>
          <w:p w14:paraId="5A6541EE" w14:textId="77777777" w:rsidR="00E3432A" w:rsidRPr="00404724" w:rsidRDefault="00E3432A" w:rsidP="00846F1D">
            <w:pPr>
              <w:spacing w:before="80"/>
              <w:rPr>
                <w:rFonts w:asciiTheme="minorHAnsi" w:hAnsiTheme="minorHAnsi"/>
                <w:lang w:val="en-AU"/>
              </w:rPr>
            </w:pPr>
            <w:r w:rsidRPr="00404724">
              <w:rPr>
                <w:rFonts w:asciiTheme="minorHAnsi" w:hAnsiTheme="minorHAnsi"/>
                <w:lang w:val="en-AU"/>
              </w:rPr>
              <w:t>Administrative costs</w:t>
            </w:r>
          </w:p>
        </w:tc>
        <w:tc>
          <w:tcPr>
            <w:tcW w:w="5347" w:type="dxa"/>
            <w:gridSpan w:val="3"/>
          </w:tcPr>
          <w:p w14:paraId="799F3D65" w14:textId="77777777" w:rsidR="00E3432A" w:rsidRPr="00404724" w:rsidRDefault="00E3432A" w:rsidP="00846F1D">
            <w:pPr>
              <w:spacing w:before="80"/>
              <w:rPr>
                <w:rFonts w:asciiTheme="minorHAnsi" w:hAnsiTheme="minorHAnsi"/>
                <w:lang w:val="en-AU"/>
              </w:rPr>
            </w:pPr>
            <w:r w:rsidRPr="00404724">
              <w:rPr>
                <w:rFonts w:asciiTheme="minorHAnsi" w:hAnsiTheme="minorHAnsi"/>
                <w:lang w:val="en-AU"/>
              </w:rPr>
              <w:t>Departmental estimates</w:t>
            </w:r>
          </w:p>
        </w:tc>
      </w:tr>
      <w:tr w:rsidR="00E3432A" w:rsidRPr="00404724" w14:paraId="55BF7A42" w14:textId="77777777" w:rsidTr="00846F1D">
        <w:trPr>
          <w:cantSplit/>
        </w:trPr>
        <w:tc>
          <w:tcPr>
            <w:tcW w:w="2097" w:type="dxa"/>
            <w:shd w:val="clear" w:color="auto" w:fill="F2F2F2" w:themeFill="background1" w:themeFillShade="F2"/>
          </w:tcPr>
          <w:p w14:paraId="31F3A868" w14:textId="77777777" w:rsidR="00E3432A" w:rsidRPr="00404724" w:rsidRDefault="00E3432A" w:rsidP="00846F1D">
            <w:pPr>
              <w:spacing w:before="80"/>
              <w:rPr>
                <w:rFonts w:asciiTheme="minorHAnsi" w:hAnsiTheme="minorHAnsi"/>
                <w:lang w:val="en-AU"/>
              </w:rPr>
            </w:pPr>
            <w:r w:rsidRPr="00404724">
              <w:rPr>
                <w:rFonts w:asciiTheme="minorHAnsi" w:hAnsiTheme="minorHAnsi"/>
                <w:lang w:val="en-AU"/>
              </w:rPr>
              <w:t>Other intangible costs</w:t>
            </w:r>
          </w:p>
        </w:tc>
        <w:tc>
          <w:tcPr>
            <w:tcW w:w="2420" w:type="dxa"/>
          </w:tcPr>
          <w:p w14:paraId="6B906616" w14:textId="77777777" w:rsidR="00E3432A" w:rsidRPr="00404724" w:rsidRDefault="00E3432A" w:rsidP="00846F1D">
            <w:pPr>
              <w:spacing w:before="80"/>
              <w:rPr>
                <w:rFonts w:asciiTheme="minorHAnsi" w:hAnsiTheme="minorHAnsi"/>
                <w:lang w:val="en-AU"/>
              </w:rPr>
            </w:pPr>
            <w:r w:rsidRPr="00404724">
              <w:rPr>
                <w:rFonts w:asciiTheme="minorHAnsi" w:hAnsiTheme="minorHAnsi"/>
                <w:lang w:val="en-AU"/>
              </w:rPr>
              <w:t>Social acceptance and public opinion</w:t>
            </w:r>
          </w:p>
        </w:tc>
        <w:tc>
          <w:tcPr>
            <w:tcW w:w="2673" w:type="dxa"/>
          </w:tcPr>
          <w:p w14:paraId="1DA93EB3" w14:textId="77777777" w:rsidR="00E3432A" w:rsidRPr="00404724" w:rsidRDefault="00E3432A" w:rsidP="00846F1D">
            <w:pPr>
              <w:spacing w:before="80"/>
              <w:rPr>
                <w:rFonts w:asciiTheme="minorHAnsi" w:hAnsiTheme="minorHAnsi"/>
                <w:lang w:val="en-AU"/>
              </w:rPr>
            </w:pPr>
            <w:r w:rsidRPr="00404724">
              <w:rPr>
                <w:rFonts w:asciiTheme="minorHAnsi" w:hAnsiTheme="minorHAnsi"/>
                <w:lang w:val="en-AU"/>
              </w:rPr>
              <w:t>Qualitative discussion</w:t>
            </w:r>
          </w:p>
        </w:tc>
        <w:tc>
          <w:tcPr>
            <w:tcW w:w="2674" w:type="dxa"/>
            <w:gridSpan w:val="2"/>
          </w:tcPr>
          <w:p w14:paraId="00D7114D" w14:textId="77777777" w:rsidR="00E3432A" w:rsidRPr="00404724" w:rsidRDefault="00E3432A" w:rsidP="00846F1D">
            <w:pPr>
              <w:spacing w:before="80"/>
              <w:rPr>
                <w:rFonts w:asciiTheme="minorHAnsi" w:hAnsiTheme="minorHAnsi"/>
                <w:lang w:val="en-AU"/>
              </w:rPr>
            </w:pPr>
            <w:r w:rsidRPr="00404724">
              <w:rPr>
                <w:rFonts w:asciiTheme="minorHAnsi" w:hAnsiTheme="minorHAnsi"/>
                <w:lang w:val="en-AU"/>
              </w:rPr>
              <w:t>Qualitative discussion</w:t>
            </w:r>
          </w:p>
        </w:tc>
      </w:tr>
    </w:tbl>
    <w:p w14:paraId="2DC2142A" w14:textId="77777777" w:rsidR="00E3432A" w:rsidRPr="00404724" w:rsidRDefault="00E3432A" w:rsidP="00AE4E2F">
      <w:pPr>
        <w:pStyle w:val="Sourcenotes"/>
        <w:rPr>
          <w:lang w:val="en-AU"/>
        </w:rPr>
      </w:pPr>
      <w:r w:rsidRPr="00404724">
        <w:rPr>
          <w:lang w:val="en-AU"/>
        </w:rPr>
        <w:t>Source: ACIL Allen</w:t>
      </w:r>
    </w:p>
    <w:p w14:paraId="098C5A90" w14:textId="675CE8CD" w:rsidR="00E3432A" w:rsidRPr="00404724" w:rsidRDefault="00E3432A" w:rsidP="00E3432A">
      <w:r w:rsidRPr="00404724">
        <w:t xml:space="preserve">CBAs typically make a central estimate of the costs and benefits on the basis of relatively certain estimates of quantity and price, allowing for any deviations from these to be handled in sensitivity analysis. However, in attempting to estimate the costs and benefits of a default speed reductions, there are too many uncertainties to be able to make a firm estimate. As will be discussed further in sections </w:t>
      </w:r>
      <w:r w:rsidRPr="00404724">
        <w:fldChar w:fldCharType="begin"/>
      </w:r>
      <w:r w:rsidRPr="00404724">
        <w:instrText xml:space="preserve"> REF _Ref208567633 \r \h </w:instrText>
      </w:r>
      <w:r w:rsidRPr="00404724">
        <w:fldChar w:fldCharType="separate"/>
      </w:r>
      <w:r w:rsidR="00BF489D">
        <w:t>4.2</w:t>
      </w:r>
      <w:r w:rsidRPr="00404724">
        <w:fldChar w:fldCharType="end"/>
      </w:r>
      <w:r w:rsidRPr="00404724">
        <w:t xml:space="preserve"> and </w:t>
      </w:r>
      <w:r w:rsidRPr="00404724">
        <w:fldChar w:fldCharType="begin"/>
      </w:r>
      <w:r w:rsidRPr="00404724">
        <w:instrText xml:space="preserve"> REF _Ref208567655 \r \h </w:instrText>
      </w:r>
      <w:r w:rsidRPr="00404724">
        <w:fldChar w:fldCharType="separate"/>
      </w:r>
      <w:r w:rsidR="00BF489D">
        <w:t>4.3</w:t>
      </w:r>
      <w:r w:rsidRPr="00404724">
        <w:fldChar w:fldCharType="end"/>
      </w:r>
      <w:r w:rsidRPr="00404724">
        <w:t>, the vehicle-kilometres travelled (VKT) (that is to say, the amount of driving) and the share of fatal and serious injury (FSI) crashes that occur on default roads are unknown across jurisdictions. While the VKT and FSI on default roads cannot exceed the VKT and FSI on all roads, there is very limited information on what their true values might be.</w:t>
      </w:r>
    </w:p>
    <w:p w14:paraId="687B0ED7" w14:textId="7107ED51" w:rsidR="00E3432A" w:rsidRPr="00404724" w:rsidRDefault="00E3432A" w:rsidP="00E3432A">
      <w:r w:rsidRPr="00404724">
        <w:t>As such, there is no way to develop a robust central estimate for each option. To ameliorate these risks, a scenario-based approach has been taken.</w:t>
      </w:r>
    </w:p>
    <w:p w14:paraId="53F547B7" w14:textId="77777777" w:rsidR="00E3432A" w:rsidRPr="00404724" w:rsidRDefault="00E3432A" w:rsidP="00E3432A">
      <w:pPr>
        <w:pStyle w:val="Subtitle"/>
        <w:spacing w:before="240"/>
        <w:rPr>
          <w:i/>
          <w:iCs/>
          <w:sz w:val="32"/>
          <w:szCs w:val="16"/>
        </w:rPr>
      </w:pPr>
      <w:r w:rsidRPr="00404724">
        <w:rPr>
          <w:i/>
          <w:iCs/>
          <w:sz w:val="32"/>
          <w:szCs w:val="16"/>
        </w:rPr>
        <w:t>By modelling several scenarios, it can be identified whether an option would have a positive (or negative) result under any set of reasonable assumptions. This approach incorporates the uncertainty around the share of FSI and VKT into a range of final results.</w:t>
      </w:r>
    </w:p>
    <w:p w14:paraId="03CD09C1" w14:textId="77777777" w:rsidR="00E3432A" w:rsidRPr="00404724" w:rsidRDefault="00E3432A" w:rsidP="00E3432A">
      <w:pPr>
        <w:suppressAutoHyphens w:val="0"/>
      </w:pPr>
      <w:r w:rsidRPr="00404724">
        <w:t>In using these scenarios, both the plausible best- and plausible worst-case scenarios are modelled. In this way, it can be determined if there are any reasonable scenarios under which the reforms would or would not lead to a positive net benefit. As such, instead of one set of results, a range would be presented.</w:t>
      </w:r>
    </w:p>
    <w:p w14:paraId="6BFBF585" w14:textId="77777777" w:rsidR="00E3432A" w:rsidRPr="00404724" w:rsidRDefault="00E3432A" w:rsidP="004B0117">
      <w:pPr>
        <w:pStyle w:val="Heading3"/>
      </w:pPr>
      <w:bookmarkStart w:id="34" w:name="_Toc210040290"/>
      <w:bookmarkStart w:id="35" w:name="_Toc210042525"/>
      <w:bookmarkStart w:id="36" w:name="_Toc210049158"/>
      <w:bookmarkStart w:id="37" w:name="_Toc210051598"/>
      <w:bookmarkStart w:id="38" w:name="_Toc210051679"/>
      <w:r w:rsidRPr="00404724">
        <w:t>Impacts of the regulation</w:t>
      </w:r>
      <w:bookmarkEnd w:id="34"/>
      <w:bookmarkEnd w:id="35"/>
      <w:bookmarkEnd w:id="36"/>
      <w:bookmarkEnd w:id="37"/>
      <w:bookmarkEnd w:id="38"/>
    </w:p>
    <w:p w14:paraId="3C06E94D" w14:textId="77777777" w:rsidR="00E3432A" w:rsidRPr="00404724" w:rsidRDefault="00E3432A" w:rsidP="004B0117">
      <w:pPr>
        <w:pStyle w:val="Heading4"/>
      </w:pPr>
      <w:bookmarkStart w:id="39" w:name="_Toc210042526"/>
      <w:bookmarkStart w:id="40" w:name="_Toc210049159"/>
      <w:bookmarkStart w:id="41" w:name="_Toc210051599"/>
      <w:bookmarkStart w:id="42" w:name="_Toc210051680"/>
      <w:r w:rsidRPr="00404724">
        <w:t>Sealed roads</w:t>
      </w:r>
      <w:bookmarkEnd w:id="39"/>
      <w:bookmarkEnd w:id="40"/>
      <w:bookmarkEnd w:id="41"/>
      <w:bookmarkEnd w:id="42"/>
    </w:p>
    <w:p w14:paraId="7030FDB8" w14:textId="77777777" w:rsidR="00E3432A" w:rsidRPr="00404724" w:rsidRDefault="00E3432A" w:rsidP="00E3432A">
      <w:pPr>
        <w:rPr>
          <w:rFonts w:ascii="Calibri" w:hAnsi="Calibri" w:cs="Calibri"/>
        </w:rPr>
      </w:pPr>
      <w:r w:rsidRPr="00404724">
        <w:rPr>
          <w:rFonts w:ascii="Calibri" w:hAnsi="Calibri" w:cs="Calibri"/>
        </w:rPr>
        <w:t xml:space="preserve">As noted above, available data does not allow for an understanding of the exact proportion of FSI that occur on sealed default speed-limited roads outside of built-up areas across Australia. The table below presents the reduction in fatalities in Australia between 2026 and 2036 by speed reduction scenario, with difference scenarios based on the percentage of FSI that occurs on default sealed roads outside of built-up areas. </w:t>
      </w:r>
    </w:p>
    <w:p w14:paraId="22827860" w14:textId="4AFCE31B" w:rsidR="00E3432A" w:rsidRPr="00404724" w:rsidRDefault="00E3432A" w:rsidP="003979C3">
      <w:pPr>
        <w:pStyle w:val="Tablefigureheading"/>
        <w:rPr>
          <w:rFonts w:cs="Calibri"/>
        </w:rPr>
      </w:pPr>
      <w:bookmarkStart w:id="43" w:name="_Toc210040340"/>
      <w:bookmarkStart w:id="44" w:name="_Toc210051876"/>
      <w:r w:rsidRPr="00404724">
        <w:lastRenderedPageBreak/>
        <w:t xml:space="preserve">Table </w:t>
      </w:r>
      <w:r w:rsidR="00EC39D5">
        <w:fldChar w:fldCharType="begin"/>
      </w:r>
      <w:r w:rsidR="00EC39D5">
        <w:instrText xml:space="preserve"> SEQ Table \* ARABIC </w:instrText>
      </w:r>
      <w:r w:rsidR="00EC39D5">
        <w:fldChar w:fldCharType="separate"/>
      </w:r>
      <w:r w:rsidR="00BF489D">
        <w:rPr>
          <w:noProof/>
        </w:rPr>
        <w:t>3</w:t>
      </w:r>
      <w:r w:rsidR="00EC39D5">
        <w:rPr>
          <w:noProof/>
        </w:rPr>
        <w:fldChar w:fldCharType="end"/>
      </w:r>
      <w:r w:rsidRPr="00404724">
        <w:tab/>
        <w:t>Avoided FSI by option by scenario</w:t>
      </w:r>
      <w:bookmarkEnd w:id="43"/>
      <w:bookmarkEnd w:id="44"/>
    </w:p>
    <w:tbl>
      <w:tblPr>
        <w:tblStyle w:val="TableGrid"/>
        <w:tblW w:w="9918" w:type="dxa"/>
        <w:tblLook w:val="04A0" w:firstRow="1" w:lastRow="0" w:firstColumn="1" w:lastColumn="0" w:noHBand="0" w:noVBand="1"/>
        <w:tblCaption w:val="Table 3 Avoided FSI by option by scenario"/>
        <w:tblDescription w:val="Table 3 Avoided FSI by option by scenario"/>
      </w:tblPr>
      <w:tblGrid>
        <w:gridCol w:w="3256"/>
        <w:gridCol w:w="2220"/>
        <w:gridCol w:w="2221"/>
        <w:gridCol w:w="2221"/>
      </w:tblGrid>
      <w:tr w:rsidR="00E3432A" w:rsidRPr="00404724" w14:paraId="7C7881AE" w14:textId="77777777" w:rsidTr="004B0117">
        <w:trPr>
          <w:cantSplit/>
          <w:tblHeader/>
        </w:trPr>
        <w:tc>
          <w:tcPr>
            <w:tcW w:w="3256" w:type="dxa"/>
            <w:vMerge w:val="restart"/>
            <w:shd w:val="clear" w:color="auto" w:fill="081E3E" w:themeFill="text2"/>
          </w:tcPr>
          <w:p w14:paraId="0250D086" w14:textId="77777777" w:rsidR="00E3432A" w:rsidRPr="00404724" w:rsidRDefault="00E3432A" w:rsidP="004B0117">
            <w:pPr>
              <w:keepNext/>
              <w:rPr>
                <w:rFonts w:ascii="Calibri" w:eastAsia="Times New Roman" w:hAnsi="Calibri" w:cs="Calibri"/>
                <w:b/>
                <w:bCs/>
                <w:color w:val="FFFFFF" w:themeColor="background1"/>
                <w:lang w:eastAsia="en-AU"/>
              </w:rPr>
            </w:pPr>
            <w:r w:rsidRPr="00404724">
              <w:rPr>
                <w:rFonts w:ascii="Calibri" w:eastAsia="Times New Roman" w:hAnsi="Calibri" w:cs="Calibri"/>
                <w:b/>
                <w:bCs/>
                <w:color w:val="FFFFFF" w:themeColor="background1"/>
                <w:lang w:eastAsia="en-AU"/>
              </w:rPr>
              <w:t>Speed reduction scenario</w:t>
            </w:r>
          </w:p>
        </w:tc>
        <w:tc>
          <w:tcPr>
            <w:tcW w:w="6662" w:type="dxa"/>
            <w:gridSpan w:val="3"/>
            <w:shd w:val="clear" w:color="auto" w:fill="081E3E" w:themeFill="text2"/>
          </w:tcPr>
          <w:p w14:paraId="715C4964" w14:textId="011BEF9C" w:rsidR="00E3432A" w:rsidRPr="00404724" w:rsidRDefault="00E3432A" w:rsidP="004B0117">
            <w:pPr>
              <w:keepNext/>
              <w:jc w:val="center"/>
              <w:rPr>
                <w:rFonts w:ascii="Calibri" w:eastAsia="Times New Roman" w:hAnsi="Calibri" w:cs="Calibri"/>
                <w:b/>
                <w:bCs/>
                <w:color w:val="FFFFFF" w:themeColor="background1"/>
                <w:lang w:eastAsia="en-AU"/>
              </w:rPr>
            </w:pPr>
            <w:r w:rsidRPr="00404724">
              <w:rPr>
                <w:rFonts w:ascii="Calibri" w:eastAsia="Times New Roman" w:hAnsi="Calibri" w:cs="Calibri"/>
                <w:b/>
                <w:bCs/>
                <w:color w:val="FFFFFF" w:themeColor="background1"/>
                <w:lang w:eastAsia="en-AU"/>
              </w:rPr>
              <w:t>% of FSI on default-</w:t>
            </w:r>
            <w:r w:rsidR="00C94374" w:rsidRPr="00404724">
              <w:rPr>
                <w:rFonts w:ascii="Calibri" w:eastAsia="Times New Roman" w:hAnsi="Calibri" w:cs="Calibri"/>
                <w:b/>
                <w:bCs/>
                <w:color w:val="FFFFFF" w:themeColor="background1"/>
                <w:lang w:eastAsia="en-AU"/>
              </w:rPr>
              <w:t>speed limited</w:t>
            </w:r>
            <w:r w:rsidRPr="00404724">
              <w:rPr>
                <w:rFonts w:ascii="Calibri" w:eastAsia="Times New Roman" w:hAnsi="Calibri" w:cs="Calibri"/>
                <w:b/>
                <w:bCs/>
                <w:color w:val="FFFFFF" w:themeColor="background1"/>
                <w:lang w:eastAsia="en-AU"/>
              </w:rPr>
              <w:t xml:space="preserve"> roads sealed roads outside of built-up areas</w:t>
            </w:r>
          </w:p>
        </w:tc>
      </w:tr>
      <w:tr w:rsidR="00E3432A" w:rsidRPr="00404724" w14:paraId="3176DC36" w14:textId="77777777" w:rsidTr="004B0117">
        <w:trPr>
          <w:cantSplit/>
        </w:trPr>
        <w:tc>
          <w:tcPr>
            <w:tcW w:w="3256" w:type="dxa"/>
            <w:vMerge/>
            <w:shd w:val="clear" w:color="auto" w:fill="081E3E" w:themeFill="text2"/>
          </w:tcPr>
          <w:p w14:paraId="3613E6D3" w14:textId="77777777" w:rsidR="00E3432A" w:rsidRPr="00404724" w:rsidRDefault="00E3432A" w:rsidP="004B0117">
            <w:pPr>
              <w:keepNext/>
              <w:rPr>
                <w:rFonts w:ascii="Calibri" w:eastAsia="Times New Roman" w:hAnsi="Calibri" w:cs="Calibri"/>
                <w:b/>
                <w:bCs/>
                <w:color w:val="FFFFFF" w:themeColor="background1"/>
                <w:lang w:eastAsia="en-AU"/>
              </w:rPr>
            </w:pPr>
          </w:p>
        </w:tc>
        <w:tc>
          <w:tcPr>
            <w:tcW w:w="2220" w:type="dxa"/>
            <w:shd w:val="clear" w:color="auto" w:fill="081E3E" w:themeFill="text2"/>
          </w:tcPr>
          <w:p w14:paraId="348AF4CF" w14:textId="77777777" w:rsidR="00E3432A" w:rsidRPr="00404724" w:rsidRDefault="00E3432A" w:rsidP="004B0117">
            <w:pPr>
              <w:keepNext/>
              <w:jc w:val="right"/>
              <w:rPr>
                <w:rFonts w:ascii="Calibri" w:eastAsia="Times New Roman" w:hAnsi="Calibri" w:cs="Calibri"/>
                <w:b/>
                <w:bCs/>
                <w:color w:val="FFFFFF" w:themeColor="background1"/>
                <w:lang w:eastAsia="en-AU"/>
              </w:rPr>
            </w:pPr>
            <w:r w:rsidRPr="00404724">
              <w:rPr>
                <w:rFonts w:ascii="Calibri" w:eastAsia="Times New Roman" w:hAnsi="Calibri" w:cs="Calibri"/>
                <w:b/>
                <w:bCs/>
                <w:color w:val="FFFFFF" w:themeColor="background1"/>
                <w:lang w:eastAsia="en-AU"/>
              </w:rPr>
              <w:t>10%</w:t>
            </w:r>
          </w:p>
        </w:tc>
        <w:tc>
          <w:tcPr>
            <w:tcW w:w="2221" w:type="dxa"/>
            <w:shd w:val="clear" w:color="auto" w:fill="081E3E" w:themeFill="text2"/>
          </w:tcPr>
          <w:p w14:paraId="51DE7FF7" w14:textId="77777777" w:rsidR="00E3432A" w:rsidRPr="00404724" w:rsidRDefault="00E3432A" w:rsidP="004B0117">
            <w:pPr>
              <w:keepNext/>
              <w:jc w:val="right"/>
              <w:rPr>
                <w:rFonts w:ascii="Calibri" w:eastAsia="Times New Roman" w:hAnsi="Calibri" w:cs="Calibri"/>
                <w:b/>
                <w:bCs/>
                <w:color w:val="FFFFFF" w:themeColor="background1"/>
                <w:lang w:eastAsia="en-AU"/>
              </w:rPr>
            </w:pPr>
            <w:r w:rsidRPr="00404724">
              <w:rPr>
                <w:rFonts w:ascii="Calibri" w:eastAsia="Times New Roman" w:hAnsi="Calibri" w:cs="Calibri"/>
                <w:b/>
                <w:bCs/>
                <w:color w:val="FFFFFF" w:themeColor="background1"/>
                <w:lang w:eastAsia="en-AU"/>
              </w:rPr>
              <w:t>20%</w:t>
            </w:r>
          </w:p>
        </w:tc>
        <w:tc>
          <w:tcPr>
            <w:tcW w:w="2221" w:type="dxa"/>
            <w:shd w:val="clear" w:color="auto" w:fill="081E3E" w:themeFill="text2"/>
          </w:tcPr>
          <w:p w14:paraId="5FE00D9B" w14:textId="77777777" w:rsidR="00E3432A" w:rsidRPr="00404724" w:rsidRDefault="00E3432A" w:rsidP="004B0117">
            <w:pPr>
              <w:keepNext/>
              <w:jc w:val="right"/>
              <w:rPr>
                <w:rFonts w:ascii="Calibri" w:eastAsia="Times New Roman" w:hAnsi="Calibri" w:cs="Calibri"/>
                <w:b/>
                <w:bCs/>
                <w:color w:val="FFFFFF" w:themeColor="background1"/>
                <w:lang w:eastAsia="en-AU"/>
              </w:rPr>
            </w:pPr>
            <w:r w:rsidRPr="00404724">
              <w:rPr>
                <w:rFonts w:ascii="Calibri" w:eastAsia="Times New Roman" w:hAnsi="Calibri" w:cs="Calibri"/>
                <w:b/>
                <w:bCs/>
                <w:color w:val="FFFFFF" w:themeColor="background1"/>
                <w:lang w:eastAsia="en-AU"/>
              </w:rPr>
              <w:t>38%</w:t>
            </w:r>
          </w:p>
        </w:tc>
      </w:tr>
      <w:tr w:rsidR="00E3432A" w:rsidRPr="00404724" w14:paraId="551E5161" w14:textId="77777777" w:rsidTr="004B0117">
        <w:trPr>
          <w:cantSplit/>
        </w:trPr>
        <w:tc>
          <w:tcPr>
            <w:tcW w:w="3256" w:type="dxa"/>
            <w:shd w:val="clear" w:color="auto" w:fill="EAECEF" w:themeFill="accent4" w:themeFillTint="33"/>
          </w:tcPr>
          <w:p w14:paraId="37EAC27C" w14:textId="77777777" w:rsidR="00E3432A" w:rsidRPr="00404724" w:rsidRDefault="00E3432A" w:rsidP="004B0117">
            <w:pPr>
              <w:keepNext/>
              <w:rPr>
                <w:rFonts w:ascii="Calibri" w:eastAsia="Times New Roman" w:hAnsi="Calibri" w:cs="Calibri"/>
                <w:color w:val="313131"/>
                <w:lang w:eastAsia="en-AU"/>
              </w:rPr>
            </w:pPr>
            <w:r w:rsidRPr="00404724">
              <w:rPr>
                <w:rFonts w:ascii="Calibri" w:eastAsia="Times New Roman" w:hAnsi="Calibri" w:cs="Calibri"/>
                <w:color w:val="313131"/>
                <w:lang w:eastAsia="en-AU"/>
              </w:rPr>
              <w:t>Fatalities avoided</w:t>
            </w:r>
          </w:p>
        </w:tc>
        <w:tc>
          <w:tcPr>
            <w:tcW w:w="2220" w:type="dxa"/>
            <w:shd w:val="clear" w:color="auto" w:fill="EAECEF" w:themeFill="accent4" w:themeFillTint="33"/>
          </w:tcPr>
          <w:p w14:paraId="4433D1BC" w14:textId="77777777" w:rsidR="00E3432A" w:rsidRPr="00404724" w:rsidRDefault="00E3432A" w:rsidP="004B0117">
            <w:pPr>
              <w:keepNext/>
              <w:jc w:val="right"/>
              <w:rPr>
                <w:rFonts w:ascii="Calibri" w:eastAsia="Times New Roman" w:hAnsi="Calibri" w:cs="Calibri"/>
                <w:color w:val="313131"/>
                <w:lang w:eastAsia="en-AU"/>
              </w:rPr>
            </w:pPr>
          </w:p>
        </w:tc>
        <w:tc>
          <w:tcPr>
            <w:tcW w:w="2221" w:type="dxa"/>
            <w:shd w:val="clear" w:color="auto" w:fill="EAECEF" w:themeFill="accent4" w:themeFillTint="33"/>
          </w:tcPr>
          <w:p w14:paraId="1301E61A" w14:textId="77777777" w:rsidR="00E3432A" w:rsidRPr="00404724" w:rsidRDefault="00E3432A" w:rsidP="004B0117">
            <w:pPr>
              <w:keepNext/>
              <w:jc w:val="right"/>
              <w:rPr>
                <w:rFonts w:ascii="Calibri" w:eastAsia="Times New Roman" w:hAnsi="Calibri" w:cs="Calibri"/>
                <w:color w:val="313131"/>
                <w:lang w:eastAsia="en-AU"/>
              </w:rPr>
            </w:pPr>
          </w:p>
        </w:tc>
        <w:tc>
          <w:tcPr>
            <w:tcW w:w="2221" w:type="dxa"/>
            <w:shd w:val="clear" w:color="auto" w:fill="EAECEF" w:themeFill="accent4" w:themeFillTint="33"/>
          </w:tcPr>
          <w:p w14:paraId="4AE52DE4" w14:textId="77777777" w:rsidR="00E3432A" w:rsidRPr="00404724" w:rsidRDefault="00E3432A" w:rsidP="004B0117">
            <w:pPr>
              <w:keepNext/>
              <w:jc w:val="right"/>
              <w:rPr>
                <w:rFonts w:ascii="Calibri" w:eastAsia="Times New Roman" w:hAnsi="Calibri" w:cs="Calibri"/>
                <w:color w:val="313131"/>
                <w:lang w:eastAsia="en-AU"/>
              </w:rPr>
            </w:pPr>
          </w:p>
        </w:tc>
      </w:tr>
      <w:tr w:rsidR="00E3432A" w:rsidRPr="00404724" w14:paraId="2AF963A9" w14:textId="77777777" w:rsidTr="004B0117">
        <w:trPr>
          <w:cantSplit/>
        </w:trPr>
        <w:tc>
          <w:tcPr>
            <w:tcW w:w="3256" w:type="dxa"/>
          </w:tcPr>
          <w:p w14:paraId="0724D002" w14:textId="77777777" w:rsidR="00E3432A" w:rsidRPr="00404724" w:rsidRDefault="00E3432A" w:rsidP="00846F1D">
            <w:pPr>
              <w:rPr>
                <w:rFonts w:ascii="Calibri" w:eastAsia="Times New Roman" w:hAnsi="Calibri" w:cs="Calibri"/>
                <w:color w:val="313131"/>
                <w:lang w:eastAsia="en-AU"/>
              </w:rPr>
            </w:pPr>
            <w:r w:rsidRPr="00404724">
              <w:rPr>
                <w:rFonts w:ascii="Calibri" w:eastAsia="Times New Roman" w:hAnsi="Calibri" w:cs="Calibri"/>
                <w:color w:val="313131"/>
                <w:lang w:eastAsia="en-AU"/>
              </w:rPr>
              <w:t>Low (100 km/h to 90 km/h)</w:t>
            </w:r>
          </w:p>
        </w:tc>
        <w:tc>
          <w:tcPr>
            <w:tcW w:w="2220" w:type="dxa"/>
          </w:tcPr>
          <w:p w14:paraId="2A4C8112" w14:textId="77777777" w:rsidR="00E3432A" w:rsidRPr="00404724" w:rsidRDefault="00E3432A" w:rsidP="00846F1D">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95</w:t>
            </w:r>
          </w:p>
        </w:tc>
        <w:tc>
          <w:tcPr>
            <w:tcW w:w="2221" w:type="dxa"/>
          </w:tcPr>
          <w:p w14:paraId="540046AF" w14:textId="77777777" w:rsidR="00E3432A" w:rsidRPr="00404724" w:rsidRDefault="00E3432A" w:rsidP="00846F1D">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190</w:t>
            </w:r>
          </w:p>
        </w:tc>
        <w:tc>
          <w:tcPr>
            <w:tcW w:w="2221" w:type="dxa"/>
          </w:tcPr>
          <w:p w14:paraId="29A49BCA" w14:textId="77777777" w:rsidR="00E3432A" w:rsidRPr="00404724" w:rsidRDefault="00E3432A" w:rsidP="00846F1D">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361</w:t>
            </w:r>
          </w:p>
        </w:tc>
      </w:tr>
      <w:tr w:rsidR="00E3432A" w:rsidRPr="00404724" w14:paraId="56A401F7" w14:textId="77777777" w:rsidTr="004B0117">
        <w:trPr>
          <w:cantSplit/>
        </w:trPr>
        <w:tc>
          <w:tcPr>
            <w:tcW w:w="3256" w:type="dxa"/>
          </w:tcPr>
          <w:p w14:paraId="3C71049D" w14:textId="77777777" w:rsidR="00E3432A" w:rsidRPr="00404724" w:rsidRDefault="00E3432A" w:rsidP="00846F1D">
            <w:pPr>
              <w:rPr>
                <w:rFonts w:ascii="Calibri" w:eastAsia="Times New Roman" w:hAnsi="Calibri" w:cs="Calibri"/>
                <w:color w:val="313131"/>
                <w:lang w:eastAsia="en-AU"/>
              </w:rPr>
            </w:pPr>
            <w:r w:rsidRPr="00404724">
              <w:rPr>
                <w:rFonts w:ascii="Calibri" w:eastAsia="Times New Roman" w:hAnsi="Calibri" w:cs="Calibri"/>
                <w:color w:val="313131"/>
                <w:lang w:eastAsia="en-AU"/>
              </w:rPr>
              <w:t>Medium (100 km/h to 80 km/h)</w:t>
            </w:r>
          </w:p>
        </w:tc>
        <w:tc>
          <w:tcPr>
            <w:tcW w:w="2220" w:type="dxa"/>
          </w:tcPr>
          <w:p w14:paraId="56CADA0B" w14:textId="77777777" w:rsidR="00E3432A" w:rsidRPr="00404724" w:rsidRDefault="00E3432A" w:rsidP="00846F1D">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201</w:t>
            </w:r>
          </w:p>
        </w:tc>
        <w:tc>
          <w:tcPr>
            <w:tcW w:w="2221" w:type="dxa"/>
          </w:tcPr>
          <w:p w14:paraId="3F1BBE20" w14:textId="77777777" w:rsidR="00E3432A" w:rsidRPr="00404724" w:rsidRDefault="00E3432A" w:rsidP="00846F1D">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401</w:t>
            </w:r>
          </w:p>
        </w:tc>
        <w:tc>
          <w:tcPr>
            <w:tcW w:w="2221" w:type="dxa"/>
          </w:tcPr>
          <w:p w14:paraId="26599B35" w14:textId="77777777" w:rsidR="00E3432A" w:rsidRPr="00404724" w:rsidRDefault="00E3432A" w:rsidP="00846F1D">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763</w:t>
            </w:r>
          </w:p>
        </w:tc>
      </w:tr>
      <w:tr w:rsidR="00E3432A" w:rsidRPr="00404724" w14:paraId="4867FF3D" w14:textId="77777777" w:rsidTr="004B0117">
        <w:trPr>
          <w:cantSplit/>
        </w:trPr>
        <w:tc>
          <w:tcPr>
            <w:tcW w:w="3256" w:type="dxa"/>
          </w:tcPr>
          <w:p w14:paraId="6CEC4608" w14:textId="77777777" w:rsidR="00E3432A" w:rsidRPr="00404724" w:rsidRDefault="00E3432A" w:rsidP="00846F1D">
            <w:pPr>
              <w:rPr>
                <w:rFonts w:ascii="Calibri" w:eastAsia="Times New Roman" w:hAnsi="Calibri" w:cs="Calibri"/>
                <w:color w:val="313131"/>
                <w:lang w:eastAsia="en-AU"/>
              </w:rPr>
            </w:pPr>
            <w:r w:rsidRPr="00404724">
              <w:rPr>
                <w:rFonts w:ascii="Calibri" w:eastAsia="Times New Roman" w:hAnsi="Calibri" w:cs="Calibri"/>
                <w:color w:val="313131"/>
                <w:lang w:eastAsia="en-AU"/>
              </w:rPr>
              <w:t>High (100 km/h to 70 km/h)</w:t>
            </w:r>
          </w:p>
        </w:tc>
        <w:tc>
          <w:tcPr>
            <w:tcW w:w="2220" w:type="dxa"/>
          </w:tcPr>
          <w:p w14:paraId="3F4790ED" w14:textId="77777777" w:rsidR="00E3432A" w:rsidRPr="00404724" w:rsidRDefault="00E3432A" w:rsidP="00846F1D">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286</w:t>
            </w:r>
          </w:p>
        </w:tc>
        <w:tc>
          <w:tcPr>
            <w:tcW w:w="2221" w:type="dxa"/>
          </w:tcPr>
          <w:p w14:paraId="378F9CDB" w14:textId="77777777" w:rsidR="00E3432A" w:rsidRPr="00404724" w:rsidRDefault="00E3432A" w:rsidP="00846F1D">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572</w:t>
            </w:r>
          </w:p>
        </w:tc>
        <w:tc>
          <w:tcPr>
            <w:tcW w:w="2221" w:type="dxa"/>
          </w:tcPr>
          <w:p w14:paraId="1B813F59" w14:textId="77777777" w:rsidR="00E3432A" w:rsidRPr="00404724" w:rsidRDefault="00E3432A" w:rsidP="00846F1D">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1,087</w:t>
            </w:r>
          </w:p>
        </w:tc>
      </w:tr>
      <w:tr w:rsidR="00E3432A" w:rsidRPr="00404724" w14:paraId="4D707FB3" w14:textId="77777777" w:rsidTr="004B0117">
        <w:trPr>
          <w:cantSplit/>
        </w:trPr>
        <w:tc>
          <w:tcPr>
            <w:tcW w:w="3256" w:type="dxa"/>
            <w:shd w:val="clear" w:color="auto" w:fill="EAECEF" w:themeFill="accent4" w:themeFillTint="33"/>
          </w:tcPr>
          <w:p w14:paraId="58B7B30E" w14:textId="77777777" w:rsidR="00E3432A" w:rsidRPr="00404724" w:rsidRDefault="00E3432A" w:rsidP="00846F1D">
            <w:pPr>
              <w:rPr>
                <w:rFonts w:ascii="Calibri" w:eastAsia="Times New Roman" w:hAnsi="Calibri" w:cs="Calibri"/>
                <w:color w:val="313131"/>
                <w:lang w:eastAsia="en-AU"/>
              </w:rPr>
            </w:pPr>
            <w:r w:rsidRPr="00404724">
              <w:rPr>
                <w:rFonts w:ascii="Calibri" w:eastAsia="Times New Roman" w:hAnsi="Calibri" w:cs="Calibri"/>
                <w:color w:val="313131"/>
                <w:lang w:eastAsia="en-AU"/>
              </w:rPr>
              <w:t>Serious injuries avoided</w:t>
            </w:r>
          </w:p>
        </w:tc>
        <w:tc>
          <w:tcPr>
            <w:tcW w:w="2220" w:type="dxa"/>
            <w:shd w:val="clear" w:color="auto" w:fill="EAECEF" w:themeFill="accent4" w:themeFillTint="33"/>
          </w:tcPr>
          <w:p w14:paraId="1A5D0F82" w14:textId="77777777" w:rsidR="00E3432A" w:rsidRPr="00404724" w:rsidRDefault="00E3432A" w:rsidP="00846F1D">
            <w:pPr>
              <w:jc w:val="right"/>
              <w:rPr>
                <w:rFonts w:ascii="Calibri" w:eastAsia="Times New Roman" w:hAnsi="Calibri" w:cs="Calibri"/>
                <w:color w:val="313131"/>
                <w:lang w:eastAsia="en-AU"/>
              </w:rPr>
            </w:pPr>
          </w:p>
        </w:tc>
        <w:tc>
          <w:tcPr>
            <w:tcW w:w="2221" w:type="dxa"/>
            <w:shd w:val="clear" w:color="auto" w:fill="EAECEF" w:themeFill="accent4" w:themeFillTint="33"/>
          </w:tcPr>
          <w:p w14:paraId="7F28A585" w14:textId="77777777" w:rsidR="00E3432A" w:rsidRPr="00404724" w:rsidRDefault="00E3432A" w:rsidP="00846F1D">
            <w:pPr>
              <w:jc w:val="right"/>
              <w:rPr>
                <w:rFonts w:ascii="Calibri" w:eastAsia="Times New Roman" w:hAnsi="Calibri" w:cs="Calibri"/>
                <w:color w:val="313131"/>
                <w:lang w:eastAsia="en-AU"/>
              </w:rPr>
            </w:pPr>
          </w:p>
        </w:tc>
        <w:tc>
          <w:tcPr>
            <w:tcW w:w="2221" w:type="dxa"/>
            <w:shd w:val="clear" w:color="auto" w:fill="EAECEF" w:themeFill="accent4" w:themeFillTint="33"/>
          </w:tcPr>
          <w:p w14:paraId="5562E177" w14:textId="77777777" w:rsidR="00E3432A" w:rsidRPr="00404724" w:rsidRDefault="00E3432A" w:rsidP="00846F1D">
            <w:pPr>
              <w:jc w:val="right"/>
              <w:rPr>
                <w:rFonts w:ascii="Calibri" w:eastAsia="Times New Roman" w:hAnsi="Calibri" w:cs="Calibri"/>
                <w:color w:val="313131"/>
                <w:lang w:eastAsia="en-AU"/>
              </w:rPr>
            </w:pPr>
          </w:p>
        </w:tc>
      </w:tr>
      <w:tr w:rsidR="00E3432A" w:rsidRPr="00404724" w14:paraId="2AFAFCFE" w14:textId="77777777" w:rsidTr="004B0117">
        <w:trPr>
          <w:cantSplit/>
        </w:trPr>
        <w:tc>
          <w:tcPr>
            <w:tcW w:w="3256" w:type="dxa"/>
          </w:tcPr>
          <w:p w14:paraId="6FDFDE53" w14:textId="77777777" w:rsidR="00E3432A" w:rsidRPr="00404724" w:rsidRDefault="00E3432A" w:rsidP="00846F1D">
            <w:pPr>
              <w:rPr>
                <w:rFonts w:ascii="Calibri" w:eastAsia="Times New Roman" w:hAnsi="Calibri" w:cs="Calibri"/>
                <w:color w:val="313131"/>
                <w:lang w:eastAsia="en-AU"/>
              </w:rPr>
            </w:pPr>
            <w:r w:rsidRPr="00404724">
              <w:rPr>
                <w:rFonts w:ascii="Calibri" w:eastAsia="Times New Roman" w:hAnsi="Calibri" w:cs="Calibri"/>
                <w:color w:val="313131"/>
                <w:lang w:eastAsia="en-AU"/>
              </w:rPr>
              <w:t>Low (100 km/h to 90 km/h)</w:t>
            </w:r>
          </w:p>
        </w:tc>
        <w:tc>
          <w:tcPr>
            <w:tcW w:w="2220" w:type="dxa"/>
          </w:tcPr>
          <w:p w14:paraId="7A61105B" w14:textId="77777777" w:rsidR="00E3432A" w:rsidRPr="00404724" w:rsidRDefault="00E3432A" w:rsidP="00846F1D">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1,444</w:t>
            </w:r>
          </w:p>
        </w:tc>
        <w:tc>
          <w:tcPr>
            <w:tcW w:w="2221" w:type="dxa"/>
          </w:tcPr>
          <w:p w14:paraId="78BD7D26" w14:textId="77777777" w:rsidR="00E3432A" w:rsidRPr="00404724" w:rsidRDefault="00E3432A" w:rsidP="00846F1D">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2,888</w:t>
            </w:r>
          </w:p>
        </w:tc>
        <w:tc>
          <w:tcPr>
            <w:tcW w:w="2221" w:type="dxa"/>
          </w:tcPr>
          <w:p w14:paraId="18771205" w14:textId="77777777" w:rsidR="00E3432A" w:rsidRPr="00404724" w:rsidRDefault="00E3432A" w:rsidP="00846F1D">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5,487</w:t>
            </w:r>
          </w:p>
        </w:tc>
      </w:tr>
      <w:tr w:rsidR="00E3432A" w:rsidRPr="00404724" w14:paraId="7A62E5B3" w14:textId="77777777" w:rsidTr="004B0117">
        <w:trPr>
          <w:cantSplit/>
        </w:trPr>
        <w:tc>
          <w:tcPr>
            <w:tcW w:w="3256" w:type="dxa"/>
          </w:tcPr>
          <w:p w14:paraId="79C8786F" w14:textId="77777777" w:rsidR="00E3432A" w:rsidRPr="00404724" w:rsidRDefault="00E3432A" w:rsidP="00846F1D">
            <w:pPr>
              <w:rPr>
                <w:rFonts w:ascii="Calibri" w:eastAsia="Times New Roman" w:hAnsi="Calibri" w:cs="Calibri"/>
                <w:color w:val="313131"/>
                <w:lang w:eastAsia="en-AU"/>
              </w:rPr>
            </w:pPr>
            <w:r w:rsidRPr="00404724">
              <w:rPr>
                <w:rFonts w:ascii="Calibri" w:eastAsia="Times New Roman" w:hAnsi="Calibri" w:cs="Calibri"/>
                <w:color w:val="313131"/>
                <w:lang w:eastAsia="en-AU"/>
              </w:rPr>
              <w:t>Medium (100 km/h to 80 km/h)</w:t>
            </w:r>
          </w:p>
        </w:tc>
        <w:tc>
          <w:tcPr>
            <w:tcW w:w="2220" w:type="dxa"/>
          </w:tcPr>
          <w:p w14:paraId="1AC12433" w14:textId="77777777" w:rsidR="00E3432A" w:rsidRPr="00404724" w:rsidRDefault="00E3432A" w:rsidP="00846F1D">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3,156</w:t>
            </w:r>
          </w:p>
        </w:tc>
        <w:tc>
          <w:tcPr>
            <w:tcW w:w="2221" w:type="dxa"/>
          </w:tcPr>
          <w:p w14:paraId="7E968553" w14:textId="77777777" w:rsidR="00E3432A" w:rsidRPr="00404724" w:rsidRDefault="00E3432A" w:rsidP="00846F1D">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6,312</w:t>
            </w:r>
          </w:p>
        </w:tc>
        <w:tc>
          <w:tcPr>
            <w:tcW w:w="2221" w:type="dxa"/>
          </w:tcPr>
          <w:p w14:paraId="6F85C852" w14:textId="77777777" w:rsidR="00E3432A" w:rsidRPr="00404724" w:rsidRDefault="00E3432A" w:rsidP="00846F1D">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11,992</w:t>
            </w:r>
          </w:p>
        </w:tc>
      </w:tr>
      <w:tr w:rsidR="00E3432A" w:rsidRPr="00404724" w14:paraId="75BAD011" w14:textId="77777777" w:rsidTr="004B0117">
        <w:trPr>
          <w:cantSplit/>
        </w:trPr>
        <w:tc>
          <w:tcPr>
            <w:tcW w:w="3256" w:type="dxa"/>
          </w:tcPr>
          <w:p w14:paraId="3F13043B" w14:textId="77777777" w:rsidR="00E3432A" w:rsidRPr="00404724" w:rsidRDefault="00E3432A" w:rsidP="00846F1D">
            <w:pPr>
              <w:rPr>
                <w:rFonts w:ascii="Calibri" w:eastAsia="Times New Roman" w:hAnsi="Calibri" w:cs="Calibri"/>
                <w:color w:val="313131"/>
                <w:lang w:eastAsia="en-AU"/>
              </w:rPr>
            </w:pPr>
            <w:r w:rsidRPr="00404724">
              <w:rPr>
                <w:rFonts w:ascii="Calibri" w:eastAsia="Times New Roman" w:hAnsi="Calibri" w:cs="Calibri"/>
                <w:color w:val="313131"/>
                <w:lang w:eastAsia="en-AU"/>
              </w:rPr>
              <w:t>High (100 km/h to 70 km/h)</w:t>
            </w:r>
          </w:p>
        </w:tc>
        <w:tc>
          <w:tcPr>
            <w:tcW w:w="2220" w:type="dxa"/>
          </w:tcPr>
          <w:p w14:paraId="57961D2E" w14:textId="77777777" w:rsidR="00E3432A" w:rsidRPr="00404724" w:rsidRDefault="00E3432A" w:rsidP="00846F1D">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4,644</w:t>
            </w:r>
          </w:p>
        </w:tc>
        <w:tc>
          <w:tcPr>
            <w:tcW w:w="2221" w:type="dxa"/>
          </w:tcPr>
          <w:p w14:paraId="34EA4E12" w14:textId="77777777" w:rsidR="00E3432A" w:rsidRPr="00404724" w:rsidRDefault="00E3432A" w:rsidP="00846F1D">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9,287</w:t>
            </w:r>
          </w:p>
        </w:tc>
        <w:tc>
          <w:tcPr>
            <w:tcW w:w="2221" w:type="dxa"/>
          </w:tcPr>
          <w:p w14:paraId="1BC1D2A5" w14:textId="77777777" w:rsidR="00E3432A" w:rsidRPr="00404724" w:rsidRDefault="00E3432A" w:rsidP="00846F1D">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17,646</w:t>
            </w:r>
          </w:p>
        </w:tc>
      </w:tr>
    </w:tbl>
    <w:p w14:paraId="1ACD0AFF" w14:textId="77777777" w:rsidR="00E3432A" w:rsidRPr="00404724" w:rsidRDefault="00E3432A" w:rsidP="006D5D05">
      <w:pPr>
        <w:spacing w:before="80"/>
        <w:rPr>
          <w:rFonts w:ascii="Calibri" w:hAnsi="Calibri" w:cs="Calibri"/>
        </w:rPr>
      </w:pPr>
      <w:r w:rsidRPr="00404724">
        <w:rPr>
          <w:rFonts w:ascii="Calibri" w:hAnsi="Calibri" w:cs="Calibri"/>
        </w:rPr>
        <w:t>Given the relationship between speed and FSI, it is unsurprising that modelling shows a reduction in FSI after the introduction of lowered speed limits. As the default speed is reduced further (from 100 to 90, to 80, to 70), the number of avoided fatalities and serious injuries increases across all the scenarios shown.</w:t>
      </w:r>
    </w:p>
    <w:p w14:paraId="472BA4FD" w14:textId="762E507C" w:rsidR="00E3432A" w:rsidRPr="00404724" w:rsidRDefault="00E3432A" w:rsidP="006D5D05">
      <w:pPr>
        <w:spacing w:before="80"/>
        <w:rPr>
          <w:rFonts w:ascii="Calibri" w:hAnsi="Calibri" w:cs="Calibri"/>
        </w:rPr>
      </w:pPr>
      <w:r w:rsidRPr="00404724">
        <w:rPr>
          <w:rFonts w:ascii="Calibri" w:hAnsi="Calibri" w:cs="Calibri"/>
        </w:rPr>
        <w:t xml:space="preserve">The results in </w:t>
      </w:r>
      <w:r w:rsidRPr="00404724">
        <w:rPr>
          <w:rFonts w:ascii="Calibri" w:hAnsi="Calibri" w:cs="Calibri"/>
        </w:rPr>
        <w:fldChar w:fldCharType="begin"/>
      </w:r>
      <w:r w:rsidRPr="00404724">
        <w:rPr>
          <w:rFonts w:ascii="Calibri" w:hAnsi="Calibri" w:cs="Calibri"/>
        </w:rPr>
        <w:instrText xml:space="preserve"> REF _Ref209626190 \h </w:instrText>
      </w:r>
      <w:r w:rsidRPr="00404724">
        <w:rPr>
          <w:rFonts w:ascii="Calibri" w:hAnsi="Calibri" w:cs="Calibri"/>
        </w:rPr>
      </w:r>
      <w:r w:rsidRPr="00404724">
        <w:rPr>
          <w:rFonts w:ascii="Calibri" w:hAnsi="Calibri" w:cs="Calibri"/>
        </w:rPr>
        <w:fldChar w:fldCharType="separate"/>
      </w:r>
      <w:r w:rsidR="00BF489D" w:rsidRPr="00404724">
        <w:t xml:space="preserve">Table </w:t>
      </w:r>
      <w:r w:rsidR="00BF489D">
        <w:rPr>
          <w:noProof/>
        </w:rPr>
        <w:t>4</w:t>
      </w:r>
      <w:r w:rsidRPr="00404724">
        <w:rPr>
          <w:rFonts w:ascii="Calibri" w:hAnsi="Calibri" w:cs="Calibri"/>
        </w:rPr>
        <w:fldChar w:fldCharType="end"/>
      </w:r>
      <w:r w:rsidRPr="00404724">
        <w:rPr>
          <w:rFonts w:ascii="Calibri" w:hAnsi="Calibri" w:cs="Calibri"/>
        </w:rPr>
        <w:t xml:space="preserve"> represent the lower, middle and upper assumption groupings shown in the NPV and sensitivity tables (shown in </w:t>
      </w:r>
      <w:r w:rsidR="00917F39" w:rsidRPr="00404724">
        <w:rPr>
          <w:rFonts w:ascii="Calibri" w:hAnsi="Calibri" w:cs="Calibri"/>
        </w:rPr>
        <w:t xml:space="preserve">Section </w:t>
      </w:r>
      <w:r w:rsidR="00917F39" w:rsidRPr="00404724">
        <w:rPr>
          <w:rFonts w:ascii="Calibri" w:hAnsi="Calibri" w:cs="Calibri"/>
        </w:rPr>
        <w:fldChar w:fldCharType="begin"/>
      </w:r>
      <w:r w:rsidR="00917F39" w:rsidRPr="00404724">
        <w:rPr>
          <w:rFonts w:ascii="Calibri" w:hAnsi="Calibri" w:cs="Calibri"/>
        </w:rPr>
        <w:instrText xml:space="preserve"> REF _Ref209705647 \n \h </w:instrText>
      </w:r>
      <w:r w:rsidR="00917F39" w:rsidRPr="00404724">
        <w:rPr>
          <w:rFonts w:ascii="Calibri" w:hAnsi="Calibri" w:cs="Calibri"/>
        </w:rPr>
      </w:r>
      <w:r w:rsidR="00917F39" w:rsidRPr="00404724">
        <w:rPr>
          <w:rFonts w:ascii="Calibri" w:hAnsi="Calibri" w:cs="Calibri"/>
        </w:rPr>
        <w:fldChar w:fldCharType="separate"/>
      </w:r>
      <w:r w:rsidR="00BF489D">
        <w:rPr>
          <w:rFonts w:ascii="Calibri" w:hAnsi="Calibri" w:cs="Calibri"/>
        </w:rPr>
        <w:t>5.1</w:t>
      </w:r>
      <w:r w:rsidR="00917F39" w:rsidRPr="00404724">
        <w:rPr>
          <w:rFonts w:ascii="Calibri" w:hAnsi="Calibri" w:cs="Calibri"/>
        </w:rPr>
        <w:fldChar w:fldCharType="end"/>
      </w:r>
      <w:r w:rsidRPr="00404724">
        <w:t>)</w:t>
      </w:r>
      <w:r w:rsidRPr="00404724">
        <w:rPr>
          <w:rFonts w:ascii="Calibri" w:hAnsi="Calibri" w:cs="Calibri"/>
        </w:rPr>
        <w:t>. These sets of assumptions are called the central VKT-FSI assumption groupings. Central estimates BCRs:</w:t>
      </w:r>
    </w:p>
    <w:p w14:paraId="70655B45" w14:textId="5B4DE843" w:rsidR="00E3432A" w:rsidRPr="00404724" w:rsidRDefault="00E3432A" w:rsidP="003979C3">
      <w:pPr>
        <w:pStyle w:val="Tablefigureheading"/>
        <w:rPr>
          <w:rFonts w:cs="Calibri"/>
        </w:rPr>
      </w:pPr>
      <w:bookmarkStart w:id="45" w:name="_Ref209626190"/>
      <w:bookmarkStart w:id="46" w:name="_Toc210040341"/>
      <w:bookmarkStart w:id="47" w:name="_Toc210051877"/>
      <w:r w:rsidRPr="00404724">
        <w:t xml:space="preserve">Table </w:t>
      </w:r>
      <w:r w:rsidR="00EC39D5">
        <w:fldChar w:fldCharType="begin"/>
      </w:r>
      <w:r w:rsidR="00EC39D5">
        <w:instrText xml:space="preserve"> SEQ Table \* ARABIC </w:instrText>
      </w:r>
      <w:r w:rsidR="00EC39D5">
        <w:fldChar w:fldCharType="separate"/>
      </w:r>
      <w:r w:rsidR="00BF489D">
        <w:rPr>
          <w:noProof/>
        </w:rPr>
        <w:t>4</w:t>
      </w:r>
      <w:r w:rsidR="00EC39D5">
        <w:rPr>
          <w:noProof/>
        </w:rPr>
        <w:fldChar w:fldCharType="end"/>
      </w:r>
      <w:bookmarkEnd w:id="45"/>
      <w:r w:rsidRPr="00404724">
        <w:tab/>
        <w:t>Central estimate NPVs and BCRs</w:t>
      </w:r>
      <w:bookmarkEnd w:id="46"/>
      <w:bookmarkEnd w:id="47"/>
    </w:p>
    <w:tbl>
      <w:tblPr>
        <w:tblStyle w:val="TableGrid"/>
        <w:tblW w:w="9918" w:type="dxa"/>
        <w:tblLook w:val="04A0" w:firstRow="1" w:lastRow="0" w:firstColumn="1" w:lastColumn="0" w:noHBand="0" w:noVBand="1"/>
        <w:tblCaption w:val="Table 4 Central estimate NPVs and BCRs"/>
        <w:tblDescription w:val="Table 4 Central estimate NPVs and BCRs"/>
      </w:tblPr>
      <w:tblGrid>
        <w:gridCol w:w="3256"/>
        <w:gridCol w:w="2220"/>
        <w:gridCol w:w="2221"/>
        <w:gridCol w:w="2221"/>
      </w:tblGrid>
      <w:tr w:rsidR="00E3432A" w:rsidRPr="00404724" w14:paraId="78783473" w14:textId="77777777" w:rsidTr="004B0117">
        <w:trPr>
          <w:cantSplit/>
          <w:tblHeader/>
        </w:trPr>
        <w:tc>
          <w:tcPr>
            <w:tcW w:w="3256" w:type="dxa"/>
            <w:shd w:val="clear" w:color="auto" w:fill="081E3E" w:themeFill="text2"/>
          </w:tcPr>
          <w:p w14:paraId="7B6B4C57" w14:textId="77777777" w:rsidR="00E3432A" w:rsidRPr="00404724" w:rsidRDefault="00E3432A" w:rsidP="00846F1D">
            <w:pPr>
              <w:rPr>
                <w:rFonts w:ascii="Calibri" w:hAnsi="Calibri" w:cs="Calibri"/>
                <w:b/>
                <w:bCs/>
                <w:color w:val="FFFFFF" w:themeColor="background1"/>
              </w:rPr>
            </w:pPr>
            <w:r w:rsidRPr="00404724">
              <w:rPr>
                <w:rFonts w:ascii="Calibri" w:hAnsi="Calibri" w:cs="Calibri"/>
                <w:b/>
                <w:bCs/>
                <w:color w:val="FFFFFF" w:themeColor="background1"/>
              </w:rPr>
              <w:t>Speed reduction scenario</w:t>
            </w:r>
          </w:p>
        </w:tc>
        <w:tc>
          <w:tcPr>
            <w:tcW w:w="2220" w:type="dxa"/>
            <w:shd w:val="clear" w:color="auto" w:fill="081E3E" w:themeFill="text2"/>
          </w:tcPr>
          <w:p w14:paraId="5E5CA38F" w14:textId="77777777" w:rsidR="00E3432A" w:rsidRPr="00404724" w:rsidRDefault="00E3432A" w:rsidP="00846F1D">
            <w:pPr>
              <w:jc w:val="center"/>
              <w:rPr>
                <w:rFonts w:ascii="Calibri" w:hAnsi="Calibri" w:cs="Calibri"/>
                <w:b/>
                <w:bCs/>
                <w:color w:val="FFFFFF" w:themeColor="background1"/>
              </w:rPr>
            </w:pPr>
            <w:r w:rsidRPr="00404724">
              <w:rPr>
                <w:rFonts w:ascii="Calibri" w:hAnsi="Calibri" w:cs="Calibri"/>
                <w:b/>
                <w:bCs/>
                <w:color w:val="FFFFFF" w:themeColor="background1"/>
              </w:rPr>
              <w:t>Lower estimate</w:t>
            </w:r>
          </w:p>
        </w:tc>
        <w:tc>
          <w:tcPr>
            <w:tcW w:w="2221" w:type="dxa"/>
            <w:shd w:val="clear" w:color="auto" w:fill="081E3E" w:themeFill="text2"/>
          </w:tcPr>
          <w:p w14:paraId="22FB8BD4" w14:textId="77777777" w:rsidR="00E3432A" w:rsidRPr="00404724" w:rsidRDefault="00E3432A" w:rsidP="00846F1D">
            <w:pPr>
              <w:jc w:val="center"/>
              <w:rPr>
                <w:rFonts w:ascii="Calibri" w:hAnsi="Calibri" w:cs="Calibri"/>
                <w:b/>
                <w:bCs/>
                <w:color w:val="FFFFFF" w:themeColor="background1"/>
              </w:rPr>
            </w:pPr>
            <w:r w:rsidRPr="00404724">
              <w:rPr>
                <w:rFonts w:ascii="Calibri" w:hAnsi="Calibri" w:cs="Calibri"/>
                <w:b/>
                <w:bCs/>
                <w:color w:val="FFFFFF" w:themeColor="background1"/>
              </w:rPr>
              <w:t>Middle estimate</w:t>
            </w:r>
          </w:p>
        </w:tc>
        <w:tc>
          <w:tcPr>
            <w:tcW w:w="2221" w:type="dxa"/>
            <w:shd w:val="clear" w:color="auto" w:fill="081E3E" w:themeFill="text2"/>
          </w:tcPr>
          <w:p w14:paraId="2730068E" w14:textId="77777777" w:rsidR="00E3432A" w:rsidRPr="00404724" w:rsidRDefault="00E3432A" w:rsidP="00846F1D">
            <w:pPr>
              <w:jc w:val="center"/>
              <w:rPr>
                <w:rFonts w:ascii="Calibri" w:hAnsi="Calibri" w:cs="Calibri"/>
                <w:b/>
                <w:bCs/>
                <w:color w:val="FFFFFF" w:themeColor="background1"/>
              </w:rPr>
            </w:pPr>
            <w:r w:rsidRPr="00404724">
              <w:rPr>
                <w:rFonts w:ascii="Calibri" w:hAnsi="Calibri" w:cs="Calibri"/>
                <w:b/>
                <w:bCs/>
                <w:color w:val="FFFFFF" w:themeColor="background1"/>
              </w:rPr>
              <w:t>Upper estimate</w:t>
            </w:r>
          </w:p>
        </w:tc>
      </w:tr>
      <w:tr w:rsidR="00E3432A" w:rsidRPr="00404724" w14:paraId="38240911" w14:textId="77777777" w:rsidTr="004B0117">
        <w:trPr>
          <w:cantSplit/>
        </w:trPr>
        <w:tc>
          <w:tcPr>
            <w:tcW w:w="3256" w:type="dxa"/>
            <w:shd w:val="clear" w:color="auto" w:fill="F2F2F2" w:themeFill="background1" w:themeFillShade="F2"/>
          </w:tcPr>
          <w:p w14:paraId="368108D4" w14:textId="77777777" w:rsidR="00E3432A" w:rsidRPr="00404724" w:rsidRDefault="00E3432A" w:rsidP="00846F1D">
            <w:pPr>
              <w:rPr>
                <w:rFonts w:ascii="Calibri" w:hAnsi="Calibri" w:cs="Calibri"/>
              </w:rPr>
            </w:pPr>
            <w:r w:rsidRPr="00404724">
              <w:rPr>
                <w:rFonts w:ascii="Calibri" w:hAnsi="Calibri" w:cs="Calibri"/>
              </w:rPr>
              <w:t>Low (100</w:t>
            </w:r>
            <w:r w:rsidRPr="00404724">
              <w:rPr>
                <w:rFonts w:ascii="Calibri" w:eastAsia="Times New Roman" w:hAnsi="Calibri" w:cs="Calibri"/>
                <w:color w:val="313131"/>
                <w:lang w:eastAsia="en-AU"/>
              </w:rPr>
              <w:t xml:space="preserve"> km/h</w:t>
            </w:r>
            <w:r w:rsidRPr="00404724">
              <w:rPr>
                <w:rFonts w:ascii="Calibri" w:hAnsi="Calibri" w:cs="Calibri"/>
              </w:rPr>
              <w:t xml:space="preserve"> to 90</w:t>
            </w:r>
            <w:r w:rsidRPr="00404724">
              <w:rPr>
                <w:rFonts w:ascii="Calibri" w:eastAsia="Times New Roman" w:hAnsi="Calibri" w:cs="Calibri"/>
                <w:color w:val="313131"/>
                <w:lang w:eastAsia="en-AU"/>
              </w:rPr>
              <w:t xml:space="preserve"> km/h</w:t>
            </w:r>
            <w:r w:rsidRPr="00404724">
              <w:rPr>
                <w:rFonts w:ascii="Calibri" w:hAnsi="Calibri" w:cs="Calibri"/>
              </w:rPr>
              <w:t>)</w:t>
            </w:r>
          </w:p>
        </w:tc>
        <w:tc>
          <w:tcPr>
            <w:tcW w:w="2220" w:type="dxa"/>
          </w:tcPr>
          <w:p w14:paraId="0F3C79F8" w14:textId="77777777" w:rsidR="00E3432A" w:rsidRPr="00404724" w:rsidRDefault="00E3432A" w:rsidP="00846F1D">
            <w:pPr>
              <w:jc w:val="center"/>
              <w:rPr>
                <w:rFonts w:ascii="Calibri" w:hAnsi="Calibri" w:cs="Calibri"/>
              </w:rPr>
            </w:pPr>
            <w:r w:rsidRPr="00404724">
              <w:rPr>
                <w:rFonts w:ascii="Calibri" w:hAnsi="Calibri" w:cs="Calibri"/>
              </w:rPr>
              <w:t>$678.7</w:t>
            </w:r>
          </w:p>
          <w:p w14:paraId="1E1FE77A" w14:textId="77777777" w:rsidR="00E3432A" w:rsidRPr="00404724" w:rsidRDefault="00E3432A" w:rsidP="00846F1D">
            <w:pPr>
              <w:jc w:val="center"/>
              <w:rPr>
                <w:rFonts w:ascii="Calibri" w:hAnsi="Calibri" w:cs="Calibri"/>
              </w:rPr>
            </w:pPr>
            <w:r w:rsidRPr="00404724">
              <w:rPr>
                <w:rFonts w:ascii="Calibri" w:hAnsi="Calibri" w:cs="Calibri"/>
              </w:rPr>
              <w:t>2.4</w:t>
            </w:r>
          </w:p>
        </w:tc>
        <w:tc>
          <w:tcPr>
            <w:tcW w:w="2221" w:type="dxa"/>
          </w:tcPr>
          <w:p w14:paraId="48FFF8A1" w14:textId="77777777" w:rsidR="00E3432A" w:rsidRPr="00404724" w:rsidRDefault="00E3432A" w:rsidP="00846F1D">
            <w:pPr>
              <w:jc w:val="center"/>
              <w:rPr>
                <w:rFonts w:ascii="Calibri" w:hAnsi="Calibri" w:cs="Calibri"/>
              </w:rPr>
            </w:pPr>
            <w:r w:rsidRPr="00404724">
              <w:rPr>
                <w:rFonts w:ascii="Calibri" w:hAnsi="Calibri" w:cs="Calibri"/>
              </w:rPr>
              <w:t>$1,368.7</w:t>
            </w:r>
          </w:p>
          <w:p w14:paraId="1EF21301" w14:textId="77777777" w:rsidR="00E3432A" w:rsidRPr="00404724" w:rsidRDefault="00E3432A" w:rsidP="00846F1D">
            <w:pPr>
              <w:jc w:val="center"/>
              <w:rPr>
                <w:rFonts w:ascii="Calibri" w:hAnsi="Calibri" w:cs="Calibri"/>
              </w:rPr>
            </w:pPr>
            <w:r w:rsidRPr="00404724">
              <w:rPr>
                <w:rFonts w:ascii="Calibri" w:hAnsi="Calibri" w:cs="Calibri"/>
              </w:rPr>
              <w:t>2.4</w:t>
            </w:r>
          </w:p>
        </w:tc>
        <w:tc>
          <w:tcPr>
            <w:tcW w:w="2221" w:type="dxa"/>
          </w:tcPr>
          <w:p w14:paraId="47CFD106" w14:textId="77777777" w:rsidR="00E3432A" w:rsidRPr="00404724" w:rsidRDefault="00E3432A" w:rsidP="00846F1D">
            <w:pPr>
              <w:jc w:val="center"/>
              <w:rPr>
                <w:rFonts w:ascii="Calibri" w:hAnsi="Calibri" w:cs="Calibri"/>
              </w:rPr>
            </w:pPr>
            <w:r w:rsidRPr="00404724">
              <w:rPr>
                <w:rFonts w:ascii="Calibri" w:hAnsi="Calibri" w:cs="Calibri"/>
              </w:rPr>
              <w:t>$1859.6</w:t>
            </w:r>
          </w:p>
          <w:p w14:paraId="0A92ADD9" w14:textId="77777777" w:rsidR="00E3432A" w:rsidRPr="00404724" w:rsidRDefault="00E3432A" w:rsidP="00846F1D">
            <w:pPr>
              <w:jc w:val="center"/>
              <w:rPr>
                <w:rFonts w:ascii="Calibri" w:hAnsi="Calibri" w:cs="Calibri"/>
              </w:rPr>
            </w:pPr>
            <w:r w:rsidRPr="00404724">
              <w:rPr>
                <w:rFonts w:ascii="Calibri" w:hAnsi="Calibri" w:cs="Calibri"/>
              </w:rPr>
              <w:t>1.7</w:t>
            </w:r>
          </w:p>
        </w:tc>
      </w:tr>
      <w:tr w:rsidR="00E3432A" w:rsidRPr="00404724" w14:paraId="48E09159" w14:textId="77777777" w:rsidTr="004B0117">
        <w:trPr>
          <w:cantSplit/>
        </w:trPr>
        <w:tc>
          <w:tcPr>
            <w:tcW w:w="3256" w:type="dxa"/>
            <w:shd w:val="clear" w:color="auto" w:fill="F2F2F2" w:themeFill="background1" w:themeFillShade="F2"/>
          </w:tcPr>
          <w:p w14:paraId="597CA398" w14:textId="77777777" w:rsidR="00E3432A" w:rsidRPr="00404724" w:rsidRDefault="00E3432A" w:rsidP="00846F1D">
            <w:pPr>
              <w:rPr>
                <w:rFonts w:ascii="Calibri" w:hAnsi="Calibri" w:cs="Calibri"/>
              </w:rPr>
            </w:pPr>
            <w:r w:rsidRPr="00404724">
              <w:rPr>
                <w:rFonts w:ascii="Calibri" w:hAnsi="Calibri" w:cs="Calibri"/>
              </w:rPr>
              <w:t>Medium (100</w:t>
            </w:r>
            <w:r w:rsidRPr="00404724">
              <w:rPr>
                <w:rFonts w:ascii="Calibri" w:eastAsia="Times New Roman" w:hAnsi="Calibri" w:cs="Calibri"/>
                <w:color w:val="313131"/>
                <w:lang w:eastAsia="en-AU"/>
              </w:rPr>
              <w:t xml:space="preserve"> km/h</w:t>
            </w:r>
            <w:r w:rsidRPr="00404724">
              <w:rPr>
                <w:rFonts w:ascii="Calibri" w:hAnsi="Calibri" w:cs="Calibri"/>
              </w:rPr>
              <w:t xml:space="preserve"> to 80</w:t>
            </w:r>
            <w:r w:rsidRPr="00404724">
              <w:rPr>
                <w:rFonts w:ascii="Calibri" w:eastAsia="Times New Roman" w:hAnsi="Calibri" w:cs="Calibri"/>
                <w:color w:val="313131"/>
                <w:lang w:eastAsia="en-AU"/>
              </w:rPr>
              <w:t xml:space="preserve"> km/h</w:t>
            </w:r>
            <w:r w:rsidRPr="00404724">
              <w:rPr>
                <w:rFonts w:ascii="Calibri" w:hAnsi="Calibri" w:cs="Calibri"/>
              </w:rPr>
              <w:t>)</w:t>
            </w:r>
          </w:p>
        </w:tc>
        <w:tc>
          <w:tcPr>
            <w:tcW w:w="2220" w:type="dxa"/>
          </w:tcPr>
          <w:p w14:paraId="1D9CF6EE" w14:textId="77777777" w:rsidR="00E3432A" w:rsidRPr="00404724" w:rsidRDefault="00E3432A" w:rsidP="00846F1D">
            <w:pPr>
              <w:jc w:val="center"/>
              <w:rPr>
                <w:rFonts w:ascii="Calibri" w:hAnsi="Calibri" w:cs="Calibri"/>
              </w:rPr>
            </w:pPr>
            <w:r w:rsidRPr="00404724">
              <w:rPr>
                <w:rFonts w:ascii="Calibri" w:hAnsi="Calibri" w:cs="Calibri"/>
              </w:rPr>
              <w:t>$1,348.7</w:t>
            </w:r>
          </w:p>
          <w:p w14:paraId="29B9D3D7" w14:textId="77777777" w:rsidR="00E3432A" w:rsidRPr="00404724" w:rsidRDefault="00E3432A" w:rsidP="00846F1D">
            <w:pPr>
              <w:jc w:val="center"/>
              <w:rPr>
                <w:rFonts w:ascii="Calibri" w:hAnsi="Calibri" w:cs="Calibri"/>
              </w:rPr>
            </w:pPr>
            <w:r w:rsidRPr="00404724">
              <w:rPr>
                <w:rFonts w:ascii="Calibri" w:hAnsi="Calibri" w:cs="Calibri"/>
              </w:rPr>
              <w:t>2.2</w:t>
            </w:r>
          </w:p>
        </w:tc>
        <w:tc>
          <w:tcPr>
            <w:tcW w:w="2221" w:type="dxa"/>
          </w:tcPr>
          <w:p w14:paraId="5900AE9A" w14:textId="77777777" w:rsidR="00E3432A" w:rsidRPr="00404724" w:rsidRDefault="00E3432A" w:rsidP="00846F1D">
            <w:pPr>
              <w:jc w:val="center"/>
              <w:rPr>
                <w:rFonts w:ascii="Calibri" w:hAnsi="Calibri" w:cs="Calibri"/>
              </w:rPr>
            </w:pPr>
            <w:r w:rsidRPr="00404724">
              <w:rPr>
                <w:rFonts w:ascii="Calibri" w:hAnsi="Calibri" w:cs="Calibri"/>
              </w:rPr>
              <w:t>$2,697.4</w:t>
            </w:r>
          </w:p>
          <w:p w14:paraId="0A373F70" w14:textId="77777777" w:rsidR="00E3432A" w:rsidRPr="00404724" w:rsidRDefault="00E3432A" w:rsidP="00846F1D">
            <w:pPr>
              <w:jc w:val="center"/>
              <w:rPr>
                <w:rFonts w:ascii="Calibri" w:hAnsi="Calibri" w:cs="Calibri"/>
              </w:rPr>
            </w:pPr>
            <w:r w:rsidRPr="00404724">
              <w:rPr>
                <w:rFonts w:ascii="Calibri" w:hAnsi="Calibri" w:cs="Calibri"/>
              </w:rPr>
              <w:t>2.2</w:t>
            </w:r>
          </w:p>
        </w:tc>
        <w:tc>
          <w:tcPr>
            <w:tcW w:w="2221" w:type="dxa"/>
          </w:tcPr>
          <w:p w14:paraId="048957F9" w14:textId="77777777" w:rsidR="00E3432A" w:rsidRPr="00404724" w:rsidRDefault="00E3432A" w:rsidP="00846F1D">
            <w:pPr>
              <w:jc w:val="center"/>
              <w:rPr>
                <w:rFonts w:ascii="Calibri" w:hAnsi="Calibri" w:cs="Calibri"/>
              </w:rPr>
            </w:pPr>
            <w:r w:rsidRPr="00404724">
              <w:rPr>
                <w:rFonts w:ascii="Calibri" w:hAnsi="Calibri" w:cs="Calibri"/>
              </w:rPr>
              <w:t>$3,210.3</w:t>
            </w:r>
          </w:p>
          <w:p w14:paraId="2400AC59" w14:textId="77777777" w:rsidR="00E3432A" w:rsidRPr="00404724" w:rsidRDefault="00E3432A" w:rsidP="00846F1D">
            <w:pPr>
              <w:jc w:val="center"/>
              <w:rPr>
                <w:rFonts w:ascii="Calibri" w:hAnsi="Calibri" w:cs="Calibri"/>
              </w:rPr>
            </w:pPr>
            <w:r w:rsidRPr="00404724">
              <w:rPr>
                <w:rFonts w:ascii="Calibri" w:hAnsi="Calibri" w:cs="Calibri"/>
              </w:rPr>
              <w:t>1.5</w:t>
            </w:r>
          </w:p>
        </w:tc>
      </w:tr>
      <w:tr w:rsidR="00E3432A" w:rsidRPr="00404724" w14:paraId="71FED079" w14:textId="77777777" w:rsidTr="004B0117">
        <w:trPr>
          <w:cantSplit/>
        </w:trPr>
        <w:tc>
          <w:tcPr>
            <w:tcW w:w="3256" w:type="dxa"/>
            <w:shd w:val="clear" w:color="auto" w:fill="F2F2F2" w:themeFill="background1" w:themeFillShade="F2"/>
          </w:tcPr>
          <w:p w14:paraId="6A34D3F4" w14:textId="77777777" w:rsidR="00E3432A" w:rsidRPr="00404724" w:rsidRDefault="00E3432A" w:rsidP="00846F1D">
            <w:pPr>
              <w:rPr>
                <w:rFonts w:ascii="Calibri" w:hAnsi="Calibri" w:cs="Calibri"/>
              </w:rPr>
            </w:pPr>
            <w:r w:rsidRPr="00404724">
              <w:rPr>
                <w:rFonts w:ascii="Calibri" w:hAnsi="Calibri" w:cs="Calibri"/>
              </w:rPr>
              <w:t>High (100</w:t>
            </w:r>
            <w:r w:rsidRPr="00404724">
              <w:rPr>
                <w:rFonts w:ascii="Calibri" w:eastAsia="Times New Roman" w:hAnsi="Calibri" w:cs="Calibri"/>
                <w:color w:val="313131"/>
                <w:lang w:eastAsia="en-AU"/>
              </w:rPr>
              <w:t xml:space="preserve"> km/h</w:t>
            </w:r>
            <w:r w:rsidRPr="00404724">
              <w:rPr>
                <w:rFonts w:ascii="Calibri" w:hAnsi="Calibri" w:cs="Calibri"/>
              </w:rPr>
              <w:t xml:space="preserve"> to 70</w:t>
            </w:r>
            <w:r w:rsidRPr="00404724">
              <w:rPr>
                <w:rFonts w:ascii="Calibri" w:eastAsia="Times New Roman" w:hAnsi="Calibri" w:cs="Calibri"/>
                <w:color w:val="313131"/>
                <w:lang w:eastAsia="en-AU"/>
              </w:rPr>
              <w:t xml:space="preserve"> km/h</w:t>
            </w:r>
            <w:r w:rsidRPr="00404724">
              <w:rPr>
                <w:rFonts w:ascii="Calibri" w:hAnsi="Calibri" w:cs="Calibri"/>
              </w:rPr>
              <w:t>)</w:t>
            </w:r>
          </w:p>
        </w:tc>
        <w:tc>
          <w:tcPr>
            <w:tcW w:w="2220" w:type="dxa"/>
          </w:tcPr>
          <w:p w14:paraId="07B42291" w14:textId="77777777" w:rsidR="00E3432A" w:rsidRPr="00404724" w:rsidRDefault="00E3432A" w:rsidP="00846F1D">
            <w:pPr>
              <w:jc w:val="center"/>
              <w:rPr>
                <w:rFonts w:ascii="Calibri" w:hAnsi="Calibri" w:cs="Calibri"/>
              </w:rPr>
            </w:pPr>
            <w:r w:rsidRPr="00404724">
              <w:rPr>
                <w:rFonts w:ascii="Calibri" w:hAnsi="Calibri" w:cs="Calibri"/>
              </w:rPr>
              <w:t>$1,759.7</w:t>
            </w:r>
          </w:p>
          <w:p w14:paraId="249ECFDF" w14:textId="77777777" w:rsidR="00E3432A" w:rsidRPr="00404724" w:rsidRDefault="00E3432A" w:rsidP="00846F1D">
            <w:pPr>
              <w:jc w:val="center"/>
              <w:rPr>
                <w:rFonts w:ascii="Calibri" w:hAnsi="Calibri" w:cs="Calibri"/>
              </w:rPr>
            </w:pPr>
            <w:r w:rsidRPr="00404724">
              <w:rPr>
                <w:rFonts w:ascii="Calibri" w:hAnsi="Calibri" w:cs="Calibri"/>
              </w:rPr>
              <w:t>1.9</w:t>
            </w:r>
          </w:p>
        </w:tc>
        <w:tc>
          <w:tcPr>
            <w:tcW w:w="2221" w:type="dxa"/>
          </w:tcPr>
          <w:p w14:paraId="7B996484" w14:textId="77777777" w:rsidR="00E3432A" w:rsidRPr="00404724" w:rsidRDefault="00E3432A" w:rsidP="00846F1D">
            <w:pPr>
              <w:jc w:val="center"/>
              <w:rPr>
                <w:rFonts w:ascii="Calibri" w:hAnsi="Calibri" w:cs="Calibri"/>
              </w:rPr>
            </w:pPr>
            <w:r w:rsidRPr="00404724">
              <w:rPr>
                <w:rFonts w:ascii="Calibri" w:hAnsi="Calibri" w:cs="Calibri"/>
              </w:rPr>
              <w:t>$3,527.4</w:t>
            </w:r>
          </w:p>
          <w:p w14:paraId="46B2193C" w14:textId="77777777" w:rsidR="00E3432A" w:rsidRPr="00404724" w:rsidRDefault="00E3432A" w:rsidP="00846F1D">
            <w:pPr>
              <w:jc w:val="center"/>
              <w:rPr>
                <w:rFonts w:ascii="Calibri" w:hAnsi="Calibri" w:cs="Calibri"/>
              </w:rPr>
            </w:pPr>
            <w:r w:rsidRPr="00404724">
              <w:rPr>
                <w:rFonts w:ascii="Calibri" w:hAnsi="Calibri" w:cs="Calibri"/>
              </w:rPr>
              <w:t>1.9</w:t>
            </w:r>
          </w:p>
        </w:tc>
        <w:tc>
          <w:tcPr>
            <w:tcW w:w="2221" w:type="dxa"/>
          </w:tcPr>
          <w:p w14:paraId="397EE13F" w14:textId="77777777" w:rsidR="00E3432A" w:rsidRPr="00404724" w:rsidRDefault="00E3432A" w:rsidP="00846F1D">
            <w:pPr>
              <w:jc w:val="center"/>
              <w:rPr>
                <w:rFonts w:ascii="Calibri" w:hAnsi="Calibri" w:cs="Calibri"/>
              </w:rPr>
            </w:pPr>
            <w:r w:rsidRPr="00404724">
              <w:rPr>
                <w:rFonts w:ascii="Calibri" w:hAnsi="Calibri" w:cs="Calibri"/>
              </w:rPr>
              <w:t>$3,505.5</w:t>
            </w:r>
          </w:p>
          <w:p w14:paraId="53940E8B" w14:textId="77777777" w:rsidR="00E3432A" w:rsidRPr="00404724" w:rsidRDefault="00E3432A" w:rsidP="00846F1D">
            <w:pPr>
              <w:jc w:val="center"/>
              <w:rPr>
                <w:rFonts w:ascii="Calibri" w:hAnsi="Calibri" w:cs="Calibri"/>
              </w:rPr>
            </w:pPr>
            <w:r w:rsidRPr="00404724">
              <w:rPr>
                <w:rFonts w:ascii="Calibri" w:hAnsi="Calibri" w:cs="Calibri"/>
              </w:rPr>
              <w:t>1.3</w:t>
            </w:r>
          </w:p>
        </w:tc>
      </w:tr>
    </w:tbl>
    <w:p w14:paraId="579093F6" w14:textId="77777777" w:rsidR="00E3432A" w:rsidRPr="00404724" w:rsidRDefault="00E3432A" w:rsidP="006D5D05">
      <w:pPr>
        <w:pStyle w:val="Heading4"/>
        <w:spacing w:before="120"/>
      </w:pPr>
      <w:bookmarkStart w:id="48" w:name="_Toc210042527"/>
      <w:bookmarkStart w:id="49" w:name="_Toc210049160"/>
      <w:bookmarkStart w:id="50" w:name="_Toc210051600"/>
      <w:bookmarkStart w:id="51" w:name="_Toc210051681"/>
      <w:r w:rsidRPr="00404724">
        <w:t>Unsealed roads</w:t>
      </w:r>
      <w:bookmarkEnd w:id="48"/>
      <w:bookmarkEnd w:id="49"/>
      <w:bookmarkEnd w:id="50"/>
      <w:bookmarkEnd w:id="51"/>
    </w:p>
    <w:p w14:paraId="608934AF" w14:textId="18B6FC26" w:rsidR="00E3432A" w:rsidRPr="00404724" w:rsidRDefault="00E3432A" w:rsidP="006D5D05">
      <w:pPr>
        <w:spacing w:before="80"/>
      </w:pPr>
      <w:r w:rsidRPr="00404724">
        <w:rPr>
          <w:rFonts w:ascii="Calibri" w:hAnsi="Calibri" w:cs="Calibri"/>
        </w:rPr>
        <w:t xml:space="preserve">Government databases record whether an FSI crash occurs on an unsealed road. As such multiple FSI scenarios do not need to be modelled (as was done above). Based on the records of FSI on unsealed roads, the estimates of FSI reduction are shown in </w:t>
      </w:r>
      <w:r w:rsidRPr="00404724">
        <w:rPr>
          <w:rFonts w:ascii="Calibri" w:hAnsi="Calibri" w:cs="Calibri"/>
        </w:rPr>
        <w:fldChar w:fldCharType="begin"/>
      </w:r>
      <w:r w:rsidRPr="00404724">
        <w:rPr>
          <w:rFonts w:ascii="Calibri" w:hAnsi="Calibri" w:cs="Calibri"/>
        </w:rPr>
        <w:instrText xml:space="preserve"> REF _Ref209626331 \h </w:instrText>
      </w:r>
      <w:r w:rsidRPr="00404724">
        <w:rPr>
          <w:rFonts w:ascii="Calibri" w:hAnsi="Calibri" w:cs="Calibri"/>
        </w:rPr>
      </w:r>
      <w:r w:rsidRPr="00404724">
        <w:rPr>
          <w:rFonts w:ascii="Calibri" w:hAnsi="Calibri" w:cs="Calibri"/>
        </w:rPr>
        <w:fldChar w:fldCharType="separate"/>
      </w:r>
      <w:r w:rsidR="00BF489D" w:rsidRPr="00404724">
        <w:t xml:space="preserve">Table </w:t>
      </w:r>
      <w:r w:rsidR="00BF489D">
        <w:rPr>
          <w:noProof/>
        </w:rPr>
        <w:t>5</w:t>
      </w:r>
      <w:r w:rsidRPr="00404724">
        <w:rPr>
          <w:rFonts w:ascii="Calibri" w:hAnsi="Calibri" w:cs="Calibri"/>
        </w:rPr>
        <w:fldChar w:fldCharType="end"/>
      </w:r>
      <w:r w:rsidRPr="00404724">
        <w:rPr>
          <w:rFonts w:ascii="Calibri" w:hAnsi="Calibri" w:cs="Calibri"/>
        </w:rPr>
        <w:t xml:space="preserve">. As with sealed roads, there are greater reductions in fatalities and serious injuries on unsealed roads as speed limits are reduced. </w:t>
      </w:r>
    </w:p>
    <w:p w14:paraId="0AB70222" w14:textId="1C01C0E3" w:rsidR="00E3432A" w:rsidRPr="00404724" w:rsidRDefault="00E3432A" w:rsidP="003979C3">
      <w:pPr>
        <w:pStyle w:val="Tablefigureheading"/>
        <w:rPr>
          <w:rFonts w:cs="Calibri"/>
        </w:rPr>
      </w:pPr>
      <w:bookmarkStart w:id="52" w:name="_Ref209626331"/>
      <w:bookmarkStart w:id="53" w:name="_Toc210040342"/>
      <w:bookmarkStart w:id="54" w:name="_Toc210051878"/>
      <w:r w:rsidRPr="00404724">
        <w:t xml:space="preserve">Table </w:t>
      </w:r>
      <w:r w:rsidR="00EC39D5">
        <w:fldChar w:fldCharType="begin"/>
      </w:r>
      <w:r w:rsidR="00EC39D5">
        <w:instrText xml:space="preserve"> SEQ Table \* ARABIC </w:instrText>
      </w:r>
      <w:r w:rsidR="00EC39D5">
        <w:fldChar w:fldCharType="separate"/>
      </w:r>
      <w:r w:rsidR="00BF489D">
        <w:rPr>
          <w:noProof/>
        </w:rPr>
        <w:t>5</w:t>
      </w:r>
      <w:r w:rsidR="00EC39D5">
        <w:rPr>
          <w:noProof/>
        </w:rPr>
        <w:fldChar w:fldCharType="end"/>
      </w:r>
      <w:bookmarkEnd w:id="52"/>
      <w:r w:rsidRPr="00404724">
        <w:tab/>
        <w:t>Modelled reductions in fatalities and serious injuries on unsealed roads by option</w:t>
      </w:r>
      <w:bookmarkEnd w:id="53"/>
      <w:bookmarkEnd w:id="54"/>
    </w:p>
    <w:tbl>
      <w:tblPr>
        <w:tblStyle w:val="TableGrid"/>
        <w:tblW w:w="9776" w:type="dxa"/>
        <w:tblLook w:val="04A0" w:firstRow="1" w:lastRow="0" w:firstColumn="1" w:lastColumn="0" w:noHBand="0" w:noVBand="1"/>
        <w:tblCaption w:val="Table 5 Modelled reductions in fatalities and serious injuries on unsealed roads by option"/>
        <w:tblDescription w:val="Table 5 Modelled reductions in fatalities and serious injuries on unsealed roads by option"/>
      </w:tblPr>
      <w:tblGrid>
        <w:gridCol w:w="4957"/>
        <w:gridCol w:w="4819"/>
      </w:tblGrid>
      <w:tr w:rsidR="00E3432A" w:rsidRPr="00404724" w14:paraId="3909ADAB" w14:textId="77777777" w:rsidTr="004B0117">
        <w:trPr>
          <w:cantSplit/>
          <w:tblHeader/>
        </w:trPr>
        <w:tc>
          <w:tcPr>
            <w:tcW w:w="4957" w:type="dxa"/>
            <w:shd w:val="clear" w:color="auto" w:fill="081E3E" w:themeFill="text2"/>
          </w:tcPr>
          <w:p w14:paraId="29D97CB0" w14:textId="77777777" w:rsidR="00E3432A" w:rsidRPr="00404724" w:rsidRDefault="00E3432A" w:rsidP="00846F1D">
            <w:pPr>
              <w:rPr>
                <w:rFonts w:ascii="Calibri" w:hAnsi="Calibri" w:cs="Calibri"/>
                <w:b/>
                <w:bCs/>
                <w:color w:val="FFFFFF" w:themeColor="background1"/>
              </w:rPr>
            </w:pPr>
            <w:r w:rsidRPr="00404724">
              <w:rPr>
                <w:rFonts w:ascii="Calibri" w:hAnsi="Calibri" w:cs="Calibri"/>
                <w:b/>
                <w:bCs/>
                <w:color w:val="FFFFFF" w:themeColor="background1"/>
              </w:rPr>
              <w:t>Speed reduction scenario</w:t>
            </w:r>
          </w:p>
        </w:tc>
        <w:tc>
          <w:tcPr>
            <w:tcW w:w="4819" w:type="dxa"/>
            <w:shd w:val="clear" w:color="auto" w:fill="081E3E" w:themeFill="text2"/>
          </w:tcPr>
          <w:p w14:paraId="17913778" w14:textId="77777777" w:rsidR="00E3432A" w:rsidRPr="00404724" w:rsidRDefault="00E3432A" w:rsidP="00846F1D">
            <w:pPr>
              <w:jc w:val="right"/>
              <w:rPr>
                <w:rFonts w:ascii="Calibri" w:hAnsi="Calibri" w:cs="Calibri"/>
                <w:b/>
                <w:bCs/>
                <w:color w:val="FFFFFF" w:themeColor="background1"/>
              </w:rPr>
            </w:pPr>
            <w:r w:rsidRPr="00404724">
              <w:rPr>
                <w:rFonts w:ascii="Calibri" w:hAnsi="Calibri" w:cs="Calibri"/>
                <w:b/>
                <w:bCs/>
                <w:color w:val="FFFFFF" w:themeColor="background1"/>
              </w:rPr>
              <w:t>Reduction in FSI</w:t>
            </w:r>
          </w:p>
        </w:tc>
      </w:tr>
      <w:tr w:rsidR="00E3432A" w:rsidRPr="00404724" w14:paraId="2360A7B0" w14:textId="77777777" w:rsidTr="004B0117">
        <w:trPr>
          <w:cantSplit/>
        </w:trPr>
        <w:tc>
          <w:tcPr>
            <w:tcW w:w="4957" w:type="dxa"/>
            <w:shd w:val="clear" w:color="auto" w:fill="EAECEF" w:themeFill="accent4" w:themeFillTint="33"/>
          </w:tcPr>
          <w:p w14:paraId="43584001" w14:textId="77777777" w:rsidR="00E3432A" w:rsidRPr="00404724" w:rsidRDefault="00E3432A" w:rsidP="00846F1D">
            <w:pPr>
              <w:rPr>
                <w:rFonts w:ascii="Calibri" w:hAnsi="Calibri" w:cs="Calibri"/>
              </w:rPr>
            </w:pPr>
            <w:r w:rsidRPr="00404724">
              <w:rPr>
                <w:rFonts w:ascii="Calibri" w:hAnsi="Calibri" w:cs="Calibri"/>
              </w:rPr>
              <w:t>Fatalities</w:t>
            </w:r>
          </w:p>
        </w:tc>
        <w:tc>
          <w:tcPr>
            <w:tcW w:w="4819" w:type="dxa"/>
            <w:shd w:val="clear" w:color="auto" w:fill="EAECEF" w:themeFill="accent4" w:themeFillTint="33"/>
          </w:tcPr>
          <w:p w14:paraId="2B9C39C3" w14:textId="77777777" w:rsidR="00E3432A" w:rsidRPr="00404724" w:rsidRDefault="00E3432A" w:rsidP="00846F1D">
            <w:pPr>
              <w:jc w:val="right"/>
              <w:rPr>
                <w:rFonts w:ascii="Calibri" w:hAnsi="Calibri" w:cs="Calibri"/>
              </w:rPr>
            </w:pPr>
          </w:p>
        </w:tc>
      </w:tr>
      <w:tr w:rsidR="00E3432A" w:rsidRPr="00404724" w14:paraId="5F314B6A" w14:textId="77777777" w:rsidTr="004B0117">
        <w:trPr>
          <w:cantSplit/>
        </w:trPr>
        <w:tc>
          <w:tcPr>
            <w:tcW w:w="4957" w:type="dxa"/>
          </w:tcPr>
          <w:p w14:paraId="4E0DC71B" w14:textId="77777777" w:rsidR="00E3432A" w:rsidRPr="00404724" w:rsidRDefault="00E3432A" w:rsidP="00846F1D">
            <w:pPr>
              <w:rPr>
                <w:rFonts w:ascii="Calibri" w:hAnsi="Calibri" w:cs="Calibri"/>
              </w:rPr>
            </w:pPr>
            <w:r w:rsidRPr="00404724">
              <w:rPr>
                <w:rFonts w:ascii="Calibri" w:hAnsi="Calibri" w:cs="Calibri"/>
              </w:rPr>
              <w:t>100 km/h to 80 km/h</w:t>
            </w:r>
          </w:p>
        </w:tc>
        <w:tc>
          <w:tcPr>
            <w:tcW w:w="4819" w:type="dxa"/>
          </w:tcPr>
          <w:p w14:paraId="019C2B2F" w14:textId="77777777" w:rsidR="00E3432A" w:rsidRPr="00404724" w:rsidRDefault="00E3432A" w:rsidP="00846F1D">
            <w:pPr>
              <w:jc w:val="right"/>
              <w:rPr>
                <w:rFonts w:ascii="Calibri" w:hAnsi="Calibri" w:cs="Calibri"/>
              </w:rPr>
            </w:pPr>
            <w:r w:rsidRPr="00404724">
              <w:rPr>
                <w:rFonts w:ascii="Calibri" w:hAnsi="Calibri" w:cs="Calibri"/>
              </w:rPr>
              <w:t>123</w:t>
            </w:r>
          </w:p>
        </w:tc>
      </w:tr>
      <w:tr w:rsidR="00E3432A" w:rsidRPr="00404724" w14:paraId="5E05327F" w14:textId="77777777" w:rsidTr="004B0117">
        <w:trPr>
          <w:cantSplit/>
        </w:trPr>
        <w:tc>
          <w:tcPr>
            <w:tcW w:w="4957" w:type="dxa"/>
          </w:tcPr>
          <w:p w14:paraId="01271B32" w14:textId="77777777" w:rsidR="00E3432A" w:rsidRPr="00404724" w:rsidRDefault="00E3432A" w:rsidP="00846F1D">
            <w:pPr>
              <w:rPr>
                <w:rFonts w:ascii="Calibri" w:hAnsi="Calibri" w:cs="Calibri"/>
              </w:rPr>
            </w:pPr>
            <w:r w:rsidRPr="00404724">
              <w:rPr>
                <w:rFonts w:ascii="Calibri" w:hAnsi="Calibri" w:cs="Calibri"/>
              </w:rPr>
              <w:t>100 km/h to 70 km/h</w:t>
            </w:r>
          </w:p>
        </w:tc>
        <w:tc>
          <w:tcPr>
            <w:tcW w:w="4819" w:type="dxa"/>
          </w:tcPr>
          <w:p w14:paraId="544B0B81" w14:textId="77777777" w:rsidR="00E3432A" w:rsidRPr="00404724" w:rsidRDefault="00E3432A" w:rsidP="00846F1D">
            <w:pPr>
              <w:jc w:val="right"/>
              <w:rPr>
                <w:rFonts w:ascii="Calibri" w:hAnsi="Calibri" w:cs="Calibri"/>
              </w:rPr>
            </w:pPr>
            <w:r w:rsidRPr="00404724">
              <w:rPr>
                <w:rFonts w:ascii="Calibri" w:hAnsi="Calibri" w:cs="Calibri"/>
              </w:rPr>
              <w:t>248</w:t>
            </w:r>
          </w:p>
        </w:tc>
      </w:tr>
      <w:tr w:rsidR="00E3432A" w:rsidRPr="00404724" w14:paraId="0E81165E" w14:textId="77777777" w:rsidTr="004B0117">
        <w:trPr>
          <w:cantSplit/>
        </w:trPr>
        <w:tc>
          <w:tcPr>
            <w:tcW w:w="4957" w:type="dxa"/>
            <w:shd w:val="clear" w:color="auto" w:fill="EAECEF" w:themeFill="accent4" w:themeFillTint="33"/>
          </w:tcPr>
          <w:p w14:paraId="086F2741" w14:textId="77777777" w:rsidR="00E3432A" w:rsidRPr="00404724" w:rsidRDefault="00E3432A" w:rsidP="00AE4E2F">
            <w:pPr>
              <w:keepNext/>
              <w:keepLines/>
              <w:rPr>
                <w:rFonts w:ascii="Calibri" w:hAnsi="Calibri" w:cs="Calibri"/>
              </w:rPr>
            </w:pPr>
            <w:r w:rsidRPr="00404724">
              <w:rPr>
                <w:rFonts w:ascii="Calibri" w:hAnsi="Calibri" w:cs="Calibri"/>
              </w:rPr>
              <w:t>Serious injuries</w:t>
            </w:r>
          </w:p>
        </w:tc>
        <w:tc>
          <w:tcPr>
            <w:tcW w:w="4819" w:type="dxa"/>
            <w:shd w:val="clear" w:color="auto" w:fill="EAECEF" w:themeFill="accent4" w:themeFillTint="33"/>
          </w:tcPr>
          <w:p w14:paraId="2B41986B" w14:textId="77777777" w:rsidR="00E3432A" w:rsidRPr="00404724" w:rsidRDefault="00E3432A" w:rsidP="00AE4E2F">
            <w:pPr>
              <w:keepNext/>
              <w:keepLines/>
              <w:jc w:val="right"/>
              <w:rPr>
                <w:rFonts w:ascii="Calibri" w:hAnsi="Calibri" w:cs="Calibri"/>
              </w:rPr>
            </w:pPr>
          </w:p>
        </w:tc>
      </w:tr>
      <w:tr w:rsidR="00E3432A" w:rsidRPr="00404724" w14:paraId="4848C565" w14:textId="77777777" w:rsidTr="004B0117">
        <w:trPr>
          <w:cantSplit/>
        </w:trPr>
        <w:tc>
          <w:tcPr>
            <w:tcW w:w="4957" w:type="dxa"/>
          </w:tcPr>
          <w:p w14:paraId="0943D14B" w14:textId="77777777" w:rsidR="00E3432A" w:rsidRPr="00404724" w:rsidRDefault="00E3432A" w:rsidP="00846F1D">
            <w:pPr>
              <w:rPr>
                <w:rFonts w:ascii="Calibri" w:hAnsi="Calibri" w:cs="Calibri"/>
              </w:rPr>
            </w:pPr>
            <w:r w:rsidRPr="00404724">
              <w:rPr>
                <w:rFonts w:ascii="Calibri" w:hAnsi="Calibri" w:cs="Calibri"/>
              </w:rPr>
              <w:t>100 km/h to 80 km/h</w:t>
            </w:r>
          </w:p>
        </w:tc>
        <w:tc>
          <w:tcPr>
            <w:tcW w:w="4819" w:type="dxa"/>
          </w:tcPr>
          <w:p w14:paraId="09C0E61E" w14:textId="77777777" w:rsidR="00E3432A" w:rsidRPr="00404724" w:rsidRDefault="00E3432A" w:rsidP="00846F1D">
            <w:pPr>
              <w:jc w:val="right"/>
              <w:rPr>
                <w:rFonts w:ascii="Calibri" w:hAnsi="Calibri" w:cs="Calibri"/>
              </w:rPr>
            </w:pPr>
            <w:r w:rsidRPr="00404724">
              <w:rPr>
                <w:rFonts w:ascii="Calibri" w:hAnsi="Calibri" w:cs="Calibri"/>
              </w:rPr>
              <w:t>4,182</w:t>
            </w:r>
          </w:p>
        </w:tc>
      </w:tr>
      <w:tr w:rsidR="00E3432A" w:rsidRPr="00404724" w14:paraId="01FCFB11" w14:textId="77777777" w:rsidTr="004B0117">
        <w:trPr>
          <w:cantSplit/>
        </w:trPr>
        <w:tc>
          <w:tcPr>
            <w:tcW w:w="4957" w:type="dxa"/>
          </w:tcPr>
          <w:p w14:paraId="2AC98BE2" w14:textId="77777777" w:rsidR="00E3432A" w:rsidRPr="00404724" w:rsidRDefault="00E3432A" w:rsidP="00846F1D">
            <w:pPr>
              <w:rPr>
                <w:rFonts w:ascii="Calibri" w:hAnsi="Calibri" w:cs="Calibri"/>
              </w:rPr>
            </w:pPr>
            <w:r w:rsidRPr="00404724">
              <w:rPr>
                <w:rFonts w:ascii="Calibri" w:hAnsi="Calibri" w:cs="Calibri"/>
              </w:rPr>
              <w:t>100 km/h to 70 km/h</w:t>
            </w:r>
          </w:p>
        </w:tc>
        <w:tc>
          <w:tcPr>
            <w:tcW w:w="4819" w:type="dxa"/>
          </w:tcPr>
          <w:p w14:paraId="11082EED" w14:textId="77777777" w:rsidR="00E3432A" w:rsidRPr="00404724" w:rsidRDefault="00E3432A" w:rsidP="00846F1D">
            <w:pPr>
              <w:jc w:val="right"/>
              <w:rPr>
                <w:rFonts w:ascii="Calibri" w:hAnsi="Calibri" w:cs="Calibri"/>
              </w:rPr>
            </w:pPr>
            <w:r w:rsidRPr="00404724">
              <w:rPr>
                <w:rFonts w:ascii="Calibri" w:hAnsi="Calibri" w:cs="Calibri"/>
              </w:rPr>
              <w:t>8,847</w:t>
            </w:r>
          </w:p>
        </w:tc>
      </w:tr>
    </w:tbl>
    <w:p w14:paraId="61385ACB" w14:textId="6E916D64" w:rsidR="00E3432A" w:rsidRPr="00404724" w:rsidRDefault="00E3432A" w:rsidP="006D5D05">
      <w:pPr>
        <w:spacing w:before="80"/>
        <w:rPr>
          <w:rFonts w:ascii="Calibri" w:hAnsi="Calibri" w:cs="Calibri"/>
        </w:rPr>
      </w:pPr>
      <w:r w:rsidRPr="00404724">
        <w:rPr>
          <w:rFonts w:ascii="Calibri" w:hAnsi="Calibri" w:cs="Calibri"/>
        </w:rPr>
        <w:fldChar w:fldCharType="begin"/>
      </w:r>
      <w:r w:rsidRPr="00404724">
        <w:rPr>
          <w:rFonts w:ascii="Calibri" w:hAnsi="Calibri" w:cs="Calibri"/>
        </w:rPr>
        <w:instrText xml:space="preserve"> REF _Ref209625826 \h </w:instrText>
      </w:r>
      <w:r w:rsidRPr="00404724">
        <w:rPr>
          <w:rFonts w:ascii="Calibri" w:hAnsi="Calibri" w:cs="Calibri"/>
        </w:rPr>
      </w:r>
      <w:r w:rsidRPr="00404724">
        <w:rPr>
          <w:rFonts w:ascii="Calibri" w:hAnsi="Calibri" w:cs="Calibri"/>
        </w:rPr>
        <w:fldChar w:fldCharType="separate"/>
      </w:r>
      <w:r w:rsidR="00BF489D" w:rsidRPr="00404724">
        <w:t xml:space="preserve">Table </w:t>
      </w:r>
      <w:r w:rsidR="00BF489D">
        <w:rPr>
          <w:noProof/>
        </w:rPr>
        <w:t>6</w:t>
      </w:r>
      <w:r w:rsidRPr="00404724">
        <w:rPr>
          <w:rFonts w:ascii="Calibri" w:hAnsi="Calibri" w:cs="Calibri"/>
        </w:rPr>
        <w:fldChar w:fldCharType="end"/>
      </w:r>
      <w:r w:rsidRPr="00404724">
        <w:rPr>
          <w:rFonts w:ascii="Calibri" w:hAnsi="Calibri" w:cs="Calibri"/>
        </w:rPr>
        <w:t xml:space="preserve"> below shows the BCRs for each VKT bound assumption. Bar one exception, both speed reduction scenarios for all VKT assumptions produce positive BCRs. When a large proportion of driving is assumed on unsealed roads (i.e. upper bound for VKT), a speed limit reduction form 100 km/h to 70 km/h produces a negative BCR (given the fixed level of FSI that occurs on these roads). </w:t>
      </w:r>
    </w:p>
    <w:p w14:paraId="4A00109D" w14:textId="1476747B" w:rsidR="00E3432A" w:rsidRPr="00404724" w:rsidRDefault="00E3432A" w:rsidP="003979C3">
      <w:pPr>
        <w:pStyle w:val="Tablefigureheading"/>
        <w:rPr>
          <w:rFonts w:cs="Calibri"/>
        </w:rPr>
      </w:pPr>
      <w:bookmarkStart w:id="55" w:name="_Ref209625826"/>
      <w:bookmarkStart w:id="56" w:name="_Toc210040343"/>
      <w:bookmarkStart w:id="57" w:name="_Toc210051879"/>
      <w:r w:rsidRPr="00404724">
        <w:t xml:space="preserve">Table </w:t>
      </w:r>
      <w:r w:rsidR="00EC39D5">
        <w:fldChar w:fldCharType="begin"/>
      </w:r>
      <w:r w:rsidR="00EC39D5">
        <w:instrText xml:space="preserve"> SEQ Table \* ARABIC </w:instrText>
      </w:r>
      <w:r w:rsidR="00EC39D5">
        <w:fldChar w:fldCharType="separate"/>
      </w:r>
      <w:r w:rsidR="00BF489D">
        <w:rPr>
          <w:noProof/>
        </w:rPr>
        <w:t>6</w:t>
      </w:r>
      <w:r w:rsidR="00EC39D5">
        <w:rPr>
          <w:noProof/>
        </w:rPr>
        <w:fldChar w:fldCharType="end"/>
      </w:r>
      <w:bookmarkEnd w:id="55"/>
      <w:r w:rsidRPr="00404724">
        <w:tab/>
        <w:t>Unsealed roads BCR by option by VKT scenario</w:t>
      </w:r>
      <w:bookmarkEnd w:id="56"/>
      <w:bookmarkEnd w:id="57"/>
    </w:p>
    <w:tbl>
      <w:tblPr>
        <w:tblStyle w:val="TableGrid"/>
        <w:tblW w:w="9776" w:type="dxa"/>
        <w:tblLook w:val="04A0" w:firstRow="1" w:lastRow="0" w:firstColumn="1" w:lastColumn="0" w:noHBand="0" w:noVBand="1"/>
        <w:tblCaption w:val="Table 6 Unsealed roads BCR by option by VKT scenario"/>
        <w:tblDescription w:val="Table 6 Unsealed roads BCR by option by VKT scenario"/>
      </w:tblPr>
      <w:tblGrid>
        <w:gridCol w:w="3256"/>
        <w:gridCol w:w="2905"/>
        <w:gridCol w:w="3615"/>
      </w:tblGrid>
      <w:tr w:rsidR="00E3432A" w:rsidRPr="00404724" w14:paraId="6F0DB577" w14:textId="77777777" w:rsidTr="004B0117">
        <w:trPr>
          <w:cantSplit/>
          <w:tblHeader/>
        </w:trPr>
        <w:tc>
          <w:tcPr>
            <w:tcW w:w="3256" w:type="dxa"/>
            <w:shd w:val="clear" w:color="auto" w:fill="081E3E" w:themeFill="text2"/>
          </w:tcPr>
          <w:p w14:paraId="7F8A32F8" w14:textId="77777777" w:rsidR="00E3432A" w:rsidRPr="00404724" w:rsidRDefault="00E3432A" w:rsidP="00846F1D">
            <w:pPr>
              <w:rPr>
                <w:rFonts w:ascii="Calibri" w:hAnsi="Calibri" w:cs="Calibri"/>
                <w:b/>
                <w:bCs/>
                <w:color w:val="FFFFFF" w:themeColor="background1"/>
              </w:rPr>
            </w:pPr>
            <w:r w:rsidRPr="00404724">
              <w:rPr>
                <w:rFonts w:ascii="Calibri" w:hAnsi="Calibri" w:cs="Calibri"/>
                <w:b/>
                <w:bCs/>
                <w:color w:val="FFFFFF" w:themeColor="background1"/>
              </w:rPr>
              <w:t>VKT on unsealed roads</w:t>
            </w:r>
          </w:p>
        </w:tc>
        <w:tc>
          <w:tcPr>
            <w:tcW w:w="2905" w:type="dxa"/>
            <w:shd w:val="clear" w:color="auto" w:fill="081E3E" w:themeFill="text2"/>
          </w:tcPr>
          <w:p w14:paraId="73D24F6C" w14:textId="77777777" w:rsidR="00E3432A" w:rsidRPr="00404724" w:rsidRDefault="00E3432A" w:rsidP="00846F1D">
            <w:pPr>
              <w:jc w:val="center"/>
              <w:rPr>
                <w:rFonts w:ascii="Calibri" w:hAnsi="Calibri" w:cs="Calibri"/>
                <w:b/>
                <w:bCs/>
                <w:color w:val="FFFFFF" w:themeColor="background1"/>
              </w:rPr>
            </w:pPr>
            <w:r w:rsidRPr="00404724">
              <w:rPr>
                <w:rFonts w:ascii="Calibri" w:hAnsi="Calibri" w:cs="Calibri"/>
                <w:b/>
                <w:bCs/>
                <w:color w:val="FFFFFF" w:themeColor="background1"/>
              </w:rPr>
              <w:t>100 km/h to 80 km/h</w:t>
            </w:r>
          </w:p>
        </w:tc>
        <w:tc>
          <w:tcPr>
            <w:tcW w:w="3615" w:type="dxa"/>
            <w:shd w:val="clear" w:color="auto" w:fill="081E3E" w:themeFill="text2"/>
          </w:tcPr>
          <w:p w14:paraId="663DE1D6" w14:textId="77777777" w:rsidR="00E3432A" w:rsidRPr="00404724" w:rsidRDefault="00E3432A" w:rsidP="00846F1D">
            <w:pPr>
              <w:jc w:val="center"/>
              <w:rPr>
                <w:rFonts w:ascii="Calibri" w:hAnsi="Calibri" w:cs="Calibri"/>
                <w:b/>
                <w:bCs/>
                <w:color w:val="FFFFFF" w:themeColor="background1"/>
              </w:rPr>
            </w:pPr>
            <w:r w:rsidRPr="00404724">
              <w:rPr>
                <w:rFonts w:ascii="Calibri" w:hAnsi="Calibri" w:cs="Calibri"/>
                <w:b/>
                <w:bCs/>
                <w:color w:val="FFFFFF" w:themeColor="background1"/>
              </w:rPr>
              <w:t>100 km/h to 70 km/h</w:t>
            </w:r>
          </w:p>
        </w:tc>
      </w:tr>
      <w:tr w:rsidR="00E3432A" w:rsidRPr="00404724" w14:paraId="3109A861" w14:textId="77777777" w:rsidTr="004B0117">
        <w:trPr>
          <w:cantSplit/>
        </w:trPr>
        <w:tc>
          <w:tcPr>
            <w:tcW w:w="3256" w:type="dxa"/>
            <w:shd w:val="clear" w:color="auto" w:fill="F2F2F2" w:themeFill="background1" w:themeFillShade="F2"/>
          </w:tcPr>
          <w:p w14:paraId="7BF7978E" w14:textId="77777777" w:rsidR="00E3432A" w:rsidRPr="00404724" w:rsidRDefault="00E3432A" w:rsidP="00846F1D">
            <w:pPr>
              <w:rPr>
                <w:rFonts w:ascii="Calibri" w:hAnsi="Calibri" w:cs="Calibri"/>
              </w:rPr>
            </w:pPr>
            <w:r w:rsidRPr="00404724">
              <w:rPr>
                <w:rFonts w:ascii="Calibri" w:hAnsi="Calibri" w:cs="Calibri"/>
              </w:rPr>
              <w:t>Lower bound VKT estimate</w:t>
            </w:r>
          </w:p>
        </w:tc>
        <w:tc>
          <w:tcPr>
            <w:tcW w:w="2905" w:type="dxa"/>
          </w:tcPr>
          <w:p w14:paraId="647E1034" w14:textId="77777777" w:rsidR="00E3432A" w:rsidRPr="00404724" w:rsidRDefault="00E3432A" w:rsidP="00846F1D">
            <w:pPr>
              <w:jc w:val="center"/>
              <w:rPr>
                <w:rFonts w:ascii="Calibri" w:hAnsi="Calibri" w:cs="Calibri"/>
              </w:rPr>
            </w:pPr>
            <w:r w:rsidRPr="00404724">
              <w:t>$1,964.4</w:t>
            </w:r>
          </w:p>
          <w:p w14:paraId="53409134" w14:textId="77777777" w:rsidR="00E3432A" w:rsidRPr="00404724" w:rsidRDefault="00E3432A" w:rsidP="00846F1D">
            <w:pPr>
              <w:jc w:val="center"/>
              <w:rPr>
                <w:rFonts w:ascii="Calibri" w:hAnsi="Calibri" w:cs="Calibri"/>
              </w:rPr>
            </w:pPr>
            <w:r w:rsidRPr="00404724">
              <w:rPr>
                <w:rFonts w:ascii="Calibri" w:hAnsi="Calibri" w:cs="Calibri"/>
              </w:rPr>
              <w:t>5.4</w:t>
            </w:r>
          </w:p>
        </w:tc>
        <w:tc>
          <w:tcPr>
            <w:tcW w:w="3615" w:type="dxa"/>
          </w:tcPr>
          <w:p w14:paraId="6F0F4A76" w14:textId="77777777" w:rsidR="00E3432A" w:rsidRPr="00404724" w:rsidRDefault="00E3432A" w:rsidP="00846F1D">
            <w:pPr>
              <w:jc w:val="center"/>
              <w:rPr>
                <w:rFonts w:ascii="Calibri" w:hAnsi="Calibri" w:cs="Calibri"/>
              </w:rPr>
            </w:pPr>
            <w:r w:rsidRPr="00404724">
              <w:t>$3,948.6</w:t>
            </w:r>
          </w:p>
          <w:p w14:paraId="38A87127" w14:textId="77777777" w:rsidR="00E3432A" w:rsidRPr="00404724" w:rsidRDefault="00E3432A" w:rsidP="00846F1D">
            <w:pPr>
              <w:jc w:val="center"/>
              <w:rPr>
                <w:rFonts w:ascii="Calibri" w:hAnsi="Calibri" w:cs="Calibri"/>
              </w:rPr>
            </w:pPr>
            <w:r w:rsidRPr="00404724">
              <w:rPr>
                <w:rFonts w:ascii="Calibri" w:hAnsi="Calibri" w:cs="Calibri"/>
              </w:rPr>
              <w:t>4.6</w:t>
            </w:r>
          </w:p>
        </w:tc>
      </w:tr>
      <w:tr w:rsidR="00E3432A" w:rsidRPr="00404724" w14:paraId="5F147493" w14:textId="77777777" w:rsidTr="004B0117">
        <w:trPr>
          <w:cantSplit/>
        </w:trPr>
        <w:tc>
          <w:tcPr>
            <w:tcW w:w="3256" w:type="dxa"/>
            <w:shd w:val="clear" w:color="auto" w:fill="F2F2F2" w:themeFill="background1" w:themeFillShade="F2"/>
          </w:tcPr>
          <w:p w14:paraId="5A8D6874" w14:textId="77777777" w:rsidR="00E3432A" w:rsidRPr="00404724" w:rsidRDefault="00E3432A" w:rsidP="00846F1D">
            <w:pPr>
              <w:rPr>
                <w:rFonts w:ascii="Calibri" w:hAnsi="Calibri" w:cs="Calibri"/>
              </w:rPr>
            </w:pPr>
            <w:r w:rsidRPr="00404724">
              <w:rPr>
                <w:rFonts w:ascii="Calibri" w:hAnsi="Calibri" w:cs="Calibri"/>
              </w:rPr>
              <w:t>Middle VKT estimate</w:t>
            </w:r>
          </w:p>
        </w:tc>
        <w:tc>
          <w:tcPr>
            <w:tcW w:w="2905" w:type="dxa"/>
          </w:tcPr>
          <w:p w14:paraId="7DED1476" w14:textId="77777777" w:rsidR="00E3432A" w:rsidRPr="00404724" w:rsidRDefault="00E3432A" w:rsidP="00846F1D">
            <w:pPr>
              <w:jc w:val="center"/>
              <w:rPr>
                <w:rFonts w:ascii="Calibri" w:hAnsi="Calibri" w:cs="Calibri"/>
              </w:rPr>
            </w:pPr>
            <w:r w:rsidRPr="00404724">
              <w:t>$1,340.4</w:t>
            </w:r>
          </w:p>
          <w:p w14:paraId="0B36E968" w14:textId="77777777" w:rsidR="00E3432A" w:rsidRPr="00404724" w:rsidRDefault="00E3432A" w:rsidP="00846F1D">
            <w:pPr>
              <w:jc w:val="center"/>
              <w:rPr>
                <w:rFonts w:ascii="Calibri" w:hAnsi="Calibri" w:cs="Calibri"/>
              </w:rPr>
            </w:pPr>
            <w:r w:rsidRPr="00404724">
              <w:rPr>
                <w:rFonts w:ascii="Calibri" w:hAnsi="Calibri" w:cs="Calibri"/>
              </w:rPr>
              <w:t>2.2</w:t>
            </w:r>
          </w:p>
        </w:tc>
        <w:tc>
          <w:tcPr>
            <w:tcW w:w="3615" w:type="dxa"/>
          </w:tcPr>
          <w:p w14:paraId="54A4FC0B" w14:textId="77777777" w:rsidR="00E3432A" w:rsidRPr="00404724" w:rsidRDefault="00E3432A" w:rsidP="00846F1D">
            <w:pPr>
              <w:jc w:val="center"/>
              <w:rPr>
                <w:rFonts w:ascii="Calibri" w:hAnsi="Calibri" w:cs="Calibri"/>
              </w:rPr>
            </w:pPr>
            <w:r w:rsidRPr="00404724">
              <w:t>$2,367.5</w:t>
            </w:r>
          </w:p>
          <w:p w14:paraId="586613DA" w14:textId="77777777" w:rsidR="00E3432A" w:rsidRPr="00404724" w:rsidRDefault="00E3432A" w:rsidP="00846F1D">
            <w:pPr>
              <w:jc w:val="center"/>
              <w:rPr>
                <w:rFonts w:ascii="Calibri" w:hAnsi="Calibri" w:cs="Calibri"/>
              </w:rPr>
            </w:pPr>
            <w:r w:rsidRPr="00404724">
              <w:rPr>
                <w:rFonts w:ascii="Calibri" w:hAnsi="Calibri" w:cs="Calibri"/>
              </w:rPr>
              <w:t>1.9</w:t>
            </w:r>
          </w:p>
        </w:tc>
      </w:tr>
      <w:tr w:rsidR="00E3432A" w:rsidRPr="00404724" w14:paraId="05104A85" w14:textId="77777777" w:rsidTr="004B0117">
        <w:trPr>
          <w:cantSplit/>
        </w:trPr>
        <w:tc>
          <w:tcPr>
            <w:tcW w:w="3256" w:type="dxa"/>
            <w:shd w:val="clear" w:color="auto" w:fill="F2F2F2" w:themeFill="background1" w:themeFillShade="F2"/>
          </w:tcPr>
          <w:p w14:paraId="2EC91833" w14:textId="77777777" w:rsidR="00E3432A" w:rsidRPr="00404724" w:rsidRDefault="00E3432A" w:rsidP="00846F1D">
            <w:pPr>
              <w:rPr>
                <w:rFonts w:ascii="Calibri" w:hAnsi="Calibri" w:cs="Calibri"/>
              </w:rPr>
            </w:pPr>
            <w:r w:rsidRPr="00404724">
              <w:rPr>
                <w:rFonts w:ascii="Calibri" w:hAnsi="Calibri" w:cs="Calibri"/>
              </w:rPr>
              <w:t>Upper bound VKT estimate</w:t>
            </w:r>
          </w:p>
        </w:tc>
        <w:tc>
          <w:tcPr>
            <w:tcW w:w="2905" w:type="dxa"/>
          </w:tcPr>
          <w:p w14:paraId="73B22C79" w14:textId="77777777" w:rsidR="00E3432A" w:rsidRPr="00404724" w:rsidRDefault="00E3432A" w:rsidP="00846F1D">
            <w:pPr>
              <w:jc w:val="center"/>
              <w:rPr>
                <w:rFonts w:ascii="Calibri" w:hAnsi="Calibri" w:cs="Calibri"/>
              </w:rPr>
            </w:pPr>
            <w:r w:rsidRPr="00404724">
              <w:t>$320.3</w:t>
            </w:r>
          </w:p>
          <w:p w14:paraId="156116E5" w14:textId="77777777" w:rsidR="00E3432A" w:rsidRPr="00404724" w:rsidRDefault="00E3432A" w:rsidP="00846F1D">
            <w:pPr>
              <w:jc w:val="center"/>
              <w:rPr>
                <w:rFonts w:ascii="Calibri" w:hAnsi="Calibri" w:cs="Calibri"/>
              </w:rPr>
            </w:pPr>
            <w:r w:rsidRPr="00404724">
              <w:rPr>
                <w:rFonts w:ascii="Calibri" w:hAnsi="Calibri" w:cs="Calibri"/>
              </w:rPr>
              <w:t>1.1</w:t>
            </w:r>
          </w:p>
        </w:tc>
        <w:tc>
          <w:tcPr>
            <w:tcW w:w="3615" w:type="dxa"/>
          </w:tcPr>
          <w:p w14:paraId="48B80943" w14:textId="77777777" w:rsidR="00E3432A" w:rsidRPr="00404724" w:rsidRDefault="00E3432A" w:rsidP="00846F1D">
            <w:pPr>
              <w:jc w:val="center"/>
              <w:rPr>
                <w:rFonts w:ascii="Calibri" w:hAnsi="Calibri" w:cs="Calibri"/>
                <w:color w:val="EE0000"/>
              </w:rPr>
            </w:pPr>
            <w:r w:rsidRPr="00404724">
              <w:rPr>
                <w:color w:val="EE0000"/>
              </w:rPr>
              <w:t>-$214.8</w:t>
            </w:r>
          </w:p>
          <w:p w14:paraId="57482069" w14:textId="77777777" w:rsidR="00E3432A" w:rsidRPr="00404724" w:rsidRDefault="00E3432A" w:rsidP="00846F1D">
            <w:pPr>
              <w:jc w:val="center"/>
              <w:rPr>
                <w:rFonts w:ascii="Calibri" w:hAnsi="Calibri" w:cs="Calibri"/>
              </w:rPr>
            </w:pPr>
            <w:r w:rsidRPr="00404724">
              <w:rPr>
                <w:rFonts w:ascii="Calibri" w:hAnsi="Calibri" w:cs="Calibri"/>
              </w:rPr>
              <w:t>0.96</w:t>
            </w:r>
          </w:p>
        </w:tc>
      </w:tr>
    </w:tbl>
    <w:p w14:paraId="5D0772C8" w14:textId="77777777" w:rsidR="00E3432A" w:rsidRPr="00404724" w:rsidRDefault="00E3432A" w:rsidP="004B0117">
      <w:pPr>
        <w:pStyle w:val="Heading3"/>
      </w:pPr>
      <w:bookmarkStart w:id="58" w:name="_Toc210040291"/>
      <w:bookmarkStart w:id="59" w:name="_Toc210042528"/>
      <w:bookmarkStart w:id="60" w:name="_Toc210049161"/>
      <w:bookmarkStart w:id="61" w:name="_Toc210051601"/>
      <w:bookmarkStart w:id="62" w:name="_Toc210051682"/>
      <w:r w:rsidRPr="00404724">
        <w:lastRenderedPageBreak/>
        <w:t>Implementation and review</w:t>
      </w:r>
      <w:bookmarkEnd w:id="58"/>
      <w:bookmarkEnd w:id="59"/>
      <w:bookmarkEnd w:id="60"/>
      <w:bookmarkEnd w:id="61"/>
      <w:bookmarkEnd w:id="62"/>
    </w:p>
    <w:p w14:paraId="01CB51C7" w14:textId="1F318961" w:rsidR="00E3432A" w:rsidRPr="00404724" w:rsidRDefault="00E3432A" w:rsidP="00E3432A">
      <w:r w:rsidRPr="00404724">
        <w:t xml:space="preserve">The Australian Road Rules (ARR) is a model law that is adopted by states and territories to ensure </w:t>
      </w:r>
      <w:r w:rsidR="00C94374" w:rsidRPr="00404724">
        <w:t>nationally consistent</w:t>
      </w:r>
      <w:r w:rsidRPr="00404724">
        <w:t xml:space="preserve"> road rules. As model a law, the ARR does not have legal effect until adopted by individual jurisdictions. The National Transport Commission (NTC) is responsible for maintaining and reviewing the ARR.</w:t>
      </w:r>
      <w:r w:rsidRPr="00404724">
        <w:rPr>
          <w:rStyle w:val="FootnoteReference"/>
        </w:rPr>
        <w:footnoteReference w:id="6"/>
      </w:r>
    </w:p>
    <w:p w14:paraId="700D0114" w14:textId="77777777" w:rsidR="00E3432A" w:rsidRPr="00404724" w:rsidRDefault="00E3432A" w:rsidP="00E3432A">
      <w:r w:rsidRPr="00404724">
        <w:t>Once relevant Ministers have agreed to the policy, the NTC works with Parliamentary Counsel to prepare legally robust amendments. Draft amendments are then released for public consultation, allowing stakeholders to provide feedback to inform any necessary refinements.</w:t>
      </w:r>
    </w:p>
    <w:p w14:paraId="3DEF488A" w14:textId="77777777" w:rsidR="00E3432A" w:rsidRPr="00404724" w:rsidRDefault="00E3432A" w:rsidP="00E3432A">
      <w:r w:rsidRPr="00404724">
        <w:t>Following consultation, amendments are finalised and submitted to the Infrastructure and Transport Ministers’ Meeting for approval. Jurisdictions then adopt the amendments according to their legislative processes. Jurisdictions may adopt the amendments as drafted or with variations to suit local requirements.</w:t>
      </w:r>
    </w:p>
    <w:p w14:paraId="1FBEB2AC" w14:textId="77777777" w:rsidR="00E3432A" w:rsidRPr="00404724" w:rsidRDefault="00E3432A" w:rsidP="00E3432A">
      <w:r w:rsidRPr="00404724">
        <w:t>The process including drafting, consultation and approval typically takes about 18 months. Actual timing may vary depending on the complexity of the amendments, the volume of consultation feedback, and jurisdictional legislative schedules.</w:t>
      </w:r>
    </w:p>
    <w:p w14:paraId="71D93078" w14:textId="77777777" w:rsidR="00E3432A" w:rsidRPr="00404724" w:rsidRDefault="00E3432A" w:rsidP="004B0117">
      <w:pPr>
        <w:pStyle w:val="Heading3"/>
      </w:pPr>
      <w:bookmarkStart w:id="63" w:name="_Toc210040292"/>
      <w:bookmarkStart w:id="64" w:name="_Toc210042529"/>
      <w:bookmarkStart w:id="65" w:name="_Toc210049162"/>
      <w:bookmarkStart w:id="66" w:name="_Toc210051602"/>
      <w:bookmarkStart w:id="67" w:name="_Toc210051683"/>
      <w:r w:rsidRPr="00404724">
        <w:t>Conclusion</w:t>
      </w:r>
      <w:bookmarkEnd w:id="63"/>
      <w:bookmarkEnd w:id="64"/>
      <w:bookmarkEnd w:id="65"/>
      <w:bookmarkEnd w:id="66"/>
      <w:bookmarkEnd w:id="67"/>
    </w:p>
    <w:p w14:paraId="6347F37D" w14:textId="77777777" w:rsidR="00404724" w:rsidRPr="00404724" w:rsidRDefault="00404724" w:rsidP="00404724">
      <w:r w:rsidRPr="00404724">
        <w:t>The impacts of reducing default speed limits on default roads outside of built-up areas are complex to assess due to limitations in existing road safety datasets. In particular, there is no comprehensive data on vehicle-kilometres travelled or the proportion of fatal and serious injury crashes that occur on roads outside of built-up areas with default speed limits. Recognising this uncertainty, a scenario-based modelling approach was adopted for the analysis, supported by the best available evidence. While this scenario analysis provides a structured way of understanding the potential impacts of the proposed policy options on the Australian economy, it does not provide a definitive conclusion about its overall impacts.</w:t>
      </w:r>
    </w:p>
    <w:p w14:paraId="5A54E577" w14:textId="5636D141" w:rsidR="00404724" w:rsidRPr="00404724" w:rsidRDefault="00404724" w:rsidP="00404724">
      <w:r w:rsidRPr="00404724">
        <w:fldChar w:fldCharType="begin"/>
      </w:r>
      <w:r w:rsidRPr="00404724">
        <w:instrText xml:space="preserve"> REF _Ref208741405 \h  \* MERGEFORMAT </w:instrText>
      </w:r>
      <w:r w:rsidRPr="00404724">
        <w:fldChar w:fldCharType="separate"/>
      </w:r>
      <w:r w:rsidR="00BF489D" w:rsidRPr="00404724">
        <w:t xml:space="preserve">Figure </w:t>
      </w:r>
      <w:r w:rsidR="00BF489D">
        <w:rPr>
          <w:noProof/>
        </w:rPr>
        <w:t>15</w:t>
      </w:r>
      <w:r w:rsidRPr="00404724">
        <w:fldChar w:fldCharType="end"/>
      </w:r>
      <w:r w:rsidRPr="00404724">
        <w:t xml:space="preserve"> summarises the estimated NPVs and BCRs of the range of scenarios considered to be the most likely (the central case scenarios)</w:t>
      </w:r>
      <w:r w:rsidRPr="00404724">
        <w:rPr>
          <w:rStyle w:val="FootnoteReference"/>
        </w:rPr>
        <w:footnoteReference w:id="7"/>
      </w:r>
      <w:r w:rsidRPr="00404724">
        <w:t>. Overall, the modelling indicates that reductions in default speed limits are likely to deliver a net societal benefit under all central case scenarios examined. This conclusion holds across both sealed and unsealed roads, though the scale of benefits varies depending on the extent of the reduction.</w:t>
      </w:r>
    </w:p>
    <w:p w14:paraId="05F3E505" w14:textId="3FF9E734" w:rsidR="00404724" w:rsidRPr="00404724" w:rsidRDefault="00404724" w:rsidP="00404724">
      <w:r w:rsidRPr="00404724">
        <w:t xml:space="preserve">Typically, the decision rule to identify a preferred policy option in regulatory analysis is to select the option with the highest net benefit to society. However, given the uncertainty associated with the NPVs in </w:t>
      </w:r>
      <w:r w:rsidRPr="00404724">
        <w:fldChar w:fldCharType="begin"/>
      </w:r>
      <w:r w:rsidRPr="00404724">
        <w:instrText xml:space="preserve"> REF _Ref209774513 \h </w:instrText>
      </w:r>
      <w:r w:rsidRPr="00404724">
        <w:fldChar w:fldCharType="separate"/>
      </w:r>
      <w:r w:rsidR="00BF489D" w:rsidRPr="00404724">
        <w:t xml:space="preserve">Figure </w:t>
      </w:r>
      <w:r w:rsidR="00BF489D">
        <w:rPr>
          <w:noProof/>
        </w:rPr>
        <w:t>2</w:t>
      </w:r>
      <w:r w:rsidRPr="00404724">
        <w:fldChar w:fldCharType="end"/>
      </w:r>
      <w:r w:rsidRPr="00404724">
        <w:t>, it is reasonable to also consider the efficiency with which outcomes would be achieved under each option.</w:t>
      </w:r>
    </w:p>
    <w:p w14:paraId="78A59BAC" w14:textId="77777777" w:rsidR="00404724" w:rsidRPr="00404724" w:rsidRDefault="00404724" w:rsidP="004B0117">
      <w:pPr>
        <w:pStyle w:val="Listparagraphbullets"/>
      </w:pPr>
      <w:r w:rsidRPr="00404724">
        <w:t xml:space="preserve">A </w:t>
      </w:r>
      <w:r w:rsidRPr="00404724">
        <w:rPr>
          <w:b/>
          <w:bCs/>
        </w:rPr>
        <w:t>reduction to 70 km/h</w:t>
      </w:r>
      <w:r w:rsidRPr="00404724">
        <w:t xml:space="preserve"> generates the largest net benefits in absolute terms under the central assumptions. However, marginal costs rise more steeply than marginal benefits. For example, on sealed roads, compared to a reduction to 80 km/hr, decreasing the speed limit to 70 km/hr doubles the estimated benefits but triples the estimated costs.</w:t>
      </w:r>
    </w:p>
    <w:p w14:paraId="045211CB" w14:textId="77777777" w:rsidR="00404724" w:rsidRPr="00404724" w:rsidRDefault="00404724" w:rsidP="004B0117">
      <w:pPr>
        <w:pStyle w:val="Listparagraphbullets"/>
      </w:pPr>
      <w:r w:rsidRPr="00404724">
        <w:t xml:space="preserve">A </w:t>
      </w:r>
      <w:r w:rsidRPr="00404724">
        <w:rPr>
          <w:b/>
          <w:bCs/>
        </w:rPr>
        <w:t>reduction to 80 km/h</w:t>
      </w:r>
      <w:r w:rsidRPr="00404724">
        <w:t xml:space="preserve"> provides a more efficient outcome. Each dollar of cost is associated with an estimated $2.20 in benefits, compared with $1.50 under the 70 km/h scenario (on sealed roads). The scale of benefits is lower, but they are achieved at proportionately lower cost.</w:t>
      </w:r>
    </w:p>
    <w:p w14:paraId="5B815968" w14:textId="77777777" w:rsidR="00404724" w:rsidRPr="00404724" w:rsidRDefault="00404724" w:rsidP="00485648">
      <w:pPr>
        <w:pStyle w:val="Listparagraphbullets"/>
      </w:pPr>
      <w:r w:rsidRPr="00404724">
        <w:t>This highlights a trade-off between maximising absolute benefits (with 70 km/h) and achieving a more efficient balance of benefits and costs (with 80 km/h).</w:t>
      </w:r>
    </w:p>
    <w:p w14:paraId="0C4FE19F" w14:textId="45441F53" w:rsidR="00404724" w:rsidRPr="00404724" w:rsidRDefault="00404724" w:rsidP="003979C3">
      <w:pPr>
        <w:pStyle w:val="Tablefigureheading"/>
      </w:pPr>
      <w:bookmarkStart w:id="68" w:name="_Ref209774513"/>
      <w:bookmarkStart w:id="69" w:name="_Toc210040344"/>
      <w:bookmarkStart w:id="70" w:name="_Toc210051880"/>
      <w:r w:rsidRPr="00404724">
        <w:lastRenderedPageBreak/>
        <w:t xml:space="preserve">Figure </w:t>
      </w:r>
      <w:r w:rsidR="00EC39D5">
        <w:fldChar w:fldCharType="begin"/>
      </w:r>
      <w:r w:rsidR="00EC39D5">
        <w:instrText xml:space="preserve"> SEQ Figure \* ARABIC </w:instrText>
      </w:r>
      <w:r w:rsidR="00EC39D5">
        <w:fldChar w:fldCharType="separate"/>
      </w:r>
      <w:r w:rsidR="00BF489D">
        <w:rPr>
          <w:noProof/>
        </w:rPr>
        <w:t>2</w:t>
      </w:r>
      <w:r w:rsidR="00EC39D5">
        <w:rPr>
          <w:noProof/>
        </w:rPr>
        <w:fldChar w:fldCharType="end"/>
      </w:r>
      <w:bookmarkEnd w:id="68"/>
      <w:r w:rsidRPr="00404724">
        <w:tab/>
        <w:t>Potential impact of the proposed policy options under different scenarios</w:t>
      </w:r>
      <w:bookmarkEnd w:id="69"/>
      <w:bookmarkEnd w:id="70"/>
    </w:p>
    <w:tbl>
      <w:tblPr>
        <w:tblStyle w:val="aacTablenolines"/>
        <w:tblW w:w="5000" w:type="pct"/>
        <w:tblLayout w:type="fixed"/>
        <w:tblLook w:val="04A0" w:firstRow="1" w:lastRow="0" w:firstColumn="1" w:lastColumn="0" w:noHBand="0" w:noVBand="1"/>
      </w:tblPr>
      <w:tblGrid>
        <w:gridCol w:w="5648"/>
        <w:gridCol w:w="4216"/>
      </w:tblGrid>
      <w:tr w:rsidR="00404724" w:rsidRPr="00404724" w14:paraId="4D42E4FF" w14:textId="77777777" w:rsidTr="00846F1D">
        <w:trPr>
          <w:cantSplit/>
        </w:trPr>
        <w:tc>
          <w:tcPr>
            <w:tcW w:w="5648" w:type="dxa"/>
          </w:tcPr>
          <w:p w14:paraId="6F8F4762" w14:textId="77777777" w:rsidR="00404724" w:rsidRPr="00404724" w:rsidRDefault="00404724" w:rsidP="00846F1D">
            <w:pPr>
              <w:pStyle w:val="Figure"/>
              <w:keepNext w:val="0"/>
              <w:jc w:val="center"/>
              <w:rPr>
                <w:b/>
                <w:bCs/>
                <w:noProof/>
              </w:rPr>
            </w:pPr>
            <w:r w:rsidRPr="00404724">
              <w:rPr>
                <w:b/>
                <w:bCs/>
                <w:noProof/>
              </w:rPr>
              <w:t>Sealed roads</w:t>
            </w:r>
          </w:p>
          <w:p w14:paraId="66B26466" w14:textId="77777777" w:rsidR="00404724" w:rsidRPr="00404724" w:rsidRDefault="00404724" w:rsidP="00846F1D">
            <w:pPr>
              <w:pStyle w:val="Figure"/>
              <w:keepNext w:val="0"/>
              <w:jc w:val="center"/>
            </w:pPr>
            <w:r w:rsidRPr="00404724">
              <w:rPr>
                <w:noProof/>
              </w:rPr>
              <w:drawing>
                <wp:inline distT="0" distB="0" distL="0" distR="0" wp14:anchorId="4A040A3B" wp14:editId="180956B9">
                  <wp:extent cx="3586480" cy="2254250"/>
                  <wp:effectExtent l="0" t="0" r="0" b="0"/>
                  <wp:docPr id="1247273529" name="Picture 2" descr="This chart shows a 3x3 matrix/grid showing the Net Present Value and Benefit-Cost Ratio Analysis by Speed Reduction scenario and Road Scaling Assumptions for sealed roads. &#10;High assumptions row: NPV ranges from $678.7m (90km/h) to $1,859.6m (70km/h); BCR ranges from 2.4 to 1.7&#10;Middle assumptions row (highlighted with dashed border): NPV ranges from $1,348.7m (90km/h) to $3,210.3m (70km/h); BCR ranges from 2.2 to 1.5&#10;Low assumptions row: NPV ranges from $1,759.7m (90km/h) to $3,505.5m (70km/h); BCR ranges from 1.9 t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67720" name="Picture 2" descr="This chart shows a 3x3 matrix/grid showing the Net Present Value and Benefit-Cost Ratio Analysis by Speed Reduction scenario and Road Scaling Assumptions for sealed roads. &#10;High assumptions row: NPV ranges from $678.7m (90km/h) to $1,859.6m (70km/h); BCR ranges from 2.4 to 1.7&#10;Middle assumptions row (highlighted with dashed border): NPV ranges from $1,348.7m (90km/h) to $3,210.3m (70km/h); BCR ranges from 2.2 to 1.5&#10;Low assumptions row: NPV ranges from $1,759.7m (90km/h) to $3,505.5m (70km/h); BCR ranges from 1.9 to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86480" cy="2254250"/>
                          </a:xfrm>
                          <a:prstGeom prst="rect">
                            <a:avLst/>
                          </a:prstGeom>
                        </pic:spPr>
                      </pic:pic>
                    </a:graphicData>
                  </a:graphic>
                </wp:inline>
              </w:drawing>
            </w:r>
          </w:p>
        </w:tc>
        <w:tc>
          <w:tcPr>
            <w:tcW w:w="4216" w:type="dxa"/>
          </w:tcPr>
          <w:p w14:paraId="64C2892D" w14:textId="77777777" w:rsidR="00404724" w:rsidRPr="00404724" w:rsidRDefault="00404724" w:rsidP="00846F1D">
            <w:pPr>
              <w:pStyle w:val="Figure"/>
              <w:keepNext w:val="0"/>
              <w:jc w:val="center"/>
              <w:rPr>
                <w:b/>
                <w:bCs/>
                <w:noProof/>
              </w:rPr>
            </w:pPr>
            <w:r w:rsidRPr="00404724">
              <w:rPr>
                <w:b/>
                <w:bCs/>
                <w:noProof/>
              </w:rPr>
              <w:t>Unsealed roads</w:t>
            </w:r>
          </w:p>
          <w:p w14:paraId="16156150" w14:textId="77777777" w:rsidR="00404724" w:rsidRPr="00404724" w:rsidRDefault="00404724" w:rsidP="00846F1D">
            <w:pPr>
              <w:pStyle w:val="Figure"/>
              <w:keepNext w:val="0"/>
              <w:jc w:val="center"/>
            </w:pPr>
            <w:r w:rsidRPr="00404724">
              <w:rPr>
                <w:noProof/>
              </w:rPr>
              <w:drawing>
                <wp:inline distT="0" distB="0" distL="0" distR="0" wp14:anchorId="3950B027" wp14:editId="6782A3CE">
                  <wp:extent cx="2677160" cy="2211705"/>
                  <wp:effectExtent l="0" t="0" r="0" b="0"/>
                  <wp:docPr id="780876990" name="Picture 3" descr="This chart shows a 3x2 matrix/grid showing the Net Present Value and Benefit-Cost Ratio Analysis by Speed Reduction scenario and Road Scaling Assumptions for unsealed roads. &#10;Upper assumptions row: $320.3m NPV/1.1 BCR (80km/h), -$214.8m NPV/0.96 BCR (70km/h)&#10;Middle assumptions row (highlighted with dashed border): $1,340.4m NPV/2.2 BCR (80km/h), $2,367.5m NPV/1.9 BCR (70km/h)&#10;Lower assumptions row: $1,964.4m NPV/5.4 BCR (80km/h), $3,948.6m NPV/4.6 BCR (70k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19943" name="Picture 3" descr="This chart shows a 3x2 matrix/grid showing the Net Present Value and Benefit-Cost Ratio Analysis by Speed Reduction scenario and Road Scaling Assumptions for unsealed roads. &#10;Upper assumptions row: $320.3m NPV/1.1 BCR (80km/h), -$214.8m NPV/0.96 BCR (70km/h)&#10;Middle assumptions row (highlighted with dashed border): $1,340.4m NPV/2.2 BCR (80km/h), $2,367.5m NPV/1.9 BCR (70km/h)&#10;Lower assumptions row: $1,964.4m NPV/5.4 BCR (80km/h), $3,948.6m NPV/4.6 BCR (70km/h)"/>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7160" cy="2211705"/>
                          </a:xfrm>
                          <a:prstGeom prst="rect">
                            <a:avLst/>
                          </a:prstGeom>
                        </pic:spPr>
                      </pic:pic>
                    </a:graphicData>
                  </a:graphic>
                </wp:inline>
              </w:drawing>
            </w:r>
          </w:p>
        </w:tc>
      </w:tr>
    </w:tbl>
    <w:p w14:paraId="1A57E78D" w14:textId="77777777" w:rsidR="00404724" w:rsidRPr="00404724" w:rsidRDefault="00404724" w:rsidP="00404724">
      <w:r w:rsidRPr="00404724">
        <w:t>Notably, there are other considerations that are important when making a decision about the proposed speed limit reductions, including:</w:t>
      </w:r>
    </w:p>
    <w:p w14:paraId="395AC8B1" w14:textId="77777777" w:rsidR="00404724" w:rsidRPr="00404724" w:rsidRDefault="00404724" w:rsidP="004B0117">
      <w:pPr>
        <w:pStyle w:val="Listparagraphbullets"/>
      </w:pPr>
      <w:r w:rsidRPr="00404724">
        <w:t>Compliance and behavioural responses – evidence suggests that not all drivers comply fully with default speed limits or adjust their speed proportionally to speed limit changes. This reduces the certainty of achieving modelled outcomes, particularly under larger reductions (to address this, we have used relatively conservative assumptions on speed change).</w:t>
      </w:r>
    </w:p>
    <w:p w14:paraId="6AD1F82E" w14:textId="77777777" w:rsidR="00404724" w:rsidRPr="00404724" w:rsidRDefault="00404724" w:rsidP="004B0117">
      <w:pPr>
        <w:pStyle w:val="Listparagraphbullets"/>
      </w:pPr>
      <w:r w:rsidRPr="00404724">
        <w:t>Stakeholder views – larger reductions are likely to face stronger community resistance. A large reduction to 70 km/h has few precedents.</w:t>
      </w:r>
    </w:p>
    <w:p w14:paraId="142ADA4D" w14:textId="77777777" w:rsidR="00404724" w:rsidRPr="00404724" w:rsidRDefault="00404724" w:rsidP="004B0117">
      <w:pPr>
        <w:pStyle w:val="Listparagraphbullets"/>
      </w:pPr>
      <w:r w:rsidRPr="00404724">
        <w:t>Implementation risks – lower speed limits impose additional travel time costs and may generate equity concerns for regional and remote communities with fewer transport alternatives.</w:t>
      </w:r>
    </w:p>
    <w:p w14:paraId="4B056A81" w14:textId="77777777" w:rsidR="00404724" w:rsidRPr="00404724" w:rsidRDefault="00404724" w:rsidP="004B0117">
      <w:pPr>
        <w:pStyle w:val="Listparagraphbullets"/>
      </w:pPr>
      <w:r w:rsidRPr="00404724">
        <w:t>Staged implementation – introducing an initial reduction to 80 km/h provides an opportunity to assess impacts and compliance before considering further reductions.</w:t>
      </w:r>
    </w:p>
    <w:p w14:paraId="29D3A8FD" w14:textId="77777777" w:rsidR="00404724" w:rsidRPr="00404724" w:rsidRDefault="00404724" w:rsidP="00485648">
      <w:pPr>
        <w:pStyle w:val="Listparagraphbullets"/>
      </w:pPr>
      <w:r w:rsidRPr="00404724">
        <w:t>The analysis above shows that there is a trade-off in considering a preferred option. Ultimately, decision-makers are best placed to weigh these factors, considering their potential impacts on different communities.</w:t>
      </w:r>
    </w:p>
    <w:p w14:paraId="3806A862" w14:textId="77777777" w:rsidR="00404724" w:rsidRPr="00404724" w:rsidRDefault="00404724" w:rsidP="00404724">
      <w:pPr>
        <w:pStyle w:val="BodyText"/>
      </w:pPr>
      <w:r w:rsidRPr="00404724">
        <w:t>Following consultation, the Decision RIA will recommend a preferred option to amend the Australian Road Rules. State and territory governments may consider alternate options that will deliver net benefits, as well as other jurisdictional considerations, when amending their road rules.</w:t>
      </w:r>
    </w:p>
    <w:p w14:paraId="72769376" w14:textId="77777777" w:rsidR="00404724" w:rsidRPr="00404724" w:rsidRDefault="00404724" w:rsidP="00404724">
      <w:pPr>
        <w:pStyle w:val="BodyText"/>
      </w:pPr>
      <w:r w:rsidRPr="00404724">
        <w:t>The figures in this report are estimates based on the best information available at the time of the analysis, and assumptions have been used where data was not available. The purpose of this Consultation RIA is to seek stakeholder feedback on a number of important questions to inform a future review of default speed limits outside of built-up areas in the Australian Road Rules. Some of these questions seek to gain more information that could be used in the Decision RIA to improve the estimates provided above.</w:t>
      </w:r>
    </w:p>
    <w:p w14:paraId="1DCE67B6" w14:textId="5D494CEE" w:rsidR="00C81666" w:rsidRPr="00404724" w:rsidRDefault="00F03CE7" w:rsidP="004B0117">
      <w:pPr>
        <w:pStyle w:val="Heading3"/>
      </w:pPr>
      <w:bookmarkStart w:id="71" w:name="_Toc210040293"/>
      <w:bookmarkStart w:id="72" w:name="_Toc210042530"/>
      <w:bookmarkStart w:id="73" w:name="_Toc210049163"/>
      <w:bookmarkStart w:id="74" w:name="_Toc210051603"/>
      <w:bookmarkStart w:id="75" w:name="_Toc210051684"/>
      <w:r w:rsidRPr="00404724">
        <w:t>Questions for stakeholders</w:t>
      </w:r>
      <w:bookmarkEnd w:id="71"/>
      <w:bookmarkEnd w:id="72"/>
      <w:bookmarkEnd w:id="73"/>
      <w:bookmarkEnd w:id="74"/>
      <w:bookmarkEnd w:id="75"/>
    </w:p>
    <w:p w14:paraId="229A1FF0" w14:textId="77777777" w:rsidR="00F03CE7" w:rsidRPr="00404724" w:rsidRDefault="00F03CE7" w:rsidP="00832A33">
      <w:pPr>
        <w:pStyle w:val="Listparagraphbullets"/>
      </w:pPr>
      <w:r w:rsidRPr="00404724">
        <w:t>Does the RIA adequately identify and define the problem?</w:t>
      </w:r>
    </w:p>
    <w:p w14:paraId="0DC80DF6" w14:textId="77777777" w:rsidR="00F03CE7" w:rsidRPr="00404724" w:rsidRDefault="00F03CE7" w:rsidP="00832A33">
      <w:pPr>
        <w:pStyle w:val="Listparagraphbullets"/>
      </w:pPr>
      <w:r w:rsidRPr="00404724">
        <w:t>Are there any other problems not considered by this RIA?</w:t>
      </w:r>
    </w:p>
    <w:p w14:paraId="4ECC4CB1" w14:textId="77777777" w:rsidR="00F03CE7" w:rsidRPr="00404724" w:rsidRDefault="00F03CE7" w:rsidP="00832A33">
      <w:pPr>
        <w:pStyle w:val="Listparagraphbullets"/>
      </w:pPr>
      <w:r w:rsidRPr="00404724">
        <w:t>Does the RIA establish a case for amending the default speed limits in the ARR?</w:t>
      </w:r>
    </w:p>
    <w:p w14:paraId="7215F917" w14:textId="77777777" w:rsidR="00F03CE7" w:rsidRPr="00404724" w:rsidRDefault="00F03CE7" w:rsidP="00832A33">
      <w:pPr>
        <w:pStyle w:val="Listparagraphbullets"/>
      </w:pPr>
      <w:r w:rsidRPr="00404724">
        <w:t>Does the RIA present clear, well differentiated options that can achieve the stated policy objective?</w:t>
      </w:r>
    </w:p>
    <w:p w14:paraId="5001E1CA" w14:textId="77777777" w:rsidR="00F03CE7" w:rsidRPr="00404724" w:rsidRDefault="00F03CE7" w:rsidP="00832A33">
      <w:pPr>
        <w:pStyle w:val="Listparagraphbullets"/>
      </w:pPr>
      <w:r w:rsidRPr="00404724">
        <w:t>Which of the options analysed have the ability to meet the stated objectives? How could these be enhanced?</w:t>
      </w:r>
    </w:p>
    <w:p w14:paraId="733FD4BA" w14:textId="77777777" w:rsidR="00F03CE7" w:rsidRPr="00404724" w:rsidRDefault="00F03CE7" w:rsidP="00832A33">
      <w:pPr>
        <w:pStyle w:val="Listparagraphbullets"/>
      </w:pPr>
      <w:r w:rsidRPr="00404724">
        <w:t xml:space="preserve">Are there any other feasible options to address the problems identified in the previous chapter that have not been assessed in the RIA and should be considered? </w:t>
      </w:r>
    </w:p>
    <w:p w14:paraId="72D0D54F" w14:textId="77777777" w:rsidR="00F03CE7" w:rsidRPr="00404724" w:rsidRDefault="00F03CE7" w:rsidP="00832A33">
      <w:pPr>
        <w:pStyle w:val="Listparagraphbullets"/>
      </w:pPr>
      <w:r w:rsidRPr="00404724">
        <w:t>Of the options discussed in this chapter which would be the most effective at achieving the stated objectives and why?</w:t>
      </w:r>
    </w:p>
    <w:p w14:paraId="50942DB6" w14:textId="77777777" w:rsidR="00F03CE7" w:rsidRPr="00404724" w:rsidRDefault="00F03CE7" w:rsidP="00832A33">
      <w:pPr>
        <w:pStyle w:val="Listparagraphbullets"/>
      </w:pPr>
      <w:r w:rsidRPr="00404724">
        <w:t>Which is your preferred option and why?</w:t>
      </w:r>
    </w:p>
    <w:p w14:paraId="5FAA7C40" w14:textId="77777777" w:rsidR="00F03CE7" w:rsidRPr="00404724" w:rsidRDefault="00F03CE7" w:rsidP="00832A33">
      <w:pPr>
        <w:pStyle w:val="Listparagraphbullets"/>
      </w:pPr>
      <w:r w:rsidRPr="00404724">
        <w:lastRenderedPageBreak/>
        <w:t>Are the objectives as expressed above appropriate?</w:t>
      </w:r>
    </w:p>
    <w:p w14:paraId="3B575143" w14:textId="77777777" w:rsidR="00F03CE7" w:rsidRPr="00404724" w:rsidRDefault="00F03CE7" w:rsidP="00832A33">
      <w:pPr>
        <w:pStyle w:val="Listparagraphbullets"/>
      </w:pPr>
      <w:r w:rsidRPr="00404724">
        <w:t>Are the lists of costs and benefits considered in this methodology sufficient to capture the costs and benefits of the proposed change?</w:t>
      </w:r>
    </w:p>
    <w:p w14:paraId="1FD55D2B" w14:textId="77777777" w:rsidR="00F03CE7" w:rsidRPr="00404724" w:rsidRDefault="00F03CE7" w:rsidP="00832A33">
      <w:pPr>
        <w:pStyle w:val="Listparagraphbullets"/>
      </w:pPr>
      <w:r w:rsidRPr="00404724">
        <w:t>Do the scenarios considered capture the full range of uncertainty about the costs and benefits of the policy?</w:t>
      </w:r>
    </w:p>
    <w:p w14:paraId="57640EB1" w14:textId="77777777" w:rsidR="00F03CE7" w:rsidRPr="00404724" w:rsidRDefault="00F03CE7" w:rsidP="00832A33">
      <w:pPr>
        <w:pStyle w:val="Listparagraphbullets"/>
      </w:pPr>
      <w:r w:rsidRPr="00404724">
        <w:t>Are there any additional data that ought to have been considered when constructing the baseline FSI, VKT, efficiency and fuel costs?</w:t>
      </w:r>
    </w:p>
    <w:p w14:paraId="34946E80" w14:textId="77777777" w:rsidR="00F03CE7" w:rsidRPr="00404724" w:rsidRDefault="00F03CE7" w:rsidP="00832A33">
      <w:pPr>
        <w:pStyle w:val="Listparagraphbullets"/>
      </w:pPr>
      <w:r w:rsidRPr="00404724">
        <w:t xml:space="preserve">Is the approach to measuring the impact of policy change appropriate? Where assumptions have been made, do you have any specific alternative assumptions that ought to have been considered? </w:t>
      </w:r>
    </w:p>
    <w:p w14:paraId="7D60F9FD" w14:textId="77777777" w:rsidR="00404724" w:rsidRPr="00404724" w:rsidRDefault="00404724" w:rsidP="00832A33">
      <w:pPr>
        <w:pStyle w:val="Listparagraphbullets"/>
      </w:pPr>
      <w:r w:rsidRPr="00404724">
        <w:t>Are there any additional regulatory burdens that have not been considered?</w:t>
      </w:r>
    </w:p>
    <w:p w14:paraId="0C635C6B" w14:textId="77777777" w:rsidR="00404724" w:rsidRPr="00404724" w:rsidRDefault="00404724" w:rsidP="00832A33">
      <w:pPr>
        <w:pStyle w:val="Listparagraphbullets"/>
      </w:pPr>
      <w:r w:rsidRPr="00404724">
        <w:t>Are there any additional impacts on competition that have not been considered?</w:t>
      </w:r>
    </w:p>
    <w:p w14:paraId="06105124" w14:textId="77777777" w:rsidR="00E3432A" w:rsidRPr="00404724" w:rsidRDefault="00E3432A" w:rsidP="00E3432A">
      <w:pPr>
        <w:suppressAutoHyphens w:val="0"/>
      </w:pPr>
      <w:r w:rsidRPr="00404724">
        <w:br w:type="page"/>
      </w:r>
    </w:p>
    <w:p w14:paraId="032B58B6" w14:textId="397162D5" w:rsidR="00482FEC" w:rsidRPr="00404724" w:rsidRDefault="004B0117" w:rsidP="004B0117">
      <w:pPr>
        <w:pStyle w:val="Heading2"/>
      </w:pPr>
      <w:bookmarkStart w:id="76" w:name="_Toc210040294"/>
      <w:bookmarkStart w:id="77" w:name="_Toc210042531"/>
      <w:bookmarkStart w:id="78" w:name="_Toc210049164"/>
      <w:bookmarkStart w:id="79" w:name="_Toc210051604"/>
      <w:bookmarkStart w:id="80" w:name="_Toc210051685"/>
      <w:r>
        <w:lastRenderedPageBreak/>
        <w:t>1.</w:t>
      </w:r>
      <w:r>
        <w:tab/>
      </w:r>
      <w:r w:rsidR="00482FEC" w:rsidRPr="00404724">
        <w:t>Introduction</w:t>
      </w:r>
      <w:bookmarkEnd w:id="4"/>
      <w:bookmarkEnd w:id="76"/>
      <w:bookmarkEnd w:id="77"/>
      <w:bookmarkEnd w:id="78"/>
      <w:bookmarkEnd w:id="79"/>
      <w:bookmarkEnd w:id="80"/>
    </w:p>
    <w:p w14:paraId="30F6F724" w14:textId="6ADB3CAA" w:rsidR="00482FEC" w:rsidRPr="00404724" w:rsidRDefault="004B0117" w:rsidP="004B0117">
      <w:pPr>
        <w:pStyle w:val="Heading3"/>
      </w:pPr>
      <w:bookmarkStart w:id="81" w:name="_Toc207785693"/>
      <w:bookmarkStart w:id="82" w:name="_Toc210040295"/>
      <w:bookmarkStart w:id="83" w:name="_Toc210042532"/>
      <w:bookmarkStart w:id="84" w:name="_Toc210049165"/>
      <w:bookmarkStart w:id="85" w:name="_Toc210051605"/>
      <w:bookmarkStart w:id="86" w:name="_Toc210051686"/>
      <w:r>
        <w:t>1.1</w:t>
      </w:r>
      <w:r>
        <w:tab/>
      </w:r>
      <w:r w:rsidR="00482FEC" w:rsidRPr="00404724">
        <w:t>Scope of this report</w:t>
      </w:r>
      <w:bookmarkEnd w:id="81"/>
      <w:bookmarkEnd w:id="82"/>
      <w:bookmarkEnd w:id="83"/>
      <w:bookmarkEnd w:id="84"/>
      <w:bookmarkEnd w:id="85"/>
      <w:bookmarkEnd w:id="86"/>
    </w:p>
    <w:p w14:paraId="59FDE213" w14:textId="0AA1DCF7" w:rsidR="005649B2" w:rsidRPr="00404724" w:rsidRDefault="00482FEC" w:rsidP="00482FEC">
      <w:r w:rsidRPr="00404724">
        <w:t xml:space="preserve">Speed limits in Australia are primarily set by state and territory governments, with the </w:t>
      </w:r>
      <w:hyperlink r:id="rId25" w:history="1">
        <w:r w:rsidRPr="00404724">
          <w:rPr>
            <w:rStyle w:val="Hyperlink"/>
          </w:rPr>
          <w:t>Australian Road Rules</w:t>
        </w:r>
      </w:hyperlink>
      <w:r w:rsidRPr="00404724">
        <w:t xml:space="preserve"> (ARR) serving as the foundational model legislation that provides national consistency across jurisdictions. The ARR establish a uniform system of default speed limits that apply on </w:t>
      </w:r>
      <w:r w:rsidR="00AB7E2F" w:rsidRPr="00404724">
        <w:t>roads where there is no sign-posted speed limit</w:t>
      </w:r>
      <w:r w:rsidRPr="00404724">
        <w:t xml:space="preserve">. In particular, Rule 25 of the ARR sets out the </w:t>
      </w:r>
      <w:r w:rsidR="00917F39" w:rsidRPr="00404724">
        <w:t>“</w:t>
      </w:r>
      <w:r w:rsidRPr="00404724">
        <w:t>speed-limit elsewhere</w:t>
      </w:r>
      <w:r w:rsidR="00917F39" w:rsidRPr="00404724">
        <w:t>”</w:t>
      </w:r>
      <w:r w:rsidRPr="00404724">
        <w:t xml:space="preserve"> provisions, which establish default speed limits when no speed limit signs are present. The default speed limits under the ARR include 50</w:t>
      </w:r>
      <w:r w:rsidR="0051413D" w:rsidRPr="00404724">
        <w:t> </w:t>
      </w:r>
      <w:r w:rsidR="00C82E00" w:rsidRPr="00404724">
        <w:t>km/h</w:t>
      </w:r>
      <w:r w:rsidRPr="00404724">
        <w:t xml:space="preserve"> in built-up areas, 100</w:t>
      </w:r>
      <w:r w:rsidR="00C82E00" w:rsidRPr="00404724">
        <w:t xml:space="preserve"> km/h</w:t>
      </w:r>
      <w:r w:rsidRPr="00404724">
        <w:t xml:space="preserve"> outside built-up areas, and various limits for specific zones like school areas (40</w:t>
      </w:r>
      <w:r w:rsidR="00C82E00" w:rsidRPr="00404724">
        <w:t xml:space="preserve"> km/h</w:t>
      </w:r>
      <w:r w:rsidRPr="00404724">
        <w:t>) and shared zones (10-30</w:t>
      </w:r>
      <w:r w:rsidR="00C82E00" w:rsidRPr="00404724">
        <w:t xml:space="preserve"> km/h</w:t>
      </w:r>
      <w:r w:rsidRPr="00404724">
        <w:t>).</w:t>
      </w:r>
    </w:p>
    <w:p w14:paraId="2F90C85F" w14:textId="443904C9" w:rsidR="005649B2" w:rsidRPr="00404724" w:rsidRDefault="005649B2" w:rsidP="005649B2">
      <w:pPr>
        <w:pStyle w:val="Box2Heading"/>
        <w:rPr>
          <w:lang w:val="en-AU"/>
        </w:rPr>
      </w:pPr>
      <w:r w:rsidRPr="00404724">
        <w:rPr>
          <w:lang w:val="en-AU"/>
        </w:rPr>
        <w:t xml:space="preserve">Built-up area, </w:t>
      </w:r>
      <w:r w:rsidRPr="00404724">
        <w:rPr>
          <w:i/>
          <w:iCs/>
          <w:lang w:val="en-AU"/>
        </w:rPr>
        <w:t>Australian Road Rules</w:t>
      </w:r>
      <w:r w:rsidRPr="00404724">
        <w:rPr>
          <w:lang w:val="en-AU"/>
        </w:rPr>
        <w:t xml:space="preserve"> definition:</w:t>
      </w:r>
    </w:p>
    <w:p w14:paraId="0AAE5E51" w14:textId="6248C788" w:rsidR="005649B2" w:rsidRPr="00404724" w:rsidRDefault="005649B2" w:rsidP="005649B2">
      <w:pPr>
        <w:pStyle w:val="Box2Text"/>
        <w:rPr>
          <w:lang w:val="en-AU"/>
        </w:rPr>
      </w:pPr>
      <w:r w:rsidRPr="00404724">
        <w:rPr>
          <w:b/>
          <w:bCs/>
          <w:i/>
          <w:iCs/>
          <w:lang w:val="en-AU"/>
        </w:rPr>
        <w:t>Built-up area</w:t>
      </w:r>
      <w:r w:rsidRPr="00404724">
        <w:rPr>
          <w:lang w:val="en-AU"/>
        </w:rPr>
        <w:t xml:space="preserve">, </w:t>
      </w:r>
      <w:r w:rsidRPr="00404724">
        <w:rPr>
          <w:i/>
          <w:iCs/>
          <w:lang w:val="en-AU"/>
        </w:rPr>
        <w:t xml:space="preserve">in relation to a length of road, means an area in which either of the following is present for a distance of at least 500 metres or, if the length of road is shorter than 500 metres, for the whole road: </w:t>
      </w:r>
      <w:r w:rsidRPr="00404724">
        <w:rPr>
          <w:i/>
          <w:iCs/>
          <w:lang w:val="en-AU"/>
        </w:rPr>
        <w:br/>
        <w:t xml:space="preserve">(a) buildings, not over 100 metres apart, on land next to the road; </w:t>
      </w:r>
      <w:r w:rsidRPr="00404724">
        <w:rPr>
          <w:i/>
          <w:iCs/>
          <w:lang w:val="en-AU"/>
        </w:rPr>
        <w:br/>
        <w:t>(b) street lights not over 100 metres apart.</w:t>
      </w:r>
    </w:p>
    <w:p w14:paraId="30D82822" w14:textId="7A3BC928" w:rsidR="00482FEC" w:rsidRPr="00404724" w:rsidRDefault="00482FEC" w:rsidP="00482FEC">
      <w:pPr>
        <w:pStyle w:val="Subtitle"/>
        <w:spacing w:before="240"/>
      </w:pPr>
      <w:r w:rsidRPr="00404724">
        <w:t xml:space="preserve">This RIA assesses proposed changes to default speed limits </w:t>
      </w:r>
      <w:r w:rsidR="00AB7E2F" w:rsidRPr="00404724">
        <w:t xml:space="preserve">on </w:t>
      </w:r>
      <w:r w:rsidRPr="00404724">
        <w:t>roads</w:t>
      </w:r>
      <w:r w:rsidR="005E4B70" w:rsidRPr="00404724">
        <w:t xml:space="preserve"> without a sign-posted speed limit</w:t>
      </w:r>
      <w:r w:rsidRPr="00404724">
        <w:t xml:space="preserve">. It does not propose, nor consider, changes to any </w:t>
      </w:r>
      <w:r w:rsidR="00AB7E2F" w:rsidRPr="00404724">
        <w:t xml:space="preserve">current </w:t>
      </w:r>
      <w:r w:rsidRPr="00404724">
        <w:t>sign</w:t>
      </w:r>
      <w:r w:rsidR="00AB7E2F" w:rsidRPr="00404724">
        <w:t>-post</w:t>
      </w:r>
      <w:r w:rsidRPr="00404724">
        <w:t>ed speed limits.</w:t>
      </w:r>
    </w:p>
    <w:p w14:paraId="6F885ADE" w14:textId="715018FB" w:rsidR="00482FEC" w:rsidRPr="00404724" w:rsidRDefault="00482FEC" w:rsidP="00482FEC">
      <w:r w:rsidRPr="00404724">
        <w:t xml:space="preserve">This Regulatory Impact </w:t>
      </w:r>
      <w:r w:rsidR="00AB7E2F" w:rsidRPr="00404724">
        <w:t xml:space="preserve">Analysis </w:t>
      </w:r>
      <w:r w:rsidRPr="00404724">
        <w:t xml:space="preserve">(RIA) assesses proposed changes to the model road rules regarding default speed limits (referred to throughout as the default) outside built-up areas. It does not propose, nor consider, changes to any </w:t>
      </w:r>
      <w:r w:rsidR="00AB7E2F" w:rsidRPr="00404724">
        <w:t xml:space="preserve">current </w:t>
      </w:r>
      <w:r w:rsidRPr="00404724">
        <w:t>sign</w:t>
      </w:r>
      <w:r w:rsidR="00AB7E2F" w:rsidRPr="00404724">
        <w:t>-post</w:t>
      </w:r>
      <w:r w:rsidRPr="00404724">
        <w:t xml:space="preserve">ed speed limits, such as those on main roads, highways or freeways. Typically, </w:t>
      </w:r>
      <w:r w:rsidR="005E4B70" w:rsidRPr="00404724">
        <w:t xml:space="preserve">default </w:t>
      </w:r>
      <w:r w:rsidRPr="00404724">
        <w:t>roads carry far less traffic than signed roads and have fewer safety features. Examples of these roads are shown in</w:t>
      </w:r>
      <w:r w:rsidR="000C25A5" w:rsidRPr="00404724">
        <w:t xml:space="preserve"> </w:t>
      </w:r>
      <w:r w:rsidR="000C25A5" w:rsidRPr="00404724">
        <w:fldChar w:fldCharType="begin"/>
      </w:r>
      <w:r w:rsidR="000C25A5" w:rsidRPr="00404724">
        <w:instrText xml:space="preserve"> REF _Ref208495724 \h </w:instrText>
      </w:r>
      <w:r w:rsidR="000C25A5" w:rsidRPr="00404724">
        <w:fldChar w:fldCharType="separate"/>
      </w:r>
      <w:r w:rsidR="00BF489D" w:rsidRPr="00404724">
        <w:t xml:space="preserve">Figure </w:t>
      </w:r>
      <w:r w:rsidR="00BF489D">
        <w:rPr>
          <w:noProof/>
        </w:rPr>
        <w:t>3</w:t>
      </w:r>
      <w:r w:rsidR="000C25A5" w:rsidRPr="00404724">
        <w:fldChar w:fldCharType="end"/>
      </w:r>
      <w:r w:rsidRPr="00404724">
        <w:t>.</w:t>
      </w:r>
    </w:p>
    <w:p w14:paraId="3AC8C40D" w14:textId="1CFFE984" w:rsidR="00482FEC" w:rsidRPr="00404724" w:rsidRDefault="000C25A5" w:rsidP="003979C3">
      <w:pPr>
        <w:pStyle w:val="Tablefigureheading"/>
      </w:pPr>
      <w:bookmarkStart w:id="87" w:name="_Ref208495724"/>
      <w:bookmarkStart w:id="88" w:name="_Toc210040345"/>
      <w:bookmarkStart w:id="89" w:name="_Toc210051881"/>
      <w:r w:rsidRPr="00404724">
        <w:t xml:space="preserve">Figure </w:t>
      </w:r>
      <w:r w:rsidR="00EC39D5">
        <w:fldChar w:fldCharType="begin"/>
      </w:r>
      <w:r w:rsidR="00EC39D5">
        <w:instrText xml:space="preserve"> SEQ Figure \* ARABIC </w:instrText>
      </w:r>
      <w:r w:rsidR="00EC39D5">
        <w:fldChar w:fldCharType="separate"/>
      </w:r>
      <w:r w:rsidR="00BF489D">
        <w:rPr>
          <w:noProof/>
        </w:rPr>
        <w:t>3</w:t>
      </w:r>
      <w:r w:rsidR="00EC39D5">
        <w:rPr>
          <w:noProof/>
        </w:rPr>
        <w:fldChar w:fldCharType="end"/>
      </w:r>
      <w:bookmarkEnd w:id="87"/>
      <w:r w:rsidR="00482FEC" w:rsidRPr="00404724">
        <w:tab/>
        <w:t xml:space="preserve">Examples of </w:t>
      </w:r>
      <w:r w:rsidR="00AB7E2F" w:rsidRPr="00404724">
        <w:t xml:space="preserve">default speed-limited </w:t>
      </w:r>
      <w:r w:rsidR="00482FEC" w:rsidRPr="00404724">
        <w:t xml:space="preserve">roads outside </w:t>
      </w:r>
      <w:r w:rsidR="004C7AC7" w:rsidRPr="00404724">
        <w:t xml:space="preserve">of </w:t>
      </w:r>
      <w:r w:rsidR="00482FEC" w:rsidRPr="00404724">
        <w:t>built-up areas</w:t>
      </w:r>
      <w:bookmarkEnd w:id="88"/>
      <w:bookmarkEnd w:id="89"/>
    </w:p>
    <w:tbl>
      <w:tblPr>
        <w:tblStyle w:val="aacTablenolines"/>
        <w:tblW w:w="5000" w:type="pct"/>
        <w:tblLayout w:type="fixed"/>
        <w:tblLook w:val="04A0" w:firstRow="1" w:lastRow="0" w:firstColumn="1" w:lastColumn="0" w:noHBand="0" w:noVBand="1"/>
        <w:tblCaption w:val="Figure 1"/>
        <w:tblDescription w:val="Examples of roads outside of built up areas"/>
      </w:tblPr>
      <w:tblGrid>
        <w:gridCol w:w="4932"/>
        <w:gridCol w:w="4932"/>
      </w:tblGrid>
      <w:tr w:rsidR="00482FEC" w:rsidRPr="00404724" w14:paraId="1FC5D17A" w14:textId="77777777" w:rsidTr="00BB5FCD">
        <w:trPr>
          <w:cantSplit/>
        </w:trPr>
        <w:tc>
          <w:tcPr>
            <w:tcW w:w="4932" w:type="dxa"/>
          </w:tcPr>
          <w:p w14:paraId="4315F1CD" w14:textId="77777777" w:rsidR="00482FEC" w:rsidRPr="00404724" w:rsidRDefault="00482FEC" w:rsidP="00BB5FCD">
            <w:pPr>
              <w:pStyle w:val="Figure"/>
              <w:jc w:val="center"/>
              <w:rPr>
                <w:rFonts w:asciiTheme="minorHAnsi" w:hAnsiTheme="minorHAnsi" w:cstheme="minorHAnsi"/>
                <w:b/>
                <w:bCs/>
                <w:sz w:val="22"/>
              </w:rPr>
            </w:pPr>
            <w:r w:rsidRPr="00404724">
              <w:rPr>
                <w:rFonts w:asciiTheme="minorHAnsi" w:hAnsiTheme="minorHAnsi" w:cstheme="minorHAnsi"/>
                <w:b/>
                <w:bCs/>
                <w:sz w:val="22"/>
              </w:rPr>
              <w:t>Drummond-Vaughan Rd Glenluce, Victoria</w:t>
            </w:r>
          </w:p>
        </w:tc>
        <w:tc>
          <w:tcPr>
            <w:tcW w:w="4932" w:type="dxa"/>
          </w:tcPr>
          <w:p w14:paraId="3BEA1F76" w14:textId="0FEB8317" w:rsidR="00482FEC" w:rsidRPr="00404724" w:rsidRDefault="00482FEC" w:rsidP="00BB5FCD">
            <w:pPr>
              <w:pStyle w:val="Figure"/>
              <w:jc w:val="center"/>
              <w:rPr>
                <w:rFonts w:asciiTheme="minorHAnsi" w:hAnsiTheme="minorHAnsi" w:cstheme="minorHAnsi"/>
                <w:b/>
                <w:bCs/>
                <w:sz w:val="22"/>
              </w:rPr>
            </w:pPr>
            <w:r w:rsidRPr="00404724">
              <w:rPr>
                <w:rFonts w:asciiTheme="minorHAnsi" w:hAnsiTheme="minorHAnsi" w:cstheme="minorHAnsi"/>
                <w:b/>
                <w:bCs/>
                <w:sz w:val="22"/>
              </w:rPr>
              <w:t xml:space="preserve">Wynyangoo/Wondinong Rd, Mount Magnet, </w:t>
            </w:r>
            <w:r w:rsidR="003B53E3">
              <w:rPr>
                <w:rFonts w:asciiTheme="minorHAnsi" w:hAnsiTheme="minorHAnsi" w:cstheme="minorHAnsi"/>
                <w:b/>
                <w:bCs/>
                <w:sz w:val="22"/>
              </w:rPr>
              <w:t>WA</w:t>
            </w:r>
          </w:p>
        </w:tc>
      </w:tr>
      <w:tr w:rsidR="00482FEC" w:rsidRPr="00404724" w14:paraId="5C52BDC0" w14:textId="77777777" w:rsidTr="00BB5FCD">
        <w:trPr>
          <w:cantSplit/>
        </w:trPr>
        <w:tc>
          <w:tcPr>
            <w:tcW w:w="4932" w:type="dxa"/>
          </w:tcPr>
          <w:p w14:paraId="03020679" w14:textId="2CDBECA3" w:rsidR="00482FEC" w:rsidRPr="00404724" w:rsidRDefault="000C25A5" w:rsidP="00BB5FCD">
            <w:pPr>
              <w:pStyle w:val="Figure"/>
              <w:jc w:val="center"/>
              <w:rPr>
                <w:rFonts w:asciiTheme="minorHAnsi" w:hAnsiTheme="minorHAnsi" w:cstheme="minorHAnsi"/>
                <w:b/>
                <w:bCs/>
                <w:sz w:val="22"/>
              </w:rPr>
            </w:pPr>
            <w:r w:rsidRPr="00404724">
              <w:rPr>
                <w:rFonts w:asciiTheme="minorHAnsi" w:hAnsiTheme="minorHAnsi" w:cstheme="minorHAnsi"/>
                <w:b/>
                <w:bCs/>
                <w:noProof/>
                <w:sz w:val="22"/>
              </w:rPr>
              <w:drawing>
                <wp:inline distT="0" distB="0" distL="0" distR="0" wp14:anchorId="0C120322" wp14:editId="10ECA531">
                  <wp:extent cx="3131820" cy="2096770"/>
                  <wp:effectExtent l="0" t="0" r="0" b="0"/>
                  <wp:docPr id="219758510" name="Picture 1" descr="Photo of Drummond-Vaughan Rd, Glenluce, Victoria - example of unsigned open road outside built-up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58510" name="Picture 1" descr="Photo of Drummond-Vaughan Rd, Glenluce, Victoria - example of unsigned open road outside built-up area"/>
                          <pic:cNvPicPr/>
                        </pic:nvPicPr>
                        <pic:blipFill>
                          <a:blip r:embed="rId26"/>
                          <a:stretch>
                            <a:fillRect/>
                          </a:stretch>
                        </pic:blipFill>
                        <pic:spPr>
                          <a:xfrm>
                            <a:off x="0" y="0"/>
                            <a:ext cx="3147002" cy="2106934"/>
                          </a:xfrm>
                          <a:prstGeom prst="rect">
                            <a:avLst/>
                          </a:prstGeom>
                        </pic:spPr>
                      </pic:pic>
                    </a:graphicData>
                  </a:graphic>
                </wp:inline>
              </w:drawing>
            </w:r>
          </w:p>
        </w:tc>
        <w:tc>
          <w:tcPr>
            <w:tcW w:w="4932" w:type="dxa"/>
          </w:tcPr>
          <w:p w14:paraId="7FBEF891" w14:textId="5A4EDECD" w:rsidR="00482FEC" w:rsidRPr="00404724" w:rsidRDefault="000C25A5" w:rsidP="00BB5FCD">
            <w:pPr>
              <w:pStyle w:val="Figure"/>
              <w:jc w:val="center"/>
              <w:rPr>
                <w:rFonts w:asciiTheme="minorHAnsi" w:hAnsiTheme="minorHAnsi" w:cstheme="minorHAnsi"/>
                <w:sz w:val="22"/>
              </w:rPr>
            </w:pPr>
            <w:r w:rsidRPr="00404724">
              <w:rPr>
                <w:rFonts w:asciiTheme="minorHAnsi" w:hAnsiTheme="minorHAnsi" w:cstheme="minorHAnsi"/>
                <w:noProof/>
                <w:sz w:val="22"/>
              </w:rPr>
              <w:drawing>
                <wp:inline distT="0" distB="0" distL="0" distR="0" wp14:anchorId="1EC65097" wp14:editId="6BC53D8C">
                  <wp:extent cx="3131820" cy="2098040"/>
                  <wp:effectExtent l="0" t="0" r="0" b="0"/>
                  <wp:docPr id="850040546" name="Picture 1" descr="Photo of Wynyangoo/Wondinong Rd, Mt Magnet - example of unsigned open road outside built-up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40546" name="Picture 1" descr="Photo of Wynyangoo/Wondinong Rd, Mt Magnet - example of unsigned open road outside built-up area"/>
                          <pic:cNvPicPr/>
                        </pic:nvPicPr>
                        <pic:blipFill>
                          <a:blip r:embed="rId27"/>
                          <a:stretch>
                            <a:fillRect/>
                          </a:stretch>
                        </pic:blipFill>
                        <pic:spPr>
                          <a:xfrm>
                            <a:off x="0" y="0"/>
                            <a:ext cx="3131820" cy="2098040"/>
                          </a:xfrm>
                          <a:prstGeom prst="rect">
                            <a:avLst/>
                          </a:prstGeom>
                        </pic:spPr>
                      </pic:pic>
                    </a:graphicData>
                  </a:graphic>
                </wp:inline>
              </w:drawing>
            </w:r>
          </w:p>
        </w:tc>
      </w:tr>
      <w:tr w:rsidR="00482FEC" w:rsidRPr="00404724" w14:paraId="3D4D0FAA" w14:textId="77777777" w:rsidTr="00BB5FCD">
        <w:trPr>
          <w:cantSplit/>
        </w:trPr>
        <w:tc>
          <w:tcPr>
            <w:tcW w:w="9864" w:type="dxa"/>
            <w:gridSpan w:val="2"/>
            <w:tcMar>
              <w:top w:w="12" w:type="dxa"/>
              <w:bottom w:w="113" w:type="dxa"/>
            </w:tcMar>
          </w:tcPr>
          <w:p w14:paraId="6D464EE1" w14:textId="77777777" w:rsidR="00482FEC" w:rsidRPr="00404724" w:rsidRDefault="00482FEC" w:rsidP="00BB5FCD">
            <w:pPr>
              <w:pStyle w:val="Sourcenotes"/>
              <w:rPr>
                <w:lang w:val="en-AU"/>
              </w:rPr>
            </w:pPr>
            <w:r w:rsidRPr="00404724">
              <w:rPr>
                <w:lang w:val="en-AU"/>
              </w:rPr>
              <w:t>Source: Maps data: Google, ©2025</w:t>
            </w:r>
          </w:p>
        </w:tc>
      </w:tr>
    </w:tbl>
    <w:p w14:paraId="505EC566" w14:textId="7F9410D9" w:rsidR="00482FEC" w:rsidRPr="00404724" w:rsidRDefault="007039A8" w:rsidP="007039A8">
      <w:pPr>
        <w:pStyle w:val="Heading3"/>
      </w:pPr>
      <w:bookmarkStart w:id="90" w:name="_Toc210040296"/>
      <w:bookmarkStart w:id="91" w:name="_Toc210042533"/>
      <w:bookmarkStart w:id="92" w:name="_Toc210049166"/>
      <w:bookmarkStart w:id="93" w:name="_Toc210051606"/>
      <w:bookmarkStart w:id="94" w:name="_Toc210051687"/>
      <w:r>
        <w:lastRenderedPageBreak/>
        <w:t>1.2</w:t>
      </w:r>
      <w:r>
        <w:tab/>
      </w:r>
      <w:r w:rsidR="00482FEC" w:rsidRPr="00404724">
        <w:t>Background</w:t>
      </w:r>
      <w:bookmarkEnd w:id="90"/>
      <w:bookmarkEnd w:id="91"/>
      <w:bookmarkEnd w:id="92"/>
      <w:bookmarkEnd w:id="93"/>
      <w:bookmarkEnd w:id="94"/>
    </w:p>
    <w:p w14:paraId="5EC7AF52" w14:textId="1C44B67E" w:rsidR="00482FEC" w:rsidRPr="00404724" w:rsidRDefault="00482FEC" w:rsidP="00482FEC">
      <w:r w:rsidRPr="00404724">
        <w:t xml:space="preserve">In May 2021, the Australian Government and all state and territory governments agreed to the National Road Safety Strategy 2021-30 (the Strategy). The Strategy was developed by the Office of Road Safety in collaboration with state and territory road and transport agencies, and the Australian Local Government Association (ALGA), along with the </w:t>
      </w:r>
      <w:r w:rsidR="00C4043C" w:rsidRPr="00404724">
        <w:t xml:space="preserve">Australia New Zealand Policing Advisory Agency </w:t>
      </w:r>
      <w:r w:rsidRPr="00404724">
        <w:t>(ANZPAA), the National Heavy Vehicle Regulator (NHVR), the National Transport Commission (NTC) and Austroads.</w:t>
      </w:r>
    </w:p>
    <w:p w14:paraId="2D9DD1C1" w14:textId="7BEA0276" w:rsidR="00482FEC" w:rsidRPr="00404724" w:rsidRDefault="00482FEC" w:rsidP="00482FEC">
      <w:r w:rsidRPr="00404724">
        <w:t>The Strategy sets out the collective ambition of governments to improve road safety</w:t>
      </w:r>
      <w:r w:rsidR="00E83856" w:rsidRPr="00404724">
        <w:t xml:space="preserve"> through</w:t>
      </w:r>
      <w:r w:rsidRPr="00404724">
        <w:t xml:space="preserve"> key priorities for action, </w:t>
      </w:r>
      <w:r w:rsidR="00E83856" w:rsidRPr="00404724">
        <w:t xml:space="preserve">in pursuit of </w:t>
      </w:r>
      <w:r w:rsidRPr="00404724">
        <w:t>road trauma reduction targets. Notably, this includes a reduction in road fatalities of 50% and a reduction of serious injuries by 30% by 2030, with a long-term goal of zero by 2050 (</w:t>
      </w:r>
      <w:r w:rsidR="000C25A5" w:rsidRPr="00404724">
        <w:fldChar w:fldCharType="begin"/>
      </w:r>
      <w:r w:rsidR="000C25A5" w:rsidRPr="00404724">
        <w:instrText xml:space="preserve"> REF _Ref208495752 \h </w:instrText>
      </w:r>
      <w:r w:rsidR="000C25A5" w:rsidRPr="00404724">
        <w:fldChar w:fldCharType="separate"/>
      </w:r>
      <w:r w:rsidR="00BF489D" w:rsidRPr="00404724">
        <w:t xml:space="preserve">Figure </w:t>
      </w:r>
      <w:r w:rsidR="00BF489D">
        <w:rPr>
          <w:noProof/>
        </w:rPr>
        <w:t>4</w:t>
      </w:r>
      <w:r w:rsidR="000C25A5" w:rsidRPr="00404724">
        <w:fldChar w:fldCharType="end"/>
      </w:r>
      <w:r w:rsidRPr="00404724">
        <w:t>).</w:t>
      </w:r>
    </w:p>
    <w:p w14:paraId="1A84A159" w14:textId="77777777" w:rsidR="00482FEC" w:rsidRPr="00404724" w:rsidRDefault="00482FEC" w:rsidP="00482FEC">
      <w:r w:rsidRPr="00404724">
        <w:t>The Strategy identified speed management as a critical factor in managing the risk of road death and injuries.</w:t>
      </w:r>
    </w:p>
    <w:p w14:paraId="6D2E8AB4" w14:textId="55A826CD" w:rsidR="00482FEC" w:rsidRPr="00404724" w:rsidRDefault="000C25A5" w:rsidP="003979C3">
      <w:pPr>
        <w:pStyle w:val="Tablefigureheading"/>
      </w:pPr>
      <w:bookmarkStart w:id="95" w:name="_Ref208495752"/>
      <w:bookmarkStart w:id="96" w:name="_Toc210040346"/>
      <w:bookmarkStart w:id="97" w:name="_Toc210051882"/>
      <w:r w:rsidRPr="00404724">
        <w:t xml:space="preserve">Figure </w:t>
      </w:r>
      <w:r w:rsidR="00EC39D5">
        <w:fldChar w:fldCharType="begin"/>
      </w:r>
      <w:r w:rsidR="00EC39D5">
        <w:instrText xml:space="preserve"> SEQ Figure \* ARABIC </w:instrText>
      </w:r>
      <w:r w:rsidR="00EC39D5">
        <w:fldChar w:fldCharType="separate"/>
      </w:r>
      <w:r w:rsidR="00BF489D">
        <w:rPr>
          <w:noProof/>
        </w:rPr>
        <w:t>4</w:t>
      </w:r>
      <w:r w:rsidR="00EC39D5">
        <w:rPr>
          <w:noProof/>
        </w:rPr>
        <w:fldChar w:fldCharType="end"/>
      </w:r>
      <w:bookmarkEnd w:id="95"/>
      <w:r w:rsidR="00482FEC" w:rsidRPr="00404724">
        <w:tab/>
        <w:t>National Road Safety Strategy 2021-30, Targets for 2030</w:t>
      </w:r>
      <w:bookmarkEnd w:id="96"/>
      <w:bookmarkEnd w:id="97"/>
    </w:p>
    <w:p w14:paraId="2D8BFE26" w14:textId="77777777" w:rsidR="00482FEC" w:rsidRPr="00404724" w:rsidRDefault="00482FEC" w:rsidP="00482FEC">
      <w:r w:rsidRPr="00404724">
        <w:rPr>
          <w:noProof/>
        </w:rPr>
        <w:drawing>
          <wp:inline distT="0" distB="0" distL="0" distR="0" wp14:anchorId="0B115D99" wp14:editId="18DBC1E5">
            <wp:extent cx="5502910" cy="3136265"/>
            <wp:effectExtent l="0" t="0" r="2540" b="6985"/>
            <wp:docPr id="408282848" name="Picture 45" descr="National Road Safety Strategy 2021-30, Targets for 2030: Fatalities reduced by 50% (an approximate reduction in rate per capita of 55%) and serious injuries reduced by 30% (an approximate reduction in rate per capita of 38%). Long-term goal: zero fatalities by 2050 and zero serious injuries by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82848" name="Picture 45" descr="National Road Safety Strategy 2021-30, Targets for 2030: Fatalities reduced by 50% (an approximate reduction in rate per capita of 55%) and serious injuries reduced by 30% (an approximate reduction in rate per capita of 38%). Long-term goal: zero fatalities by 2050 and zero serious injuries by 205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02910" cy="3136265"/>
                    </a:xfrm>
                    <a:prstGeom prst="rect">
                      <a:avLst/>
                    </a:prstGeom>
                  </pic:spPr>
                </pic:pic>
              </a:graphicData>
            </a:graphic>
          </wp:inline>
        </w:drawing>
      </w:r>
    </w:p>
    <w:p w14:paraId="6EA1BADD" w14:textId="77777777" w:rsidR="00482FEC" w:rsidRPr="00404724" w:rsidRDefault="00482FEC" w:rsidP="00482FEC">
      <w:pPr>
        <w:pStyle w:val="Sourcenotes"/>
        <w:rPr>
          <w:lang w:val="en-AU"/>
        </w:rPr>
      </w:pPr>
      <w:r w:rsidRPr="00404724">
        <w:rPr>
          <w:lang w:val="en-AU"/>
        </w:rPr>
        <w:t>Source: Infrastructure and transport ministers (2021) Page 9, National Road Safety Strategy 2021-30</w:t>
      </w:r>
    </w:p>
    <w:p w14:paraId="4D8A9FEE" w14:textId="5EC86646" w:rsidR="00482FEC" w:rsidRPr="00404724" w:rsidRDefault="00482FEC" w:rsidP="006D5D05">
      <w:pPr>
        <w:spacing w:after="240"/>
      </w:pPr>
      <w:r w:rsidRPr="00404724">
        <w:t xml:space="preserve">To support their outcomes under the Strategy, the Infrastructure and Transport Ministers launched the National Road Safety Action Plan 2023–25 (the Action Plan) which detailed the actions each government would take to contribute to the 2030 goal. Among them, was a commitment by the </w:t>
      </w:r>
      <w:r w:rsidR="009A4BC5" w:rsidRPr="00404724">
        <w:t>Australian Government</w:t>
      </w:r>
      <w:r w:rsidRPr="00404724">
        <w:t xml:space="preserve">, through the Department of Infrastructure, Transport, Regional Development, Communications, </w:t>
      </w:r>
      <w:r w:rsidR="002A67A6" w:rsidRPr="00404724">
        <w:t xml:space="preserve">Sport </w:t>
      </w:r>
      <w:r w:rsidRPr="00404724">
        <w:t>and the Arts (the Department) to:</w:t>
      </w:r>
    </w:p>
    <w:p w14:paraId="5A2639D0" w14:textId="77777777" w:rsidR="00482FEC" w:rsidRPr="00404724" w:rsidRDefault="00482FEC" w:rsidP="00482FEC">
      <w:pPr>
        <w:pStyle w:val="Quote"/>
      </w:pPr>
      <w:r w:rsidRPr="00404724">
        <w:t>Co-ordinate a review of the Australian Road Rules and development of a Regulatory Impact Statement (RIS) on reducing the open road default speed limit in consultation with state and territory governments, including police, and local government.</w:t>
      </w:r>
    </w:p>
    <w:p w14:paraId="0784BDED" w14:textId="77777777" w:rsidR="00482FEC" w:rsidRPr="00404724" w:rsidRDefault="00482FEC" w:rsidP="00482FEC">
      <w:pPr>
        <w:pStyle w:val="Quote"/>
      </w:pPr>
      <w:r w:rsidRPr="00404724">
        <w:t>Page 14, National Road Safety Action Plan 2023–25</w:t>
      </w:r>
    </w:p>
    <w:p w14:paraId="0A76ED04" w14:textId="190C6362" w:rsidR="00482FEC" w:rsidRPr="00404724" w:rsidRDefault="00482FEC" w:rsidP="006D5D05">
      <w:pPr>
        <w:spacing w:before="360"/>
      </w:pPr>
      <w:r w:rsidRPr="00404724">
        <w:t xml:space="preserve">As part of this process, the Department engaged ACIL Allen and the Monash University Accident Research Centre (MUARC) to develop a Regulatory Impact Analysis (RIA) for proposed reductions in default speed limits for roads outside built-up areas. </w:t>
      </w:r>
    </w:p>
    <w:p w14:paraId="0F6F639C" w14:textId="4F6EE3BA" w:rsidR="00482FEC" w:rsidRPr="00404724" w:rsidRDefault="007039A8" w:rsidP="007039A8">
      <w:pPr>
        <w:pStyle w:val="Heading3"/>
      </w:pPr>
      <w:bookmarkStart w:id="98" w:name="_Ref208496576"/>
      <w:bookmarkStart w:id="99" w:name="_Toc210040297"/>
      <w:bookmarkStart w:id="100" w:name="_Toc210042534"/>
      <w:bookmarkStart w:id="101" w:name="_Toc210049167"/>
      <w:bookmarkStart w:id="102" w:name="_Toc210051607"/>
      <w:bookmarkStart w:id="103" w:name="_Toc210051688"/>
      <w:r>
        <w:lastRenderedPageBreak/>
        <w:t>1.3</w:t>
      </w:r>
      <w:r>
        <w:tab/>
      </w:r>
      <w:r w:rsidR="00482FEC" w:rsidRPr="00404724">
        <w:t>RIA requirements</w:t>
      </w:r>
      <w:bookmarkEnd w:id="98"/>
      <w:bookmarkEnd w:id="99"/>
      <w:bookmarkEnd w:id="100"/>
      <w:bookmarkEnd w:id="101"/>
      <w:bookmarkEnd w:id="102"/>
      <w:bookmarkEnd w:id="103"/>
    </w:p>
    <w:p w14:paraId="3F4D1124" w14:textId="0B4D761B" w:rsidR="00482FEC" w:rsidRPr="00404724" w:rsidRDefault="00482FEC" w:rsidP="00482FEC">
      <w:pPr>
        <w:pStyle w:val="BodyText"/>
      </w:pPr>
      <w:r w:rsidRPr="00404724">
        <w:t xml:space="preserve">This RIA has been developed in accordance with the best practice regulatory principles administered by the Office of Impact </w:t>
      </w:r>
      <w:r w:rsidR="009A4BC5" w:rsidRPr="00404724">
        <w:t xml:space="preserve">Analysis </w:t>
      </w:r>
      <w:r w:rsidRPr="00404724">
        <w:t xml:space="preserve">(OIA) and set out in the </w:t>
      </w:r>
      <w:r w:rsidRPr="00404724">
        <w:rPr>
          <w:i/>
          <w:iCs/>
        </w:rPr>
        <w:t xml:space="preserve">Regulatory Impact Analysis Guide For Ministers’ Meetings and National Standard Setting Bodies </w:t>
      </w:r>
      <w:r w:rsidRPr="00404724">
        <w:t>(referred to as the RIA Guidelines or OIA Guidelines).</w:t>
      </w:r>
      <w:r w:rsidRPr="00404724">
        <w:rPr>
          <w:rStyle w:val="FootnoteReference"/>
        </w:rPr>
        <w:footnoteReference w:id="8"/>
      </w:r>
      <w:r w:rsidRPr="00404724">
        <w:t xml:space="preserve"> </w:t>
      </w:r>
    </w:p>
    <w:p w14:paraId="0A977822" w14:textId="49087946" w:rsidR="00482FEC" w:rsidRPr="00404724" w:rsidRDefault="00482FEC" w:rsidP="00482FEC">
      <w:pPr>
        <w:pStyle w:val="BodyText"/>
        <w:keepNext/>
      </w:pPr>
      <w:r w:rsidRPr="00404724">
        <w:t xml:space="preserve">The RIA is developed in </w:t>
      </w:r>
      <w:r w:rsidR="0002045B" w:rsidRPr="00404724">
        <w:t xml:space="preserve">2 </w:t>
      </w:r>
      <w:r w:rsidRPr="00404724">
        <w:t>stages:</w:t>
      </w:r>
    </w:p>
    <w:p w14:paraId="785BE599" w14:textId="77777777" w:rsidR="007039A8" w:rsidRDefault="00482FEC" w:rsidP="004F2C7A">
      <w:pPr>
        <w:pStyle w:val="ListParagraph"/>
        <w:numPr>
          <w:ilvl w:val="6"/>
          <w:numId w:val="13"/>
        </w:numPr>
        <w:ind w:left="567" w:hanging="567"/>
      </w:pPr>
      <w:r w:rsidRPr="00404724">
        <w:t>a C</w:t>
      </w:r>
      <w:r w:rsidRPr="007039A8">
        <w:t>onsultation RIA (CRIA) for the purpose of consulting with interested stakeholders (this report)</w:t>
      </w:r>
    </w:p>
    <w:p w14:paraId="438F3390" w14:textId="2C9F5A67" w:rsidR="00482FEC" w:rsidRPr="00404724" w:rsidRDefault="00482FEC" w:rsidP="004F2C7A">
      <w:pPr>
        <w:pStyle w:val="ListParagraph"/>
        <w:numPr>
          <w:ilvl w:val="6"/>
          <w:numId w:val="13"/>
        </w:numPr>
        <w:ind w:left="567" w:hanging="567"/>
      </w:pPr>
      <w:r w:rsidRPr="007039A8">
        <w:t>a Decision RIA (DRIA) incorporating relevant information and data gathered through the consultation proces</w:t>
      </w:r>
      <w:r w:rsidRPr="00404724">
        <w:t>s with interested stakeholders. The DRIA is used by decision makers as an input into its decision on the matter that is the subject of the RIA.</w:t>
      </w:r>
    </w:p>
    <w:p w14:paraId="67BA003D" w14:textId="77777777" w:rsidR="00482FEC" w:rsidRPr="00404724" w:rsidRDefault="00482FEC" w:rsidP="00482FEC">
      <w:pPr>
        <w:pStyle w:val="BodyText"/>
      </w:pPr>
      <w:r w:rsidRPr="00404724">
        <w:t>The RIA guidelines state that there are 7 RIA questions that must be answered in each RIA:</w:t>
      </w:r>
    </w:p>
    <w:p w14:paraId="65A817B3" w14:textId="0EA6F1D3" w:rsidR="00482FEC" w:rsidRPr="00404724" w:rsidRDefault="00482FEC" w:rsidP="004F2C7A">
      <w:pPr>
        <w:pStyle w:val="ListNumbered1"/>
        <w:numPr>
          <w:ilvl w:val="0"/>
          <w:numId w:val="47"/>
        </w:numPr>
        <w:ind w:left="567" w:hanging="567"/>
        <w:rPr>
          <w:lang w:val="en-AU"/>
        </w:rPr>
      </w:pPr>
      <w:r w:rsidRPr="00404724">
        <w:rPr>
          <w:lang w:val="en-AU"/>
        </w:rPr>
        <w:t xml:space="preserve">What is the problem? (addressed in Chapter </w:t>
      </w:r>
      <w:r w:rsidR="00503F0B" w:rsidRPr="00404724">
        <w:rPr>
          <w:lang w:val="en-AU"/>
        </w:rPr>
        <w:fldChar w:fldCharType="begin"/>
      </w:r>
      <w:r w:rsidR="00503F0B" w:rsidRPr="00404724">
        <w:rPr>
          <w:lang w:val="en-AU"/>
        </w:rPr>
        <w:instrText xml:space="preserve"> REF _Ref209705803 \n \h </w:instrText>
      </w:r>
      <w:r w:rsidR="00503F0B" w:rsidRPr="00404724">
        <w:rPr>
          <w:lang w:val="en-AU"/>
        </w:rPr>
      </w:r>
      <w:r w:rsidR="00503F0B" w:rsidRPr="00404724">
        <w:rPr>
          <w:lang w:val="en-AU"/>
        </w:rPr>
        <w:fldChar w:fldCharType="separate"/>
      </w:r>
      <w:r w:rsidR="00BF489D">
        <w:rPr>
          <w:lang w:val="en-AU"/>
        </w:rPr>
        <w:t>2</w:t>
      </w:r>
      <w:r w:rsidR="00503F0B" w:rsidRPr="00404724">
        <w:rPr>
          <w:lang w:val="en-AU"/>
        </w:rPr>
        <w:fldChar w:fldCharType="end"/>
      </w:r>
      <w:r w:rsidRPr="00404724">
        <w:rPr>
          <w:lang w:val="en-AU"/>
        </w:rPr>
        <w:t>)</w:t>
      </w:r>
    </w:p>
    <w:p w14:paraId="7CA20B4F" w14:textId="1FD61576" w:rsidR="00482FEC" w:rsidRPr="00404724" w:rsidRDefault="00482FEC" w:rsidP="004F2C7A">
      <w:pPr>
        <w:pStyle w:val="ListNumbered1"/>
        <w:numPr>
          <w:ilvl w:val="0"/>
          <w:numId w:val="47"/>
        </w:numPr>
        <w:ind w:left="567" w:hanging="567"/>
        <w:rPr>
          <w:lang w:val="en-AU"/>
        </w:rPr>
      </w:pPr>
      <w:r w:rsidRPr="00404724">
        <w:rPr>
          <w:lang w:val="en-AU"/>
        </w:rPr>
        <w:t xml:space="preserve">Why is government action needed? (addressed in Chapter </w:t>
      </w:r>
      <w:r w:rsidR="00503F0B" w:rsidRPr="00404724">
        <w:rPr>
          <w:lang w:val="en-AU"/>
        </w:rPr>
        <w:fldChar w:fldCharType="begin"/>
      </w:r>
      <w:r w:rsidR="00503F0B" w:rsidRPr="00404724">
        <w:rPr>
          <w:lang w:val="en-AU"/>
        </w:rPr>
        <w:instrText xml:space="preserve"> REF _Ref209705803 \n \h </w:instrText>
      </w:r>
      <w:r w:rsidR="00503F0B" w:rsidRPr="00404724">
        <w:rPr>
          <w:lang w:val="en-AU"/>
        </w:rPr>
      </w:r>
      <w:r w:rsidR="00503F0B" w:rsidRPr="00404724">
        <w:rPr>
          <w:lang w:val="en-AU"/>
        </w:rPr>
        <w:fldChar w:fldCharType="separate"/>
      </w:r>
      <w:r w:rsidR="00BF489D">
        <w:rPr>
          <w:lang w:val="en-AU"/>
        </w:rPr>
        <w:t>2</w:t>
      </w:r>
      <w:r w:rsidR="00503F0B" w:rsidRPr="00404724">
        <w:rPr>
          <w:lang w:val="en-AU"/>
        </w:rPr>
        <w:fldChar w:fldCharType="end"/>
      </w:r>
      <w:r w:rsidRPr="00404724">
        <w:rPr>
          <w:lang w:val="en-AU"/>
        </w:rPr>
        <w:t>)</w:t>
      </w:r>
    </w:p>
    <w:p w14:paraId="6F98DB5E" w14:textId="334F0A37" w:rsidR="00482FEC" w:rsidRPr="00404724" w:rsidRDefault="00482FEC" w:rsidP="004F2C7A">
      <w:pPr>
        <w:pStyle w:val="ListNumbered1"/>
        <w:numPr>
          <w:ilvl w:val="0"/>
          <w:numId w:val="47"/>
        </w:numPr>
        <w:ind w:left="567" w:hanging="567"/>
        <w:rPr>
          <w:lang w:val="en-AU"/>
        </w:rPr>
      </w:pPr>
      <w:r w:rsidRPr="00404724">
        <w:rPr>
          <w:lang w:val="en-AU"/>
        </w:rPr>
        <w:t xml:space="preserve">What policy options are to be considered? (addressed in Chapter </w:t>
      </w:r>
      <w:r w:rsidR="00AD0DBC" w:rsidRPr="00404724">
        <w:rPr>
          <w:lang w:val="en-AU"/>
        </w:rPr>
        <w:fldChar w:fldCharType="begin"/>
      </w:r>
      <w:r w:rsidR="00AD0DBC" w:rsidRPr="00404724">
        <w:rPr>
          <w:lang w:val="en-AU"/>
        </w:rPr>
        <w:instrText xml:space="preserve"> REF _Ref208397631 \r \h </w:instrText>
      </w:r>
      <w:r w:rsidR="00917F39" w:rsidRPr="00404724">
        <w:rPr>
          <w:lang w:val="en-AU"/>
        </w:rPr>
        <w:instrText xml:space="preserve"> \* MERGEFORMAT </w:instrText>
      </w:r>
      <w:r w:rsidR="00AD0DBC" w:rsidRPr="00404724">
        <w:rPr>
          <w:lang w:val="en-AU"/>
        </w:rPr>
      </w:r>
      <w:r w:rsidR="00AD0DBC" w:rsidRPr="00404724">
        <w:rPr>
          <w:lang w:val="en-AU"/>
        </w:rPr>
        <w:fldChar w:fldCharType="separate"/>
      </w:r>
      <w:r w:rsidR="00BF489D">
        <w:rPr>
          <w:lang w:val="en-AU"/>
        </w:rPr>
        <w:t>3</w:t>
      </w:r>
      <w:r w:rsidR="00AD0DBC" w:rsidRPr="00404724">
        <w:rPr>
          <w:lang w:val="en-AU"/>
        </w:rPr>
        <w:fldChar w:fldCharType="end"/>
      </w:r>
      <w:r w:rsidRPr="00404724">
        <w:rPr>
          <w:lang w:val="en-AU"/>
        </w:rPr>
        <w:t>)</w:t>
      </w:r>
    </w:p>
    <w:p w14:paraId="5624A726" w14:textId="296364FC" w:rsidR="00482FEC" w:rsidRPr="00404724" w:rsidRDefault="00482FEC" w:rsidP="004F2C7A">
      <w:pPr>
        <w:pStyle w:val="ListNumbered1"/>
        <w:numPr>
          <w:ilvl w:val="0"/>
          <w:numId w:val="47"/>
        </w:numPr>
        <w:ind w:left="567" w:hanging="567"/>
        <w:rPr>
          <w:lang w:val="en-AU"/>
        </w:rPr>
      </w:pPr>
      <w:r w:rsidRPr="00404724">
        <w:rPr>
          <w:lang w:val="en-AU"/>
        </w:rPr>
        <w:t xml:space="preserve">What is the likely net benefit of each option? (addressed in Chapter </w:t>
      </w:r>
      <w:r w:rsidR="000C25A5" w:rsidRPr="00404724">
        <w:rPr>
          <w:lang w:val="en-AU"/>
        </w:rPr>
        <w:fldChar w:fldCharType="begin"/>
      </w:r>
      <w:r w:rsidR="000C25A5" w:rsidRPr="00404724">
        <w:rPr>
          <w:lang w:val="en-AU"/>
        </w:rPr>
        <w:instrText xml:space="preserve"> REF _Ref208494915 \r \h </w:instrText>
      </w:r>
      <w:r w:rsidR="00917F39" w:rsidRPr="00404724">
        <w:rPr>
          <w:lang w:val="en-AU"/>
        </w:rPr>
        <w:instrText xml:space="preserve"> \* MERGEFORMAT </w:instrText>
      </w:r>
      <w:r w:rsidR="000C25A5" w:rsidRPr="00404724">
        <w:rPr>
          <w:lang w:val="en-AU"/>
        </w:rPr>
      </w:r>
      <w:r w:rsidR="000C25A5" w:rsidRPr="00404724">
        <w:rPr>
          <w:lang w:val="en-AU"/>
        </w:rPr>
        <w:fldChar w:fldCharType="separate"/>
      </w:r>
      <w:r w:rsidR="00BF489D">
        <w:rPr>
          <w:lang w:val="en-AU"/>
        </w:rPr>
        <w:t>5</w:t>
      </w:r>
      <w:r w:rsidR="000C25A5" w:rsidRPr="00404724">
        <w:rPr>
          <w:lang w:val="en-AU"/>
        </w:rPr>
        <w:fldChar w:fldCharType="end"/>
      </w:r>
      <w:r w:rsidRPr="00404724">
        <w:rPr>
          <w:lang w:val="en-AU"/>
        </w:rPr>
        <w:t>)</w:t>
      </w:r>
    </w:p>
    <w:p w14:paraId="572D3C56" w14:textId="7931D116" w:rsidR="00482FEC" w:rsidRPr="00404724" w:rsidRDefault="00482FEC" w:rsidP="004F2C7A">
      <w:pPr>
        <w:pStyle w:val="ListNumbered1"/>
        <w:numPr>
          <w:ilvl w:val="0"/>
          <w:numId w:val="47"/>
        </w:numPr>
        <w:ind w:left="567" w:hanging="567"/>
        <w:rPr>
          <w:lang w:val="en-AU"/>
        </w:rPr>
      </w:pPr>
      <w:r w:rsidRPr="00404724">
        <w:rPr>
          <w:lang w:val="en-AU"/>
        </w:rPr>
        <w:t>Who was consulted and how was their feedback incorporated? (</w:t>
      </w:r>
      <w:r w:rsidR="00AA7C94" w:rsidRPr="00404724">
        <w:rPr>
          <w:lang w:val="en-AU"/>
        </w:rPr>
        <w:t>Stakeholder consultation incorporated throughout the report</w:t>
      </w:r>
      <w:r w:rsidR="000A13C5" w:rsidRPr="00404724">
        <w:rPr>
          <w:lang w:val="en-AU"/>
        </w:rPr>
        <w:t xml:space="preserve">, with a description of who was consulted in </w:t>
      </w:r>
      <w:r w:rsidR="000E1A11" w:rsidRPr="00404724">
        <w:rPr>
          <w:lang w:val="en-AU"/>
        </w:rPr>
        <w:t xml:space="preserve">Section </w:t>
      </w:r>
      <w:r w:rsidR="000A13C5" w:rsidRPr="00404724">
        <w:rPr>
          <w:lang w:val="en-AU"/>
        </w:rPr>
        <w:fldChar w:fldCharType="begin"/>
      </w:r>
      <w:r w:rsidR="000A13C5" w:rsidRPr="00404724">
        <w:rPr>
          <w:lang w:val="en-AU"/>
        </w:rPr>
        <w:instrText xml:space="preserve"> REF _Ref208573924 \r \h </w:instrText>
      </w:r>
      <w:r w:rsidR="00917F39" w:rsidRPr="00404724">
        <w:rPr>
          <w:lang w:val="en-AU"/>
        </w:rPr>
        <w:instrText xml:space="preserve"> \* MERGEFORMAT </w:instrText>
      </w:r>
      <w:r w:rsidR="000A13C5" w:rsidRPr="00404724">
        <w:rPr>
          <w:lang w:val="en-AU"/>
        </w:rPr>
      </w:r>
      <w:r w:rsidR="000A13C5" w:rsidRPr="00404724">
        <w:rPr>
          <w:lang w:val="en-AU"/>
        </w:rPr>
        <w:fldChar w:fldCharType="separate"/>
      </w:r>
      <w:r w:rsidR="00BF489D">
        <w:rPr>
          <w:lang w:val="en-AU"/>
        </w:rPr>
        <w:t>4.1.1</w:t>
      </w:r>
      <w:r w:rsidR="000A13C5" w:rsidRPr="00404724">
        <w:rPr>
          <w:lang w:val="en-AU"/>
        </w:rPr>
        <w:fldChar w:fldCharType="end"/>
      </w:r>
      <w:r w:rsidRPr="00404724">
        <w:rPr>
          <w:lang w:val="en-AU"/>
        </w:rPr>
        <w:t>)</w:t>
      </w:r>
    </w:p>
    <w:p w14:paraId="7D709FC8" w14:textId="37845E00" w:rsidR="00482FEC" w:rsidRPr="00404724" w:rsidRDefault="00482FEC" w:rsidP="004F2C7A">
      <w:pPr>
        <w:pStyle w:val="ListNumbered1"/>
        <w:numPr>
          <w:ilvl w:val="0"/>
          <w:numId w:val="47"/>
        </w:numPr>
        <w:ind w:left="567" w:hanging="567"/>
        <w:rPr>
          <w:lang w:val="en-AU"/>
        </w:rPr>
      </w:pPr>
      <w:r w:rsidRPr="00404724">
        <w:rPr>
          <w:lang w:val="en-AU"/>
        </w:rPr>
        <w:t xml:space="preserve">What is the best option from those considered? (addressed in Chapter </w:t>
      </w:r>
      <w:r w:rsidR="000C25A5" w:rsidRPr="00404724">
        <w:rPr>
          <w:lang w:val="en-AU"/>
        </w:rPr>
        <w:fldChar w:fldCharType="begin"/>
      </w:r>
      <w:r w:rsidR="000C25A5" w:rsidRPr="00404724">
        <w:rPr>
          <w:lang w:val="en-AU"/>
        </w:rPr>
        <w:instrText xml:space="preserve"> REF _Ref208495807 \r \h </w:instrText>
      </w:r>
      <w:r w:rsidR="00917F39" w:rsidRPr="00404724">
        <w:rPr>
          <w:lang w:val="en-AU"/>
        </w:rPr>
        <w:instrText xml:space="preserve"> \* MERGEFORMAT </w:instrText>
      </w:r>
      <w:r w:rsidR="000C25A5" w:rsidRPr="00404724">
        <w:rPr>
          <w:lang w:val="en-AU"/>
        </w:rPr>
      </w:r>
      <w:r w:rsidR="000C25A5" w:rsidRPr="00404724">
        <w:rPr>
          <w:lang w:val="en-AU"/>
        </w:rPr>
        <w:fldChar w:fldCharType="separate"/>
      </w:r>
      <w:r w:rsidR="00BF489D">
        <w:rPr>
          <w:lang w:val="en-AU"/>
        </w:rPr>
        <w:t>8</w:t>
      </w:r>
      <w:r w:rsidR="000C25A5" w:rsidRPr="00404724">
        <w:rPr>
          <w:lang w:val="en-AU"/>
        </w:rPr>
        <w:fldChar w:fldCharType="end"/>
      </w:r>
      <w:r w:rsidRPr="00404724">
        <w:rPr>
          <w:lang w:val="en-AU"/>
        </w:rPr>
        <w:t>)</w:t>
      </w:r>
    </w:p>
    <w:p w14:paraId="64AEB51D" w14:textId="49700C21" w:rsidR="00482FEC" w:rsidRPr="00404724" w:rsidRDefault="00482FEC" w:rsidP="004F2C7A">
      <w:pPr>
        <w:pStyle w:val="ListNumbered1"/>
        <w:numPr>
          <w:ilvl w:val="0"/>
          <w:numId w:val="47"/>
        </w:numPr>
        <w:ind w:left="567" w:hanging="567"/>
        <w:rPr>
          <w:lang w:val="en-AU"/>
        </w:rPr>
      </w:pPr>
      <w:r w:rsidRPr="00404724">
        <w:rPr>
          <w:lang w:val="en-AU"/>
        </w:rPr>
        <w:t xml:space="preserve">How will the chosen option be implemented and evaluated? (addressed in Chapter </w:t>
      </w:r>
      <w:r w:rsidR="000C25A5" w:rsidRPr="00404724">
        <w:rPr>
          <w:lang w:val="en-AU"/>
        </w:rPr>
        <w:fldChar w:fldCharType="begin"/>
      </w:r>
      <w:r w:rsidR="000C25A5" w:rsidRPr="00404724">
        <w:rPr>
          <w:lang w:val="en-AU"/>
        </w:rPr>
        <w:instrText xml:space="preserve"> REF _Ref208495813 \r \h </w:instrText>
      </w:r>
      <w:r w:rsidR="00917F39" w:rsidRPr="00404724">
        <w:rPr>
          <w:lang w:val="en-AU"/>
        </w:rPr>
        <w:instrText xml:space="preserve"> \* MERGEFORMAT </w:instrText>
      </w:r>
      <w:r w:rsidR="000C25A5" w:rsidRPr="00404724">
        <w:rPr>
          <w:lang w:val="en-AU"/>
        </w:rPr>
      </w:r>
      <w:r w:rsidR="000C25A5" w:rsidRPr="00404724">
        <w:rPr>
          <w:lang w:val="en-AU"/>
        </w:rPr>
        <w:fldChar w:fldCharType="separate"/>
      </w:r>
      <w:r w:rsidR="00BF489D">
        <w:rPr>
          <w:lang w:val="en-AU"/>
        </w:rPr>
        <w:t>7</w:t>
      </w:r>
      <w:r w:rsidR="000C25A5" w:rsidRPr="00404724">
        <w:rPr>
          <w:lang w:val="en-AU"/>
        </w:rPr>
        <w:fldChar w:fldCharType="end"/>
      </w:r>
      <w:r w:rsidRPr="00404724">
        <w:rPr>
          <w:lang w:val="en-AU"/>
        </w:rPr>
        <w:t>)</w:t>
      </w:r>
    </w:p>
    <w:p w14:paraId="55B9FED9" w14:textId="35C7CFAD" w:rsidR="00482FEC" w:rsidRPr="00404724" w:rsidRDefault="00753118" w:rsidP="00753118">
      <w:pPr>
        <w:pStyle w:val="Heading3"/>
      </w:pPr>
      <w:bookmarkStart w:id="104" w:name="_Toc210040298"/>
      <w:bookmarkStart w:id="105" w:name="_Toc210042535"/>
      <w:bookmarkStart w:id="106" w:name="_Toc210049168"/>
      <w:bookmarkStart w:id="107" w:name="_Toc210051608"/>
      <w:bookmarkStart w:id="108" w:name="_Toc210051689"/>
      <w:r>
        <w:t>1.4</w:t>
      </w:r>
      <w:r>
        <w:tab/>
      </w:r>
      <w:r w:rsidR="00482FEC" w:rsidRPr="00404724">
        <w:t>Structure of this report</w:t>
      </w:r>
      <w:bookmarkEnd w:id="104"/>
      <w:bookmarkEnd w:id="105"/>
      <w:bookmarkEnd w:id="106"/>
      <w:bookmarkEnd w:id="107"/>
      <w:bookmarkEnd w:id="108"/>
    </w:p>
    <w:p w14:paraId="5B72B05C" w14:textId="77777777" w:rsidR="00482FEC" w:rsidRPr="00404724" w:rsidRDefault="00482FEC" w:rsidP="00482FEC">
      <w:r w:rsidRPr="00404724">
        <w:t>The rest of this report is structured as follows:</w:t>
      </w:r>
    </w:p>
    <w:p w14:paraId="59E497FB" w14:textId="6D35A3AE" w:rsidR="00482FEC" w:rsidRPr="00404724" w:rsidRDefault="00482FEC" w:rsidP="00753118">
      <w:pPr>
        <w:pStyle w:val="Listparagraphbullets"/>
      </w:pPr>
      <w:r w:rsidRPr="00404724">
        <w:t xml:space="preserve">Chapter </w:t>
      </w:r>
      <w:r w:rsidR="0051413D" w:rsidRPr="00404724">
        <w:fldChar w:fldCharType="begin"/>
      </w:r>
      <w:r w:rsidR="0051413D" w:rsidRPr="00404724">
        <w:instrText xml:space="preserve"> REF _Ref209705803 \n \h </w:instrText>
      </w:r>
      <w:r w:rsidR="0051413D" w:rsidRPr="00404724">
        <w:fldChar w:fldCharType="separate"/>
      </w:r>
      <w:r w:rsidR="00BF489D">
        <w:t>2</w:t>
      </w:r>
      <w:r w:rsidR="0051413D" w:rsidRPr="00404724">
        <w:fldChar w:fldCharType="end"/>
      </w:r>
      <w:r w:rsidRPr="00404724">
        <w:t xml:space="preserve"> discusses the nature and extent of the problem that the proposed changes are seeking to address</w:t>
      </w:r>
    </w:p>
    <w:p w14:paraId="31A75ADE" w14:textId="560D49CD" w:rsidR="00482FEC" w:rsidRPr="00404724" w:rsidRDefault="00482FEC" w:rsidP="00753118">
      <w:pPr>
        <w:pStyle w:val="Listparagraphbullets"/>
      </w:pPr>
      <w:r w:rsidRPr="00404724">
        <w:t xml:space="preserve">Chapter </w:t>
      </w:r>
      <w:r w:rsidR="000C25A5" w:rsidRPr="00404724">
        <w:fldChar w:fldCharType="begin"/>
      </w:r>
      <w:r w:rsidR="000C25A5" w:rsidRPr="00404724">
        <w:instrText xml:space="preserve"> REF _Ref208397631 \r \h </w:instrText>
      </w:r>
      <w:r w:rsidR="00753118">
        <w:instrText xml:space="preserve"> \* MERGEFORMAT </w:instrText>
      </w:r>
      <w:r w:rsidR="000C25A5" w:rsidRPr="00404724">
        <w:fldChar w:fldCharType="separate"/>
      </w:r>
      <w:r w:rsidR="00BF489D">
        <w:t>3</w:t>
      </w:r>
      <w:r w:rsidR="000C25A5" w:rsidRPr="00404724">
        <w:fldChar w:fldCharType="end"/>
      </w:r>
      <w:r w:rsidR="000C25A5" w:rsidRPr="00404724">
        <w:t xml:space="preserve"> </w:t>
      </w:r>
      <w:r w:rsidRPr="00404724">
        <w:t>specifies the objectives of government action and the options to address the identified problem</w:t>
      </w:r>
    </w:p>
    <w:p w14:paraId="7C55B296" w14:textId="56D51BBB" w:rsidR="00482FEC" w:rsidRPr="00404724" w:rsidRDefault="00482FEC" w:rsidP="00753118">
      <w:pPr>
        <w:pStyle w:val="Listparagraphbullets"/>
      </w:pPr>
      <w:r w:rsidRPr="00404724">
        <w:t xml:space="preserve">Chapter </w:t>
      </w:r>
      <w:r w:rsidR="000C25A5" w:rsidRPr="00404724">
        <w:fldChar w:fldCharType="begin"/>
      </w:r>
      <w:r w:rsidR="000C25A5" w:rsidRPr="00404724">
        <w:instrText xml:space="preserve"> REF _Ref208495885 \r \h </w:instrText>
      </w:r>
      <w:r w:rsidR="00753118">
        <w:instrText xml:space="preserve"> \* MERGEFORMAT </w:instrText>
      </w:r>
      <w:r w:rsidR="000C25A5" w:rsidRPr="00404724">
        <w:fldChar w:fldCharType="separate"/>
      </w:r>
      <w:r w:rsidR="00BF489D">
        <w:rPr>
          <w:b/>
          <w:bCs/>
          <w:lang w:val="en-US"/>
        </w:rPr>
        <w:t>Error! Reference source not found.</w:t>
      </w:r>
      <w:r w:rsidR="000C25A5" w:rsidRPr="00404724">
        <w:fldChar w:fldCharType="end"/>
      </w:r>
      <w:r w:rsidRPr="00404724">
        <w:t xml:space="preserve"> outlines the framework used to analyse the impacts of the proposed change</w:t>
      </w:r>
    </w:p>
    <w:p w14:paraId="7EB130AE" w14:textId="4895C21B" w:rsidR="00482FEC" w:rsidRPr="00404724" w:rsidRDefault="00482FEC" w:rsidP="00753118">
      <w:pPr>
        <w:pStyle w:val="Listparagraphbullets"/>
      </w:pPr>
      <w:r w:rsidRPr="00404724">
        <w:t xml:space="preserve">Chapter </w:t>
      </w:r>
      <w:r w:rsidR="000C25A5" w:rsidRPr="00404724">
        <w:fldChar w:fldCharType="begin"/>
      </w:r>
      <w:r w:rsidR="000C25A5" w:rsidRPr="00404724">
        <w:instrText xml:space="preserve"> REF _Ref208494915 \r \h </w:instrText>
      </w:r>
      <w:r w:rsidR="00753118">
        <w:instrText xml:space="preserve"> \* MERGEFORMAT </w:instrText>
      </w:r>
      <w:r w:rsidR="000C25A5" w:rsidRPr="00404724">
        <w:fldChar w:fldCharType="separate"/>
      </w:r>
      <w:r w:rsidR="00BF489D">
        <w:t>5</w:t>
      </w:r>
      <w:r w:rsidR="000C25A5" w:rsidRPr="00404724">
        <w:fldChar w:fldCharType="end"/>
      </w:r>
      <w:r w:rsidRPr="00404724">
        <w:t xml:space="preserve"> assesses the impacts of the proposed change </w:t>
      </w:r>
    </w:p>
    <w:p w14:paraId="27369B16" w14:textId="3444523D" w:rsidR="000C25A5" w:rsidRPr="00404724" w:rsidRDefault="000C25A5" w:rsidP="00753118">
      <w:pPr>
        <w:pStyle w:val="Listparagraphbullets"/>
      </w:pPr>
      <w:r w:rsidRPr="00404724">
        <w:t xml:space="preserve">Chapter </w:t>
      </w:r>
      <w:r w:rsidR="0051413D" w:rsidRPr="00404724">
        <w:fldChar w:fldCharType="begin"/>
      </w:r>
      <w:r w:rsidR="0051413D" w:rsidRPr="00404724">
        <w:instrText xml:space="preserve"> REF _Ref209705864 \n \h </w:instrText>
      </w:r>
      <w:r w:rsidR="00753118">
        <w:instrText xml:space="preserve"> \* MERGEFORMAT </w:instrText>
      </w:r>
      <w:r w:rsidR="0051413D" w:rsidRPr="00404724">
        <w:fldChar w:fldCharType="separate"/>
      </w:r>
      <w:r w:rsidR="00BF489D">
        <w:t>6</w:t>
      </w:r>
      <w:r w:rsidR="0051413D" w:rsidRPr="00404724">
        <w:fldChar w:fldCharType="end"/>
      </w:r>
      <w:r w:rsidR="0098426A" w:rsidRPr="00404724">
        <w:t xml:space="preserve"> </w:t>
      </w:r>
      <w:r w:rsidR="00BD3CEA" w:rsidRPr="00404724">
        <w:t xml:space="preserve">identifies </w:t>
      </w:r>
      <w:r w:rsidRPr="00404724">
        <w:t>the other impacts of the regulation</w:t>
      </w:r>
    </w:p>
    <w:p w14:paraId="6EA57DB7" w14:textId="3C13AC20" w:rsidR="00482FEC" w:rsidRPr="00404724" w:rsidRDefault="00482FEC" w:rsidP="00753118">
      <w:pPr>
        <w:pStyle w:val="Listparagraphbullets"/>
      </w:pPr>
      <w:r w:rsidRPr="00404724">
        <w:t xml:space="preserve">Chapter </w:t>
      </w:r>
      <w:r w:rsidR="000C25A5" w:rsidRPr="00404724">
        <w:fldChar w:fldCharType="begin"/>
      </w:r>
      <w:r w:rsidR="000C25A5" w:rsidRPr="00404724">
        <w:instrText xml:space="preserve"> REF _Ref208495813 \r \h </w:instrText>
      </w:r>
      <w:r w:rsidR="00753118">
        <w:instrText xml:space="preserve"> \* MERGEFORMAT </w:instrText>
      </w:r>
      <w:r w:rsidR="000C25A5" w:rsidRPr="00404724">
        <w:fldChar w:fldCharType="separate"/>
      </w:r>
      <w:r w:rsidR="00BF489D">
        <w:t>7</w:t>
      </w:r>
      <w:r w:rsidR="000C25A5" w:rsidRPr="00404724">
        <w:fldChar w:fldCharType="end"/>
      </w:r>
      <w:r w:rsidRPr="00404724">
        <w:t xml:space="preserve"> discusses the implementation, review and evaluation of the proposed regulation</w:t>
      </w:r>
    </w:p>
    <w:p w14:paraId="5DD4D515" w14:textId="59544160" w:rsidR="00482FEC" w:rsidRPr="00404724" w:rsidRDefault="00482FEC" w:rsidP="00753118">
      <w:pPr>
        <w:pStyle w:val="Listparagraphbullets"/>
      </w:pPr>
      <w:r w:rsidRPr="00404724">
        <w:t xml:space="preserve">Chapter </w:t>
      </w:r>
      <w:r w:rsidR="000C25A5" w:rsidRPr="00404724">
        <w:fldChar w:fldCharType="begin"/>
      </w:r>
      <w:r w:rsidR="000C25A5" w:rsidRPr="00404724">
        <w:instrText xml:space="preserve"> REF _Ref208495937 \r \h </w:instrText>
      </w:r>
      <w:r w:rsidR="000C25A5" w:rsidRPr="00404724">
        <w:fldChar w:fldCharType="separate"/>
      </w:r>
      <w:r w:rsidR="00BF489D">
        <w:t>8</w:t>
      </w:r>
      <w:r w:rsidR="000C25A5" w:rsidRPr="00404724">
        <w:fldChar w:fldCharType="end"/>
      </w:r>
      <w:r w:rsidRPr="00404724">
        <w:t xml:space="preserve"> sets out the conclusions of the analysis. </w:t>
      </w:r>
    </w:p>
    <w:p w14:paraId="48FF6D5B" w14:textId="7CAF37CB" w:rsidR="001A0D1E" w:rsidRPr="00404724" w:rsidRDefault="001A0D1E" w:rsidP="00482FEC">
      <w:r w:rsidRPr="00404724">
        <w:br w:type="page"/>
      </w:r>
    </w:p>
    <w:p w14:paraId="0A131706" w14:textId="56EA3FF0" w:rsidR="00482FEC" w:rsidRPr="00404724" w:rsidRDefault="00753118" w:rsidP="00753118">
      <w:pPr>
        <w:pStyle w:val="Heading2"/>
      </w:pPr>
      <w:bookmarkStart w:id="109" w:name="_Toc210040299"/>
      <w:bookmarkStart w:id="110" w:name="_Toc210042536"/>
      <w:bookmarkStart w:id="111" w:name="_Toc210049169"/>
      <w:bookmarkStart w:id="112" w:name="_Toc210051609"/>
      <w:bookmarkStart w:id="113" w:name="_Toc210051690"/>
      <w:r>
        <w:lastRenderedPageBreak/>
        <w:t>2.</w:t>
      </w:r>
      <w:r>
        <w:tab/>
      </w:r>
      <w:bookmarkStart w:id="114" w:name="_Ref209705803"/>
      <w:r w:rsidR="00482FEC" w:rsidRPr="00404724">
        <w:t>Statement of the problem</w:t>
      </w:r>
      <w:bookmarkEnd w:id="114"/>
      <w:bookmarkEnd w:id="109"/>
      <w:bookmarkEnd w:id="110"/>
      <w:bookmarkEnd w:id="111"/>
      <w:bookmarkEnd w:id="112"/>
      <w:bookmarkEnd w:id="113"/>
    </w:p>
    <w:p w14:paraId="1967084A" w14:textId="77777777" w:rsidR="00482FEC" w:rsidRPr="00404724" w:rsidRDefault="00482FEC" w:rsidP="00482FEC">
      <w:pPr>
        <w:pStyle w:val="Introduction"/>
        <w:rPr>
          <w:lang w:val="en-AU"/>
        </w:rPr>
      </w:pPr>
      <w:r w:rsidRPr="00404724">
        <w:rPr>
          <w:lang w:val="en-AU"/>
        </w:rPr>
        <w:t>What is the policy problem you are trying to solve? Why is government action needed?</w:t>
      </w:r>
    </w:p>
    <w:p w14:paraId="20B5C0D2" w14:textId="0E259ACF" w:rsidR="00482FEC" w:rsidRPr="00404724" w:rsidRDefault="00753118" w:rsidP="00753118">
      <w:pPr>
        <w:pStyle w:val="Heading3"/>
      </w:pPr>
      <w:bookmarkStart w:id="115" w:name="_Toc210040300"/>
      <w:bookmarkStart w:id="116" w:name="_Toc210042537"/>
      <w:bookmarkStart w:id="117" w:name="_Toc210049170"/>
      <w:bookmarkStart w:id="118" w:name="_Toc210051610"/>
      <w:bookmarkStart w:id="119" w:name="_Toc210051691"/>
      <w:r>
        <w:t>2.1</w:t>
      </w:r>
      <w:r>
        <w:tab/>
      </w:r>
      <w:r w:rsidR="00482FEC" w:rsidRPr="00404724">
        <w:t>Identifying the problem</w:t>
      </w:r>
      <w:bookmarkEnd w:id="115"/>
      <w:bookmarkEnd w:id="116"/>
      <w:bookmarkEnd w:id="117"/>
      <w:bookmarkEnd w:id="118"/>
      <w:bookmarkEnd w:id="119"/>
    </w:p>
    <w:p w14:paraId="77B30C21" w14:textId="55338908" w:rsidR="00482FEC" w:rsidRPr="00404724" w:rsidRDefault="00482FEC" w:rsidP="00482FEC">
      <w:r w:rsidRPr="00404724">
        <w:t xml:space="preserve">Australia is a </w:t>
      </w:r>
      <w:r w:rsidR="0098426A" w:rsidRPr="00404724">
        <w:t xml:space="preserve">very </w:t>
      </w:r>
      <w:r w:rsidRPr="00404724">
        <w:t xml:space="preserve">large country </w:t>
      </w:r>
      <w:r w:rsidR="0098426A" w:rsidRPr="00404724">
        <w:t xml:space="preserve">with an extensive road network that serves </w:t>
      </w:r>
      <w:r w:rsidRPr="00404724">
        <w:t>a relatively small population. In 2023 it was estimated that Australia has over 460,000km of sealed roads and nearly 860,000km of unsealed roads, for a total of over 1.3 million km.</w:t>
      </w:r>
      <w:r w:rsidRPr="00404724">
        <w:rPr>
          <w:rStyle w:val="FootnoteReference"/>
        </w:rPr>
        <w:footnoteReference w:id="9"/>
      </w:r>
      <w:r w:rsidRPr="00404724">
        <w:t xml:space="preserve"> </w:t>
      </w:r>
    </w:p>
    <w:p w14:paraId="2AE55802" w14:textId="77777777" w:rsidR="00482FEC" w:rsidRPr="00404724" w:rsidRDefault="00482FEC" w:rsidP="00482FEC">
      <w:r w:rsidRPr="00404724">
        <w:t>As of January 2024, the total registered vehicle fleet was nearly 22 million vehicles,</w:t>
      </w:r>
      <w:r w:rsidRPr="00404724">
        <w:rPr>
          <w:rStyle w:val="FootnoteReference"/>
        </w:rPr>
        <w:footnoteReference w:id="10"/>
      </w:r>
      <w:r w:rsidRPr="00404724">
        <w:t xml:space="preserve"> equivalent to 0.8 vehicle per capita.</w:t>
      </w:r>
      <w:r w:rsidRPr="00404724">
        <w:rPr>
          <w:rStyle w:val="FootnoteReference"/>
        </w:rPr>
        <w:footnoteReference w:id="11"/>
      </w:r>
      <w:r w:rsidRPr="00404724">
        <w:t xml:space="preserve"> Around 73% of the population have active drivers’ licences</w:t>
      </w:r>
      <w:r w:rsidRPr="00404724">
        <w:rPr>
          <w:rStyle w:val="FootnoteReference"/>
        </w:rPr>
        <w:t xml:space="preserve"> </w:t>
      </w:r>
      <w:r w:rsidRPr="00404724">
        <w:rPr>
          <w:rStyle w:val="FootnoteReference"/>
        </w:rPr>
        <w:footnoteReference w:id="12"/>
      </w:r>
      <w:r w:rsidRPr="00404724">
        <w:t xml:space="preserve"> and 87% of people who travel to work use a vehicle.</w:t>
      </w:r>
      <w:r w:rsidRPr="00404724">
        <w:rPr>
          <w:rStyle w:val="FootnoteReference"/>
        </w:rPr>
        <w:footnoteReference w:id="13"/>
      </w:r>
      <w:r w:rsidRPr="00404724">
        <w:t xml:space="preserve"> </w:t>
      </w:r>
    </w:p>
    <w:p w14:paraId="3B6E0EAE" w14:textId="351CC89B" w:rsidR="00482FEC" w:rsidRPr="00404724" w:rsidRDefault="00482FEC" w:rsidP="00482FEC">
      <w:r w:rsidRPr="00404724">
        <w:t>Besides moving people and enabling services, the road network serves an important role in our economy by moving goods; in 2023-24, road freight reached 249 billion tonne-kilometre (tkm)</w:t>
      </w:r>
      <w:r w:rsidRPr="00404724">
        <w:rPr>
          <w:rStyle w:val="FootnoteReference"/>
        </w:rPr>
        <w:footnoteReference w:id="14"/>
      </w:r>
      <w:r w:rsidRPr="00404724">
        <w:t xml:space="preserve">, accounting for 32% of all domestic freight travel. Road is also the second most prevalent freight transport mode, </w:t>
      </w:r>
      <w:r w:rsidR="009A4BC5" w:rsidRPr="00404724">
        <w:t xml:space="preserve">second </w:t>
      </w:r>
      <w:r w:rsidRPr="00404724">
        <w:t xml:space="preserve">only </w:t>
      </w:r>
      <w:r w:rsidR="009A4BC5" w:rsidRPr="00404724">
        <w:t xml:space="preserve">to </w:t>
      </w:r>
      <w:r w:rsidRPr="00404724">
        <w:t>rail at 57%.</w:t>
      </w:r>
      <w:r w:rsidRPr="00404724">
        <w:rPr>
          <w:rStyle w:val="FootnoteReference"/>
        </w:rPr>
        <w:footnoteReference w:id="15"/>
      </w:r>
    </w:p>
    <w:p w14:paraId="08360DC5" w14:textId="2C48ADD6" w:rsidR="00482FEC" w:rsidRPr="00404724" w:rsidRDefault="00482FEC" w:rsidP="00482FEC">
      <w:r w:rsidRPr="00404724">
        <w:t xml:space="preserve">These statistics highlight that road transport </w:t>
      </w:r>
      <w:r w:rsidR="009A4BC5" w:rsidRPr="00404724">
        <w:t xml:space="preserve">is </w:t>
      </w:r>
      <w:r w:rsidRPr="00404724">
        <w:t>a vital part of Australian society and the economy. It is the primary way people commute and travel, and it delivers around a third of all goods to consumers.</w:t>
      </w:r>
    </w:p>
    <w:p w14:paraId="1CBAE8E7" w14:textId="72A5134B" w:rsidR="00482FEC" w:rsidRDefault="00753118" w:rsidP="00753118">
      <w:pPr>
        <w:pStyle w:val="Heading4"/>
      </w:pPr>
      <w:bookmarkStart w:id="120" w:name="_Ref208496768"/>
      <w:bookmarkStart w:id="121" w:name="_Toc210042538"/>
      <w:bookmarkStart w:id="122" w:name="_Toc210049171"/>
      <w:bookmarkStart w:id="123" w:name="_Toc210051611"/>
      <w:bookmarkStart w:id="124" w:name="_Toc210051692"/>
      <w:r>
        <w:t>2.1.1</w:t>
      </w:r>
      <w:r>
        <w:tab/>
      </w:r>
      <w:r w:rsidR="00482FEC" w:rsidRPr="00404724">
        <w:t>Road safety trends</w:t>
      </w:r>
      <w:bookmarkEnd w:id="120"/>
      <w:bookmarkEnd w:id="121"/>
      <w:bookmarkEnd w:id="122"/>
      <w:bookmarkEnd w:id="123"/>
      <w:bookmarkEnd w:id="124"/>
    </w:p>
    <w:p w14:paraId="4985B172" w14:textId="25926F3C" w:rsidR="00482FEC" w:rsidRPr="00074A22" w:rsidRDefault="00482FEC" w:rsidP="00074A22">
      <w:pPr>
        <w:pStyle w:val="Heading5"/>
      </w:pPr>
      <w:r w:rsidRPr="00074A22">
        <w:t>Fatal crashes</w:t>
      </w:r>
    </w:p>
    <w:p w14:paraId="28F53FDA" w14:textId="6D1C1AC0" w:rsidR="00482FEC" w:rsidRPr="00404724" w:rsidRDefault="00482FEC" w:rsidP="00482FEC">
      <w:r w:rsidRPr="00404724">
        <w:t>Between 2000 and 2020, Australia recorded a significant decline in road fatalities (see</w:t>
      </w:r>
      <w:r w:rsidR="000C25A5" w:rsidRPr="00404724">
        <w:t xml:space="preserve"> </w:t>
      </w:r>
      <w:r w:rsidR="000C25A5" w:rsidRPr="00404724">
        <w:fldChar w:fldCharType="begin"/>
      </w:r>
      <w:r w:rsidR="000C25A5" w:rsidRPr="00404724">
        <w:instrText xml:space="preserve"> REF _Ref208496034 \h </w:instrText>
      </w:r>
      <w:r w:rsidR="000C25A5" w:rsidRPr="00404724">
        <w:fldChar w:fldCharType="separate"/>
      </w:r>
      <w:r w:rsidR="00BF489D" w:rsidRPr="00404724">
        <w:t xml:space="preserve">Figure </w:t>
      </w:r>
      <w:r w:rsidR="00BF489D">
        <w:rPr>
          <w:noProof/>
        </w:rPr>
        <w:t>5</w:t>
      </w:r>
      <w:r w:rsidR="000C25A5" w:rsidRPr="00404724">
        <w:fldChar w:fldCharType="end"/>
      </w:r>
      <w:r w:rsidRPr="00404724">
        <w:t>). This positive trend has been attributed to factors such as improved vehicle safety features (such as adoption of seatbelts and airbags), investments in road infrastructure and design, and shifts in driver behaviour.</w:t>
      </w:r>
      <w:r w:rsidRPr="00404724">
        <w:rPr>
          <w:rStyle w:val="FootnoteReference"/>
        </w:rPr>
        <w:footnoteReference w:id="16"/>
      </w:r>
    </w:p>
    <w:p w14:paraId="639F5513" w14:textId="25A95398" w:rsidR="00482FEC" w:rsidRPr="00404724" w:rsidRDefault="00482FEC" w:rsidP="00482FEC">
      <w:r w:rsidRPr="00404724">
        <w:t xml:space="preserve">However, in recent years this trend has reversed. Fatalities and associated costs have been rising, with </w:t>
      </w:r>
      <w:r w:rsidR="009A4BC5" w:rsidRPr="00404724">
        <w:t>1,291</w:t>
      </w:r>
      <w:r w:rsidRPr="00404724">
        <w:t xml:space="preserve"> road deaths recorded in 2024, the highest annual toll in 12 years and an increase of 18.6% compared with 2020.</w:t>
      </w:r>
      <w:r w:rsidRPr="00404724">
        <w:rPr>
          <w:rStyle w:val="FootnoteReference"/>
        </w:rPr>
        <w:footnoteReference w:id="17"/>
      </w:r>
      <w:r w:rsidRPr="00404724">
        <w:t xml:space="preserve"> This increase is still evident, albeit to a lesser extent, when analysed on the per capita basis. During the same period, the number of fatalities per 100,000 population had increased from 4.28 to 4.72, equivalent to increase of 10%.</w:t>
      </w:r>
      <w:r w:rsidRPr="00404724">
        <w:rPr>
          <w:rStyle w:val="FootnoteReference"/>
        </w:rPr>
        <w:footnoteReference w:id="18"/>
      </w:r>
      <w:r w:rsidR="000E266E" w:rsidRPr="00404724">
        <w:t xml:space="preserve"> Other measures also tell a similar story, the fatalities rate per billion vehicle kilometre travelled (VKT) and fatalities rate per number of registered vehicles also follow a similar trend.</w:t>
      </w:r>
      <w:r w:rsidR="000E266E" w:rsidRPr="00404724">
        <w:rPr>
          <w:rStyle w:val="FootnoteReference"/>
        </w:rPr>
        <w:footnoteReference w:id="19"/>
      </w:r>
    </w:p>
    <w:p w14:paraId="728FB3A8" w14:textId="1A3AA25A" w:rsidR="00482FEC" w:rsidRPr="00404724" w:rsidRDefault="000C25A5" w:rsidP="003979C3">
      <w:pPr>
        <w:pStyle w:val="Tablefigureheading"/>
      </w:pPr>
      <w:bookmarkStart w:id="125" w:name="_Ref208496034"/>
      <w:bookmarkStart w:id="126" w:name="_Toc210040347"/>
      <w:bookmarkStart w:id="127" w:name="_Toc210051883"/>
      <w:r w:rsidRPr="00404724">
        <w:lastRenderedPageBreak/>
        <w:t xml:space="preserve">Figure </w:t>
      </w:r>
      <w:r w:rsidR="00EC39D5">
        <w:fldChar w:fldCharType="begin"/>
      </w:r>
      <w:r w:rsidR="00EC39D5">
        <w:instrText xml:space="preserve"> SEQ Figure \* ARABIC </w:instrText>
      </w:r>
      <w:r w:rsidR="00EC39D5">
        <w:fldChar w:fldCharType="separate"/>
      </w:r>
      <w:r w:rsidR="00BF489D">
        <w:rPr>
          <w:noProof/>
        </w:rPr>
        <w:t>5</w:t>
      </w:r>
      <w:r w:rsidR="00EC39D5">
        <w:rPr>
          <w:noProof/>
        </w:rPr>
        <w:fldChar w:fldCharType="end"/>
      </w:r>
      <w:bookmarkEnd w:id="125"/>
      <w:r w:rsidR="00482FEC" w:rsidRPr="00404724">
        <w:tab/>
        <w:t>National annual road fatalities, 2000 to 2024</w:t>
      </w:r>
      <w:bookmarkEnd w:id="126"/>
      <w:bookmarkEnd w:id="127"/>
    </w:p>
    <w:tbl>
      <w:tblPr>
        <w:tblStyle w:val="aacTablenolines"/>
        <w:tblW w:w="5000" w:type="pct"/>
        <w:tblLayout w:type="fixed"/>
        <w:tblCellMar>
          <w:left w:w="108" w:type="dxa"/>
          <w:right w:w="108" w:type="dxa"/>
        </w:tblCellMar>
        <w:tblLook w:val="04A0" w:firstRow="1" w:lastRow="0" w:firstColumn="1" w:lastColumn="0" w:noHBand="0" w:noVBand="1"/>
        <w:tblCaption w:val="Figure 3"/>
        <w:tblDescription w:val="National annual road fatalities, 2000 to 2024"/>
      </w:tblPr>
      <w:tblGrid>
        <w:gridCol w:w="9864"/>
      </w:tblGrid>
      <w:tr w:rsidR="00482FEC" w:rsidRPr="00404724" w14:paraId="3A91087A" w14:textId="77777777" w:rsidTr="00AD75AE">
        <w:trPr>
          <w:cantSplit/>
        </w:trPr>
        <w:tc>
          <w:tcPr>
            <w:tcW w:w="9864" w:type="dxa"/>
          </w:tcPr>
          <w:p w14:paraId="0DEC3A9B" w14:textId="6BF8C1C3" w:rsidR="00482FEC" w:rsidRPr="00404724" w:rsidRDefault="00AD75AE" w:rsidP="00BB5FCD">
            <w:pPr>
              <w:pStyle w:val="Figure"/>
            </w:pPr>
            <w:r w:rsidRPr="00404724">
              <w:rPr>
                <w:noProof/>
              </w:rPr>
              <w:drawing>
                <wp:inline distT="0" distB="0" distL="0" distR="0" wp14:anchorId="23A3E59D" wp14:editId="10B45DAF">
                  <wp:extent cx="6200140" cy="2119745"/>
                  <wp:effectExtent l="0" t="0" r="0" b="0"/>
                  <wp:docPr id="397526535" name="Picture 2" descr="2-series line chart, showing number of fatalities and fatalities per 100,000 population from 1989 to 2024. Fatalities count 2,800 (1989) reduces to 1,097 (2020) with fluctuations and increases from 1,097 (2020) to 1,291 (2024). Fatalities per 100,000 population follows a similar trend, from 16.53 (1989) reduces to 4.28 (2020) with fluctuations and increases to 4.71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26535" name="Picture 2" descr="2-series line chart, showing number of fatalities and fatalities per 100,000 population from 1989 to 2024. Fatalities count 2,800 (1989) reduces to 1,097 (2020) with fluctuations and increases from 1,097 (2020) to 1,291 (2024). Fatalities per 100,000 population follows a similar trend, from 16.53 (1989) reduces to 4.28 (2020) with fluctuations and increases to 4.71 (2024)."/>
                          <pic:cNvPicPr>
                            <a:picLocks noChangeAspect="1" noChangeArrowheads="1"/>
                          </pic:cNvPicPr>
                        </pic:nvPicPr>
                        <pic:blipFill rotWithShape="1">
                          <a:blip r:embed="rId22">
                            <a:extLst>
                              <a:ext uri="{28A0092B-C50C-407E-A947-70E740481C1C}">
                                <a14:useLocalDpi xmlns:a14="http://schemas.microsoft.com/office/drawing/2010/main" val="0"/>
                              </a:ext>
                            </a:extLst>
                          </a:blip>
                          <a:srcRect b="4213"/>
                          <a:stretch>
                            <a:fillRect/>
                          </a:stretch>
                        </pic:blipFill>
                        <pic:spPr bwMode="auto">
                          <a:xfrm>
                            <a:off x="0" y="0"/>
                            <a:ext cx="6200140" cy="21197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2FEC" w:rsidRPr="00404724" w14:paraId="1A63C203" w14:textId="77777777" w:rsidTr="00BB5FCD">
        <w:tblPrEx>
          <w:tblCellMar>
            <w:left w:w="0" w:type="dxa"/>
            <w:right w:w="0" w:type="dxa"/>
          </w:tblCellMar>
        </w:tblPrEx>
        <w:trPr>
          <w:cantSplit/>
        </w:trPr>
        <w:tc>
          <w:tcPr>
            <w:tcW w:w="9864" w:type="dxa"/>
            <w:tcMar>
              <w:top w:w="12" w:type="dxa"/>
              <w:bottom w:w="113" w:type="dxa"/>
            </w:tcMar>
          </w:tcPr>
          <w:p w14:paraId="68FF04B0" w14:textId="77777777" w:rsidR="00482FEC" w:rsidRPr="00404724" w:rsidRDefault="00482FEC" w:rsidP="00BB5FCD">
            <w:pPr>
              <w:pStyle w:val="Sourcenotes"/>
              <w:rPr>
                <w:lang w:val="en-AU"/>
              </w:rPr>
            </w:pPr>
            <w:r w:rsidRPr="00404724">
              <w:rPr>
                <w:lang w:val="en-AU"/>
              </w:rPr>
              <w:t>Source: ACIL Allen analysis, based on DITRDCSA and ABS</w:t>
            </w:r>
          </w:p>
        </w:tc>
      </w:tr>
    </w:tbl>
    <w:p w14:paraId="00169A0D" w14:textId="3D56605C" w:rsidR="00482FEC" w:rsidRPr="00404724" w:rsidRDefault="00FA01E0" w:rsidP="00FA01E0">
      <w:r w:rsidRPr="00FA01E0">
        <w:t>No consistent international trend in road fatality rates is evident</w:t>
      </w:r>
      <w:r w:rsidR="00482FEC" w:rsidRPr="00404724">
        <w:t xml:space="preserve">. </w:t>
      </w:r>
      <w:r w:rsidRPr="00FA01E0">
        <w:t>In New Zealand, fatalities rose after the COVID-19 pandemic, peaking in 2022 with 371 deaths (7.25 per 100,000</w:t>
      </w:r>
      <w:r>
        <w:t xml:space="preserve"> </w:t>
      </w:r>
      <w:r w:rsidRPr="00404724">
        <w:t>population</w:t>
      </w:r>
      <w:r w:rsidRPr="00FA01E0">
        <w:t>), but fell to 292 deaths in 2024 (5.5 per 100,000</w:t>
      </w:r>
      <w:r>
        <w:t xml:space="preserve"> </w:t>
      </w:r>
      <w:r w:rsidRPr="00404724">
        <w:t>population</w:t>
      </w:r>
      <w:r w:rsidRPr="00FA01E0">
        <w:t>)—the lowest since 2014</w:t>
      </w:r>
      <w:r>
        <w:t>.</w:t>
      </w:r>
      <w:r w:rsidR="00482FEC" w:rsidRPr="00404724">
        <w:rPr>
          <w:rStyle w:val="FootnoteReference"/>
        </w:rPr>
        <w:footnoteReference w:id="20"/>
      </w:r>
      <w:r w:rsidR="00482FEC" w:rsidRPr="00404724">
        <w:t xml:space="preserve"> </w:t>
      </w:r>
      <w:r w:rsidRPr="00FA01E0">
        <w:t xml:space="preserve">Great Britain also saw an increase </w:t>
      </w:r>
      <w:r>
        <w:t xml:space="preserve">in road fatalities </w:t>
      </w:r>
      <w:r w:rsidRPr="00FA01E0">
        <w:t>from 2020 to 2022 (1,460 to 1,711 deaths, or 2.25 to 2.60 per 100,000</w:t>
      </w:r>
      <w:r>
        <w:t xml:space="preserve"> population</w:t>
      </w:r>
      <w:r w:rsidRPr="00FA01E0">
        <w:t>), before declining by 6% in 2023 (to 1,624 deaths, 2.45 per 100,000</w:t>
      </w:r>
      <w:r>
        <w:t xml:space="preserve"> population</w:t>
      </w:r>
      <w:r w:rsidRPr="00FA01E0">
        <w:t>)</w:t>
      </w:r>
      <w:r w:rsidR="00482FEC" w:rsidRPr="00404724">
        <w:t>.</w:t>
      </w:r>
      <w:r w:rsidR="00482FEC" w:rsidRPr="00404724">
        <w:rPr>
          <w:rStyle w:val="FootnoteReference"/>
        </w:rPr>
        <w:footnoteReference w:id="21"/>
      </w:r>
      <w:r w:rsidR="00482FEC" w:rsidRPr="00404724">
        <w:t xml:space="preserve"> </w:t>
      </w:r>
      <w:r w:rsidRPr="00FA01E0">
        <w:t>The United States recorded a reduction since 2022, from 42,514 to 40,990 deaths (12.76 to 12.06 per 100,000</w:t>
      </w:r>
      <w:r>
        <w:t xml:space="preserve"> population</w:t>
      </w:r>
      <w:r w:rsidRPr="00FA01E0">
        <w:t>)</w:t>
      </w:r>
      <w:r w:rsidR="00482FEC" w:rsidRPr="00404724">
        <w:t>.</w:t>
      </w:r>
      <w:r w:rsidR="00482FEC" w:rsidRPr="00404724">
        <w:rPr>
          <w:rStyle w:val="FootnoteReference"/>
        </w:rPr>
        <w:footnoteReference w:id="22"/>
      </w:r>
      <w:r w:rsidR="00482FEC" w:rsidRPr="00404724">
        <w:t xml:space="preserve"> </w:t>
      </w:r>
      <w:r w:rsidRPr="00FA01E0">
        <w:t>By contrast, Canada’s fatalities rose from 2020 to 2023, increasing from 38,824 to 40,990 deaths (4.59 to 4.90 per 100,000</w:t>
      </w:r>
      <w:r>
        <w:t xml:space="preserve"> </w:t>
      </w:r>
      <w:r w:rsidR="005B4941" w:rsidRPr="00404724">
        <w:t>population</w:t>
      </w:r>
      <w:r w:rsidR="00404828" w:rsidRPr="00404724">
        <w:t>)</w:t>
      </w:r>
      <w:r w:rsidR="00482FEC" w:rsidRPr="00404724">
        <w:t>.</w:t>
      </w:r>
      <w:r w:rsidR="00482FEC" w:rsidRPr="00404724">
        <w:rPr>
          <w:rStyle w:val="FootnoteReference"/>
        </w:rPr>
        <w:footnoteReference w:id="23"/>
      </w:r>
      <w:r w:rsidR="00D15CA9" w:rsidRPr="00404724">
        <w:t xml:space="preserve"> </w:t>
      </w:r>
    </w:p>
    <w:p w14:paraId="70F17167" w14:textId="6C343EF1" w:rsidR="00337DDD" w:rsidRPr="00404724" w:rsidRDefault="000C25A5" w:rsidP="00393FD2">
      <w:r w:rsidRPr="00404724">
        <w:fldChar w:fldCharType="begin"/>
      </w:r>
      <w:r w:rsidRPr="00404724">
        <w:instrText xml:space="preserve"> REF _Ref208496080 \h </w:instrText>
      </w:r>
      <w:r w:rsidR="00393FD2" w:rsidRPr="00404724">
        <w:instrText xml:space="preserve"> \* MERGEFORMAT </w:instrText>
      </w:r>
      <w:r w:rsidRPr="00404724">
        <w:fldChar w:fldCharType="separate"/>
      </w:r>
      <w:r w:rsidR="00BF489D" w:rsidRPr="00404724">
        <w:t xml:space="preserve">Table </w:t>
      </w:r>
      <w:r w:rsidR="00BF489D">
        <w:rPr>
          <w:noProof/>
        </w:rPr>
        <w:t>7</w:t>
      </w:r>
      <w:r w:rsidRPr="00404724">
        <w:fldChar w:fldCharType="end"/>
      </w:r>
      <w:r w:rsidR="00DC35FB" w:rsidRPr="00404724">
        <w:t xml:space="preserve"> </w:t>
      </w:r>
      <w:r w:rsidR="00337DDD" w:rsidRPr="00404724">
        <w:t xml:space="preserve">below shows the change in fatality rate per 100,000 population between 2020 and 2023 for these countries, with Australia </w:t>
      </w:r>
      <w:r w:rsidR="00B423C9" w:rsidRPr="00404724">
        <w:t xml:space="preserve">recording </w:t>
      </w:r>
      <w:r w:rsidR="00337DDD" w:rsidRPr="00404724">
        <w:t xml:space="preserve">the </w:t>
      </w:r>
      <w:r w:rsidR="00A06577" w:rsidRPr="00404724">
        <w:t xml:space="preserve">second </w:t>
      </w:r>
      <w:r w:rsidR="00337DDD" w:rsidRPr="00404724">
        <w:t>largest increase of 8.44% between these 2 years.</w:t>
      </w:r>
    </w:p>
    <w:p w14:paraId="2F9F569F" w14:textId="79FD2007" w:rsidR="00404828" w:rsidRPr="00404724" w:rsidRDefault="000C25A5" w:rsidP="003979C3">
      <w:pPr>
        <w:pStyle w:val="Tablefigureheading"/>
      </w:pPr>
      <w:bookmarkStart w:id="128" w:name="_Ref208496080"/>
      <w:bookmarkStart w:id="129" w:name="_Toc210040348"/>
      <w:bookmarkStart w:id="130" w:name="_Toc210051884"/>
      <w:r w:rsidRPr="00404724">
        <w:t xml:space="preserve">Table </w:t>
      </w:r>
      <w:r w:rsidR="00EC39D5">
        <w:fldChar w:fldCharType="begin"/>
      </w:r>
      <w:r w:rsidR="00EC39D5">
        <w:instrText xml:space="preserve"> SEQ Table \* ARABIC </w:instrText>
      </w:r>
      <w:r w:rsidR="00EC39D5">
        <w:fldChar w:fldCharType="separate"/>
      </w:r>
      <w:r w:rsidR="00BF489D">
        <w:rPr>
          <w:noProof/>
        </w:rPr>
        <w:t>7</w:t>
      </w:r>
      <w:r w:rsidR="00EC39D5">
        <w:rPr>
          <w:noProof/>
        </w:rPr>
        <w:fldChar w:fldCharType="end"/>
      </w:r>
      <w:bookmarkEnd w:id="128"/>
      <w:r w:rsidR="00404828" w:rsidRPr="00404724">
        <w:tab/>
        <w:t>Fatalities per 100,000 population in 2020 and 2023 by country</w:t>
      </w:r>
      <w:bookmarkEnd w:id="129"/>
      <w:bookmarkEnd w:id="130"/>
    </w:p>
    <w:tbl>
      <w:tblPr>
        <w:tblStyle w:val="DefaultTable1"/>
        <w:tblW w:w="5000" w:type="pct"/>
        <w:tblLook w:val="04E0" w:firstRow="1" w:lastRow="1" w:firstColumn="1" w:lastColumn="0" w:noHBand="0" w:noVBand="1"/>
        <w:tblCaption w:val="Table 7 Fatalities per 100,000 population in 2020 and 2023 by country"/>
        <w:tblDescription w:val="Table 7 Fatalities per 100,000 population in 2020 and 2023 by country"/>
      </w:tblPr>
      <w:tblGrid>
        <w:gridCol w:w="3686"/>
        <w:gridCol w:w="1843"/>
        <w:gridCol w:w="1708"/>
        <w:gridCol w:w="2627"/>
      </w:tblGrid>
      <w:tr w:rsidR="00404828" w:rsidRPr="00404724" w14:paraId="4440646B" w14:textId="77777777" w:rsidTr="006D5D05">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6" w:type="dxa"/>
          </w:tcPr>
          <w:p w14:paraId="0ECAE7EF" w14:textId="0FE64394" w:rsidR="00404828" w:rsidRPr="00404724" w:rsidRDefault="00404828" w:rsidP="00404828">
            <w:r w:rsidRPr="00404724">
              <w:t>Country</w:t>
            </w:r>
          </w:p>
        </w:tc>
        <w:tc>
          <w:tcPr>
            <w:tcW w:w="1843" w:type="dxa"/>
          </w:tcPr>
          <w:p w14:paraId="6F9D6A82" w14:textId="3F89DFCB" w:rsidR="00404828" w:rsidRPr="00404724" w:rsidRDefault="00404828" w:rsidP="00542D75">
            <w:pPr>
              <w:jc w:val="center"/>
              <w:cnfStyle w:val="100000000000" w:firstRow="1" w:lastRow="0" w:firstColumn="0" w:lastColumn="0" w:oddVBand="0" w:evenVBand="0" w:oddHBand="0" w:evenHBand="0" w:firstRowFirstColumn="0" w:firstRowLastColumn="0" w:lastRowFirstColumn="0" w:lastRowLastColumn="0"/>
            </w:pPr>
            <w:r w:rsidRPr="00404724">
              <w:t>2020</w:t>
            </w:r>
          </w:p>
        </w:tc>
        <w:tc>
          <w:tcPr>
            <w:tcW w:w="1708" w:type="dxa"/>
          </w:tcPr>
          <w:p w14:paraId="674CFC7F" w14:textId="3BD27672" w:rsidR="00404828" w:rsidRPr="00404724" w:rsidRDefault="00404828" w:rsidP="00542D75">
            <w:pPr>
              <w:jc w:val="center"/>
              <w:cnfStyle w:val="100000000000" w:firstRow="1" w:lastRow="0" w:firstColumn="0" w:lastColumn="0" w:oddVBand="0" w:evenVBand="0" w:oddHBand="0" w:evenHBand="0" w:firstRowFirstColumn="0" w:firstRowLastColumn="0" w:lastRowFirstColumn="0" w:lastRowLastColumn="0"/>
            </w:pPr>
            <w:r w:rsidRPr="00404724">
              <w:t>2023</w:t>
            </w:r>
          </w:p>
        </w:tc>
        <w:tc>
          <w:tcPr>
            <w:tcW w:w="2627" w:type="dxa"/>
          </w:tcPr>
          <w:p w14:paraId="6E86CBAB" w14:textId="7D6CB946" w:rsidR="00404828" w:rsidRPr="00404724" w:rsidRDefault="00404828" w:rsidP="00542D75">
            <w:pPr>
              <w:jc w:val="center"/>
              <w:cnfStyle w:val="100000000000" w:firstRow="1" w:lastRow="0" w:firstColumn="0" w:lastColumn="0" w:oddVBand="0" w:evenVBand="0" w:oddHBand="0" w:evenHBand="0" w:firstRowFirstColumn="0" w:firstRowLastColumn="0" w:lastRowFirstColumn="0" w:lastRowLastColumn="0"/>
            </w:pPr>
            <w:r w:rsidRPr="00404724">
              <w:t>Change from 2020 to 2023</w:t>
            </w:r>
          </w:p>
        </w:tc>
      </w:tr>
      <w:tr w:rsidR="00404828" w:rsidRPr="00404724" w14:paraId="4EB97981" w14:textId="77777777" w:rsidTr="006D5D05">
        <w:trPr>
          <w:cantSplit/>
        </w:trPr>
        <w:tc>
          <w:tcPr>
            <w:cnfStyle w:val="001000000000" w:firstRow="0" w:lastRow="0" w:firstColumn="1" w:lastColumn="0" w:oddVBand="0" w:evenVBand="0" w:oddHBand="0" w:evenHBand="0" w:firstRowFirstColumn="0" w:firstRowLastColumn="0" w:lastRowFirstColumn="0" w:lastRowLastColumn="0"/>
            <w:tcW w:w="3686" w:type="dxa"/>
          </w:tcPr>
          <w:p w14:paraId="75593C1A" w14:textId="1AABCDD2" w:rsidR="00404828" w:rsidRPr="00404724" w:rsidRDefault="00404828" w:rsidP="006D5D05">
            <w:pPr>
              <w:spacing w:before="40" w:after="40"/>
              <w:rPr>
                <w:b w:val="0"/>
                <w:bCs/>
              </w:rPr>
            </w:pPr>
            <w:r w:rsidRPr="00404724">
              <w:t xml:space="preserve">New Zealand </w:t>
            </w:r>
          </w:p>
        </w:tc>
        <w:tc>
          <w:tcPr>
            <w:tcW w:w="1843" w:type="dxa"/>
          </w:tcPr>
          <w:p w14:paraId="36CFC4AD" w14:textId="275B3601" w:rsidR="00404828" w:rsidRPr="00404724" w:rsidRDefault="00404828" w:rsidP="006D5D05">
            <w:pPr>
              <w:spacing w:before="40" w:after="40"/>
              <w:jc w:val="center"/>
              <w:cnfStyle w:val="000000000000" w:firstRow="0" w:lastRow="0" w:firstColumn="0" w:lastColumn="0" w:oddVBand="0" w:evenVBand="0" w:oddHBand="0" w:evenHBand="0" w:firstRowFirstColumn="0" w:firstRowLastColumn="0" w:lastRowFirstColumn="0" w:lastRowLastColumn="0"/>
            </w:pPr>
            <w:r w:rsidRPr="00404724">
              <w:t>6.26</w:t>
            </w:r>
          </w:p>
        </w:tc>
        <w:tc>
          <w:tcPr>
            <w:tcW w:w="1708" w:type="dxa"/>
          </w:tcPr>
          <w:p w14:paraId="2B9308FA" w14:textId="1416C6F6" w:rsidR="00404828" w:rsidRPr="00404724" w:rsidRDefault="00404828" w:rsidP="006D5D05">
            <w:pPr>
              <w:spacing w:before="40" w:after="40"/>
              <w:jc w:val="center"/>
              <w:cnfStyle w:val="000000000000" w:firstRow="0" w:lastRow="0" w:firstColumn="0" w:lastColumn="0" w:oddVBand="0" w:evenVBand="0" w:oddHBand="0" w:evenHBand="0" w:firstRowFirstColumn="0" w:firstRowLastColumn="0" w:lastRowFirstColumn="0" w:lastRowLastColumn="0"/>
            </w:pPr>
            <w:r w:rsidRPr="00404724">
              <w:t>6.50</w:t>
            </w:r>
          </w:p>
        </w:tc>
        <w:tc>
          <w:tcPr>
            <w:tcW w:w="2627" w:type="dxa"/>
          </w:tcPr>
          <w:p w14:paraId="6127CB92" w14:textId="4A7D6ABB" w:rsidR="00404828" w:rsidRPr="00404724" w:rsidRDefault="00404828" w:rsidP="006D5D05">
            <w:pPr>
              <w:spacing w:before="40" w:after="40"/>
              <w:jc w:val="center"/>
              <w:cnfStyle w:val="000000000000" w:firstRow="0" w:lastRow="0" w:firstColumn="0" w:lastColumn="0" w:oddVBand="0" w:evenVBand="0" w:oddHBand="0" w:evenHBand="0" w:firstRowFirstColumn="0" w:firstRowLastColumn="0" w:lastRowFirstColumn="0" w:lastRowLastColumn="0"/>
              <w:rPr>
                <w:bCs/>
              </w:rPr>
            </w:pPr>
            <w:r w:rsidRPr="00404724">
              <w:t>3.83%</w:t>
            </w:r>
          </w:p>
        </w:tc>
      </w:tr>
      <w:tr w:rsidR="00404828" w:rsidRPr="00404724" w14:paraId="0281B7C7" w14:textId="77777777" w:rsidTr="006D5D0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6" w:type="dxa"/>
          </w:tcPr>
          <w:p w14:paraId="3C771F0F" w14:textId="46EFD70A" w:rsidR="00404828" w:rsidRPr="00404724" w:rsidRDefault="00DC35FB" w:rsidP="006D5D05">
            <w:pPr>
              <w:spacing w:before="40" w:after="40"/>
              <w:rPr>
                <w:b w:val="0"/>
                <w:bCs/>
              </w:rPr>
            </w:pPr>
            <w:r w:rsidRPr="00404724">
              <w:t>United Kingdom (Great Britain only)</w:t>
            </w:r>
          </w:p>
        </w:tc>
        <w:tc>
          <w:tcPr>
            <w:tcW w:w="1843" w:type="dxa"/>
          </w:tcPr>
          <w:p w14:paraId="6125B2BD" w14:textId="7D6B7D05" w:rsidR="00404828" w:rsidRPr="00404724" w:rsidRDefault="00DC35FB" w:rsidP="006D5D05">
            <w:pPr>
              <w:spacing w:before="40" w:after="40"/>
              <w:jc w:val="center"/>
              <w:cnfStyle w:val="000000010000" w:firstRow="0" w:lastRow="0" w:firstColumn="0" w:lastColumn="0" w:oddVBand="0" w:evenVBand="0" w:oddHBand="0" w:evenHBand="1" w:firstRowFirstColumn="0" w:firstRowLastColumn="0" w:lastRowFirstColumn="0" w:lastRowLastColumn="0"/>
            </w:pPr>
            <w:r w:rsidRPr="00404724">
              <w:t>2.25</w:t>
            </w:r>
          </w:p>
        </w:tc>
        <w:tc>
          <w:tcPr>
            <w:tcW w:w="1708" w:type="dxa"/>
          </w:tcPr>
          <w:p w14:paraId="2FE89A18" w14:textId="547FFAFE" w:rsidR="00404828" w:rsidRPr="00404724" w:rsidRDefault="00DC35FB" w:rsidP="006D5D05">
            <w:pPr>
              <w:spacing w:before="40" w:after="40"/>
              <w:jc w:val="center"/>
              <w:cnfStyle w:val="000000010000" w:firstRow="0" w:lastRow="0" w:firstColumn="0" w:lastColumn="0" w:oddVBand="0" w:evenVBand="0" w:oddHBand="0" w:evenHBand="1" w:firstRowFirstColumn="0" w:firstRowLastColumn="0" w:lastRowFirstColumn="0" w:lastRowLastColumn="0"/>
            </w:pPr>
            <w:r w:rsidRPr="00404724">
              <w:t>2.45</w:t>
            </w:r>
          </w:p>
        </w:tc>
        <w:tc>
          <w:tcPr>
            <w:tcW w:w="2627" w:type="dxa"/>
          </w:tcPr>
          <w:p w14:paraId="2946218C" w14:textId="26F2F4FD" w:rsidR="00404828" w:rsidRPr="00404724" w:rsidRDefault="00A06577" w:rsidP="006D5D05">
            <w:pPr>
              <w:spacing w:before="40" w:after="40"/>
              <w:jc w:val="center"/>
              <w:cnfStyle w:val="000000010000" w:firstRow="0" w:lastRow="0" w:firstColumn="0" w:lastColumn="0" w:oddVBand="0" w:evenVBand="0" w:oddHBand="0" w:evenHBand="1" w:firstRowFirstColumn="0" w:firstRowLastColumn="0" w:lastRowFirstColumn="0" w:lastRowLastColumn="0"/>
              <w:rPr>
                <w:bCs/>
              </w:rPr>
            </w:pPr>
            <w:r w:rsidRPr="00404724">
              <w:t>8.72</w:t>
            </w:r>
            <w:r w:rsidR="00404828" w:rsidRPr="00404724">
              <w:t>%</w:t>
            </w:r>
          </w:p>
        </w:tc>
      </w:tr>
      <w:tr w:rsidR="00404828" w:rsidRPr="00404724" w14:paraId="7DD0E0CF" w14:textId="77777777" w:rsidTr="006D5D05">
        <w:trPr>
          <w:cantSplit/>
        </w:trPr>
        <w:tc>
          <w:tcPr>
            <w:cnfStyle w:val="001000000000" w:firstRow="0" w:lastRow="0" w:firstColumn="1" w:lastColumn="0" w:oddVBand="0" w:evenVBand="0" w:oddHBand="0" w:evenHBand="0" w:firstRowFirstColumn="0" w:firstRowLastColumn="0" w:lastRowFirstColumn="0" w:lastRowLastColumn="0"/>
            <w:tcW w:w="3686" w:type="dxa"/>
          </w:tcPr>
          <w:p w14:paraId="343D1F97" w14:textId="440E16C7" w:rsidR="00404828" w:rsidRPr="00404724" w:rsidRDefault="00404828" w:rsidP="006D5D05">
            <w:pPr>
              <w:spacing w:before="40" w:after="40"/>
              <w:rPr>
                <w:b w:val="0"/>
                <w:bCs/>
              </w:rPr>
            </w:pPr>
            <w:r w:rsidRPr="00404724">
              <w:t xml:space="preserve">United States </w:t>
            </w:r>
          </w:p>
        </w:tc>
        <w:tc>
          <w:tcPr>
            <w:tcW w:w="1843" w:type="dxa"/>
          </w:tcPr>
          <w:p w14:paraId="01D2F951" w14:textId="62CAB3C3" w:rsidR="00404828" w:rsidRPr="00404724" w:rsidRDefault="00404828" w:rsidP="006D5D05">
            <w:pPr>
              <w:spacing w:before="40" w:after="40"/>
              <w:jc w:val="center"/>
              <w:cnfStyle w:val="000000000000" w:firstRow="0" w:lastRow="0" w:firstColumn="0" w:lastColumn="0" w:oddVBand="0" w:evenVBand="0" w:oddHBand="0" w:evenHBand="0" w:firstRowFirstColumn="0" w:firstRowLastColumn="0" w:lastRowFirstColumn="0" w:lastRowLastColumn="0"/>
            </w:pPr>
            <w:r w:rsidRPr="00404724">
              <w:t>11.67</w:t>
            </w:r>
          </w:p>
        </w:tc>
        <w:tc>
          <w:tcPr>
            <w:tcW w:w="1708" w:type="dxa"/>
          </w:tcPr>
          <w:p w14:paraId="1B949391" w14:textId="51AD4A9A" w:rsidR="00404828" w:rsidRPr="00404724" w:rsidRDefault="00404828" w:rsidP="006D5D05">
            <w:pPr>
              <w:spacing w:before="40" w:after="40"/>
              <w:jc w:val="center"/>
              <w:cnfStyle w:val="000000000000" w:firstRow="0" w:lastRow="0" w:firstColumn="0" w:lastColumn="0" w:oddVBand="0" w:evenVBand="0" w:oddHBand="0" w:evenHBand="0" w:firstRowFirstColumn="0" w:firstRowLastColumn="0" w:lastRowFirstColumn="0" w:lastRowLastColumn="0"/>
            </w:pPr>
            <w:r w:rsidRPr="00404724">
              <w:t>12.</w:t>
            </w:r>
            <w:r w:rsidR="00AD75AE" w:rsidRPr="00404724">
              <w:t>7</w:t>
            </w:r>
            <w:r w:rsidRPr="00404724">
              <w:t>6</w:t>
            </w:r>
          </w:p>
        </w:tc>
        <w:tc>
          <w:tcPr>
            <w:tcW w:w="2627" w:type="dxa"/>
          </w:tcPr>
          <w:p w14:paraId="27F1AEEF" w14:textId="2F2723DF" w:rsidR="00404828" w:rsidRPr="00404724" w:rsidRDefault="00404828" w:rsidP="006D5D05">
            <w:pPr>
              <w:spacing w:before="40" w:after="40"/>
              <w:jc w:val="center"/>
              <w:cnfStyle w:val="000000000000" w:firstRow="0" w:lastRow="0" w:firstColumn="0" w:lastColumn="0" w:oddVBand="0" w:evenVBand="0" w:oddHBand="0" w:evenHBand="0" w:firstRowFirstColumn="0" w:firstRowLastColumn="0" w:lastRowFirstColumn="0" w:lastRowLastColumn="0"/>
              <w:rPr>
                <w:bCs/>
              </w:rPr>
            </w:pPr>
            <w:r w:rsidRPr="00404724">
              <w:t>3.34%</w:t>
            </w:r>
          </w:p>
        </w:tc>
      </w:tr>
      <w:tr w:rsidR="00404828" w:rsidRPr="00404724" w14:paraId="4B53E6E4" w14:textId="77777777" w:rsidTr="006D5D0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6" w:type="dxa"/>
          </w:tcPr>
          <w:p w14:paraId="19868406" w14:textId="6B8CB4D8" w:rsidR="00404828" w:rsidRPr="00404724" w:rsidRDefault="00404828" w:rsidP="006D5D05">
            <w:pPr>
              <w:spacing w:before="40" w:after="40"/>
              <w:rPr>
                <w:b w:val="0"/>
                <w:bCs/>
              </w:rPr>
            </w:pPr>
            <w:r w:rsidRPr="00404724">
              <w:t xml:space="preserve">Canada </w:t>
            </w:r>
          </w:p>
        </w:tc>
        <w:tc>
          <w:tcPr>
            <w:tcW w:w="1843" w:type="dxa"/>
          </w:tcPr>
          <w:p w14:paraId="1C9B95C4" w14:textId="155F2452" w:rsidR="00404828" w:rsidRPr="00404724" w:rsidRDefault="00404828" w:rsidP="006D5D05">
            <w:pPr>
              <w:spacing w:before="40" w:after="40"/>
              <w:jc w:val="center"/>
              <w:cnfStyle w:val="000000010000" w:firstRow="0" w:lastRow="0" w:firstColumn="0" w:lastColumn="0" w:oddVBand="0" w:evenVBand="0" w:oddHBand="0" w:evenHBand="1" w:firstRowFirstColumn="0" w:firstRowLastColumn="0" w:lastRowFirstColumn="0" w:lastRowLastColumn="0"/>
            </w:pPr>
            <w:r w:rsidRPr="00404724">
              <w:t>4.59</w:t>
            </w:r>
          </w:p>
        </w:tc>
        <w:tc>
          <w:tcPr>
            <w:tcW w:w="1708" w:type="dxa"/>
          </w:tcPr>
          <w:p w14:paraId="1B168850" w14:textId="2E82B4D7" w:rsidR="00404828" w:rsidRPr="00404724" w:rsidRDefault="00404828" w:rsidP="006D5D05">
            <w:pPr>
              <w:spacing w:before="40" w:after="40"/>
              <w:jc w:val="center"/>
              <w:cnfStyle w:val="000000010000" w:firstRow="0" w:lastRow="0" w:firstColumn="0" w:lastColumn="0" w:oddVBand="0" w:evenVBand="0" w:oddHBand="0" w:evenHBand="1" w:firstRowFirstColumn="0" w:firstRowLastColumn="0" w:lastRowFirstColumn="0" w:lastRowLastColumn="0"/>
            </w:pPr>
            <w:r w:rsidRPr="00404724">
              <w:t>4.90</w:t>
            </w:r>
          </w:p>
        </w:tc>
        <w:tc>
          <w:tcPr>
            <w:tcW w:w="2627" w:type="dxa"/>
          </w:tcPr>
          <w:p w14:paraId="58839765" w14:textId="2DEDE929" w:rsidR="00404828" w:rsidRPr="00404724" w:rsidRDefault="00404828" w:rsidP="006D5D05">
            <w:pPr>
              <w:spacing w:before="40" w:after="40"/>
              <w:jc w:val="center"/>
              <w:cnfStyle w:val="000000010000" w:firstRow="0" w:lastRow="0" w:firstColumn="0" w:lastColumn="0" w:oddVBand="0" w:evenVBand="0" w:oddHBand="0" w:evenHBand="1" w:firstRowFirstColumn="0" w:firstRowLastColumn="0" w:lastRowFirstColumn="0" w:lastRowLastColumn="0"/>
              <w:rPr>
                <w:bCs/>
              </w:rPr>
            </w:pPr>
            <w:r w:rsidRPr="00404724">
              <w:t>6.72%</w:t>
            </w:r>
          </w:p>
        </w:tc>
      </w:tr>
      <w:tr w:rsidR="00404828" w:rsidRPr="00404724" w14:paraId="16AAF5A9" w14:textId="77777777" w:rsidTr="006D5D05">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8877B50" w14:textId="1002B988" w:rsidR="00404828" w:rsidRPr="00404724" w:rsidRDefault="00404828" w:rsidP="006D5D05">
            <w:pPr>
              <w:spacing w:before="40" w:after="40"/>
              <w:rPr>
                <w:b w:val="0"/>
                <w:bCs/>
              </w:rPr>
            </w:pPr>
            <w:r w:rsidRPr="00404724">
              <w:t>Australia</w:t>
            </w:r>
          </w:p>
        </w:tc>
        <w:tc>
          <w:tcPr>
            <w:tcW w:w="1843" w:type="dxa"/>
            <w:shd w:val="clear" w:color="auto" w:fill="auto"/>
          </w:tcPr>
          <w:p w14:paraId="360DCE57" w14:textId="7E012784" w:rsidR="00404828" w:rsidRPr="00404724" w:rsidRDefault="00404828" w:rsidP="006D5D05">
            <w:pPr>
              <w:spacing w:before="40" w:after="40"/>
              <w:jc w:val="center"/>
              <w:cnfStyle w:val="010000000000" w:firstRow="0" w:lastRow="1" w:firstColumn="0" w:lastColumn="0" w:oddVBand="0" w:evenVBand="0" w:oddHBand="0" w:evenHBand="0" w:firstRowFirstColumn="0" w:firstRowLastColumn="0" w:lastRowFirstColumn="0" w:lastRowLastColumn="0"/>
            </w:pPr>
            <w:r w:rsidRPr="00404724">
              <w:t>4.28</w:t>
            </w:r>
          </w:p>
        </w:tc>
        <w:tc>
          <w:tcPr>
            <w:tcW w:w="1708" w:type="dxa"/>
            <w:shd w:val="clear" w:color="auto" w:fill="auto"/>
          </w:tcPr>
          <w:p w14:paraId="7E15837F" w14:textId="67605CC4" w:rsidR="00404828" w:rsidRPr="00404724" w:rsidRDefault="00404828" w:rsidP="006D5D05">
            <w:pPr>
              <w:spacing w:before="40" w:after="40"/>
              <w:jc w:val="center"/>
              <w:cnfStyle w:val="010000000000" w:firstRow="0" w:lastRow="1" w:firstColumn="0" w:lastColumn="0" w:oddVBand="0" w:evenVBand="0" w:oddHBand="0" w:evenHBand="0" w:firstRowFirstColumn="0" w:firstRowLastColumn="0" w:lastRowFirstColumn="0" w:lastRowLastColumn="0"/>
            </w:pPr>
            <w:r w:rsidRPr="00404724">
              <w:t>4.64</w:t>
            </w:r>
          </w:p>
        </w:tc>
        <w:tc>
          <w:tcPr>
            <w:tcW w:w="2627" w:type="dxa"/>
            <w:shd w:val="clear" w:color="auto" w:fill="auto"/>
          </w:tcPr>
          <w:p w14:paraId="0092B15D" w14:textId="4A78244D" w:rsidR="00404828" w:rsidRPr="00404724" w:rsidRDefault="00404828" w:rsidP="006D5D05">
            <w:pPr>
              <w:spacing w:before="40" w:after="40"/>
              <w:jc w:val="center"/>
              <w:cnfStyle w:val="010000000000" w:firstRow="0" w:lastRow="1" w:firstColumn="0" w:lastColumn="0" w:oddVBand="0" w:evenVBand="0" w:oddHBand="0" w:evenHBand="0" w:firstRowFirstColumn="0" w:firstRowLastColumn="0" w:lastRowFirstColumn="0" w:lastRowLastColumn="0"/>
              <w:rPr>
                <w:bCs/>
              </w:rPr>
            </w:pPr>
            <w:r w:rsidRPr="00404724">
              <w:t>8.44%</w:t>
            </w:r>
          </w:p>
        </w:tc>
      </w:tr>
    </w:tbl>
    <w:p w14:paraId="3828D983" w14:textId="4620D425" w:rsidR="007106C4" w:rsidRPr="00404724" w:rsidRDefault="00404828" w:rsidP="00485648">
      <w:pPr>
        <w:pStyle w:val="Sourcenotes"/>
      </w:pPr>
      <w:r w:rsidRPr="00404724">
        <w:t xml:space="preserve">Source: ACIL Allen analysis, based on </w:t>
      </w:r>
      <w:r w:rsidR="00337DDD" w:rsidRPr="00404724">
        <w:t>various sources</w:t>
      </w:r>
    </w:p>
    <w:p w14:paraId="752ED3A2" w14:textId="3D6D4BD0" w:rsidR="0045398D" w:rsidRPr="00404724" w:rsidRDefault="0045398D" w:rsidP="00393FD2">
      <w:r w:rsidRPr="00404724">
        <w:lastRenderedPageBreak/>
        <w:t>Australia’s fatality rate also has been found to be high amongst the OECD countries.</w:t>
      </w:r>
      <w:r w:rsidR="004D64E6" w:rsidRPr="00404724">
        <w:t xml:space="preserve"> </w:t>
      </w:r>
      <w:r w:rsidR="004D64E6" w:rsidRPr="00404724">
        <w:fldChar w:fldCharType="begin"/>
      </w:r>
      <w:r w:rsidR="004D64E6" w:rsidRPr="00404724">
        <w:instrText xml:space="preserve"> REF _Ref208397710 \h </w:instrText>
      </w:r>
      <w:r w:rsidR="00393FD2" w:rsidRPr="00404724">
        <w:instrText xml:space="preserve"> \* MERGEFORMAT </w:instrText>
      </w:r>
      <w:r w:rsidR="004D64E6" w:rsidRPr="00404724">
        <w:fldChar w:fldCharType="separate"/>
      </w:r>
      <w:r w:rsidR="00BF489D" w:rsidRPr="00404724">
        <w:t xml:space="preserve">Figure </w:t>
      </w:r>
      <w:r w:rsidR="00BF489D">
        <w:rPr>
          <w:noProof/>
        </w:rPr>
        <w:t>6</w:t>
      </w:r>
      <w:r w:rsidR="004D64E6" w:rsidRPr="00404724">
        <w:fldChar w:fldCharType="end"/>
      </w:r>
      <w:r w:rsidRPr="00404724">
        <w:t xml:space="preserve"> shows a comparison of fatality rate per 100,000 population in 32 OECD countries in 2023.</w:t>
      </w:r>
      <w:r w:rsidRPr="00404724">
        <w:rPr>
          <w:rStyle w:val="FootnoteReference"/>
        </w:rPr>
        <w:footnoteReference w:id="24"/>
      </w:r>
      <w:r w:rsidRPr="00404724">
        <w:t xml:space="preserve"> In Australia, it was found that 4.69 people died due to road trauma for every 100,000 population, higher than the OECD median than 4.33. </w:t>
      </w:r>
    </w:p>
    <w:p w14:paraId="0829D037" w14:textId="063B2891" w:rsidR="0045398D" w:rsidRPr="00404724" w:rsidRDefault="00AD0DBC" w:rsidP="003979C3">
      <w:pPr>
        <w:pStyle w:val="Tablefigureheading"/>
      </w:pPr>
      <w:bookmarkStart w:id="131" w:name="_Ref208397710"/>
      <w:bookmarkStart w:id="132" w:name="_Toc210040349"/>
      <w:bookmarkStart w:id="133" w:name="_Toc210051885"/>
      <w:r w:rsidRPr="00404724">
        <w:t xml:space="preserve">Figure </w:t>
      </w:r>
      <w:r w:rsidR="00EC39D5">
        <w:fldChar w:fldCharType="begin"/>
      </w:r>
      <w:r w:rsidR="00EC39D5">
        <w:instrText xml:space="preserve"> SEQ Figure \* ARABIC </w:instrText>
      </w:r>
      <w:r w:rsidR="00EC39D5">
        <w:fldChar w:fldCharType="separate"/>
      </w:r>
      <w:r w:rsidR="00BF489D">
        <w:rPr>
          <w:noProof/>
        </w:rPr>
        <w:t>6</w:t>
      </w:r>
      <w:r w:rsidR="00EC39D5">
        <w:rPr>
          <w:noProof/>
        </w:rPr>
        <w:fldChar w:fldCharType="end"/>
      </w:r>
      <w:bookmarkEnd w:id="131"/>
      <w:r w:rsidRPr="00404724">
        <w:tab/>
      </w:r>
      <w:r w:rsidR="0045398D" w:rsidRPr="00404724">
        <w:t>Comparison of fatality rate per 100,000 population in 32 OECD countries, 2023</w:t>
      </w:r>
      <w:bookmarkEnd w:id="132"/>
      <w:bookmarkEnd w:id="133"/>
    </w:p>
    <w:tbl>
      <w:tblPr>
        <w:tblStyle w:val="aacTablenolines"/>
        <w:tblW w:w="5000" w:type="pct"/>
        <w:tblLayout w:type="fixed"/>
        <w:tblCellMar>
          <w:left w:w="108" w:type="dxa"/>
          <w:right w:w="108" w:type="dxa"/>
        </w:tblCellMar>
        <w:tblLook w:val="04A0" w:firstRow="1" w:lastRow="0" w:firstColumn="1" w:lastColumn="0" w:noHBand="0" w:noVBand="1"/>
        <w:tblCaption w:val="Figure 4 "/>
        <w:tblDescription w:val="Comparison of fatality rate per 100,000 population in 32 OECD countries, 2023"/>
      </w:tblPr>
      <w:tblGrid>
        <w:gridCol w:w="9864"/>
      </w:tblGrid>
      <w:tr w:rsidR="0045398D" w:rsidRPr="00404724" w14:paraId="05D2CC72" w14:textId="77777777" w:rsidTr="00BB5FCD">
        <w:trPr>
          <w:cantSplit/>
        </w:trPr>
        <w:tc>
          <w:tcPr>
            <w:tcW w:w="9864" w:type="dxa"/>
          </w:tcPr>
          <w:p w14:paraId="472587AD" w14:textId="0DF21F32" w:rsidR="0045398D" w:rsidRPr="00404724" w:rsidRDefault="00AC0CFA" w:rsidP="00BB5FCD">
            <w:pPr>
              <w:pStyle w:val="Figure"/>
            </w:pPr>
            <w:r w:rsidRPr="00404724">
              <w:rPr>
                <w:noProof/>
              </w:rPr>
              <w:drawing>
                <wp:inline distT="0" distB="0" distL="0" distR="0" wp14:anchorId="0E87393C" wp14:editId="1A25D2D5">
                  <wp:extent cx="6181090" cy="3796938"/>
                  <wp:effectExtent l="0" t="0" r="0" b="0"/>
                  <wp:docPr id="1766175093" name="Picture 4" descr="Comparison of fatality rate per 100,000 population: Colombia 15.76; United States 12.17; Chile 10.16; New Zealand 6.50; Greece 6.09; Portugal 6.07; Lithuania 5.57; Poland 5.16; Italy 5.15; Hungary 4.95; Korea 4.93; &#10;Canada 4.83; Australia 4.69; France 4.64; Czechia 4.62; Austria 4.40; OECD Median 4.33; Belgium 4.25; Luxembourg 3.90; Slovenia 3.87; Netherlands 3.83; Spain 3.74; Israel 3.67; Ireland 3.47; Germany 3.38; Finland 3.10; Denmark 2.72; Switzerland 2.66; Japan 2.62; United Kingdom 2.47; Sweden 2.17; Iceland 2.03; Norway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175093" name="Picture 4" descr="Comparison of fatality rate per 100,000 population: Colombia 15.76; United States 12.17; Chile 10.16; New Zealand 6.50; Greece 6.09; Portugal 6.07; Lithuania 5.57; Poland 5.16; Italy 5.15; Hungary 4.95; Korea 4.93; &#10;Canada 4.83; Australia 4.69; France 4.64; Czechia 4.62; Austria 4.40; OECD Median 4.33; Belgium 4.25; Luxembourg 3.90; Slovenia 3.87; Netherlands 3.83; Spain 3.74; Israel 3.67; Ireland 3.47; Germany 3.38; Finland 3.10; Denmark 2.72; Switzerland 2.66; Japan 2.62; United Kingdom 2.47; Sweden 2.17; Iceland 2.03; Norway 1.99"/>
                          <pic:cNvPicPr>
                            <a:picLocks noChangeAspect="1" noChangeArrowheads="1"/>
                          </pic:cNvPicPr>
                        </pic:nvPicPr>
                        <pic:blipFill rotWithShape="1">
                          <a:blip r:embed="rId29">
                            <a:extLst>
                              <a:ext uri="{28A0092B-C50C-407E-A947-70E740481C1C}">
                                <a14:useLocalDpi xmlns:a14="http://schemas.microsoft.com/office/drawing/2010/main" val="0"/>
                              </a:ext>
                            </a:extLst>
                          </a:blip>
                          <a:srcRect t="3159" b="2176"/>
                          <a:stretch>
                            <a:fillRect/>
                          </a:stretch>
                        </pic:blipFill>
                        <pic:spPr bwMode="auto">
                          <a:xfrm>
                            <a:off x="0" y="0"/>
                            <a:ext cx="6181725" cy="37973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5398D" w:rsidRPr="00404724" w14:paraId="48392BB7" w14:textId="77777777" w:rsidTr="00BB5FCD">
        <w:tblPrEx>
          <w:tblCellMar>
            <w:left w:w="0" w:type="dxa"/>
            <w:right w:w="0" w:type="dxa"/>
          </w:tblCellMar>
        </w:tblPrEx>
        <w:trPr>
          <w:cantSplit/>
        </w:trPr>
        <w:tc>
          <w:tcPr>
            <w:tcW w:w="9864" w:type="dxa"/>
            <w:tcMar>
              <w:top w:w="12" w:type="dxa"/>
              <w:bottom w:w="113" w:type="dxa"/>
            </w:tcMar>
          </w:tcPr>
          <w:p w14:paraId="5BF69F88" w14:textId="77777777" w:rsidR="00DC35FB" w:rsidRPr="00404724" w:rsidRDefault="0045398D" w:rsidP="00BB5FCD">
            <w:pPr>
              <w:pStyle w:val="Sourcenotes"/>
              <w:rPr>
                <w:lang w:val="en-AU"/>
              </w:rPr>
            </w:pPr>
            <w:r w:rsidRPr="00404724">
              <w:rPr>
                <w:lang w:val="en-AU"/>
              </w:rPr>
              <w:t>Source: ACIL Allen, based on DITRDCSA, International Transport Forum 2024, Road Safety Annual Report 2024, and the World Bank</w:t>
            </w:r>
          </w:p>
          <w:p w14:paraId="02F9E7AB" w14:textId="27930151" w:rsidR="00DC35FB" w:rsidRPr="00404724" w:rsidRDefault="00DC35FB" w:rsidP="00BB5FCD">
            <w:pPr>
              <w:pStyle w:val="Sourcenotes"/>
              <w:rPr>
                <w:lang w:val="en-AU"/>
              </w:rPr>
            </w:pPr>
            <w:r w:rsidRPr="00404724">
              <w:rPr>
                <w:lang w:val="en-AU"/>
              </w:rPr>
              <w:t>NOTE: figures differ slightly from the table above due to inconsistencies with national and World Bank reporting.</w:t>
            </w:r>
          </w:p>
        </w:tc>
      </w:tr>
    </w:tbl>
    <w:p w14:paraId="7E209798" w14:textId="707FD56A" w:rsidR="00482FEC" w:rsidRPr="00404724" w:rsidRDefault="001C33E4" w:rsidP="00393FD2">
      <w:r w:rsidRPr="00404724">
        <w:t xml:space="preserve">While data is not available to determine how many fatalities happen on roads outside built-up areas with default speed limit, statistics on fatalities and injuries by remoteness region is a good proxy as roads in more remote regions are more likely to be defined as outside built-up areas. </w:t>
      </w:r>
      <w:r w:rsidR="00482FEC" w:rsidRPr="00404724">
        <w:t>Between 2014 and July 2025:</w:t>
      </w:r>
    </w:p>
    <w:p w14:paraId="4364AF3C" w14:textId="77777777" w:rsidR="00482FEC" w:rsidRPr="00404724" w:rsidRDefault="00482FEC" w:rsidP="00485648">
      <w:pPr>
        <w:pStyle w:val="Listparagraphbullets"/>
      </w:pPr>
      <w:r w:rsidRPr="00404724">
        <w:t>nearly two-thirds of Australia’s road fatalities (65%) occurred outside of major cities</w:t>
      </w:r>
      <w:r w:rsidRPr="00404724">
        <w:rPr>
          <w:rStyle w:val="FootnoteReference"/>
        </w:rPr>
        <w:footnoteReference w:id="25"/>
      </w:r>
    </w:p>
    <w:p w14:paraId="08A37295" w14:textId="5152D616" w:rsidR="00482FEC" w:rsidRPr="00404724" w:rsidRDefault="00482FEC" w:rsidP="00485648">
      <w:pPr>
        <w:pStyle w:val="Listparagraphbullets"/>
      </w:pPr>
      <w:r w:rsidRPr="00404724">
        <w:t xml:space="preserve">the majority (85%) of road deaths </w:t>
      </w:r>
      <w:r w:rsidR="00266BF8" w:rsidRPr="00404724">
        <w:t>outside of major cities</w:t>
      </w:r>
      <w:r w:rsidR="002C79EC" w:rsidRPr="00404724">
        <w:t xml:space="preserve"> occurred on roads</w:t>
      </w:r>
      <w:r w:rsidR="00266BF8" w:rsidRPr="00404724">
        <w:t xml:space="preserve"> </w:t>
      </w:r>
      <w:r w:rsidRPr="00404724">
        <w:t>with speed limits over 80</w:t>
      </w:r>
      <w:r w:rsidR="000430F9" w:rsidRPr="00404724">
        <w:t> </w:t>
      </w:r>
      <w:r w:rsidR="00C82E00" w:rsidRPr="00404724">
        <w:t>km/h</w:t>
      </w:r>
      <w:r w:rsidRPr="00404724">
        <w:t>, with over half (53%) occurring on roads with 100</w:t>
      </w:r>
      <w:r w:rsidR="00C82E00" w:rsidRPr="00404724">
        <w:t xml:space="preserve"> km/h</w:t>
      </w:r>
      <w:r w:rsidRPr="00404724">
        <w:t xml:space="preserve"> and 110</w:t>
      </w:r>
      <w:r w:rsidR="00C82E00" w:rsidRPr="00404724">
        <w:t xml:space="preserve"> km/h</w:t>
      </w:r>
      <w:r w:rsidRPr="00404724">
        <w:t xml:space="preserve"> speed limits.</w:t>
      </w:r>
      <w:r w:rsidRPr="00404724">
        <w:rPr>
          <w:rStyle w:val="FootnoteReference"/>
        </w:rPr>
        <w:footnoteReference w:id="26"/>
      </w:r>
    </w:p>
    <w:p w14:paraId="610DC905" w14:textId="4BE5E641" w:rsidR="00FA01E0" w:rsidRPr="00404724" w:rsidRDefault="00482FEC" w:rsidP="00482FEC">
      <w:pPr>
        <w:pStyle w:val="BodyText"/>
      </w:pPr>
      <w:r w:rsidRPr="00404724">
        <w:t xml:space="preserve">This distribution of road fatalities is highly disproportionate, given that regional and remote areas account only for a quarter of Australia’s population. As shown in </w:t>
      </w:r>
      <w:r w:rsidR="00AA438C" w:rsidRPr="00404724">
        <w:fldChar w:fldCharType="begin"/>
      </w:r>
      <w:r w:rsidR="00AA438C" w:rsidRPr="00404724">
        <w:instrText xml:space="preserve"> REF _Ref208397732 \h </w:instrText>
      </w:r>
      <w:r w:rsidR="00AA438C" w:rsidRPr="00404724">
        <w:fldChar w:fldCharType="separate"/>
      </w:r>
      <w:r w:rsidR="00BF489D" w:rsidRPr="00404724">
        <w:t xml:space="preserve">Figure </w:t>
      </w:r>
      <w:r w:rsidR="00BF489D">
        <w:rPr>
          <w:noProof/>
        </w:rPr>
        <w:t>7</w:t>
      </w:r>
      <w:r w:rsidR="00AA438C" w:rsidRPr="00404724">
        <w:fldChar w:fldCharType="end"/>
      </w:r>
      <w:r w:rsidR="00AA438C" w:rsidRPr="00404724">
        <w:t xml:space="preserve"> </w:t>
      </w:r>
      <w:r w:rsidRPr="00404724">
        <w:t>these areas consistently record significantly higher fatalities per 100,000 people.</w:t>
      </w:r>
    </w:p>
    <w:p w14:paraId="129FDE48" w14:textId="6D7618ED" w:rsidR="00482FEC" w:rsidRPr="00404724" w:rsidRDefault="00AA438C" w:rsidP="003979C3">
      <w:pPr>
        <w:pStyle w:val="Tablefigureheading"/>
      </w:pPr>
      <w:bookmarkStart w:id="134" w:name="_Ref208397732"/>
      <w:bookmarkStart w:id="135" w:name="_Toc210040350"/>
      <w:bookmarkStart w:id="136" w:name="_Toc210051886"/>
      <w:r w:rsidRPr="00404724">
        <w:lastRenderedPageBreak/>
        <w:t xml:space="preserve">Figure </w:t>
      </w:r>
      <w:r w:rsidR="00EC39D5">
        <w:fldChar w:fldCharType="begin"/>
      </w:r>
      <w:r w:rsidR="00EC39D5">
        <w:instrText xml:space="preserve"> SEQ Figure \* ARABIC </w:instrText>
      </w:r>
      <w:r w:rsidR="00EC39D5">
        <w:fldChar w:fldCharType="separate"/>
      </w:r>
      <w:r w:rsidR="00BF489D">
        <w:rPr>
          <w:noProof/>
        </w:rPr>
        <w:t>7</w:t>
      </w:r>
      <w:r w:rsidR="00EC39D5">
        <w:rPr>
          <w:noProof/>
        </w:rPr>
        <w:fldChar w:fldCharType="end"/>
      </w:r>
      <w:bookmarkEnd w:id="134"/>
      <w:r w:rsidRPr="00404724">
        <w:tab/>
      </w:r>
      <w:r w:rsidR="00482FEC" w:rsidRPr="00404724">
        <w:t>Road fatalities per 100,000 population by remoteness region, 2014 to 2024</w:t>
      </w:r>
      <w:bookmarkEnd w:id="135"/>
      <w:bookmarkEnd w:id="136"/>
    </w:p>
    <w:tbl>
      <w:tblPr>
        <w:tblStyle w:val="aacTablenolines"/>
        <w:tblW w:w="5000" w:type="pct"/>
        <w:tblLayout w:type="fixed"/>
        <w:tblCellMar>
          <w:left w:w="108" w:type="dxa"/>
          <w:right w:w="108" w:type="dxa"/>
        </w:tblCellMar>
        <w:tblLook w:val="04A0" w:firstRow="1" w:lastRow="0" w:firstColumn="1" w:lastColumn="0" w:noHBand="0" w:noVBand="1"/>
        <w:tblCaption w:val="Figure 5 "/>
        <w:tblDescription w:val="Road fatalities per 100,000 population by remoteness region, 2014 to 2024"/>
      </w:tblPr>
      <w:tblGrid>
        <w:gridCol w:w="9864"/>
      </w:tblGrid>
      <w:tr w:rsidR="00482FEC" w:rsidRPr="00404724" w14:paraId="38D05224" w14:textId="77777777" w:rsidTr="00BB5FCD">
        <w:trPr>
          <w:cantSplit/>
        </w:trPr>
        <w:tc>
          <w:tcPr>
            <w:tcW w:w="9864" w:type="dxa"/>
          </w:tcPr>
          <w:p w14:paraId="1A1F2B64" w14:textId="77F47F96" w:rsidR="00482FEC" w:rsidRPr="00404724" w:rsidRDefault="00495D20" w:rsidP="00BB5FCD">
            <w:pPr>
              <w:pStyle w:val="Figure"/>
            </w:pPr>
            <w:r w:rsidRPr="00404724">
              <w:rPr>
                <w:noProof/>
              </w:rPr>
              <w:drawing>
                <wp:inline distT="0" distB="0" distL="0" distR="0" wp14:anchorId="19509362" wp14:editId="39E6E84E">
                  <wp:extent cx="6180700" cy="2022417"/>
                  <wp:effectExtent l="0" t="0" r="0" b="0"/>
                  <wp:docPr id="620073283" name="Picture 3" descr="Line chart showing road fatalities per 100,000 people in Australia by remoteness, 2014–2024. Series: Major Cities, Inner Regional, Outer Regional, Remote, Very Remote. Very Remote is highest throughout, 17 in 2014, peaks 36 in 2016 and 40 in 2022, then drops to 19 in 2024. Remote is second highest, 10 in 2014, rises to 25 in 2022, then ~19 in 2024. Outer Regional trends around ~10–13 with a slight rise to 2023 then small dip in 2024. Inner Regional rises from 3–4 in 2014 to 9–10 by 2017–2023, then 8 in 2024. Major Cities stays lowest and flat at 2–3. Overall gap widens to 2022 then narrows b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73283" name="Picture 3" descr="Line chart showing road fatalities per 100,000 people in Australia by remoteness, 2014–2024. Series: Major Cities, Inner Regional, Outer Regional, Remote, Very Remote. Very Remote is highest throughout, 17 in 2014, peaks 36 in 2016 and 40 in 2022, then drops to 19 in 2024. Remote is second highest, 10 in 2014, rises to 25 in 2022, then ~19 in 2024. Outer Regional trends around ~10–13 with a slight rise to 2023 then small dip in 2024. Inner Regional rises from 3–4 in 2014 to 9–10 by 2017–2023, then 8 in 2024. Major Cities stays lowest and flat at 2–3. Overall gap widens to 2022 then narrows by 2024."/>
                          <pic:cNvPicPr>
                            <a:picLocks noChangeAspect="1" noChangeArrowheads="1"/>
                          </pic:cNvPicPr>
                        </pic:nvPicPr>
                        <pic:blipFill rotWithShape="1">
                          <a:blip r:embed="rId30">
                            <a:extLst>
                              <a:ext uri="{28A0092B-C50C-407E-A947-70E740481C1C}">
                                <a14:useLocalDpi xmlns:a14="http://schemas.microsoft.com/office/drawing/2010/main" val="0"/>
                              </a:ext>
                            </a:extLst>
                          </a:blip>
                          <a:srcRect t="3165" b="4424"/>
                          <a:stretch>
                            <a:fillRect/>
                          </a:stretch>
                        </pic:blipFill>
                        <pic:spPr bwMode="auto">
                          <a:xfrm>
                            <a:off x="0" y="0"/>
                            <a:ext cx="6180700" cy="20224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2FEC" w:rsidRPr="00404724" w14:paraId="387FEACA" w14:textId="77777777" w:rsidTr="00BB5FCD">
        <w:tblPrEx>
          <w:tblCellMar>
            <w:left w:w="0" w:type="dxa"/>
            <w:right w:w="0" w:type="dxa"/>
          </w:tblCellMar>
        </w:tblPrEx>
        <w:trPr>
          <w:cantSplit/>
        </w:trPr>
        <w:tc>
          <w:tcPr>
            <w:tcW w:w="9864" w:type="dxa"/>
            <w:tcMar>
              <w:top w:w="12" w:type="dxa"/>
              <w:bottom w:w="113" w:type="dxa"/>
            </w:tcMar>
          </w:tcPr>
          <w:p w14:paraId="2AEBF0C1" w14:textId="77777777" w:rsidR="00482FEC" w:rsidRPr="00404724" w:rsidRDefault="00482FEC" w:rsidP="00BB5FCD">
            <w:pPr>
              <w:pStyle w:val="Sourcenotes"/>
              <w:rPr>
                <w:lang w:val="en-AU"/>
              </w:rPr>
            </w:pPr>
            <w:r w:rsidRPr="00404724">
              <w:rPr>
                <w:lang w:val="en-AU"/>
              </w:rPr>
              <w:t>Source: ACIL Allen analysis, based on BITRE and ABS</w:t>
            </w:r>
          </w:p>
        </w:tc>
      </w:tr>
    </w:tbl>
    <w:p w14:paraId="5738E0C0" w14:textId="671FBF4C" w:rsidR="00482FEC" w:rsidRPr="00404724" w:rsidRDefault="006B4B57" w:rsidP="00485648">
      <w:pPr>
        <w:pStyle w:val="Heading5"/>
      </w:pPr>
      <w:r w:rsidRPr="00404724">
        <w:t>I</w:t>
      </w:r>
      <w:r w:rsidR="00482FEC" w:rsidRPr="00404724">
        <w:t>njury crashes</w:t>
      </w:r>
    </w:p>
    <w:p w14:paraId="1444C4B6" w14:textId="23DC8697" w:rsidR="00D81544" w:rsidRPr="00404724" w:rsidRDefault="00C66169" w:rsidP="00C66169">
      <w:r w:rsidRPr="00404724">
        <w:t xml:space="preserve">Beyond fatalities, road crashes also often result in injuries. The severity of injuries ranges from minor to serious. There is limited data available on minor injuries from crashes as </w:t>
      </w:r>
      <w:r w:rsidR="002A4DF8" w:rsidRPr="00404724">
        <w:t>they often go unreported</w:t>
      </w:r>
      <w:r w:rsidRPr="00404724">
        <w:t xml:space="preserve">. </w:t>
      </w:r>
      <w:r w:rsidR="002A4DF8" w:rsidRPr="00404724">
        <w:t xml:space="preserve">Data on more serious injuries also face constraints since they need to be reported by hospitals across the </w:t>
      </w:r>
      <w:r w:rsidR="00BB5FCD" w:rsidRPr="00404724">
        <w:t>country</w:t>
      </w:r>
      <w:r w:rsidR="002A4DF8" w:rsidRPr="00404724">
        <w:t>, analysed and collated</w:t>
      </w:r>
      <w:r w:rsidR="00D81544" w:rsidRPr="00404724">
        <w:t>, requiring larger administrative efforts</w:t>
      </w:r>
      <w:r w:rsidR="002A4DF8" w:rsidRPr="00404724">
        <w:t xml:space="preserve">. As a result, </w:t>
      </w:r>
      <w:r w:rsidR="00D81544" w:rsidRPr="00404724">
        <w:t>there is often a large gap in recent data availability. The latest hospitalised injuries data available is for 2021</w:t>
      </w:r>
      <w:r w:rsidR="007E42B9" w:rsidRPr="00404724">
        <w:t xml:space="preserve"> (see</w:t>
      </w:r>
      <w:r w:rsidR="00AA438C" w:rsidRPr="00404724">
        <w:t xml:space="preserve"> </w:t>
      </w:r>
      <w:r w:rsidR="00AA438C" w:rsidRPr="00404724">
        <w:fldChar w:fldCharType="begin"/>
      </w:r>
      <w:r w:rsidR="00AA438C" w:rsidRPr="00404724">
        <w:instrText xml:space="preserve"> REF _Ref208397763 \h </w:instrText>
      </w:r>
      <w:r w:rsidR="00AA438C" w:rsidRPr="00404724">
        <w:fldChar w:fldCharType="separate"/>
      </w:r>
      <w:r w:rsidR="00BF489D" w:rsidRPr="00404724">
        <w:t xml:space="preserve">Figure </w:t>
      </w:r>
      <w:r w:rsidR="00BF489D">
        <w:rPr>
          <w:noProof/>
        </w:rPr>
        <w:t>8</w:t>
      </w:r>
      <w:r w:rsidR="00AA438C" w:rsidRPr="00404724">
        <w:fldChar w:fldCharType="end"/>
      </w:r>
      <w:r w:rsidR="007E42B9" w:rsidRPr="00404724">
        <w:t>)</w:t>
      </w:r>
      <w:r w:rsidR="00D81544" w:rsidRPr="00404724">
        <w:t>, in which</w:t>
      </w:r>
      <w:r w:rsidRPr="00404724">
        <w:t xml:space="preserve"> there were 39,505 hospitalisations due to injuries from road crashes, with an average number of 5 bed days per hospitalisation.</w:t>
      </w:r>
      <w:r w:rsidRPr="00404724">
        <w:rPr>
          <w:rStyle w:val="FootnoteReference"/>
        </w:rPr>
        <w:footnoteReference w:id="27"/>
      </w:r>
      <w:r w:rsidRPr="00404724">
        <w:t xml:space="preserve"> </w:t>
      </w:r>
      <w:r w:rsidR="00D81544" w:rsidRPr="00404724">
        <w:t xml:space="preserve">This data availability limits </w:t>
      </w:r>
      <w:r w:rsidR="00F46037" w:rsidRPr="00404724">
        <w:t>the understanding of whether or not hospitalised injuries figures has followed a similar increasing trend since 2010 as observed in fatalities figures.</w:t>
      </w:r>
    </w:p>
    <w:p w14:paraId="06EEC2A4" w14:textId="593D0D90" w:rsidR="00C66169" w:rsidRPr="00404724" w:rsidRDefault="00F46037" w:rsidP="007B5A49">
      <w:r w:rsidRPr="00404724">
        <w:t>In contrast with fatalities, m</w:t>
      </w:r>
      <w:r w:rsidR="00C66169" w:rsidRPr="00404724">
        <w:t>ost hospitalisations occurred in major cities (67%), followed by regional areas (29%) and remote areas (3%).</w:t>
      </w:r>
      <w:r w:rsidRPr="00404724">
        <w:t xml:space="preserve"> While the true factors determining this difference is not known, it is possible that crashes in regional and remote areas often occur at higher speed and of higher severity, resulting in </w:t>
      </w:r>
      <w:r w:rsidR="00124101" w:rsidRPr="00404724">
        <w:t>a higher ratio of fatalities to</w:t>
      </w:r>
      <w:r w:rsidRPr="00404724">
        <w:t xml:space="preserve"> hospitalisations. This is supported by statistics showing that hospitalised injuries in regional and remote areas </w:t>
      </w:r>
      <w:r w:rsidR="006B4B57" w:rsidRPr="00404724">
        <w:t>have</w:t>
      </w:r>
      <w:r w:rsidRPr="00404724">
        <w:t xml:space="preserve"> an average duration of 6 bed days compared to 5 bed days for major cities.</w:t>
      </w:r>
    </w:p>
    <w:p w14:paraId="6789D461" w14:textId="48292244" w:rsidR="00C66169" w:rsidRPr="00404724" w:rsidRDefault="00AA438C" w:rsidP="003979C3">
      <w:pPr>
        <w:pStyle w:val="Tablefigureheading"/>
      </w:pPr>
      <w:bookmarkStart w:id="137" w:name="_Ref208397763"/>
      <w:bookmarkStart w:id="138" w:name="_Toc210040351"/>
      <w:bookmarkStart w:id="139" w:name="_Toc210051887"/>
      <w:r w:rsidRPr="00404724">
        <w:t xml:space="preserve">Figure </w:t>
      </w:r>
      <w:r w:rsidR="00EC39D5">
        <w:fldChar w:fldCharType="begin"/>
      </w:r>
      <w:r w:rsidR="00EC39D5">
        <w:instrText xml:space="preserve"> SEQ Figure \* ARABIC </w:instrText>
      </w:r>
      <w:r w:rsidR="00EC39D5">
        <w:fldChar w:fldCharType="separate"/>
      </w:r>
      <w:r w:rsidR="00BF489D">
        <w:rPr>
          <w:noProof/>
        </w:rPr>
        <w:t>8</w:t>
      </w:r>
      <w:r w:rsidR="00EC39D5">
        <w:rPr>
          <w:noProof/>
        </w:rPr>
        <w:fldChar w:fldCharType="end"/>
      </w:r>
      <w:bookmarkEnd w:id="137"/>
      <w:r w:rsidRPr="00404724">
        <w:tab/>
      </w:r>
      <w:r w:rsidR="00C66169" w:rsidRPr="00404724">
        <w:t>Hospitalised injuries per 100,000 population, 2011-2021</w:t>
      </w:r>
      <w:bookmarkEnd w:id="138"/>
      <w:bookmarkEnd w:id="139"/>
    </w:p>
    <w:tbl>
      <w:tblPr>
        <w:tblStyle w:val="aacTablenolines"/>
        <w:tblW w:w="5000" w:type="pct"/>
        <w:tblLayout w:type="fixed"/>
        <w:tblCellMar>
          <w:left w:w="108" w:type="dxa"/>
          <w:right w:w="108" w:type="dxa"/>
        </w:tblCellMar>
        <w:tblLook w:val="04A0" w:firstRow="1" w:lastRow="0" w:firstColumn="1" w:lastColumn="0" w:noHBand="0" w:noVBand="1"/>
        <w:tblCaption w:val="Figure 6 "/>
        <w:tblDescription w:val="Hospitalised injuries per 100,000 population, 2011-2021"/>
      </w:tblPr>
      <w:tblGrid>
        <w:gridCol w:w="9864"/>
      </w:tblGrid>
      <w:tr w:rsidR="00C66169" w:rsidRPr="00404724" w14:paraId="3EA3CE1A" w14:textId="77777777" w:rsidTr="002A4DF8">
        <w:trPr>
          <w:cantSplit/>
        </w:trPr>
        <w:tc>
          <w:tcPr>
            <w:tcW w:w="9864" w:type="dxa"/>
          </w:tcPr>
          <w:p w14:paraId="2DA56F19" w14:textId="66EA4D71" w:rsidR="00C66169" w:rsidRPr="00404724" w:rsidRDefault="00495D20" w:rsidP="00BB5FCD">
            <w:pPr>
              <w:pStyle w:val="Figure"/>
            </w:pPr>
            <w:r w:rsidRPr="00404724">
              <w:rPr>
                <w:noProof/>
              </w:rPr>
              <w:drawing>
                <wp:inline distT="0" distB="0" distL="0" distR="0" wp14:anchorId="2681FA8A" wp14:editId="5B2C7F62">
                  <wp:extent cx="6180455" cy="2071583"/>
                  <wp:effectExtent l="0" t="0" r="0" b="5080"/>
                  <wp:docPr id="1595960643" name="Picture 2" descr="2-series line chart, showing counts and rates. Injury count 34k (2011) to 39.9k (2019) to 38.0k(2020) to 39.5k (2021); Injury rate 151 (2011) to 160 (2016) to 148 (2020) to 153 (2021). Dip in 2020, partial rebound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60643" name="Picture 2" descr="2-series line chart, showing counts and rates. Injury count 34k (2011) to 39.9k (2019) to 38.0k(2020) to 39.5k (2021); Injury rate 151 (2011) to 160 (2016) to 148 (2020) to 153 (2021). Dip in 2020, partial rebound in 2021."/>
                          <pic:cNvPicPr>
                            <a:picLocks noChangeAspect="1" noChangeArrowheads="1"/>
                          </pic:cNvPicPr>
                        </pic:nvPicPr>
                        <pic:blipFill rotWithShape="1">
                          <a:blip r:embed="rId31">
                            <a:extLst>
                              <a:ext uri="{28A0092B-C50C-407E-A947-70E740481C1C}">
                                <a14:useLocalDpi xmlns:a14="http://schemas.microsoft.com/office/drawing/2010/main" val="0"/>
                              </a:ext>
                            </a:extLst>
                          </a:blip>
                          <a:srcRect b="5055"/>
                          <a:stretch>
                            <a:fillRect/>
                          </a:stretch>
                        </pic:blipFill>
                        <pic:spPr bwMode="auto">
                          <a:xfrm>
                            <a:off x="0" y="0"/>
                            <a:ext cx="6225978" cy="20868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66169" w:rsidRPr="00404724" w14:paraId="395164B0" w14:textId="77777777" w:rsidTr="00BB5FCD">
        <w:tblPrEx>
          <w:tblCellMar>
            <w:left w:w="0" w:type="dxa"/>
            <w:right w:w="0" w:type="dxa"/>
          </w:tblCellMar>
        </w:tblPrEx>
        <w:trPr>
          <w:cantSplit/>
        </w:trPr>
        <w:tc>
          <w:tcPr>
            <w:tcW w:w="9864" w:type="dxa"/>
            <w:tcMar>
              <w:top w:w="12" w:type="dxa"/>
              <w:bottom w:w="113" w:type="dxa"/>
            </w:tcMar>
          </w:tcPr>
          <w:p w14:paraId="2D2681E1" w14:textId="61218AD5" w:rsidR="00C66169" w:rsidRPr="00404724" w:rsidRDefault="00C66169" w:rsidP="00BB5FCD">
            <w:pPr>
              <w:pStyle w:val="Sourcenotes"/>
              <w:rPr>
                <w:lang w:val="en-AU"/>
              </w:rPr>
            </w:pPr>
            <w:r w:rsidRPr="00404724">
              <w:rPr>
                <w:lang w:val="en-AU"/>
              </w:rPr>
              <w:t>Source: ACIL Allen, based on DITRDCSA, Hospitalised injuries from road crashes – Australia 2011-2011</w:t>
            </w:r>
          </w:p>
        </w:tc>
      </w:tr>
    </w:tbl>
    <w:p w14:paraId="1D53D61D" w14:textId="794B5981" w:rsidR="007E42B9" w:rsidRPr="00404724" w:rsidRDefault="00485648" w:rsidP="00485648">
      <w:pPr>
        <w:pStyle w:val="Heading4"/>
      </w:pPr>
      <w:bookmarkStart w:id="140" w:name="_Toc210042539"/>
      <w:bookmarkStart w:id="141" w:name="_Toc210049172"/>
      <w:bookmarkStart w:id="142" w:name="_Toc210051612"/>
      <w:bookmarkStart w:id="143" w:name="_Toc210051693"/>
      <w:r>
        <w:t>2.1.2</w:t>
      </w:r>
      <w:r>
        <w:tab/>
      </w:r>
      <w:r w:rsidR="007E42B9" w:rsidRPr="00404724">
        <w:t>Cost of road trauma</w:t>
      </w:r>
      <w:bookmarkEnd w:id="140"/>
      <w:bookmarkEnd w:id="141"/>
      <w:bookmarkEnd w:id="142"/>
      <w:bookmarkEnd w:id="143"/>
    </w:p>
    <w:p w14:paraId="3F7C9A2F" w14:textId="47FAB32E" w:rsidR="00482FEC" w:rsidRPr="00404724" w:rsidRDefault="00482FEC" w:rsidP="00482FEC">
      <w:pPr>
        <w:pStyle w:val="BodyText"/>
      </w:pPr>
      <w:r w:rsidRPr="00404724">
        <w:t xml:space="preserve">Road trauma carries significant economic and social consequences. At the societal level, motor vehicle crashes result in substantial costs, including lost productivity, expenses related to vehicle and property repairs, and </w:t>
      </w:r>
      <w:r w:rsidRPr="00404724">
        <w:lastRenderedPageBreak/>
        <w:t>increased demands on healthcare systems.</w:t>
      </w:r>
      <w:r w:rsidR="00970205" w:rsidRPr="00404724">
        <w:t xml:space="preserve"> </w:t>
      </w:r>
      <w:r w:rsidRPr="00404724">
        <w:t>For individuals and families, the impacts are often profound, encompassing physical and emotional suffering, medical expenses, loss of income, elevated insurance premiums, and the financial burden of vehicle repairs.</w:t>
      </w:r>
    </w:p>
    <w:p w14:paraId="2A33D15F" w14:textId="77777777" w:rsidR="00482FEC" w:rsidRPr="00404724" w:rsidRDefault="00482FEC" w:rsidP="00482FEC">
      <w:pPr>
        <w:pStyle w:val="BodyText"/>
      </w:pPr>
      <w:r w:rsidRPr="00404724">
        <w:t>Nationally the annual cost of road trauma has been estimated at more than $30 billion, reflecting the value of life, health and wellbeing, as well as other financial costs of vehicle damage, hospital care and insurance.</w:t>
      </w:r>
      <w:r w:rsidRPr="00404724">
        <w:rPr>
          <w:rStyle w:val="FootnoteReference"/>
        </w:rPr>
        <w:footnoteReference w:id="28"/>
      </w:r>
      <w:r w:rsidRPr="00404724">
        <w:t xml:space="preserve"> </w:t>
      </w:r>
    </w:p>
    <w:p w14:paraId="20F3EA41" w14:textId="77777777" w:rsidR="00482FEC" w:rsidRPr="00404724" w:rsidRDefault="00482FEC" w:rsidP="00482FEC">
      <w:pPr>
        <w:pStyle w:val="BodyText"/>
      </w:pPr>
      <w:r w:rsidRPr="00404724">
        <w:t>Given the above mentioned trend in road deaths, Australia is not expected to meet either of the Strategy’s 2030 or 2050 targets.</w:t>
      </w:r>
      <w:r w:rsidRPr="00404724">
        <w:rPr>
          <w:vertAlign w:val="superscript"/>
        </w:rPr>
        <w:footnoteReference w:id="29"/>
      </w:r>
      <w:r w:rsidRPr="00404724">
        <w:rPr>
          <w:vertAlign w:val="superscript"/>
        </w:rPr>
        <w:t>,</w:t>
      </w:r>
      <w:r w:rsidRPr="00404724">
        <w:rPr>
          <w:vertAlign w:val="superscript"/>
        </w:rPr>
        <w:footnoteReference w:id="30"/>
      </w:r>
      <w:r w:rsidRPr="00404724">
        <w:t xml:space="preserve"> Without further interventions, researchers estimate that compared to the 2020 baseline, the number of fatalities will reduce by ~10% to 930 deaths by 2030, and by ~50% to 525 deaths by 2050.</w:t>
      </w:r>
      <w:r w:rsidRPr="00404724">
        <w:rPr>
          <w:rStyle w:val="FootnoteReference"/>
        </w:rPr>
        <w:footnoteReference w:id="31"/>
      </w:r>
      <w:r w:rsidRPr="00404724">
        <w:t xml:space="preserve"> This would not meet the target of reducing road fatalities by 50% by 2030, or the Vision Zero target by 2050.</w:t>
      </w:r>
    </w:p>
    <w:p w14:paraId="20D69FEB" w14:textId="2EC2BF78" w:rsidR="0017167B" w:rsidRPr="00404724" w:rsidRDefault="0017167B" w:rsidP="0017167B">
      <w:pPr>
        <w:pStyle w:val="Box2Heading"/>
        <w:rPr>
          <w:lang w:val="en-AU"/>
        </w:rPr>
      </w:pPr>
      <w:r w:rsidRPr="00404724">
        <w:rPr>
          <w:lang w:val="en-AU"/>
        </w:rPr>
        <w:t>Road trauma definitions</w:t>
      </w:r>
    </w:p>
    <w:p w14:paraId="36443046" w14:textId="48EC5ADA" w:rsidR="0017167B" w:rsidRPr="00404724" w:rsidRDefault="0017167B" w:rsidP="0017167B">
      <w:pPr>
        <w:pStyle w:val="Box2Text"/>
        <w:rPr>
          <w:lang w:val="en-AU"/>
        </w:rPr>
      </w:pPr>
      <w:r w:rsidRPr="00404724">
        <w:rPr>
          <w:lang w:val="en-AU"/>
        </w:rPr>
        <w:t>When referring to the impact of road trauma, there are a number of terms used in official reporting, the definitions of which can vary from source to source.</w:t>
      </w:r>
    </w:p>
    <w:p w14:paraId="42675657" w14:textId="1DBE42AE" w:rsidR="0017167B" w:rsidRPr="00404724" w:rsidRDefault="0017167B" w:rsidP="0017167B">
      <w:pPr>
        <w:pStyle w:val="Box2Bullet1"/>
        <w:rPr>
          <w:lang w:val="en-AU"/>
        </w:rPr>
      </w:pPr>
      <w:r w:rsidRPr="00404724">
        <w:rPr>
          <w:b/>
          <w:bCs/>
          <w:lang w:val="en-AU"/>
        </w:rPr>
        <w:t>Fatality</w:t>
      </w:r>
      <w:r w:rsidRPr="00404724">
        <w:rPr>
          <w:lang w:val="en-AU"/>
        </w:rPr>
        <w:t>: A road death or fatality is a person who dies within 30 days of a road crash as a result of injuries received in that crash, excluding deaths from deliberate acts and natural causes</w:t>
      </w:r>
      <w:r w:rsidR="008E3657" w:rsidRPr="00404724">
        <w:rPr>
          <w:rStyle w:val="FootnoteReference"/>
          <w:lang w:val="en-AU"/>
        </w:rPr>
        <w:footnoteReference w:id="32"/>
      </w:r>
    </w:p>
    <w:p w14:paraId="17EFD524" w14:textId="4F2FB011" w:rsidR="0017167B" w:rsidRPr="00404724" w:rsidRDefault="0017167B" w:rsidP="0017167B">
      <w:pPr>
        <w:pStyle w:val="Box2Bullet1"/>
        <w:rPr>
          <w:lang w:val="en-AU"/>
        </w:rPr>
      </w:pPr>
      <w:r w:rsidRPr="00404724">
        <w:rPr>
          <w:b/>
          <w:bCs/>
          <w:lang w:val="en-AU"/>
        </w:rPr>
        <w:t>Casualty</w:t>
      </w:r>
      <w:r w:rsidRPr="00404724">
        <w:rPr>
          <w:lang w:val="en-AU"/>
        </w:rPr>
        <w:t>:</w:t>
      </w:r>
      <w:r w:rsidR="00CF3748" w:rsidRPr="00404724">
        <w:rPr>
          <w:lang w:val="en-AU"/>
        </w:rPr>
        <w:t xml:space="preserve"> a casualty refers to any injury or death incurred, serious or otherwise.</w:t>
      </w:r>
    </w:p>
    <w:p w14:paraId="227ADF9C" w14:textId="3CCE5AFA" w:rsidR="0017167B" w:rsidRPr="00404724" w:rsidRDefault="0017167B" w:rsidP="0017167B">
      <w:pPr>
        <w:pStyle w:val="Box2Bullet1"/>
        <w:rPr>
          <w:lang w:val="en-AU"/>
        </w:rPr>
      </w:pPr>
      <w:r w:rsidRPr="00404724">
        <w:rPr>
          <w:b/>
          <w:bCs/>
          <w:lang w:val="en-AU"/>
        </w:rPr>
        <w:t>Serious injury</w:t>
      </w:r>
      <w:r w:rsidRPr="00404724">
        <w:rPr>
          <w:lang w:val="en-AU"/>
        </w:rPr>
        <w:t xml:space="preserve">: </w:t>
      </w:r>
      <w:r w:rsidR="00CF3748" w:rsidRPr="00404724">
        <w:rPr>
          <w:lang w:val="en-AU"/>
        </w:rPr>
        <w:t>in the national definition, a serious injury refers to an injury sustained in a crash which resulted in a person being admitted to hospital</w:t>
      </w:r>
      <w:r w:rsidR="009E677D" w:rsidRPr="00404724">
        <w:rPr>
          <w:lang w:val="en-AU"/>
        </w:rPr>
        <w:t xml:space="preserve"> (distinct from presenting to hospital)</w:t>
      </w:r>
      <w:r w:rsidR="00CF3748" w:rsidRPr="00404724">
        <w:rPr>
          <w:lang w:val="en-AU"/>
        </w:rPr>
        <w:t>. There are some differences in definitions between Australian jurisdictions. For example Victoria defines it as injuries requiring admission to hospital within 7 days,</w:t>
      </w:r>
      <w:r w:rsidR="00CF3748" w:rsidRPr="00404724">
        <w:rPr>
          <w:rStyle w:val="FootnoteReference"/>
          <w:lang w:val="en-AU"/>
        </w:rPr>
        <w:footnoteReference w:id="33"/>
      </w:r>
      <w:r w:rsidR="00CF3748" w:rsidRPr="00404724">
        <w:rPr>
          <w:lang w:val="en-AU"/>
        </w:rPr>
        <w:t xml:space="preserve"> while NSW is the same, but sets 30 days as the limit.</w:t>
      </w:r>
      <w:r w:rsidR="009E677D" w:rsidRPr="00404724">
        <w:rPr>
          <w:rStyle w:val="FootnoteReference"/>
          <w:lang w:val="en-AU"/>
        </w:rPr>
        <w:footnoteReference w:id="34"/>
      </w:r>
      <w:r w:rsidR="00CF3748" w:rsidRPr="00404724">
        <w:rPr>
          <w:lang w:val="en-AU"/>
        </w:rPr>
        <w:t xml:space="preserve"> Notably, </w:t>
      </w:r>
      <w:r w:rsidR="009E677D" w:rsidRPr="00404724">
        <w:rPr>
          <w:lang w:val="en-AU"/>
        </w:rPr>
        <w:t xml:space="preserve">Victoria’s </w:t>
      </w:r>
      <w:r w:rsidR="00CF3748" w:rsidRPr="00404724">
        <w:rPr>
          <w:lang w:val="en-AU"/>
        </w:rPr>
        <w:t>definition</w:t>
      </w:r>
      <w:r w:rsidR="009E677D" w:rsidRPr="00404724">
        <w:rPr>
          <w:lang w:val="en-AU"/>
        </w:rPr>
        <w:t xml:space="preserve"> used in reporting differs from the definition of Serious Injury used in the </w:t>
      </w:r>
      <w:r w:rsidR="009E677D" w:rsidRPr="00404724">
        <w:rPr>
          <w:i/>
          <w:iCs/>
          <w:lang w:val="en-AU"/>
        </w:rPr>
        <w:t>Transport Accident Act 1986</w:t>
      </w:r>
      <w:r w:rsidR="009E677D" w:rsidRPr="00404724">
        <w:rPr>
          <w:lang w:val="en-AU"/>
        </w:rPr>
        <w:t xml:space="preserve"> (used by the Transport Accident Commission for the purpose of compensation) which makes no reference to hospitalisation, rather categorising on the basis of the harm suffered.</w:t>
      </w:r>
      <w:r w:rsidR="009E677D" w:rsidRPr="00404724">
        <w:rPr>
          <w:rStyle w:val="FootnoteReference"/>
          <w:lang w:val="en-AU"/>
        </w:rPr>
        <w:footnoteReference w:id="35"/>
      </w:r>
    </w:p>
    <w:p w14:paraId="6E0C498B" w14:textId="2EC178D4" w:rsidR="0017167B" w:rsidRPr="00404724" w:rsidRDefault="009E677D" w:rsidP="0017167B">
      <w:pPr>
        <w:pStyle w:val="Box2Bullet1"/>
        <w:rPr>
          <w:lang w:val="en-AU"/>
        </w:rPr>
      </w:pPr>
      <w:r w:rsidRPr="00404724">
        <w:rPr>
          <w:b/>
          <w:bCs/>
          <w:lang w:val="en-AU"/>
        </w:rPr>
        <w:t>Non-serious, m</w:t>
      </w:r>
      <w:r w:rsidR="0017167B" w:rsidRPr="00404724">
        <w:rPr>
          <w:b/>
          <w:bCs/>
          <w:lang w:val="en-AU"/>
        </w:rPr>
        <w:t>oderate or minor injuries</w:t>
      </w:r>
      <w:r w:rsidR="0017167B" w:rsidRPr="00404724">
        <w:rPr>
          <w:lang w:val="en-AU"/>
        </w:rPr>
        <w:t>:</w:t>
      </w:r>
      <w:r w:rsidRPr="00404724">
        <w:rPr>
          <w:lang w:val="en-AU"/>
        </w:rPr>
        <w:t xml:space="preserve"> There are also different terminology for injuries that are not classified as serious. These are sometimes described as ‘moderate’ and ‘minor injuries’, other, ‘slight’ or simply ‘non-serious’, with some distinctions between the definitions. </w:t>
      </w:r>
    </w:p>
    <w:p w14:paraId="486E70B1" w14:textId="5734F7A2" w:rsidR="00482FEC" w:rsidRPr="00404724" w:rsidRDefault="00485648" w:rsidP="00485648">
      <w:pPr>
        <w:pStyle w:val="Heading4"/>
      </w:pPr>
      <w:bookmarkStart w:id="144" w:name="_Toc210042540"/>
      <w:bookmarkStart w:id="145" w:name="_Toc210049173"/>
      <w:bookmarkStart w:id="146" w:name="_Toc210051613"/>
      <w:bookmarkStart w:id="147" w:name="_Toc210051694"/>
      <w:r>
        <w:t>2.1.3</w:t>
      </w:r>
      <w:r>
        <w:tab/>
      </w:r>
      <w:r w:rsidR="00482FEC" w:rsidRPr="00404724">
        <w:t xml:space="preserve">Primary causes of road </w:t>
      </w:r>
      <w:r w:rsidR="00C84858" w:rsidRPr="00404724">
        <w:t>crashes</w:t>
      </w:r>
      <w:bookmarkEnd w:id="144"/>
      <w:bookmarkEnd w:id="145"/>
      <w:bookmarkEnd w:id="146"/>
      <w:bookmarkEnd w:id="147"/>
    </w:p>
    <w:p w14:paraId="4FE60F2A" w14:textId="77777777" w:rsidR="00482FEC" w:rsidRPr="00404724" w:rsidRDefault="00482FEC" w:rsidP="00482FEC">
      <w:pPr>
        <w:pStyle w:val="BodyText"/>
      </w:pPr>
      <w:r w:rsidRPr="00404724">
        <w:t xml:space="preserve">The reasons for the reversal in the macro trend identified above are difficult to identify, as they appear to be Australia specific, and not associated with any overall policy or behavioural shift but for the outbreak of the COVID-19 pandemic. While some have speculated as to the cause (including suggestions that the road </w:t>
      </w:r>
      <w:r w:rsidRPr="00404724">
        <w:lastRenderedPageBreak/>
        <w:t>network is deteriorating, poor habits, and the rise in ownership in large cars), there has been little causal literature describing what the cause of the change is.</w:t>
      </w:r>
      <w:r w:rsidRPr="00404724">
        <w:rPr>
          <w:rStyle w:val="FootnoteReference"/>
        </w:rPr>
        <w:footnoteReference w:id="36"/>
      </w:r>
    </w:p>
    <w:p w14:paraId="70666D5E" w14:textId="0144A630" w:rsidR="00E70FD4" w:rsidRPr="00404724" w:rsidRDefault="00482FEC" w:rsidP="00FD2A95">
      <w:r w:rsidRPr="00404724">
        <w:t xml:space="preserve">This uncertainty is reflective of a broader challenge of attribution regarding road safety: in any given crash there are often several contributing factors, making it difficult to identify any particular factor as </w:t>
      </w:r>
      <w:r w:rsidRPr="00404724">
        <w:rPr>
          <w:i/>
          <w:iCs/>
        </w:rPr>
        <w:t>the</w:t>
      </w:r>
      <w:r w:rsidRPr="00404724">
        <w:t xml:space="preserve"> cause. Nevertheless, some research has been undertaken to rank the relative impact of each different factor in crashes as a whole.</w:t>
      </w:r>
      <w:r w:rsidRPr="00404724">
        <w:rPr>
          <w:rStyle w:val="FootnoteReference"/>
        </w:rPr>
        <w:footnoteReference w:id="37"/>
      </w:r>
      <w:r w:rsidRPr="00404724">
        <w:t xml:space="preserve"> One estimate published in </w:t>
      </w:r>
      <w:r w:rsidRPr="00404724">
        <w:rPr>
          <w:i/>
          <w:iCs/>
        </w:rPr>
        <w:t>The Open Transportation Journal</w:t>
      </w:r>
      <w:r w:rsidRPr="00404724">
        <w:t xml:space="preserve"> estimated that speed was the largest individual factor, with alcohol and fatigue the second and third contributing factors respectively (</w:t>
      </w:r>
      <w:r w:rsidR="00AA438C" w:rsidRPr="00404724">
        <w:fldChar w:fldCharType="begin"/>
      </w:r>
      <w:r w:rsidR="00AA438C" w:rsidRPr="00404724">
        <w:instrText xml:space="preserve"> REF _Ref208397784 \h </w:instrText>
      </w:r>
      <w:r w:rsidR="00AA438C" w:rsidRPr="00404724">
        <w:fldChar w:fldCharType="separate"/>
      </w:r>
      <w:r w:rsidR="00BF489D" w:rsidRPr="00404724">
        <w:t xml:space="preserve">Figure </w:t>
      </w:r>
      <w:r w:rsidR="00BF489D">
        <w:rPr>
          <w:noProof/>
        </w:rPr>
        <w:t>9</w:t>
      </w:r>
      <w:r w:rsidR="00AA438C" w:rsidRPr="00404724">
        <w:fldChar w:fldCharType="end"/>
      </w:r>
      <w:r w:rsidRPr="00404724">
        <w:t>).</w:t>
      </w:r>
      <w:r w:rsidR="003A19A9" w:rsidRPr="00404724">
        <w:t xml:space="preserve"> It is important to stress that this is only one study, and additional research – such as ‘no blame investigations’ as proposed by the Australian Automobile Association may reveal different trends.</w:t>
      </w:r>
      <w:r w:rsidR="003A19A9" w:rsidRPr="00404724">
        <w:rPr>
          <w:rStyle w:val="FootnoteReference"/>
        </w:rPr>
        <w:footnoteReference w:id="38"/>
      </w:r>
      <w:r w:rsidR="00FD2A95" w:rsidRPr="00404724">
        <w:t xml:space="preserve"> </w:t>
      </w:r>
    </w:p>
    <w:p w14:paraId="5E7D46F5" w14:textId="1A7C6110" w:rsidR="00FD2A95" w:rsidRPr="00404724" w:rsidRDefault="00FD2A95" w:rsidP="00FD2A95">
      <w:r w:rsidRPr="00404724">
        <w:t xml:space="preserve">The factors </w:t>
      </w:r>
      <w:r w:rsidR="00E70FD4" w:rsidRPr="00404724">
        <w:t xml:space="preserve">identified in </w:t>
      </w:r>
      <w:r w:rsidR="00E70FD4" w:rsidRPr="00404724">
        <w:fldChar w:fldCharType="begin"/>
      </w:r>
      <w:r w:rsidR="00E70FD4" w:rsidRPr="00404724">
        <w:instrText xml:space="preserve"> REF _Ref208397784 \h </w:instrText>
      </w:r>
      <w:r w:rsidR="00E70FD4" w:rsidRPr="00404724">
        <w:fldChar w:fldCharType="separate"/>
      </w:r>
      <w:r w:rsidR="00BF489D" w:rsidRPr="00404724">
        <w:t xml:space="preserve">Figure </w:t>
      </w:r>
      <w:r w:rsidR="00BF489D">
        <w:rPr>
          <w:noProof/>
        </w:rPr>
        <w:t>9</w:t>
      </w:r>
      <w:r w:rsidR="00E70FD4" w:rsidRPr="00404724">
        <w:fldChar w:fldCharType="end"/>
      </w:r>
      <w:r w:rsidR="00E70FD4" w:rsidRPr="00404724">
        <w:t xml:space="preserve"> </w:t>
      </w:r>
      <w:r w:rsidRPr="00404724">
        <w:t>are discussed further below.</w:t>
      </w:r>
      <w:r w:rsidR="003A19A9" w:rsidRPr="00404724">
        <w:t xml:space="preserve"> </w:t>
      </w:r>
    </w:p>
    <w:p w14:paraId="10AA6C90" w14:textId="19B41559" w:rsidR="00482FEC" w:rsidRPr="00404724" w:rsidRDefault="00AA438C" w:rsidP="003979C3">
      <w:pPr>
        <w:pStyle w:val="Tablefigureheading"/>
      </w:pPr>
      <w:bookmarkStart w:id="148" w:name="_Ref208397784"/>
      <w:bookmarkStart w:id="149" w:name="_Toc207638155"/>
      <w:bookmarkStart w:id="150" w:name="_Toc210040352"/>
      <w:bookmarkStart w:id="151" w:name="_Toc210051888"/>
      <w:r w:rsidRPr="00404724">
        <w:t xml:space="preserve">Figure </w:t>
      </w:r>
      <w:r w:rsidR="00EC39D5">
        <w:fldChar w:fldCharType="begin"/>
      </w:r>
      <w:r w:rsidR="00EC39D5">
        <w:instrText xml:space="preserve"> SEQ Figure \* ARABIC </w:instrText>
      </w:r>
      <w:r w:rsidR="00EC39D5">
        <w:fldChar w:fldCharType="separate"/>
      </w:r>
      <w:r w:rsidR="00BF489D">
        <w:rPr>
          <w:noProof/>
        </w:rPr>
        <w:t>9</w:t>
      </w:r>
      <w:r w:rsidR="00EC39D5">
        <w:rPr>
          <w:noProof/>
        </w:rPr>
        <w:fldChar w:fldCharType="end"/>
      </w:r>
      <w:bookmarkEnd w:id="148"/>
      <w:r w:rsidR="00482FEC" w:rsidRPr="00404724">
        <w:tab/>
        <w:t>Causes of road fatalities in Australia in 2017</w:t>
      </w:r>
      <w:bookmarkEnd w:id="149"/>
      <w:bookmarkEnd w:id="150"/>
      <w:bookmarkEnd w:id="151"/>
      <w:r w:rsidR="00482FEC" w:rsidRPr="00404724">
        <w:t xml:space="preserve"> </w:t>
      </w:r>
    </w:p>
    <w:p w14:paraId="491CF794" w14:textId="7573BBB5" w:rsidR="00AA7D21" w:rsidRPr="00404724" w:rsidRDefault="00AA7D21" w:rsidP="00AA7D21">
      <w:r w:rsidRPr="00404724">
        <w:rPr>
          <w:noProof/>
        </w:rPr>
        <w:drawing>
          <wp:inline distT="0" distB="0" distL="0" distR="0" wp14:anchorId="73F50151" wp14:editId="3250AB0E">
            <wp:extent cx="5751648" cy="2094076"/>
            <wp:effectExtent l="0" t="0" r="1905" b="1905"/>
            <wp:docPr id="388885038" name="Picture 3" descr="2017 Australia road fatality causes: Speeding 32%, Alcohol 18%, Fatigue 10%, Other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85038" name="Picture 3" descr="2017 Australia road fatality causes: Speeding 32%, Alcohol 18%, Fatigue 10%, Others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5057" cy="2095317"/>
                    </a:xfrm>
                    <a:prstGeom prst="rect">
                      <a:avLst/>
                    </a:prstGeom>
                    <a:noFill/>
                  </pic:spPr>
                </pic:pic>
              </a:graphicData>
            </a:graphic>
          </wp:inline>
        </w:drawing>
      </w:r>
    </w:p>
    <w:p w14:paraId="3879F0B3" w14:textId="77777777" w:rsidR="00482FEC" w:rsidRPr="00404724" w:rsidRDefault="00482FEC" w:rsidP="00482FEC">
      <w:pPr>
        <w:pStyle w:val="Sourcenotes"/>
        <w:rPr>
          <w:lang w:val="en-AU"/>
        </w:rPr>
      </w:pPr>
      <w:r w:rsidRPr="00404724">
        <w:rPr>
          <w:lang w:val="en-AU"/>
        </w:rPr>
        <w:t>Source: Hassouna, F., &amp; Pringle, I. (2019). Analysis and prediction of crash fatalities in Australia. The Open Transportation Journal, 13(1).</w:t>
      </w:r>
    </w:p>
    <w:p w14:paraId="23C5D11B" w14:textId="49B9CD50" w:rsidR="00713B55" w:rsidRPr="00404724" w:rsidRDefault="00713B55" w:rsidP="001F6E2C">
      <w:pPr>
        <w:pStyle w:val="Heading5"/>
      </w:pPr>
      <w:bookmarkStart w:id="152" w:name="_Toc210042541"/>
      <w:r w:rsidRPr="00404724">
        <w:t>Speeding</w:t>
      </w:r>
      <w:bookmarkEnd w:id="152"/>
    </w:p>
    <w:p w14:paraId="3913D97F" w14:textId="1B082D7D" w:rsidR="00482FEC" w:rsidRPr="00404724" w:rsidRDefault="00482FEC" w:rsidP="00482FEC">
      <w:pPr>
        <w:pStyle w:val="BodyText"/>
      </w:pPr>
      <w:r w:rsidRPr="00404724">
        <w:t xml:space="preserve">The relationship between speed and crash outcomes is well established, as higher speeds increase both the likelihood of a crash occurring </w:t>
      </w:r>
      <w:r w:rsidRPr="00404724">
        <w:rPr>
          <w:i/>
          <w:iCs/>
        </w:rPr>
        <w:t>and</w:t>
      </w:r>
      <w:r w:rsidRPr="00404724">
        <w:t xml:space="preserve"> the severity of its consequences. Even small increases in average traffic speed can lead to disproportionately higher risks of death and serious injury, particularly for vulnerable road users such as pedestrians and cyclists.</w:t>
      </w:r>
    </w:p>
    <w:p w14:paraId="498BA824" w14:textId="49A08151" w:rsidR="00482FEC" w:rsidRPr="00404724" w:rsidRDefault="00482FEC" w:rsidP="00482FEC">
      <w:pPr>
        <w:pStyle w:val="BodyText"/>
      </w:pPr>
      <w:r w:rsidRPr="00404724">
        <w:t>Higher speed increases the risk of collision primarily due to the need for a faster reaction time in response to unexpected events. At higher speeds, vehicles cover greater distances during the driver</w:t>
      </w:r>
      <w:r w:rsidR="000430F9" w:rsidRPr="00404724">
        <w:t>’</w:t>
      </w:r>
      <w:r w:rsidRPr="00404724">
        <w:t xml:space="preserve">s reaction time, reducing the margin for error. Higher speeds also diminish a vehicle’s </w:t>
      </w:r>
      <w:r w:rsidR="00C94374" w:rsidRPr="00404724">
        <w:t>manoeuvrability and</w:t>
      </w:r>
      <w:r w:rsidRPr="00404724">
        <w:t xml:space="preserve"> significantly increase stopping distances.</w:t>
      </w:r>
      <w:r w:rsidRPr="00404724">
        <w:rPr>
          <w:rStyle w:val="FootnoteReference"/>
        </w:rPr>
        <w:footnoteReference w:id="39"/>
      </w:r>
    </w:p>
    <w:p w14:paraId="0DBE401A" w14:textId="2DB8DA55" w:rsidR="00482FEC" w:rsidRPr="00404724" w:rsidRDefault="00482FEC" w:rsidP="00482FEC">
      <w:pPr>
        <w:pStyle w:val="BodyText"/>
      </w:pPr>
      <w:r w:rsidRPr="00404724">
        <w:t>When a vehicle does crash, higher speeds mean a disproportionate amount of kinetic energy that needs to be dispersed, as it increases with the square of the speed.</w:t>
      </w:r>
      <w:r w:rsidRPr="00404724">
        <w:rPr>
          <w:rStyle w:val="FootnoteReference"/>
        </w:rPr>
        <w:footnoteReference w:id="40"/>
      </w:r>
      <w:r w:rsidRPr="00404724">
        <w:t xml:space="preserve"> This higher energy manifests as a higher risk to both the occupants of the car and those outside it. A pedestrian struck by a vehicle travelling at 30</w:t>
      </w:r>
      <w:r w:rsidR="00C82E00" w:rsidRPr="00404724">
        <w:t xml:space="preserve"> km/h</w:t>
      </w:r>
      <w:r w:rsidRPr="00404724">
        <w:t xml:space="preserve"> has a high chance of survival, but survival prospects fall sharply as speed increases: at 40</w:t>
      </w:r>
      <w:r w:rsidR="00C82E00" w:rsidRPr="00404724">
        <w:t xml:space="preserve"> km/h</w:t>
      </w:r>
      <w:r w:rsidRPr="00404724">
        <w:t xml:space="preserve"> the risk of death is about </w:t>
      </w:r>
      <w:r w:rsidRPr="00404724">
        <w:lastRenderedPageBreak/>
        <w:t>twice as high. The same principle also applies for vehicle occupants, as a collision at 100</w:t>
      </w:r>
      <w:r w:rsidR="00C82E00" w:rsidRPr="00404724">
        <w:t xml:space="preserve"> km/h</w:t>
      </w:r>
      <w:r w:rsidRPr="00404724">
        <w:t xml:space="preserve"> carries substantially more risk of fatality than one at 80</w:t>
      </w:r>
      <w:r w:rsidR="00C82E00" w:rsidRPr="00404724">
        <w:t xml:space="preserve"> km/h</w:t>
      </w:r>
      <w:r w:rsidRPr="00404724">
        <w:t>.</w:t>
      </w:r>
    </w:p>
    <w:p w14:paraId="56ADE2CF" w14:textId="7348ED26" w:rsidR="00482FEC" w:rsidRPr="00404724" w:rsidRDefault="00713B55" w:rsidP="00482FEC">
      <w:pPr>
        <w:pStyle w:val="BodyText"/>
      </w:pPr>
      <w:r w:rsidRPr="00404724">
        <w:t>To estimate the impact of speed on risk</w:t>
      </w:r>
      <w:r w:rsidR="00482FEC" w:rsidRPr="00404724">
        <w:t xml:space="preserve">, Swedish researcher Göran </w:t>
      </w:r>
      <w:r w:rsidR="004278D3" w:rsidRPr="00404724">
        <w:t xml:space="preserve">Nilsson </w:t>
      </w:r>
      <w:r w:rsidR="00482FEC" w:rsidRPr="00404724">
        <w:t xml:space="preserve">published the </w:t>
      </w:r>
      <w:r w:rsidR="004278D3" w:rsidRPr="00404724">
        <w:t xml:space="preserve">Nilsson’s </w:t>
      </w:r>
      <w:r w:rsidR="00482FEC" w:rsidRPr="00404724">
        <w:t>Power Model, which illustrates that on average, a 10% increase in speed will result in approximately 20% increase in</w:t>
      </w:r>
      <w:r w:rsidR="008A63AC" w:rsidRPr="00404724">
        <w:t xml:space="preserve"> </w:t>
      </w:r>
      <w:r w:rsidR="00482FEC" w:rsidRPr="00404724">
        <w:t>crashes</w:t>
      </w:r>
      <w:r w:rsidR="008A63AC" w:rsidRPr="00404724">
        <w:t xml:space="preserve"> that result in an injury</w:t>
      </w:r>
      <w:r w:rsidR="00482FEC" w:rsidRPr="00404724">
        <w:t>, 30% increase in severe crashes and 40% increase in fatal crashes.</w:t>
      </w:r>
      <w:r w:rsidR="00482FEC" w:rsidRPr="00404724">
        <w:rPr>
          <w:rStyle w:val="FootnoteReference"/>
        </w:rPr>
        <w:footnoteReference w:id="41"/>
      </w:r>
      <w:r w:rsidR="00482FEC" w:rsidRPr="00404724">
        <w:t xml:space="preserve"> This model has been widely cited and employed in the road safety research communities across the world.</w:t>
      </w:r>
      <w:r w:rsidR="00482FEC" w:rsidRPr="00404724">
        <w:rPr>
          <w:rStyle w:val="FootnoteReference"/>
        </w:rPr>
        <w:footnoteReference w:id="42"/>
      </w:r>
      <w:r w:rsidR="00482FEC" w:rsidRPr="00404724">
        <w:t xml:space="preserve"> Australian studies have reached similar conclusions, showing that lowering speed limits leads to measurable reductions in road trauma.</w:t>
      </w:r>
      <w:r w:rsidR="00482FEC" w:rsidRPr="00404724">
        <w:rPr>
          <w:rStyle w:val="FootnoteReference"/>
        </w:rPr>
        <w:footnoteReference w:id="43"/>
      </w:r>
    </w:p>
    <w:p w14:paraId="67E31655" w14:textId="2BF5BEB7" w:rsidR="00482FEC" w:rsidRPr="00404724" w:rsidRDefault="00482FEC" w:rsidP="00482FEC">
      <w:pPr>
        <w:pStyle w:val="BodyText"/>
      </w:pPr>
      <w:r w:rsidRPr="00404724">
        <w:t>Australia’s reduction of urban default speed limit from</w:t>
      </w:r>
      <w:r w:rsidR="008303C3" w:rsidRPr="00404724">
        <w:t xml:space="preserve"> 60</w:t>
      </w:r>
      <w:r w:rsidR="00C82E00" w:rsidRPr="00404724">
        <w:t xml:space="preserve"> km/h</w:t>
      </w:r>
      <w:r w:rsidR="008303C3" w:rsidRPr="00404724">
        <w:t xml:space="preserve"> </w:t>
      </w:r>
      <w:r w:rsidRPr="00404724">
        <w:t>to 50</w:t>
      </w:r>
      <w:r w:rsidR="00C82E00" w:rsidRPr="00404724">
        <w:t xml:space="preserve"> km/h</w:t>
      </w:r>
      <w:r w:rsidRPr="00404724">
        <w:t xml:space="preserve"> in the late 1990s and early 2000s has been estimated to reduce fatalities by 50% in Victoria, by 37% in Western Australia and 26% in South Australia.</w:t>
      </w:r>
      <w:r w:rsidRPr="00404724">
        <w:rPr>
          <w:rStyle w:val="FootnoteReference"/>
        </w:rPr>
        <w:footnoteReference w:id="44"/>
      </w:r>
      <w:r w:rsidRPr="00404724">
        <w:t xml:space="preserve"> </w:t>
      </w:r>
      <w:r w:rsidR="005F7F41" w:rsidRPr="00404724">
        <w:t xml:space="preserve">In South Australia, </w:t>
      </w:r>
      <w:r w:rsidR="00BF0540" w:rsidRPr="00404724">
        <w:t xml:space="preserve">the </w:t>
      </w:r>
      <w:r w:rsidR="005F7F41" w:rsidRPr="00404724">
        <w:t>speed limit</w:t>
      </w:r>
      <w:r w:rsidR="00BF0540" w:rsidRPr="00404724">
        <w:t xml:space="preserve"> reductions from </w:t>
      </w:r>
      <w:r w:rsidR="005F7F41" w:rsidRPr="00404724">
        <w:t>110</w:t>
      </w:r>
      <w:r w:rsidR="00C82E00" w:rsidRPr="00404724">
        <w:t xml:space="preserve"> km/h</w:t>
      </w:r>
      <w:r w:rsidR="005F7F41" w:rsidRPr="00404724">
        <w:t xml:space="preserve"> to 100</w:t>
      </w:r>
      <w:r w:rsidR="00C82E00" w:rsidRPr="00404724">
        <w:t xml:space="preserve"> km/h</w:t>
      </w:r>
      <w:r w:rsidR="00BF0540" w:rsidRPr="00404724">
        <w:t xml:space="preserve"> on rural arterial roads in 2003</w:t>
      </w:r>
      <w:r w:rsidR="005F7F41" w:rsidRPr="00404724">
        <w:t xml:space="preserve"> w</w:t>
      </w:r>
      <w:r w:rsidR="00BF0540" w:rsidRPr="00404724">
        <w:t>as</w:t>
      </w:r>
      <w:r w:rsidR="005F7F41" w:rsidRPr="00404724">
        <w:t xml:space="preserve"> associated with a reduction in fatalities of 20%.</w:t>
      </w:r>
      <w:r w:rsidR="005F7F41" w:rsidRPr="00404724">
        <w:rPr>
          <w:rStyle w:val="FootnoteReference"/>
        </w:rPr>
        <w:footnoteReference w:id="45"/>
      </w:r>
      <w:r w:rsidR="005F7F41" w:rsidRPr="00404724">
        <w:t xml:space="preserve"> </w:t>
      </w:r>
      <w:r w:rsidRPr="00404724">
        <w:t>This is consistent with international experience, where reductions in speed limits were associated with improved road safety. For example, in Wales, the default speed limit was reduced to 20 miles per hour (m/h) in 2023, which is equivalent to 32</w:t>
      </w:r>
      <w:r w:rsidR="00C82E00" w:rsidRPr="00404724">
        <w:t xml:space="preserve"> km/h</w:t>
      </w:r>
      <w:r w:rsidRPr="00404724">
        <w:t>. After 12 months of reducing the speed limits, road fatalities in Wales reduced by 11.8%.</w:t>
      </w:r>
      <w:r w:rsidRPr="00404724">
        <w:rPr>
          <w:vertAlign w:val="superscript"/>
        </w:rPr>
        <w:footnoteReference w:id="46"/>
      </w:r>
      <w:r w:rsidRPr="00404724">
        <w:t xml:space="preserve"> Further, in Zurich, Switzerland, the reduction of the speed limit to 30</w:t>
      </w:r>
      <w:r w:rsidR="00C82E00" w:rsidRPr="00404724">
        <w:t xml:space="preserve"> km/h</w:t>
      </w:r>
      <w:r w:rsidRPr="00404724">
        <w:t xml:space="preserve"> was associated with a 25% reduction in road fatalities.</w:t>
      </w:r>
      <w:r w:rsidRPr="00404724">
        <w:rPr>
          <w:vertAlign w:val="superscript"/>
        </w:rPr>
        <w:footnoteReference w:id="47"/>
      </w:r>
      <w:r w:rsidRPr="00404724">
        <w:t xml:space="preserve"> </w:t>
      </w:r>
      <w:r w:rsidR="00A731D5" w:rsidRPr="00404724">
        <w:t>In Sweden, a reduction in rural speed limits from 90</w:t>
      </w:r>
      <w:r w:rsidR="00C82E00" w:rsidRPr="00404724">
        <w:t xml:space="preserve"> km/h</w:t>
      </w:r>
      <w:r w:rsidR="00A731D5" w:rsidRPr="00404724">
        <w:t xml:space="preserve"> to 80</w:t>
      </w:r>
      <w:r w:rsidR="00C82E00" w:rsidRPr="00404724">
        <w:t xml:space="preserve"> km/h</w:t>
      </w:r>
      <w:r w:rsidR="00A731D5" w:rsidRPr="00404724">
        <w:t xml:space="preserve"> was associated with a 14% reduction in fatalities</w:t>
      </w:r>
      <w:r w:rsidR="007A1493" w:rsidRPr="00404724">
        <w:t xml:space="preserve"> per year.</w:t>
      </w:r>
      <w:r w:rsidR="001D5820" w:rsidRPr="00404724">
        <w:rPr>
          <w:rStyle w:val="FootnoteReference"/>
        </w:rPr>
        <w:footnoteReference w:id="48"/>
      </w:r>
      <w:r w:rsidR="00A308F5" w:rsidRPr="00404724">
        <w:t xml:space="preserve"> Ireland has recently reduced the default speed limit on rural roads from 80</w:t>
      </w:r>
      <w:r w:rsidR="0008378F" w:rsidRPr="00404724">
        <w:t> </w:t>
      </w:r>
      <w:r w:rsidR="00C82E00" w:rsidRPr="00404724">
        <w:t>km/h</w:t>
      </w:r>
      <w:r w:rsidR="00A308F5" w:rsidRPr="00404724">
        <w:t xml:space="preserve"> to 60</w:t>
      </w:r>
      <w:r w:rsidR="00C82E00" w:rsidRPr="00404724">
        <w:t xml:space="preserve"> km/h</w:t>
      </w:r>
      <w:r w:rsidR="00A308F5" w:rsidRPr="00404724">
        <w:t>, but as this change only took effect in February 2025, it is too soon to understand the impacts of the speed limit reduction on road safety outcomes.</w:t>
      </w:r>
      <w:r w:rsidR="00A308F5" w:rsidRPr="00404724">
        <w:rPr>
          <w:rStyle w:val="FootnoteReference"/>
        </w:rPr>
        <w:footnoteReference w:id="49"/>
      </w:r>
      <w:r w:rsidR="00A308F5" w:rsidRPr="00404724">
        <w:t xml:space="preserve"> </w:t>
      </w:r>
    </w:p>
    <w:p w14:paraId="0DDCB3BE" w14:textId="347725D6" w:rsidR="00482FEC" w:rsidRPr="00404724" w:rsidRDefault="00482FEC" w:rsidP="00482FEC">
      <w:pPr>
        <w:pStyle w:val="BodyText"/>
      </w:pPr>
      <w:r w:rsidRPr="00404724">
        <w:t>Taken together, the introduction and lowering of speed limits</w:t>
      </w:r>
      <w:r w:rsidR="00BB5FCD" w:rsidRPr="00404724">
        <w:t xml:space="preserve"> in Australia</w:t>
      </w:r>
      <w:r w:rsidRPr="00404724">
        <w:t xml:space="preserve"> has delivered considerable increases in safety to </w:t>
      </w:r>
      <w:r w:rsidR="00C94374" w:rsidRPr="00404724">
        <w:t>date and</w:t>
      </w:r>
      <w:r w:rsidRPr="00404724">
        <w:t xml:space="preserve"> would be expected to continue to do so if lowered to levels comparable to those overseas. </w:t>
      </w:r>
    </w:p>
    <w:p w14:paraId="43708323" w14:textId="31695754" w:rsidR="00713B55" w:rsidRPr="00404724" w:rsidRDefault="00713B55" w:rsidP="001F6E2C">
      <w:pPr>
        <w:pStyle w:val="Heading5"/>
      </w:pPr>
      <w:bookmarkStart w:id="153" w:name="_Toc210042542"/>
      <w:r w:rsidRPr="00404724">
        <w:t>Alcohol and other drugs</w:t>
      </w:r>
      <w:bookmarkEnd w:id="153"/>
    </w:p>
    <w:p w14:paraId="5EEE6AEF" w14:textId="3E49B881" w:rsidR="00713B55" w:rsidRPr="00404724" w:rsidRDefault="00713B55" w:rsidP="007B5A49">
      <w:r w:rsidRPr="00404724">
        <w:t>Driving under the influence of alcohol or other drugs increases the risk of a crash by impairing driver psychomotor skills, co-ordination, attention, reaction times and judgement of speed and distance.</w:t>
      </w:r>
      <w:r w:rsidRPr="00404724">
        <w:rPr>
          <w:rStyle w:val="FootnoteReference"/>
        </w:rPr>
        <w:footnoteReference w:id="50"/>
      </w:r>
      <w:r w:rsidRPr="00404724">
        <w:t xml:space="preserve"> </w:t>
      </w:r>
      <w:r w:rsidR="002B3F9F" w:rsidRPr="002B3F9F">
        <w:t>As such, it is a major cause of road fatalities in Australia, with drink driving estimated to contribute to 12% of road fatalities, and drug-driving estimated to contribute to 16.8% of road fatalities</w:t>
      </w:r>
      <w:r w:rsidRPr="00404724" w:rsidDel="008D7948">
        <w:t>.</w:t>
      </w:r>
      <w:r w:rsidR="002B3F9F">
        <w:rPr>
          <w:rStyle w:val="FootnoteReference"/>
        </w:rPr>
        <w:footnoteReference w:id="51"/>
      </w:r>
      <w:r w:rsidRPr="00404724" w:rsidDel="008D7948">
        <w:t xml:space="preserve"> Among drivers undergoing </w:t>
      </w:r>
      <w:r w:rsidRPr="00404724" w:rsidDel="008D7948">
        <w:lastRenderedPageBreak/>
        <w:t xml:space="preserve">police random breath testing, 0.6% of </w:t>
      </w:r>
      <w:r w:rsidRPr="00404724">
        <w:t xml:space="preserve">10.3 million tests (57,801) </w:t>
      </w:r>
      <w:r w:rsidRPr="00404724" w:rsidDel="008D7948">
        <w:t>were positive for alcohol in 2022 (with a Blood Alcohol Content (BAC) over the legal limit of 0.05 g of alcohol per 100ml of blood</w:t>
      </w:r>
      <w:r w:rsidRPr="00404724">
        <w:t>.</w:t>
      </w:r>
      <w:r w:rsidRPr="00404724">
        <w:rPr>
          <w:rStyle w:val="FootnoteReference"/>
        </w:rPr>
        <w:footnoteReference w:id="52"/>
      </w:r>
      <w:r w:rsidRPr="00404724">
        <w:t>).</w:t>
      </w:r>
    </w:p>
    <w:p w14:paraId="7B894B88" w14:textId="77777777" w:rsidR="00713B55" w:rsidRPr="00404724" w:rsidRDefault="00713B55" w:rsidP="007B5A49">
      <w:r w:rsidRPr="00404724">
        <w:t>As alcohol reduces inhibition, it can increase risk-taking behaviour such as speeding among drivers. A study of fatal road traffic accidents in Queensland from 2011 to 2015 found that of drivers that crashed with evidence of driver intoxication due to alcohol or drugs, 61% were speeding.</w:t>
      </w:r>
      <w:r w:rsidRPr="00404724">
        <w:rPr>
          <w:rStyle w:val="FootnoteReference"/>
        </w:rPr>
        <w:footnoteReference w:id="53"/>
      </w:r>
      <w:r w:rsidRPr="00404724">
        <w:t xml:space="preserve"> Speeding was also found to be five times more likely to be a contributing factor in an alcohol-related crash than in a non-alcohol-related crash.</w:t>
      </w:r>
      <w:r w:rsidRPr="00404724">
        <w:rPr>
          <w:rStyle w:val="FootnoteReference"/>
        </w:rPr>
        <w:footnoteReference w:id="54"/>
      </w:r>
      <w:r w:rsidRPr="00404724">
        <w:t xml:space="preserve"> Therefore, the relationship between speeding and driving under the influence of alcohol or other drugs is bi-directional, with both factors increasing the risk of crashing. </w:t>
      </w:r>
    </w:p>
    <w:p w14:paraId="47E9152C" w14:textId="577A43CE" w:rsidR="00713B55" w:rsidRPr="00404724" w:rsidRDefault="00713B55" w:rsidP="001F6E2C">
      <w:pPr>
        <w:pStyle w:val="Heading5"/>
      </w:pPr>
      <w:bookmarkStart w:id="154" w:name="_Toc210042543"/>
      <w:r w:rsidRPr="00404724">
        <w:t>Fatigue</w:t>
      </w:r>
      <w:bookmarkEnd w:id="154"/>
    </w:p>
    <w:p w14:paraId="0BB13BE0" w14:textId="08BCA2EE" w:rsidR="00713B55" w:rsidRPr="00404724" w:rsidRDefault="00713B55" w:rsidP="00713B55">
      <w:pPr>
        <w:pStyle w:val="BodyText"/>
      </w:pPr>
      <w:r w:rsidRPr="00404724">
        <w:t>Driving while fatigued can cause drivers to lose focus on the road or fall asleep while driving. Driving while tired contributes to between 16-20% of crashes in Victoria,</w:t>
      </w:r>
      <w:r w:rsidRPr="00404724">
        <w:rPr>
          <w:rStyle w:val="FootnoteReference"/>
        </w:rPr>
        <w:footnoteReference w:id="55"/>
      </w:r>
      <w:r w:rsidRPr="00404724">
        <w:t xml:space="preserve"> while 5.3% of crashes on high-speed roads (≥100</w:t>
      </w:r>
      <w:r w:rsidR="00C82E00" w:rsidRPr="00404724">
        <w:t xml:space="preserve"> km/h</w:t>
      </w:r>
      <w:r w:rsidRPr="00404724">
        <w:t>) in Queensland were sleep related.</w:t>
      </w:r>
      <w:r w:rsidRPr="00404724">
        <w:rPr>
          <w:rStyle w:val="FootnoteReference"/>
        </w:rPr>
        <w:footnoteReference w:id="56"/>
      </w:r>
      <w:r w:rsidRPr="00404724">
        <w:t xml:space="preserve"> An international systematic review and meta-analysis found that driving while tired had a pooled odds ratio of between 1.29 and 1.34 on the risk of a road traffic accident.</w:t>
      </w:r>
      <w:r w:rsidRPr="00404724">
        <w:rPr>
          <w:rStyle w:val="FootnoteReference"/>
        </w:rPr>
        <w:footnoteReference w:id="57"/>
      </w:r>
      <w:r w:rsidR="00BB5FCD" w:rsidRPr="00404724">
        <w:t>,</w:t>
      </w:r>
      <w:r w:rsidRPr="00404724">
        <w:rPr>
          <w:rStyle w:val="FootnoteReference"/>
        </w:rPr>
        <w:footnoteReference w:id="58"/>
      </w:r>
      <w:r w:rsidRPr="00404724">
        <w:t xml:space="preserve"> However, research from Australia estimates that people who drive after only 5 hours sleep are 4.4 times as likely to crash as those who drive after 8 hours sleep.</w:t>
      </w:r>
      <w:r w:rsidRPr="00404724">
        <w:rPr>
          <w:rStyle w:val="FootnoteReference"/>
        </w:rPr>
        <w:footnoteReference w:id="59"/>
      </w:r>
      <w:r w:rsidRPr="00404724">
        <w:t xml:space="preserve"> People who drive after only 3 hours sleep are estimated to be 10 times more likely to be involved in a crash.</w:t>
      </w:r>
      <w:r w:rsidRPr="00404724">
        <w:rPr>
          <w:rStyle w:val="FootnoteReference"/>
        </w:rPr>
        <w:footnoteReference w:id="60"/>
      </w:r>
      <w:r w:rsidRPr="00404724">
        <w:t xml:space="preserve"> </w:t>
      </w:r>
    </w:p>
    <w:p w14:paraId="2952B533" w14:textId="23AA4D7C" w:rsidR="00713B55" w:rsidRPr="00404724" w:rsidRDefault="00713B55" w:rsidP="00713B55">
      <w:pPr>
        <w:pStyle w:val="BodyText"/>
      </w:pPr>
      <w:r w:rsidRPr="00404724">
        <w:t>Sleep-related vehicle crashes have been reported on high-speed and low-speed roads in Australia. Of crashes reported to be sleep-related, 59% occurred on high-speed roads (&gt;100</w:t>
      </w:r>
      <w:r w:rsidR="00C82E00" w:rsidRPr="00404724">
        <w:t xml:space="preserve"> km/h</w:t>
      </w:r>
      <w:r w:rsidRPr="00404724">
        <w:t>), and 41% occurred on low-speed roads (≤60</w:t>
      </w:r>
      <w:r w:rsidR="00C82E00" w:rsidRPr="00404724">
        <w:t xml:space="preserve"> km/h</w:t>
      </w:r>
      <w:r w:rsidRPr="00404724">
        <w:t>).</w:t>
      </w:r>
      <w:r w:rsidRPr="00404724">
        <w:rPr>
          <w:rStyle w:val="FootnoteReference"/>
        </w:rPr>
        <w:footnoteReference w:id="61"/>
      </w:r>
      <w:r w:rsidRPr="00404724">
        <w:t xml:space="preserve"> </w:t>
      </w:r>
    </w:p>
    <w:p w14:paraId="66E832F9" w14:textId="77777777" w:rsidR="00482FEC" w:rsidRPr="00404724" w:rsidRDefault="00482FEC" w:rsidP="001F6E2C">
      <w:pPr>
        <w:pStyle w:val="Heading5"/>
      </w:pPr>
      <w:bookmarkStart w:id="155" w:name="_Toc210042544"/>
      <w:r w:rsidRPr="00404724">
        <w:t>Other determinants</w:t>
      </w:r>
      <w:bookmarkEnd w:id="155"/>
    </w:p>
    <w:p w14:paraId="74F86813" w14:textId="55404F5B" w:rsidR="00482FEC" w:rsidRPr="00404724" w:rsidRDefault="00482FEC" w:rsidP="00393FD2">
      <w:r w:rsidRPr="00404724">
        <w:t>There are a number of factors other than speed which can impact road safety. This includes:</w:t>
      </w:r>
    </w:p>
    <w:p w14:paraId="1C5C0BD5" w14:textId="117289FD" w:rsidR="00482FEC" w:rsidRPr="00404724" w:rsidRDefault="00482FEC" w:rsidP="00485648">
      <w:pPr>
        <w:pStyle w:val="Listparagraphbullets"/>
      </w:pPr>
      <w:r w:rsidRPr="00404724">
        <w:t>distracted driving</w:t>
      </w:r>
    </w:p>
    <w:p w14:paraId="0AE981D1" w14:textId="78AE63D5" w:rsidR="00482FEC" w:rsidRPr="00404724" w:rsidRDefault="00482FEC" w:rsidP="00485648">
      <w:pPr>
        <w:pStyle w:val="Listparagraphbullets"/>
      </w:pPr>
      <w:r w:rsidRPr="00404724">
        <w:t>vehicle safety</w:t>
      </w:r>
    </w:p>
    <w:p w14:paraId="3B25D8F6" w14:textId="5538DB89" w:rsidR="00482FEC" w:rsidRPr="00404724" w:rsidRDefault="00482FEC" w:rsidP="00485648">
      <w:pPr>
        <w:pStyle w:val="Listparagraphbullets"/>
      </w:pPr>
      <w:r w:rsidRPr="00404724">
        <w:t>poor road conditions</w:t>
      </w:r>
    </w:p>
    <w:p w14:paraId="36012B63" w14:textId="014B0C09" w:rsidR="00482FEC" w:rsidRPr="00404724" w:rsidRDefault="00482FEC" w:rsidP="00485648">
      <w:pPr>
        <w:pStyle w:val="Listparagraphbullets"/>
      </w:pPr>
      <w:r w:rsidRPr="00404724">
        <w:t>younger drivers</w:t>
      </w:r>
    </w:p>
    <w:p w14:paraId="65EA3C85" w14:textId="77777777" w:rsidR="00482FEC" w:rsidRPr="00404724" w:rsidRDefault="00482FEC" w:rsidP="00485648">
      <w:pPr>
        <w:pStyle w:val="Listparagraphbullets"/>
      </w:pPr>
      <w:r w:rsidRPr="00404724">
        <w:t>failure to wear seatbelts or helmets.</w:t>
      </w:r>
    </w:p>
    <w:p w14:paraId="6620A610" w14:textId="0EF208A0" w:rsidR="00482FEC" w:rsidRPr="00404724" w:rsidRDefault="00482FEC" w:rsidP="00393FD2">
      <w:r w:rsidRPr="00404724">
        <w:t xml:space="preserve">While individually some of these factors are small, </w:t>
      </w:r>
      <w:r w:rsidR="003A19A9" w:rsidRPr="00404724">
        <w:fldChar w:fldCharType="begin"/>
      </w:r>
      <w:r w:rsidR="003A19A9" w:rsidRPr="00404724">
        <w:instrText xml:space="preserve"> REF _Ref208397784 \h </w:instrText>
      </w:r>
      <w:r w:rsidR="003A19A9" w:rsidRPr="00404724">
        <w:fldChar w:fldCharType="separate"/>
      </w:r>
      <w:r w:rsidR="00BF489D" w:rsidRPr="00404724">
        <w:t xml:space="preserve">Figure </w:t>
      </w:r>
      <w:r w:rsidR="00BF489D">
        <w:rPr>
          <w:noProof/>
        </w:rPr>
        <w:t>9</w:t>
      </w:r>
      <w:r w:rsidR="003A19A9" w:rsidRPr="00404724">
        <w:fldChar w:fldCharType="end"/>
      </w:r>
      <w:r w:rsidRPr="00404724">
        <w:t xml:space="preserve"> suggests that collectively these factors may be more important than speed</w:t>
      </w:r>
      <w:r w:rsidR="00AA438C" w:rsidRPr="00404724">
        <w:t>, alcohol or fatigue</w:t>
      </w:r>
      <w:r w:rsidRPr="00404724">
        <w:t xml:space="preserve">. </w:t>
      </w:r>
      <w:r w:rsidR="00AA438C" w:rsidRPr="00404724">
        <w:t xml:space="preserve">Further, </w:t>
      </w:r>
      <w:r w:rsidRPr="00404724">
        <w:t xml:space="preserve">in many cases </w:t>
      </w:r>
      <w:r w:rsidR="00AA438C" w:rsidRPr="00404724">
        <w:t xml:space="preserve">reducing one factor </w:t>
      </w:r>
      <w:r w:rsidRPr="00404724">
        <w:t>can mitigate the</w:t>
      </w:r>
      <w:r w:rsidR="00AA438C" w:rsidRPr="00404724">
        <w:t xml:space="preserve"> impact of another</w:t>
      </w:r>
      <w:r w:rsidRPr="00404724">
        <w:t xml:space="preserve">. For example, reduced speed before a collision can increase the time a fatigued or </w:t>
      </w:r>
      <w:r w:rsidRPr="00404724">
        <w:lastRenderedPageBreak/>
        <w:t>distracted driver has to react to an unexpected incident, while in a collision a lower speed would mean the vehicle needs to dissipate less kinetic energy to protect their driver.</w:t>
      </w:r>
    </w:p>
    <w:p w14:paraId="0D8F954C" w14:textId="0F3F6254" w:rsidR="00482FEC" w:rsidRPr="00404724" w:rsidRDefault="001F6E2C" w:rsidP="001F6E2C">
      <w:pPr>
        <w:pStyle w:val="Heading3"/>
      </w:pPr>
      <w:bookmarkStart w:id="156" w:name="_Toc207638106"/>
      <w:bookmarkStart w:id="157" w:name="_Toc210040301"/>
      <w:bookmarkStart w:id="158" w:name="_Toc210049174"/>
      <w:bookmarkStart w:id="159" w:name="_Toc210051614"/>
      <w:bookmarkStart w:id="160" w:name="_Toc210051695"/>
      <w:r>
        <w:t>2.2</w:t>
      </w:r>
      <w:r>
        <w:tab/>
      </w:r>
      <w:r w:rsidR="00482FEC" w:rsidRPr="00404724">
        <w:t>The need for government intervention in road safety</w:t>
      </w:r>
      <w:bookmarkEnd w:id="156"/>
      <w:bookmarkEnd w:id="157"/>
      <w:bookmarkEnd w:id="158"/>
      <w:bookmarkEnd w:id="159"/>
      <w:bookmarkEnd w:id="160"/>
    </w:p>
    <w:p w14:paraId="585F4426" w14:textId="7EF6CCBE" w:rsidR="00482FEC" w:rsidRPr="00404724" w:rsidRDefault="00482FEC" w:rsidP="00393FD2">
      <w:bookmarkStart w:id="161" w:name="_Hlk197677671"/>
      <w:r w:rsidRPr="00404724">
        <w:t xml:space="preserve">Government action may be needed where markets fail to provide the most efficient and effective solution to a problem. This is typically described as a market failure. </w:t>
      </w:r>
      <w:r w:rsidR="00AA438C" w:rsidRPr="00404724">
        <w:t xml:space="preserve">While the road network is not a typical market, these types of failures still apply, </w:t>
      </w:r>
      <w:r w:rsidRPr="00404724">
        <w:t>and are discussed in the sections below.</w:t>
      </w:r>
    </w:p>
    <w:p w14:paraId="59C640D7" w14:textId="77777777" w:rsidR="00482FEC" w:rsidRPr="00404724" w:rsidRDefault="00482FEC" w:rsidP="00393FD2">
      <w:r w:rsidRPr="00404724">
        <w:t>These failures justify governments’ roles in setting safety standards, providing infrastructure, enforcement, education, and regulation across the entire road network.</w:t>
      </w:r>
    </w:p>
    <w:p w14:paraId="25B26C8C" w14:textId="07867E24" w:rsidR="00482FEC" w:rsidRPr="00404724" w:rsidRDefault="001F6E2C" w:rsidP="001F6E2C">
      <w:pPr>
        <w:pStyle w:val="Heading4"/>
      </w:pPr>
      <w:bookmarkStart w:id="162" w:name="_Toc210040302"/>
      <w:bookmarkStart w:id="163" w:name="_Toc210049175"/>
      <w:bookmarkStart w:id="164" w:name="_Toc210051615"/>
      <w:bookmarkStart w:id="165" w:name="_Toc210051696"/>
      <w:r>
        <w:t>2.2.1</w:t>
      </w:r>
      <w:r>
        <w:tab/>
      </w:r>
      <w:r w:rsidR="00482FEC" w:rsidRPr="00404724">
        <w:t>Negative externalities</w:t>
      </w:r>
      <w:r w:rsidR="00FD2A95" w:rsidRPr="00404724">
        <w:t xml:space="preserve"> and moral hazard</w:t>
      </w:r>
      <w:bookmarkEnd w:id="162"/>
      <w:bookmarkEnd w:id="163"/>
      <w:bookmarkEnd w:id="164"/>
      <w:bookmarkEnd w:id="165"/>
    </w:p>
    <w:p w14:paraId="48FAF4AD" w14:textId="3A7746EE" w:rsidR="00482FEC" w:rsidRPr="00404724" w:rsidRDefault="00482FEC" w:rsidP="00393FD2">
      <w:r w:rsidRPr="00404724">
        <w:t xml:space="preserve">Externalities are defined as costs and benefits of an activity that are experienced by people or organisations other than those directly involved in the activity. Negative externalities thus occur when a third party experiences a cost or negative impact despite not being directly involved in the activity. </w:t>
      </w:r>
      <w:r w:rsidR="00BA4718" w:rsidRPr="00404724">
        <w:t xml:space="preserve">Similarly, a moral hazard occurs when insured people take more risks due to their insurance from the costs of that risk. In this way, insurance increases the level of negative externality while driving by externalising an otherwise internalised cost (the cost of damage to the driver’s own vehicle and person). </w:t>
      </w:r>
    </w:p>
    <w:p w14:paraId="5E896511" w14:textId="37197303" w:rsidR="00482FEC" w:rsidRPr="00404724" w:rsidRDefault="00482FEC" w:rsidP="00393FD2">
      <w:r w:rsidRPr="00404724">
        <w:t xml:space="preserve">Examples of negative externalities caused by </w:t>
      </w:r>
      <w:r w:rsidR="00532E22" w:rsidRPr="00404724">
        <w:t>unsafe</w:t>
      </w:r>
      <w:r w:rsidR="00713B55" w:rsidRPr="00404724">
        <w:t xml:space="preserve"> driving </w:t>
      </w:r>
      <w:r w:rsidRPr="00404724">
        <w:t xml:space="preserve">include:  </w:t>
      </w:r>
    </w:p>
    <w:p w14:paraId="57F71D4F" w14:textId="665E0757" w:rsidR="00482FEC" w:rsidRPr="00404724" w:rsidRDefault="00482FEC" w:rsidP="00485648">
      <w:pPr>
        <w:pStyle w:val="Listparagraphbullets"/>
      </w:pPr>
      <w:r w:rsidRPr="00404724">
        <w:rPr>
          <w:b/>
          <w:bCs/>
        </w:rPr>
        <w:t>Injury and fatalities:</w:t>
      </w:r>
      <w:r w:rsidRPr="00404724">
        <w:t xml:space="preserve"> </w:t>
      </w:r>
      <w:r w:rsidR="00BA4718" w:rsidRPr="00404724">
        <w:t>o</w:t>
      </w:r>
      <w:r w:rsidRPr="00404724">
        <w:t>ther road users, pedestrians and bicycle riders can be put at risk through reckless driving and have a high risk of injury or death if they are involved in a crash with a vehicle. In NSW, drivers and motorcyclists make up 64% of fatalities and 55% of serious injuries,</w:t>
      </w:r>
      <w:r w:rsidRPr="00404724">
        <w:rPr>
          <w:rStyle w:val="FootnoteReference"/>
        </w:rPr>
        <w:footnoteReference w:id="62"/>
      </w:r>
      <w:r w:rsidRPr="00404724">
        <w:t xml:space="preserve"> while bicycle riders and pedestrians account for 20% of fatalities and 27% of serious injuries.</w:t>
      </w:r>
      <w:r w:rsidRPr="00404724">
        <w:rPr>
          <w:rStyle w:val="FootnoteReference"/>
        </w:rPr>
        <w:footnoteReference w:id="63"/>
      </w:r>
      <w:r w:rsidRPr="00404724">
        <w:t xml:space="preserve"> </w:t>
      </w:r>
    </w:p>
    <w:p w14:paraId="3E2C3B43" w14:textId="3A2D4BDB" w:rsidR="00482FEC" w:rsidRPr="00404724" w:rsidRDefault="00482FEC" w:rsidP="00485648">
      <w:pPr>
        <w:pStyle w:val="Listparagraphbullets"/>
      </w:pPr>
      <w:r w:rsidRPr="00404724">
        <w:rPr>
          <w:b/>
          <w:bCs/>
        </w:rPr>
        <w:t>Emergency response and infrastructure costs:</w:t>
      </w:r>
      <w:r w:rsidRPr="00404724">
        <w:t xml:space="preserve"> </w:t>
      </w:r>
      <w:r w:rsidR="00BA4718" w:rsidRPr="00404724">
        <w:t>w</w:t>
      </w:r>
      <w:r w:rsidRPr="00404724">
        <w:t>hen a crash occurs, a variety of emergency responses can be observed depending on the scale of the incident</w:t>
      </w:r>
      <w:r w:rsidR="00BB5FCD" w:rsidRPr="00404724">
        <w:t>,</w:t>
      </w:r>
      <w:r w:rsidRPr="00404724">
        <w:t xml:space="preserve"> </w:t>
      </w:r>
      <w:r w:rsidR="00404724" w:rsidRPr="00404724">
        <w:t>including</w:t>
      </w:r>
      <w:r w:rsidRPr="00404724">
        <w:t xml:space="preserve"> the need for ambulances and police in the event of serious injuries or fatalities. These costs are typically not all carried by the individual who causes the crash </w:t>
      </w:r>
    </w:p>
    <w:p w14:paraId="62DEC640" w14:textId="1E5236B1" w:rsidR="00BA4718" w:rsidRPr="00404724" w:rsidRDefault="00BA4718" w:rsidP="00485648">
      <w:pPr>
        <w:pStyle w:val="Listparagraphbullets"/>
      </w:pPr>
      <w:r w:rsidRPr="00404724">
        <w:rPr>
          <w:b/>
          <w:bCs/>
        </w:rPr>
        <w:t>Cost of vehicle damage:</w:t>
      </w:r>
      <w:r w:rsidRPr="00404724">
        <w:t xml:space="preserve"> when insured, the cost of repair are in some part borne by the insurers.</w:t>
      </w:r>
      <w:r w:rsidR="00AA438C" w:rsidRPr="00404724">
        <w:t xml:space="preserve"> In such a case, drivers do not bear the burden of a crash and so may not take sufficient steps to avoid them.</w:t>
      </w:r>
    </w:p>
    <w:p w14:paraId="41EA51D5" w14:textId="527D3752" w:rsidR="00482FEC" w:rsidRPr="00404724" w:rsidRDefault="00482FEC" w:rsidP="00485648">
      <w:pPr>
        <w:pStyle w:val="Listparagraphbullets"/>
      </w:pPr>
      <w:r w:rsidRPr="00404724">
        <w:rPr>
          <w:b/>
          <w:bCs/>
        </w:rPr>
        <w:t>Traffic flow disruption:</w:t>
      </w:r>
      <w:r w:rsidRPr="00404724">
        <w:t xml:space="preserve"> </w:t>
      </w:r>
      <w:r w:rsidR="00BA4718" w:rsidRPr="00404724">
        <w:t>m</w:t>
      </w:r>
      <w:r w:rsidRPr="00404724">
        <w:t xml:space="preserve">ajor accidents can lead to extended disruptions to thoroughfares, disrupting traffic flow and can force vehicles onto low-capacity roads. This can lead to greater congestion and strain on infrastructure and extend the impact to emergency services, public transport, and freight delivery systems. </w:t>
      </w:r>
    </w:p>
    <w:p w14:paraId="55521FB6" w14:textId="4CD8A955" w:rsidR="00482FEC" w:rsidRPr="00404724" w:rsidRDefault="00482FEC" w:rsidP="00482FEC">
      <w:pPr>
        <w:pStyle w:val="BodyText"/>
      </w:pPr>
      <w:r w:rsidRPr="00404724">
        <w:t xml:space="preserve">These negative externalities of </w:t>
      </w:r>
      <w:r w:rsidR="00532E22" w:rsidRPr="00404724">
        <w:t xml:space="preserve">unsafe </w:t>
      </w:r>
      <w:r w:rsidRPr="00404724">
        <w:t xml:space="preserve">driving, ranging from increased injuries and fatalities to environmental damage illustrate the clear moral hazard that drivers often drive recklessly because they do not bear the full costs of their actions. </w:t>
      </w:r>
      <w:r w:rsidR="003B2572" w:rsidRPr="00404724">
        <w:t xml:space="preserve">The importance of safe road use is discussed further in </w:t>
      </w:r>
      <w:r w:rsidR="00393FD2" w:rsidRPr="00404724">
        <w:t xml:space="preserve">Section </w:t>
      </w:r>
      <w:r w:rsidR="003B2572" w:rsidRPr="00404724">
        <w:fldChar w:fldCharType="begin"/>
      </w:r>
      <w:r w:rsidR="003B2572" w:rsidRPr="00404724">
        <w:instrText xml:space="preserve"> REF _Ref206687852 \r \h </w:instrText>
      </w:r>
      <w:r w:rsidR="003B2572" w:rsidRPr="00404724">
        <w:fldChar w:fldCharType="separate"/>
      </w:r>
      <w:r w:rsidR="00BF489D">
        <w:t>2.3</w:t>
      </w:r>
      <w:r w:rsidR="003B2572" w:rsidRPr="00404724">
        <w:fldChar w:fldCharType="end"/>
      </w:r>
      <w:r w:rsidR="003B53E3">
        <w:t>.</w:t>
      </w:r>
      <w:r w:rsidR="003B2572" w:rsidRPr="00404724">
        <w:t xml:space="preserve"> </w:t>
      </w:r>
    </w:p>
    <w:p w14:paraId="4A975FF5" w14:textId="660B73F8" w:rsidR="00482FEC" w:rsidRPr="00404724" w:rsidRDefault="001F6E2C" w:rsidP="001F6E2C">
      <w:pPr>
        <w:pStyle w:val="Heading4"/>
      </w:pPr>
      <w:bookmarkStart w:id="166" w:name="_Toc210040303"/>
      <w:bookmarkStart w:id="167" w:name="_Toc210049176"/>
      <w:bookmarkStart w:id="168" w:name="_Toc210051616"/>
      <w:bookmarkStart w:id="169" w:name="_Toc210051697"/>
      <w:bookmarkEnd w:id="161"/>
      <w:r>
        <w:t>2.2.2</w:t>
      </w:r>
      <w:r>
        <w:tab/>
      </w:r>
      <w:r w:rsidR="00482FEC" w:rsidRPr="00404724">
        <w:t>Imperfect information</w:t>
      </w:r>
      <w:bookmarkEnd w:id="166"/>
      <w:bookmarkEnd w:id="167"/>
      <w:bookmarkEnd w:id="168"/>
      <w:bookmarkEnd w:id="169"/>
    </w:p>
    <w:p w14:paraId="2C4927DA" w14:textId="77777777" w:rsidR="00482FEC" w:rsidRPr="00404724" w:rsidRDefault="00482FEC" w:rsidP="00393FD2">
      <w:r w:rsidRPr="00404724">
        <w:t xml:space="preserve">Imperfect information refers to a situation where decision-makers do not have access to all the information they need to make an informed decision. Where this occurs, decision-makers may make different decisions than they would if they knew all the information. This can occur in the road safety context where drivers overestimate their ability to drive safely. </w:t>
      </w:r>
    </w:p>
    <w:p w14:paraId="0D8A949D" w14:textId="77777777" w:rsidR="00482FEC" w:rsidRPr="00404724" w:rsidRDefault="00482FEC" w:rsidP="00393FD2">
      <w:r w:rsidRPr="00404724">
        <w:lastRenderedPageBreak/>
        <w:t>Drivers across all age ranges frequently overestimate their driving ability,</w:t>
      </w:r>
      <w:r w:rsidRPr="00404724">
        <w:rPr>
          <w:rStyle w:val="FootnoteReference"/>
        </w:rPr>
        <w:footnoteReference w:id="64"/>
      </w:r>
      <w:r w:rsidRPr="00404724">
        <w:t xml:space="preserve"> as drivers rely on their subjective definitions of what is a “good driver.”</w:t>
      </w:r>
      <w:r w:rsidRPr="00404724">
        <w:rPr>
          <w:rStyle w:val="FootnoteReference"/>
        </w:rPr>
        <w:footnoteReference w:id="65"/>
      </w:r>
      <w:r w:rsidRPr="00404724">
        <w:t xml:space="preserve"> Younger drivers in particular have been shown to demonstrate overconfidence</w:t>
      </w:r>
      <w:r w:rsidRPr="00404724">
        <w:rPr>
          <w:rStyle w:val="FootnoteReference"/>
        </w:rPr>
        <w:footnoteReference w:id="66"/>
      </w:r>
      <w:r w:rsidRPr="00404724">
        <w:t xml:space="preserve">. </w:t>
      </w:r>
    </w:p>
    <w:p w14:paraId="18740A47" w14:textId="77777777" w:rsidR="00482FEC" w:rsidRPr="00404724" w:rsidRDefault="00482FEC" w:rsidP="00393FD2">
      <w:r w:rsidRPr="00404724">
        <w:t>In unfamiliar environments where road condition knowledge is limited, drivers may take unnecessary risks such as speeding or cause other drivers to have to respond to hazardous driving.</w:t>
      </w:r>
      <w:r w:rsidRPr="00404724">
        <w:rPr>
          <w:rStyle w:val="FootnoteReference"/>
        </w:rPr>
        <w:footnoteReference w:id="67"/>
      </w:r>
      <w:r w:rsidRPr="00404724">
        <w:t xml:space="preserve"> As drivers act as individual agents, they operate under the false assumption that other drivers will act according to their true capabilities, which is often inconsistent with the driver’s self-perceived skill. This can also occur when engineers are aware of hazards, road design limitations, and traffic patterns that drivers may not be without the postage of speed limits and other signage. </w:t>
      </w:r>
    </w:p>
    <w:p w14:paraId="36BB04F5" w14:textId="77777777" w:rsidR="00482FEC" w:rsidRPr="00404724" w:rsidRDefault="00482FEC" w:rsidP="00393FD2">
      <w:r w:rsidRPr="00404724">
        <w:t>Additionally, there is evidence that at least some drivers do not have a good understanding of their risk when:</w:t>
      </w:r>
    </w:p>
    <w:p w14:paraId="3FBA0990" w14:textId="77777777" w:rsidR="00482FEC" w:rsidRPr="00404724" w:rsidRDefault="00482FEC" w:rsidP="00485648">
      <w:pPr>
        <w:pStyle w:val="Listparagraphbullets"/>
      </w:pPr>
      <w:r w:rsidRPr="00404724">
        <w:t>driving while fatigued/sleepy (noting that drivers may not be able to tell when they are fatigued or sleepy)</w:t>
      </w:r>
      <w:r w:rsidRPr="00404724">
        <w:rPr>
          <w:rStyle w:val="FootnoteReference"/>
        </w:rPr>
        <w:footnoteReference w:id="68"/>
      </w:r>
    </w:p>
    <w:p w14:paraId="5F0DBBFE" w14:textId="77777777" w:rsidR="00482FEC" w:rsidRPr="00404724" w:rsidRDefault="00482FEC" w:rsidP="00485648">
      <w:pPr>
        <w:pStyle w:val="Listparagraphbullets"/>
      </w:pPr>
      <w:r w:rsidRPr="00404724">
        <w:t>drink driving</w:t>
      </w:r>
      <w:r w:rsidRPr="00404724">
        <w:rPr>
          <w:rStyle w:val="FootnoteReference"/>
        </w:rPr>
        <w:footnoteReference w:id="69"/>
      </w:r>
    </w:p>
    <w:p w14:paraId="2CF1E195" w14:textId="77777777" w:rsidR="00482FEC" w:rsidRPr="00404724" w:rsidRDefault="00482FEC" w:rsidP="00485648">
      <w:pPr>
        <w:pStyle w:val="Listparagraphbullets"/>
      </w:pPr>
      <w:r w:rsidRPr="00404724">
        <w:t>speeding, as some drivers believe speeding can be safe given a sufficient skill (noting drivers tendency to overestimate their ability, established above)</w:t>
      </w:r>
      <w:r w:rsidRPr="00404724">
        <w:rPr>
          <w:rStyle w:val="FootnoteReference"/>
        </w:rPr>
        <w:footnoteReference w:id="70"/>
      </w:r>
    </w:p>
    <w:p w14:paraId="5667D098" w14:textId="77777777" w:rsidR="00482FEC" w:rsidRPr="00404724" w:rsidRDefault="00482FEC" w:rsidP="00393FD2">
      <w:r w:rsidRPr="00404724">
        <w:t xml:space="preserve">These forms of information failure, when combined can lead to an overall underestimation of the risk on the road. This in turn leads to less care being taken, and an increased risk of collisions. </w:t>
      </w:r>
    </w:p>
    <w:p w14:paraId="67BA2B49" w14:textId="2CD42951" w:rsidR="00482FEC" w:rsidRPr="00404724" w:rsidRDefault="001F6E2C" w:rsidP="001F6E2C">
      <w:pPr>
        <w:pStyle w:val="Heading3"/>
      </w:pPr>
      <w:bookmarkStart w:id="170" w:name="_Toc207638108"/>
      <w:bookmarkStart w:id="171" w:name="_Toc207638109"/>
      <w:bookmarkStart w:id="172" w:name="_Toc207638110"/>
      <w:bookmarkStart w:id="173" w:name="_Toc207638111"/>
      <w:bookmarkStart w:id="174" w:name="_Ref206687852"/>
      <w:bookmarkStart w:id="175" w:name="_Ref207052426"/>
      <w:bookmarkStart w:id="176" w:name="_Toc207638112"/>
      <w:bookmarkStart w:id="177" w:name="_Toc210040304"/>
      <w:bookmarkStart w:id="178" w:name="_Toc210049177"/>
      <w:bookmarkStart w:id="179" w:name="_Toc210051617"/>
      <w:bookmarkStart w:id="180" w:name="_Toc210051698"/>
      <w:bookmarkEnd w:id="170"/>
      <w:bookmarkEnd w:id="171"/>
      <w:bookmarkEnd w:id="172"/>
      <w:bookmarkEnd w:id="173"/>
      <w:r>
        <w:t>2.3</w:t>
      </w:r>
      <w:r>
        <w:tab/>
      </w:r>
      <w:r w:rsidR="00482FEC" w:rsidRPr="00404724">
        <w:t>The policy response</w:t>
      </w:r>
      <w:bookmarkEnd w:id="174"/>
      <w:bookmarkEnd w:id="175"/>
      <w:bookmarkEnd w:id="176"/>
      <w:bookmarkEnd w:id="177"/>
      <w:bookmarkEnd w:id="178"/>
      <w:bookmarkEnd w:id="179"/>
      <w:bookmarkEnd w:id="180"/>
    </w:p>
    <w:p w14:paraId="6C1B8814" w14:textId="58967A1B" w:rsidR="00482FEC" w:rsidRPr="00404724" w:rsidRDefault="00BB5FCD" w:rsidP="00393FD2">
      <w:r w:rsidRPr="00404724">
        <w:t>The Australian, state and territory</w:t>
      </w:r>
      <w:r w:rsidR="00482FEC" w:rsidRPr="00404724">
        <w:t xml:space="preserve"> governments have introduced a number of measures to address the market failures outlined </w:t>
      </w:r>
      <w:r w:rsidR="00C94374" w:rsidRPr="00404724">
        <w:t>above and</w:t>
      </w:r>
      <w:r w:rsidR="00482FEC" w:rsidRPr="00404724">
        <w:t xml:space="preserve"> improve road safety. The full portfolio of these interventions is categorised in the </w:t>
      </w:r>
      <w:r w:rsidR="00482FEC" w:rsidRPr="00404724">
        <w:rPr>
          <w:i/>
          <w:iCs/>
        </w:rPr>
        <w:t>Safe System Approach</w:t>
      </w:r>
      <w:r w:rsidR="00482FEC" w:rsidRPr="00404724">
        <w:t xml:space="preserve"> framework as: safe speeds, safe roads, safe vehicles, safe people and post-crash care.</w:t>
      </w:r>
      <w:r w:rsidR="00FA01E0">
        <w:rPr>
          <w:rStyle w:val="FootnoteReference"/>
        </w:rPr>
        <w:footnoteReference w:id="71"/>
      </w:r>
      <w:r w:rsidR="00482FEC" w:rsidRPr="00404724">
        <w:t xml:space="preserve"> While it would be impractical to describe every road safety intervention, a sample of key interventions are </w:t>
      </w:r>
      <w:r w:rsidR="001F6E2C">
        <w:t xml:space="preserve"> </w:t>
      </w:r>
      <w:r w:rsidR="00482FEC" w:rsidRPr="00404724">
        <w:t>summarised in</w:t>
      </w:r>
      <w:r w:rsidR="003B2572" w:rsidRPr="00404724">
        <w:t xml:space="preserve"> </w:t>
      </w:r>
      <w:r w:rsidR="003B2572" w:rsidRPr="00404724">
        <w:fldChar w:fldCharType="begin"/>
      </w:r>
      <w:r w:rsidR="003B2572" w:rsidRPr="00404724">
        <w:instrText xml:space="preserve"> REF _Ref208496145 \h </w:instrText>
      </w:r>
      <w:r w:rsidR="00393FD2" w:rsidRPr="00404724">
        <w:instrText xml:space="preserve"> \* MERGEFORMAT </w:instrText>
      </w:r>
      <w:r w:rsidR="003B2572" w:rsidRPr="00404724">
        <w:fldChar w:fldCharType="separate"/>
      </w:r>
      <w:r w:rsidR="00BF489D" w:rsidRPr="00404724">
        <w:t xml:space="preserve">Table </w:t>
      </w:r>
      <w:r w:rsidR="00BF489D">
        <w:rPr>
          <w:noProof/>
        </w:rPr>
        <w:t>8</w:t>
      </w:r>
      <w:r w:rsidR="003B2572" w:rsidRPr="00404724">
        <w:fldChar w:fldCharType="end"/>
      </w:r>
      <w:r w:rsidR="00482FEC" w:rsidRPr="00404724">
        <w:t xml:space="preserve"> alongside safe system categories, the underlying principles, and a mapping to the Action Plan principles. </w:t>
      </w:r>
    </w:p>
    <w:p w14:paraId="489BF852" w14:textId="77777777" w:rsidR="003B2572" w:rsidRPr="00404724" w:rsidRDefault="003B2572" w:rsidP="001F6E2C">
      <w:pPr>
        <w:pStyle w:val="Box1Heading"/>
        <w:keepNext/>
        <w:rPr>
          <w:lang w:val="en-AU"/>
        </w:rPr>
      </w:pPr>
      <w:r w:rsidRPr="00404724">
        <w:rPr>
          <w:lang w:val="en-AU"/>
        </w:rPr>
        <w:lastRenderedPageBreak/>
        <w:t>The ‘Safe System’ approach</w:t>
      </w:r>
    </w:p>
    <w:p w14:paraId="22923556" w14:textId="77777777" w:rsidR="003B2572" w:rsidRPr="00404724" w:rsidRDefault="003B2572" w:rsidP="001F6E2C">
      <w:pPr>
        <w:pStyle w:val="Box1Text"/>
        <w:keepLines/>
        <w:rPr>
          <w:lang w:val="en-AU"/>
        </w:rPr>
      </w:pPr>
      <w:r w:rsidRPr="00404724">
        <w:rPr>
          <w:lang w:val="en-AU"/>
        </w:rPr>
        <w:t xml:space="preserve">The Safe System philosophy has been part of road safety practice throughout the Australian states and territories for more than 20 years, providing principles by which an inherently safe road system can be created. It is based on the premise that road users can never be prevented from making errors, despite ongoing efforts to minimise their occurrence. As a result, when crashes inevitably occur, no one should be killed or seriously injured – that is, the road system needs to operate within the biomechanical limits of the road user. </w:t>
      </w:r>
    </w:p>
    <w:p w14:paraId="77404B11" w14:textId="37386C4B" w:rsidR="00482FEC" w:rsidRPr="00404724" w:rsidRDefault="00482FEC" w:rsidP="00482FEC">
      <w:pPr>
        <w:pStyle w:val="BodyText"/>
      </w:pPr>
      <w:r w:rsidRPr="00404724">
        <w:t>All the interventions described in</w:t>
      </w:r>
      <w:r w:rsidR="000C25A5" w:rsidRPr="00404724">
        <w:t xml:space="preserve"> </w:t>
      </w:r>
      <w:r w:rsidR="000C25A5" w:rsidRPr="00404724">
        <w:fldChar w:fldCharType="begin"/>
      </w:r>
      <w:r w:rsidR="000C25A5" w:rsidRPr="00404724">
        <w:instrText xml:space="preserve"> REF _Ref208496145 \h </w:instrText>
      </w:r>
      <w:r w:rsidR="000C25A5" w:rsidRPr="00404724">
        <w:fldChar w:fldCharType="separate"/>
      </w:r>
      <w:r w:rsidR="00BF489D" w:rsidRPr="00404724">
        <w:t xml:space="preserve">Table </w:t>
      </w:r>
      <w:r w:rsidR="00BF489D">
        <w:rPr>
          <w:noProof/>
        </w:rPr>
        <w:t>8</w:t>
      </w:r>
      <w:r w:rsidR="000C25A5" w:rsidRPr="00404724">
        <w:fldChar w:fldCharType="end"/>
      </w:r>
      <w:r w:rsidR="001B57EB" w:rsidRPr="00404724">
        <w:t xml:space="preserve"> </w:t>
      </w:r>
      <w:r w:rsidRPr="00404724">
        <w:t xml:space="preserve">work together to improve road safety by deterring risk taking behaviour (speed limits, alcohol laws), mitigating the impact (safer cars, better infrastructure), or by ensuring the safety of people after an accident takes place (faster medical care). This combined approach acknowledges that road safety interventions are often multiplicative </w:t>
      </w:r>
      <w:r w:rsidR="00E40631" w:rsidRPr="00404724">
        <w:t xml:space="preserve">– </w:t>
      </w:r>
      <w:r w:rsidRPr="00404724">
        <w:t>for example, lower speeds make it easier for safer cars to protect drivers, which in turn will need less urgent medical care. As such, the best way to improve road safety is through a coordinated</w:t>
      </w:r>
      <w:r w:rsidR="00713B55" w:rsidRPr="00404724">
        <w:t>, multi-faceted</w:t>
      </w:r>
      <w:r w:rsidRPr="00404724">
        <w:t xml:space="preserve"> approach. </w:t>
      </w:r>
    </w:p>
    <w:p w14:paraId="788CC947" w14:textId="5A78DD19" w:rsidR="00482FEC" w:rsidRPr="00404724" w:rsidRDefault="00482FEC" w:rsidP="00482FEC">
      <w:pPr>
        <w:pStyle w:val="BodyText"/>
      </w:pPr>
      <w:r w:rsidRPr="00404724">
        <w:t xml:space="preserve">The responsibility for each of the interventions in </w:t>
      </w:r>
      <w:r w:rsidR="000C25A5" w:rsidRPr="00404724">
        <w:fldChar w:fldCharType="begin"/>
      </w:r>
      <w:r w:rsidR="000C25A5" w:rsidRPr="00404724">
        <w:instrText xml:space="preserve"> REF _Ref208496145 \h </w:instrText>
      </w:r>
      <w:r w:rsidR="000C25A5" w:rsidRPr="00404724">
        <w:fldChar w:fldCharType="separate"/>
      </w:r>
      <w:r w:rsidR="00BF489D" w:rsidRPr="00404724">
        <w:t xml:space="preserve">Table </w:t>
      </w:r>
      <w:r w:rsidR="00BF489D">
        <w:rPr>
          <w:noProof/>
        </w:rPr>
        <w:t>8</w:t>
      </w:r>
      <w:r w:rsidR="000C25A5" w:rsidRPr="00404724">
        <w:fldChar w:fldCharType="end"/>
      </w:r>
      <w:r w:rsidR="000C25A5" w:rsidRPr="00404724">
        <w:t xml:space="preserve"> </w:t>
      </w:r>
      <w:r w:rsidRPr="00404724">
        <w:t>sits with various stakeholders – sometimes within the same intervention. For example, while state and territory governments set speed limits for some roads, others are set by local councils. As such, governments coordinate their policy responses through the 10-yearly Road Safety strategies and 5-yearly Action Plans, including the</w:t>
      </w:r>
      <w:r w:rsidR="001B57EB" w:rsidRPr="00404724">
        <w:t xml:space="preserve"> current</w:t>
      </w:r>
      <w:r w:rsidRPr="00404724">
        <w:t xml:space="preserve"> Strategy and Action Plan described before.</w:t>
      </w:r>
    </w:p>
    <w:p w14:paraId="4C129D9B" w14:textId="5D855FBE" w:rsidR="00482FEC" w:rsidRPr="00404724" w:rsidRDefault="000C25A5" w:rsidP="003979C3">
      <w:pPr>
        <w:pStyle w:val="Tablefigureheading"/>
      </w:pPr>
      <w:bookmarkStart w:id="181" w:name="_Ref208496145"/>
      <w:bookmarkStart w:id="182" w:name="_Toc210040353"/>
      <w:bookmarkStart w:id="183" w:name="_Toc210051889"/>
      <w:r w:rsidRPr="00404724">
        <w:t xml:space="preserve">Table </w:t>
      </w:r>
      <w:r w:rsidR="00EC39D5">
        <w:fldChar w:fldCharType="begin"/>
      </w:r>
      <w:r w:rsidR="00EC39D5">
        <w:instrText xml:space="preserve"> SEQ Table \* ARABIC </w:instrText>
      </w:r>
      <w:r w:rsidR="00EC39D5">
        <w:fldChar w:fldCharType="separate"/>
      </w:r>
      <w:r w:rsidR="00BF489D">
        <w:rPr>
          <w:noProof/>
        </w:rPr>
        <w:t>8</w:t>
      </w:r>
      <w:r w:rsidR="00EC39D5">
        <w:rPr>
          <w:noProof/>
        </w:rPr>
        <w:fldChar w:fldCharType="end"/>
      </w:r>
      <w:bookmarkEnd w:id="181"/>
      <w:r w:rsidR="00482FEC" w:rsidRPr="00404724">
        <w:tab/>
        <w:t>Safe system approaches</w:t>
      </w:r>
      <w:bookmarkEnd w:id="182"/>
      <w:bookmarkEnd w:id="183"/>
    </w:p>
    <w:tbl>
      <w:tblPr>
        <w:tblStyle w:val="DefaultTable1"/>
        <w:tblW w:w="9923" w:type="dxa"/>
        <w:tblLook w:val="04E0" w:firstRow="1" w:lastRow="1" w:firstColumn="1" w:lastColumn="0" w:noHBand="0" w:noVBand="1"/>
        <w:tblCaption w:val="Table 8 Safe system approaches"/>
        <w:tblDescription w:val="Table 8 Safe system approaches"/>
      </w:tblPr>
      <w:tblGrid>
        <w:gridCol w:w="1418"/>
        <w:gridCol w:w="2977"/>
        <w:gridCol w:w="3685"/>
        <w:gridCol w:w="1843"/>
      </w:tblGrid>
      <w:tr w:rsidR="00482FEC" w:rsidRPr="00404724" w14:paraId="26B656A0" w14:textId="77777777" w:rsidTr="00337E1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tcPr>
          <w:p w14:paraId="0135240C" w14:textId="41A07647" w:rsidR="00482FEC" w:rsidRPr="00404724" w:rsidRDefault="004B439D" w:rsidP="00BB5FCD">
            <w:r w:rsidRPr="00404724">
              <w:t>Safe system</w:t>
            </w:r>
          </w:p>
        </w:tc>
        <w:tc>
          <w:tcPr>
            <w:tcW w:w="2977" w:type="dxa"/>
          </w:tcPr>
          <w:p w14:paraId="6EB48093" w14:textId="268C0BF5" w:rsidR="00482FEC" w:rsidRPr="00404724" w:rsidRDefault="004B439D" w:rsidP="00BB5FCD">
            <w:pPr>
              <w:cnfStyle w:val="100000000000" w:firstRow="1" w:lastRow="0" w:firstColumn="0" w:lastColumn="0" w:oddVBand="0" w:evenVBand="0" w:oddHBand="0" w:evenHBand="0" w:firstRowFirstColumn="0" w:firstRowLastColumn="0" w:lastRowFirstColumn="0" w:lastRowLastColumn="0"/>
            </w:pPr>
            <w:r w:rsidRPr="00404724">
              <w:t>Example interventions</w:t>
            </w:r>
          </w:p>
        </w:tc>
        <w:tc>
          <w:tcPr>
            <w:tcW w:w="3685" w:type="dxa"/>
          </w:tcPr>
          <w:p w14:paraId="1DB58BA8" w14:textId="1ED76737" w:rsidR="00482FEC" w:rsidRPr="00404724" w:rsidRDefault="004B439D" w:rsidP="00BB5FCD">
            <w:pPr>
              <w:cnfStyle w:val="100000000000" w:firstRow="1" w:lastRow="0" w:firstColumn="0" w:lastColumn="0" w:oddVBand="0" w:evenVBand="0" w:oddHBand="0" w:evenHBand="0" w:firstRowFirstColumn="0" w:firstRowLastColumn="0" w:lastRowFirstColumn="0" w:lastRowLastColumn="0"/>
            </w:pPr>
            <w:r w:rsidRPr="00404724">
              <w:t>Underlying principles of these interventions</w:t>
            </w:r>
          </w:p>
        </w:tc>
        <w:tc>
          <w:tcPr>
            <w:tcW w:w="1843" w:type="dxa"/>
          </w:tcPr>
          <w:p w14:paraId="58BB5B9C" w14:textId="42434F97" w:rsidR="00482FEC" w:rsidRPr="00404724" w:rsidRDefault="004B439D" w:rsidP="00BB5FCD">
            <w:pPr>
              <w:cnfStyle w:val="100000000000" w:firstRow="1" w:lastRow="0" w:firstColumn="0" w:lastColumn="0" w:oddVBand="0" w:evenVBand="0" w:oddHBand="0" w:evenHBand="0" w:firstRowFirstColumn="0" w:firstRowLastColumn="0" w:lastRowFirstColumn="0" w:lastRowLastColumn="0"/>
            </w:pPr>
            <w:r w:rsidRPr="00404724">
              <w:t>Action plan prin</w:t>
            </w:r>
            <w:r w:rsidR="00D36F75" w:rsidRPr="00404724">
              <w:t>ciples</w:t>
            </w:r>
          </w:p>
        </w:tc>
      </w:tr>
      <w:tr w:rsidR="00482FEC" w:rsidRPr="00404724" w14:paraId="57297793" w14:textId="77777777" w:rsidTr="00337E11">
        <w:trPr>
          <w:cantSplit/>
        </w:trPr>
        <w:tc>
          <w:tcPr>
            <w:cnfStyle w:val="001000000000" w:firstRow="0" w:lastRow="0" w:firstColumn="1" w:lastColumn="0" w:oddVBand="0" w:evenVBand="0" w:oddHBand="0" w:evenHBand="0" w:firstRowFirstColumn="0" w:firstRowLastColumn="0" w:lastRowFirstColumn="0" w:lastRowLastColumn="0"/>
            <w:tcW w:w="1418" w:type="dxa"/>
          </w:tcPr>
          <w:p w14:paraId="3C2601A1" w14:textId="77777777" w:rsidR="00482FEC" w:rsidRPr="00404724" w:rsidRDefault="00482FEC" w:rsidP="00BB5FCD">
            <w:r w:rsidRPr="00404724">
              <w:t>Safe roads</w:t>
            </w:r>
          </w:p>
        </w:tc>
        <w:tc>
          <w:tcPr>
            <w:tcW w:w="2977" w:type="dxa"/>
          </w:tcPr>
          <w:p w14:paraId="19195E99" w14:textId="77777777" w:rsidR="00482FEC" w:rsidRPr="00404724" w:rsidRDefault="00482FEC"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Median barriers; shoulder sealing, rumble strips; roundabouts/raised safety platforms</w:t>
            </w:r>
          </w:p>
          <w:p w14:paraId="7D4ED6A4" w14:textId="77777777" w:rsidR="00482FEC" w:rsidRPr="00404724" w:rsidRDefault="00482FEC"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 xml:space="preserve">Protected bike/pedestrian facilities </w:t>
            </w:r>
          </w:p>
          <w:p w14:paraId="548D4138" w14:textId="77777777" w:rsidR="00482FEC" w:rsidRPr="00404724" w:rsidRDefault="00482FEC"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High-friction surfaces</w:t>
            </w:r>
          </w:p>
        </w:tc>
        <w:tc>
          <w:tcPr>
            <w:tcW w:w="3685" w:type="dxa"/>
          </w:tcPr>
          <w:p w14:paraId="4A0BF40F" w14:textId="77777777" w:rsidR="00482FEC" w:rsidRPr="00404724" w:rsidRDefault="00482FEC" w:rsidP="00BB5FCD">
            <w:pPr>
              <w:cnfStyle w:val="000000000000" w:firstRow="0" w:lastRow="0" w:firstColumn="0" w:lastColumn="0" w:oddVBand="0" w:evenVBand="0" w:oddHBand="0" w:evenHBand="0" w:firstRowFirstColumn="0" w:firstRowLastColumn="0" w:lastRowFirstColumn="0" w:lastRowLastColumn="0"/>
            </w:pPr>
            <w:r w:rsidRPr="00404724">
              <w:t>Separate and simplify movements; remove or cushion hazards; reduce conflict angles; manage kinetic energy at high-risk points; create forgiving infrastructure that limits crash severity.</w:t>
            </w:r>
          </w:p>
        </w:tc>
        <w:tc>
          <w:tcPr>
            <w:tcW w:w="1843" w:type="dxa"/>
          </w:tcPr>
          <w:p w14:paraId="479EC0CF" w14:textId="77777777" w:rsidR="00482FEC" w:rsidRPr="00404724" w:rsidRDefault="00482FEC" w:rsidP="00BB5FCD">
            <w:pPr>
              <w:cnfStyle w:val="000000000000" w:firstRow="0" w:lastRow="0" w:firstColumn="0" w:lastColumn="0" w:oddVBand="0" w:evenVBand="0" w:oddHBand="0" w:evenHBand="0" w:firstRowFirstColumn="0" w:firstRowLastColumn="0" w:lastRowFirstColumn="0" w:lastRowLastColumn="0"/>
            </w:pPr>
            <w:r w:rsidRPr="00404724">
              <w:t>Infrastructure planning and investment</w:t>
            </w:r>
          </w:p>
          <w:p w14:paraId="3057AB7A" w14:textId="77777777" w:rsidR="00482FEC" w:rsidRPr="00404724" w:rsidRDefault="00482FEC" w:rsidP="00BB5FCD">
            <w:pPr>
              <w:cnfStyle w:val="000000000000" w:firstRow="0" w:lastRow="0" w:firstColumn="0" w:lastColumn="0" w:oddVBand="0" w:evenVBand="0" w:oddHBand="0" w:evenHBand="0" w:firstRowFirstColumn="0" w:firstRowLastColumn="0" w:lastRowFirstColumn="0" w:lastRowLastColumn="0"/>
            </w:pPr>
            <w:r w:rsidRPr="00404724">
              <w:t>Regional road safety</w:t>
            </w:r>
          </w:p>
          <w:p w14:paraId="2E5A3ED7" w14:textId="77777777" w:rsidR="00482FEC" w:rsidRPr="00404724" w:rsidRDefault="00482FEC" w:rsidP="00BB5FCD">
            <w:pPr>
              <w:cnfStyle w:val="000000000000" w:firstRow="0" w:lastRow="0" w:firstColumn="0" w:lastColumn="0" w:oddVBand="0" w:evenVBand="0" w:oddHBand="0" w:evenHBand="0" w:firstRowFirstColumn="0" w:firstRowLastColumn="0" w:lastRowFirstColumn="0" w:lastRowLastColumn="0"/>
            </w:pPr>
            <w:r w:rsidRPr="00404724">
              <w:t>Remote road safety</w:t>
            </w:r>
          </w:p>
        </w:tc>
      </w:tr>
      <w:tr w:rsidR="00482FEC" w:rsidRPr="00404724" w14:paraId="2ACCD53C" w14:textId="77777777" w:rsidTr="00337E1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tcPr>
          <w:p w14:paraId="6CDD2874" w14:textId="77777777" w:rsidR="00482FEC" w:rsidRPr="00404724" w:rsidRDefault="00482FEC" w:rsidP="00BB5FCD">
            <w:r w:rsidRPr="00404724">
              <w:t>Safe speeds</w:t>
            </w:r>
          </w:p>
        </w:tc>
        <w:tc>
          <w:tcPr>
            <w:tcW w:w="2977" w:type="dxa"/>
          </w:tcPr>
          <w:p w14:paraId="7B65D31D" w14:textId="77777777" w:rsidR="00482FEC" w:rsidRPr="00404724" w:rsidRDefault="00482FEC" w:rsidP="00485648">
            <w:pPr>
              <w:pStyle w:val="Listparagraphbullets"/>
              <w:cnfStyle w:val="000000010000" w:firstRow="0" w:lastRow="0" w:firstColumn="0" w:lastColumn="0" w:oddVBand="0" w:evenVBand="0" w:oddHBand="0" w:evenHBand="1" w:firstRowFirstColumn="0" w:firstRowLastColumn="0" w:lastRowFirstColumn="0" w:lastRowLastColumn="0"/>
            </w:pPr>
            <w:r w:rsidRPr="00404724">
              <w:t>Speed limits</w:t>
            </w:r>
          </w:p>
          <w:p w14:paraId="0C60EBCF" w14:textId="77777777" w:rsidR="00482FEC" w:rsidRPr="00404724" w:rsidRDefault="00482FEC" w:rsidP="00485648">
            <w:pPr>
              <w:pStyle w:val="Listparagraphbullets"/>
              <w:cnfStyle w:val="000000010000" w:firstRow="0" w:lastRow="0" w:firstColumn="0" w:lastColumn="0" w:oddVBand="0" w:evenVBand="0" w:oddHBand="0" w:evenHBand="1" w:firstRowFirstColumn="0" w:firstRowLastColumn="0" w:lastRowFirstColumn="0" w:lastRowLastColumn="0"/>
            </w:pPr>
            <w:r w:rsidRPr="00404724">
              <w:t>Variable limits/managed motorways</w:t>
            </w:r>
          </w:p>
          <w:p w14:paraId="7D4329CE" w14:textId="77777777" w:rsidR="00482FEC" w:rsidRPr="00404724" w:rsidRDefault="00482FEC" w:rsidP="00485648">
            <w:pPr>
              <w:pStyle w:val="Listparagraphbullets"/>
              <w:cnfStyle w:val="000000010000" w:firstRow="0" w:lastRow="0" w:firstColumn="0" w:lastColumn="0" w:oddVBand="0" w:evenVBand="0" w:oddHBand="0" w:evenHBand="1" w:firstRowFirstColumn="0" w:firstRowLastColumn="0" w:lastRowFirstColumn="0" w:lastRowLastColumn="0"/>
            </w:pPr>
            <w:r w:rsidRPr="00404724">
              <w:t xml:space="preserve">Fixed and average-speed cameras </w:t>
            </w:r>
          </w:p>
          <w:p w14:paraId="14A7BA3A" w14:textId="77777777" w:rsidR="00482FEC" w:rsidRPr="00404724" w:rsidRDefault="00482FEC" w:rsidP="00485648">
            <w:pPr>
              <w:pStyle w:val="Listparagraphbullets"/>
              <w:cnfStyle w:val="000000010000" w:firstRow="0" w:lastRow="0" w:firstColumn="0" w:lastColumn="0" w:oddVBand="0" w:evenVBand="0" w:oddHBand="0" w:evenHBand="1" w:firstRowFirstColumn="0" w:firstRowLastColumn="0" w:lastRowFirstColumn="0" w:lastRowLastColumn="0"/>
            </w:pPr>
            <w:r w:rsidRPr="00404724">
              <w:t>Speed-setting reviews</w:t>
            </w:r>
          </w:p>
        </w:tc>
        <w:tc>
          <w:tcPr>
            <w:tcW w:w="3685" w:type="dxa"/>
          </w:tcPr>
          <w:p w14:paraId="019FF640" w14:textId="77777777" w:rsidR="00482FEC" w:rsidRPr="00404724" w:rsidRDefault="00482FEC" w:rsidP="00BB5FCD">
            <w:pPr>
              <w:cnfStyle w:val="000000010000" w:firstRow="0" w:lastRow="0" w:firstColumn="0" w:lastColumn="0" w:oddVBand="0" w:evenVBand="0" w:oddHBand="0" w:evenHBand="1" w:firstRowFirstColumn="0" w:firstRowLastColumn="0" w:lastRowFirstColumn="0" w:lastRowLastColumn="0"/>
            </w:pPr>
            <w:r w:rsidRPr="00404724">
              <w:t>Set credible, survivable speeds matched to function and users; use general deterrence to sustain compliance; adapt limits to conditions to keep impact forces within human tolerance.</w:t>
            </w:r>
          </w:p>
        </w:tc>
        <w:tc>
          <w:tcPr>
            <w:tcW w:w="1843" w:type="dxa"/>
          </w:tcPr>
          <w:p w14:paraId="70B6AB0C" w14:textId="77777777" w:rsidR="00482FEC" w:rsidRPr="00404724" w:rsidRDefault="00482FEC" w:rsidP="00BB5FCD">
            <w:pPr>
              <w:cnfStyle w:val="000000010000" w:firstRow="0" w:lastRow="0" w:firstColumn="0" w:lastColumn="0" w:oddVBand="0" w:evenVBand="0" w:oddHBand="0" w:evenHBand="1" w:firstRowFirstColumn="0" w:firstRowLastColumn="0" w:lastRowFirstColumn="0" w:lastRowLastColumn="0"/>
            </w:pPr>
            <w:r w:rsidRPr="00404724">
              <w:t>Risky road use</w:t>
            </w:r>
          </w:p>
        </w:tc>
      </w:tr>
      <w:tr w:rsidR="00482FEC" w:rsidRPr="00404724" w14:paraId="31B774D6" w14:textId="77777777" w:rsidTr="00337E11">
        <w:trPr>
          <w:cantSplit/>
        </w:trPr>
        <w:tc>
          <w:tcPr>
            <w:cnfStyle w:val="001000000000" w:firstRow="0" w:lastRow="0" w:firstColumn="1" w:lastColumn="0" w:oddVBand="0" w:evenVBand="0" w:oddHBand="0" w:evenHBand="0" w:firstRowFirstColumn="0" w:firstRowLastColumn="0" w:lastRowFirstColumn="0" w:lastRowLastColumn="0"/>
            <w:tcW w:w="1418" w:type="dxa"/>
          </w:tcPr>
          <w:p w14:paraId="0F1D3724" w14:textId="77777777" w:rsidR="00482FEC" w:rsidRPr="00404724" w:rsidRDefault="00482FEC" w:rsidP="00BB5FCD">
            <w:r w:rsidRPr="00404724">
              <w:t>Safe vehicles</w:t>
            </w:r>
          </w:p>
        </w:tc>
        <w:tc>
          <w:tcPr>
            <w:tcW w:w="2977" w:type="dxa"/>
          </w:tcPr>
          <w:p w14:paraId="6ED91978" w14:textId="77777777" w:rsidR="00482FEC" w:rsidRPr="00404724" w:rsidRDefault="00482FEC"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ADR-mandated ESC/AEB/lane support</w:t>
            </w:r>
          </w:p>
          <w:p w14:paraId="19B3160B" w14:textId="38CE83FA" w:rsidR="00482FEC" w:rsidRPr="00404724" w:rsidRDefault="00E406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 xml:space="preserve">Fleet </w:t>
            </w:r>
            <w:r w:rsidR="00482FEC" w:rsidRPr="00404724">
              <w:t>procurement</w:t>
            </w:r>
            <w:r w:rsidR="001B57EB" w:rsidRPr="00404724">
              <w:t xml:space="preserve"> informed by safety ratings</w:t>
            </w:r>
            <w:r w:rsidR="00482FEC" w:rsidRPr="00404724">
              <w:t xml:space="preserve">; motorcycle ABS; heavy-vehicle AEBS/ESC </w:t>
            </w:r>
          </w:p>
          <w:p w14:paraId="06616ACF" w14:textId="77777777" w:rsidR="00482FEC" w:rsidRPr="00404724" w:rsidRDefault="00482FEC"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Alcohol interlocks for offenders</w:t>
            </w:r>
          </w:p>
        </w:tc>
        <w:tc>
          <w:tcPr>
            <w:tcW w:w="3685" w:type="dxa"/>
          </w:tcPr>
          <w:p w14:paraId="624B2D43" w14:textId="77777777" w:rsidR="00482FEC" w:rsidRPr="00404724" w:rsidRDefault="00482FEC" w:rsidP="00BB5FCD">
            <w:pPr>
              <w:cnfStyle w:val="000000000000" w:firstRow="0" w:lastRow="0" w:firstColumn="0" w:lastColumn="0" w:oddVBand="0" w:evenVBand="0" w:oddHBand="0" w:evenHBand="0" w:firstRowFirstColumn="0" w:firstRowLastColumn="0" w:lastRowFirstColumn="0" w:lastRowLastColumn="0"/>
            </w:pPr>
            <w:r w:rsidRPr="00404724">
              <w:t>Prioritise crash avoidance then protection; embed fail-safe and stability systems; shape the fleet toward higher safety performance; control high-risk cohorts at the source.</w:t>
            </w:r>
          </w:p>
        </w:tc>
        <w:tc>
          <w:tcPr>
            <w:tcW w:w="1843" w:type="dxa"/>
          </w:tcPr>
          <w:p w14:paraId="791447AA" w14:textId="77777777" w:rsidR="00482FEC" w:rsidRPr="00404724" w:rsidRDefault="00482FEC" w:rsidP="00BB5FCD">
            <w:pPr>
              <w:cnfStyle w:val="000000000000" w:firstRow="0" w:lastRow="0" w:firstColumn="0" w:lastColumn="0" w:oddVBand="0" w:evenVBand="0" w:oddHBand="0" w:evenHBand="0" w:firstRowFirstColumn="0" w:firstRowLastColumn="0" w:lastRowFirstColumn="0" w:lastRowLastColumn="0"/>
            </w:pPr>
            <w:r w:rsidRPr="00404724">
              <w:t>Vehicle safety</w:t>
            </w:r>
          </w:p>
          <w:p w14:paraId="1A0E4D48" w14:textId="77777777" w:rsidR="00482FEC" w:rsidRPr="00404724" w:rsidRDefault="00482FEC" w:rsidP="00BB5FCD">
            <w:pPr>
              <w:cnfStyle w:val="000000000000" w:firstRow="0" w:lastRow="0" w:firstColumn="0" w:lastColumn="0" w:oddVBand="0" w:evenVBand="0" w:oddHBand="0" w:evenHBand="0" w:firstRowFirstColumn="0" w:firstRowLastColumn="0" w:lastRowFirstColumn="0" w:lastRowLastColumn="0"/>
            </w:pPr>
            <w:r w:rsidRPr="00404724">
              <w:t>Heavy vehicle safety</w:t>
            </w:r>
          </w:p>
        </w:tc>
      </w:tr>
      <w:tr w:rsidR="00482FEC" w:rsidRPr="00404724" w14:paraId="2AFE465E" w14:textId="77777777" w:rsidTr="00337E1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tcPr>
          <w:p w14:paraId="6609F9A0" w14:textId="77777777" w:rsidR="00482FEC" w:rsidRPr="00404724" w:rsidRDefault="00482FEC" w:rsidP="00BB5FCD">
            <w:r w:rsidRPr="00404724">
              <w:lastRenderedPageBreak/>
              <w:t>Safe road users</w:t>
            </w:r>
          </w:p>
        </w:tc>
        <w:tc>
          <w:tcPr>
            <w:tcW w:w="2977" w:type="dxa"/>
          </w:tcPr>
          <w:p w14:paraId="27BA5EB2" w14:textId="77777777" w:rsidR="00482FEC" w:rsidRPr="00404724" w:rsidRDefault="00482FEC" w:rsidP="00485648">
            <w:pPr>
              <w:pStyle w:val="Listparagraphbullets"/>
              <w:cnfStyle w:val="000000010000" w:firstRow="0" w:lastRow="0" w:firstColumn="0" w:lastColumn="0" w:oddVBand="0" w:evenVBand="0" w:oddHBand="0" w:evenHBand="1" w:firstRowFirstColumn="0" w:firstRowLastColumn="0" w:lastRowFirstColumn="0" w:lastRowLastColumn="0"/>
            </w:pPr>
            <w:r w:rsidRPr="00404724">
              <w:t>Random breath/drug testing; graduated licensing</w:t>
            </w:r>
          </w:p>
          <w:p w14:paraId="33CF97E6" w14:textId="77777777" w:rsidR="00482FEC" w:rsidRPr="00404724" w:rsidRDefault="00482FEC" w:rsidP="00485648">
            <w:pPr>
              <w:pStyle w:val="Listparagraphbullets"/>
              <w:cnfStyle w:val="000000010000" w:firstRow="0" w:lastRow="0" w:firstColumn="0" w:lastColumn="0" w:oddVBand="0" w:evenVBand="0" w:oddHBand="0" w:evenHBand="1" w:firstRowFirstColumn="0" w:firstRowLastColumn="0" w:lastRowFirstColumn="0" w:lastRowLastColumn="0"/>
            </w:pPr>
            <w:r w:rsidRPr="00404724">
              <w:t>Seatbelt/child-restraint and helmet enforcement; mobile-phone detection</w:t>
            </w:r>
          </w:p>
          <w:p w14:paraId="3E03261A" w14:textId="77777777" w:rsidR="00482FEC" w:rsidRPr="00404724" w:rsidRDefault="00482FEC" w:rsidP="00485648">
            <w:pPr>
              <w:pStyle w:val="Listparagraphbullets"/>
              <w:cnfStyle w:val="000000010000" w:firstRow="0" w:lastRow="0" w:firstColumn="0" w:lastColumn="0" w:oddVBand="0" w:evenVBand="0" w:oddHBand="0" w:evenHBand="1" w:firstRowFirstColumn="0" w:firstRowLastColumn="0" w:lastRowFirstColumn="0" w:lastRowLastColumn="0"/>
            </w:pPr>
            <w:r w:rsidRPr="00404724">
              <w:t>Fatigue management for heavy vehicles</w:t>
            </w:r>
          </w:p>
        </w:tc>
        <w:tc>
          <w:tcPr>
            <w:tcW w:w="3685" w:type="dxa"/>
          </w:tcPr>
          <w:p w14:paraId="19D97B3B" w14:textId="4E0A42B4" w:rsidR="00482FEC" w:rsidRPr="00404724" w:rsidRDefault="00482FEC" w:rsidP="00BB5FCD">
            <w:pPr>
              <w:cnfStyle w:val="000000010000" w:firstRow="0" w:lastRow="0" w:firstColumn="0" w:lastColumn="0" w:oddVBand="0" w:evenVBand="0" w:oddHBand="0" w:evenHBand="1" w:firstRowFirstColumn="0" w:firstRowLastColumn="0" w:lastRowFirstColumn="0" w:lastRowLastColumn="0"/>
            </w:pPr>
            <w:r w:rsidRPr="00404724">
              <w:t>Deter impairment and distraction; phase</w:t>
            </w:r>
            <w:r w:rsidR="001B57EB" w:rsidRPr="00404724">
              <w:t>d</w:t>
            </w:r>
            <w:r w:rsidRPr="00404724">
              <w:t xml:space="preserve"> learner/provisional experience; maximise restraint use; manage fatigue and other high-risk behaviours through enforcement, education, and graduated sanctions.</w:t>
            </w:r>
          </w:p>
        </w:tc>
        <w:tc>
          <w:tcPr>
            <w:tcW w:w="1843" w:type="dxa"/>
          </w:tcPr>
          <w:p w14:paraId="47593A5C" w14:textId="77777777" w:rsidR="00482FEC" w:rsidRPr="00404724" w:rsidRDefault="00482FEC" w:rsidP="00BB5FCD">
            <w:pPr>
              <w:cnfStyle w:val="000000010000" w:firstRow="0" w:lastRow="0" w:firstColumn="0" w:lastColumn="0" w:oddVBand="0" w:evenVBand="0" w:oddHBand="0" w:evenHBand="1" w:firstRowFirstColumn="0" w:firstRowLastColumn="0" w:lastRowFirstColumn="0" w:lastRowLastColumn="0"/>
            </w:pPr>
            <w:r w:rsidRPr="00404724">
              <w:t>Aboriginal and Torres Strait Islander people</w:t>
            </w:r>
          </w:p>
          <w:p w14:paraId="4520B08A" w14:textId="77777777" w:rsidR="00482FEC" w:rsidRPr="00404724" w:rsidRDefault="00482FEC" w:rsidP="00BB5FCD">
            <w:pPr>
              <w:cnfStyle w:val="000000010000" w:firstRow="0" w:lastRow="0" w:firstColumn="0" w:lastColumn="0" w:oddVBand="0" w:evenVBand="0" w:oddHBand="0" w:evenHBand="1" w:firstRowFirstColumn="0" w:firstRowLastColumn="0" w:lastRowFirstColumn="0" w:lastRowLastColumn="0"/>
            </w:pPr>
            <w:r w:rsidRPr="00404724">
              <w:t>Vulnerable road users</w:t>
            </w:r>
          </w:p>
          <w:p w14:paraId="1221852A" w14:textId="77777777" w:rsidR="00482FEC" w:rsidRPr="00404724" w:rsidRDefault="00482FEC" w:rsidP="00BB5FCD">
            <w:pPr>
              <w:cnfStyle w:val="000000010000" w:firstRow="0" w:lastRow="0" w:firstColumn="0" w:lastColumn="0" w:oddVBand="0" w:evenVBand="0" w:oddHBand="0" w:evenHBand="1" w:firstRowFirstColumn="0" w:firstRowLastColumn="0" w:lastRowFirstColumn="0" w:lastRowLastColumn="0"/>
            </w:pPr>
            <w:r w:rsidRPr="00404724">
              <w:t>Workplace road safety</w:t>
            </w:r>
          </w:p>
        </w:tc>
      </w:tr>
      <w:tr w:rsidR="00482FEC" w:rsidRPr="00404724" w14:paraId="1B677B66" w14:textId="77777777" w:rsidTr="00337E11">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77DE6122" w14:textId="77777777" w:rsidR="00482FEC" w:rsidRPr="00404724" w:rsidRDefault="00482FEC" w:rsidP="00BB5FCD">
            <w:r w:rsidRPr="00404724">
              <w:t>Post-crash care</w:t>
            </w:r>
          </w:p>
        </w:tc>
        <w:tc>
          <w:tcPr>
            <w:tcW w:w="2977" w:type="dxa"/>
            <w:shd w:val="clear" w:color="auto" w:fill="auto"/>
          </w:tcPr>
          <w:p w14:paraId="29413F27" w14:textId="77777777" w:rsidR="00482FEC" w:rsidRPr="00404724" w:rsidRDefault="00482FEC" w:rsidP="00485648">
            <w:pPr>
              <w:pStyle w:val="Listparagraphbullets"/>
              <w:cnfStyle w:val="010000000000" w:firstRow="0" w:lastRow="1" w:firstColumn="0" w:lastColumn="0" w:oddVBand="0" w:evenVBand="0" w:oddHBand="0" w:evenHBand="0" w:firstRowFirstColumn="0" w:firstRowLastColumn="0" w:lastRowFirstColumn="0" w:lastRowLastColumn="0"/>
              <w:rPr>
                <w:b w:val="0"/>
              </w:rPr>
            </w:pPr>
            <w:r w:rsidRPr="00404724">
              <w:t>Rapid emergency management and trauma systems</w:t>
            </w:r>
          </w:p>
          <w:p w14:paraId="472080ED" w14:textId="77777777" w:rsidR="00482FEC" w:rsidRPr="00404724" w:rsidRDefault="00482FEC" w:rsidP="00485648">
            <w:pPr>
              <w:pStyle w:val="Listparagraphbullets"/>
              <w:cnfStyle w:val="010000000000" w:firstRow="0" w:lastRow="1" w:firstColumn="0" w:lastColumn="0" w:oddVBand="0" w:evenVBand="0" w:oddHBand="0" w:evenHBand="0" w:firstRowFirstColumn="0" w:firstRowLastColumn="0" w:lastRowFirstColumn="0" w:lastRowLastColumn="0"/>
              <w:rPr>
                <w:b w:val="0"/>
              </w:rPr>
            </w:pPr>
            <w:r w:rsidRPr="00404724">
              <w:t xml:space="preserve">Automatic crash notification </w:t>
            </w:r>
          </w:p>
          <w:p w14:paraId="44FEE20F" w14:textId="77777777" w:rsidR="00482FEC" w:rsidRPr="00404724" w:rsidRDefault="00482FEC" w:rsidP="00485648">
            <w:pPr>
              <w:pStyle w:val="Listparagraphbullets"/>
              <w:cnfStyle w:val="010000000000" w:firstRow="0" w:lastRow="1" w:firstColumn="0" w:lastColumn="0" w:oddVBand="0" w:evenVBand="0" w:oddHBand="0" w:evenHBand="0" w:firstRowFirstColumn="0" w:firstRowLastColumn="0" w:lastRowFirstColumn="0" w:lastRowLastColumn="0"/>
              <w:rPr>
                <w:b w:val="0"/>
              </w:rPr>
            </w:pPr>
            <w:r w:rsidRPr="00404724">
              <w:t>Safe-clearance incident management</w:t>
            </w:r>
          </w:p>
          <w:p w14:paraId="01332AC0" w14:textId="77777777" w:rsidR="00482FEC" w:rsidRPr="00404724" w:rsidRDefault="00482FEC" w:rsidP="00485648">
            <w:pPr>
              <w:pStyle w:val="Listparagraphbullets"/>
              <w:cnfStyle w:val="010000000000" w:firstRow="0" w:lastRow="1" w:firstColumn="0" w:lastColumn="0" w:oddVBand="0" w:evenVBand="0" w:oddHBand="0" w:evenHBand="0" w:firstRowFirstColumn="0" w:firstRowLastColumn="0" w:lastRowFirstColumn="0" w:lastRowLastColumn="0"/>
            </w:pPr>
            <w:r w:rsidRPr="00404724">
              <w:t>Trauma registries</w:t>
            </w:r>
          </w:p>
        </w:tc>
        <w:tc>
          <w:tcPr>
            <w:tcW w:w="3685" w:type="dxa"/>
            <w:shd w:val="clear" w:color="auto" w:fill="auto"/>
          </w:tcPr>
          <w:p w14:paraId="22FBBE4D" w14:textId="77777777" w:rsidR="00482FEC" w:rsidRPr="00404724" w:rsidRDefault="00482FEC" w:rsidP="00BB5FCD">
            <w:pPr>
              <w:cnfStyle w:val="010000000000" w:firstRow="0" w:lastRow="1" w:firstColumn="0" w:lastColumn="0" w:oddVBand="0" w:evenVBand="0" w:oddHBand="0" w:evenHBand="0" w:firstRowFirstColumn="0" w:firstRowLastColumn="0" w:lastRowFirstColumn="0" w:lastRowLastColumn="0"/>
              <w:rPr>
                <w:b w:val="0"/>
                <w:bCs/>
              </w:rPr>
            </w:pPr>
            <w:r w:rsidRPr="00404724">
              <w:rPr>
                <w:b w:val="0"/>
                <w:bCs/>
              </w:rPr>
              <w:t>Minimise time to definitive care; protect responders and prevent secondary crashes; use linked data for continuous system learning and treatment optimisation.</w:t>
            </w:r>
          </w:p>
        </w:tc>
        <w:tc>
          <w:tcPr>
            <w:tcW w:w="1843" w:type="dxa"/>
            <w:shd w:val="clear" w:color="auto" w:fill="auto"/>
          </w:tcPr>
          <w:p w14:paraId="2EC04C71" w14:textId="77777777" w:rsidR="00482FEC" w:rsidRPr="00404724" w:rsidRDefault="00482FEC" w:rsidP="00BB5FCD">
            <w:pPr>
              <w:cnfStyle w:val="010000000000" w:firstRow="0" w:lastRow="1" w:firstColumn="0" w:lastColumn="0" w:oddVBand="0" w:evenVBand="0" w:oddHBand="0" w:evenHBand="0" w:firstRowFirstColumn="0" w:firstRowLastColumn="0" w:lastRowFirstColumn="0" w:lastRowLastColumn="0"/>
              <w:rPr>
                <w:b w:val="0"/>
                <w:bCs/>
              </w:rPr>
            </w:pPr>
            <w:r w:rsidRPr="00404724">
              <w:rPr>
                <w:b w:val="0"/>
                <w:bCs/>
              </w:rPr>
              <w:t>Aboriginal and Torres Strait Islander people</w:t>
            </w:r>
          </w:p>
          <w:p w14:paraId="2241606F" w14:textId="77777777" w:rsidR="00482FEC" w:rsidRPr="00404724" w:rsidRDefault="00482FEC" w:rsidP="00BB5FCD">
            <w:pPr>
              <w:cnfStyle w:val="010000000000" w:firstRow="0" w:lastRow="1" w:firstColumn="0" w:lastColumn="0" w:oddVBand="0" w:evenVBand="0" w:oddHBand="0" w:evenHBand="0" w:firstRowFirstColumn="0" w:firstRowLastColumn="0" w:lastRowFirstColumn="0" w:lastRowLastColumn="0"/>
              <w:rPr>
                <w:b w:val="0"/>
                <w:bCs/>
              </w:rPr>
            </w:pPr>
            <w:r w:rsidRPr="00404724">
              <w:rPr>
                <w:b w:val="0"/>
                <w:bCs/>
              </w:rPr>
              <w:t>Vulnerable road users</w:t>
            </w:r>
          </w:p>
          <w:p w14:paraId="411D4832" w14:textId="77777777" w:rsidR="00482FEC" w:rsidRPr="00404724" w:rsidRDefault="00482FEC" w:rsidP="00BB5FCD">
            <w:pPr>
              <w:cnfStyle w:val="010000000000" w:firstRow="0" w:lastRow="1" w:firstColumn="0" w:lastColumn="0" w:oddVBand="0" w:evenVBand="0" w:oddHBand="0" w:evenHBand="0" w:firstRowFirstColumn="0" w:firstRowLastColumn="0" w:lastRowFirstColumn="0" w:lastRowLastColumn="0"/>
              <w:rPr>
                <w:b w:val="0"/>
                <w:bCs/>
              </w:rPr>
            </w:pPr>
            <w:r w:rsidRPr="00404724">
              <w:rPr>
                <w:b w:val="0"/>
                <w:bCs/>
              </w:rPr>
              <w:t>Workplace road safety</w:t>
            </w:r>
          </w:p>
        </w:tc>
      </w:tr>
    </w:tbl>
    <w:p w14:paraId="6BF5AFF3" w14:textId="77777777" w:rsidR="00482FEC" w:rsidRPr="00404724" w:rsidRDefault="00482FEC" w:rsidP="00482FEC">
      <w:pPr>
        <w:pStyle w:val="Sourcenotes"/>
        <w:rPr>
          <w:lang w:val="en-AU"/>
        </w:rPr>
      </w:pPr>
      <w:r w:rsidRPr="00404724">
        <w:rPr>
          <w:lang w:val="en-AU"/>
        </w:rPr>
        <w:t>Source: ACIL Allen analysis of National Road Safety Action Plan 2023–25</w:t>
      </w:r>
    </w:p>
    <w:p w14:paraId="07E64E44" w14:textId="72AB3175" w:rsidR="002E4E1D" w:rsidRPr="00404724" w:rsidRDefault="001F6E2C" w:rsidP="001F6E2C">
      <w:pPr>
        <w:pStyle w:val="Heading4"/>
      </w:pPr>
      <w:bookmarkStart w:id="184" w:name="_Toc210040305"/>
      <w:bookmarkStart w:id="185" w:name="_Toc210049178"/>
      <w:bookmarkStart w:id="186" w:name="_Toc210051618"/>
      <w:bookmarkStart w:id="187" w:name="_Toc210051699"/>
      <w:r>
        <w:t>2.3.1</w:t>
      </w:r>
      <w:r>
        <w:tab/>
      </w:r>
      <w:r w:rsidR="002E4E1D" w:rsidRPr="00404724">
        <w:t>Default speed limits by state and territory</w:t>
      </w:r>
      <w:bookmarkEnd w:id="184"/>
      <w:bookmarkEnd w:id="185"/>
      <w:bookmarkEnd w:id="186"/>
      <w:bookmarkEnd w:id="187"/>
    </w:p>
    <w:p w14:paraId="2955456B" w14:textId="65A9E7BB" w:rsidR="002E4E1D" w:rsidRPr="00404724" w:rsidRDefault="002E4E1D" w:rsidP="002E4E1D">
      <w:r w:rsidRPr="00404724">
        <w:t>As a part of the Safe Speed principle, governments set speed limits to improve road safety. Default speed limits are one type of intervention and</w:t>
      </w:r>
      <w:r w:rsidR="001B57EB" w:rsidRPr="00404724">
        <w:t>,</w:t>
      </w:r>
      <w:r w:rsidRPr="00404724">
        <w:t xml:space="preserve"> as mentioned before, apply wherever </w:t>
      </w:r>
      <w:r w:rsidR="001B57EB" w:rsidRPr="00404724">
        <w:t>authorities have</w:t>
      </w:r>
      <w:r w:rsidRPr="00404724">
        <w:t xml:space="preserve"> not otherwise specified the speed limit of a given road. </w:t>
      </w:r>
    </w:p>
    <w:p w14:paraId="4754F4FC" w14:textId="2211C9BE" w:rsidR="002E4E1D" w:rsidRPr="00404724" w:rsidRDefault="002E4E1D" w:rsidP="002E4E1D">
      <w:r w:rsidRPr="00404724">
        <w:t>Outside built-up areas, most states and territories have a default speed limit of 100</w:t>
      </w:r>
      <w:r w:rsidR="00C82E00" w:rsidRPr="00404724">
        <w:t xml:space="preserve"> km/h</w:t>
      </w:r>
      <w:r w:rsidRPr="00404724">
        <w:t>, aside from Western Australia and the Northern Territory, where the default speed limit is 110km/h. In Tasmania, the maximum default speed limit on unsealed roads outside built-up areas is 80</w:t>
      </w:r>
      <w:r w:rsidR="00C82E00" w:rsidRPr="00404724">
        <w:t xml:space="preserve"> km/h</w:t>
      </w:r>
      <w:r w:rsidRPr="00404724">
        <w:t>.</w:t>
      </w:r>
    </w:p>
    <w:p w14:paraId="21473C98" w14:textId="1F754356" w:rsidR="002E4E1D" w:rsidRPr="00404724" w:rsidRDefault="002E4E1D" w:rsidP="002E4E1D">
      <w:r w:rsidRPr="00404724">
        <w:t>In built-up areas, the default speed limit in most states and territories is 50</w:t>
      </w:r>
      <w:r w:rsidR="00C82E00" w:rsidRPr="00404724">
        <w:t xml:space="preserve"> km/h</w:t>
      </w:r>
      <w:r w:rsidRPr="00404724">
        <w:t>, apart from the Northern Territory, where it is 60</w:t>
      </w:r>
      <w:r w:rsidR="00C82E00" w:rsidRPr="00404724">
        <w:t xml:space="preserve"> km/h</w:t>
      </w:r>
      <w:r w:rsidRPr="00404724">
        <w:t xml:space="preserve">. However, in the Northern Territory many </w:t>
      </w:r>
      <w:r w:rsidR="001B57EB" w:rsidRPr="00404724">
        <w:t xml:space="preserve">local governments </w:t>
      </w:r>
      <w:r w:rsidRPr="00404724">
        <w:t>have gazetted a default speed limit of 50</w:t>
      </w:r>
      <w:r w:rsidR="00C82E00" w:rsidRPr="00404724">
        <w:t xml:space="preserve"> km/h</w:t>
      </w:r>
      <w:r w:rsidRPr="00404724">
        <w:t xml:space="preserve"> in built-up areas.</w:t>
      </w:r>
    </w:p>
    <w:p w14:paraId="44EC4CEA" w14:textId="70A4EE64" w:rsidR="002E4E1D" w:rsidRPr="00404724" w:rsidRDefault="003E1837" w:rsidP="002E4E1D">
      <w:r w:rsidRPr="00404724">
        <w:t>Some states place</w:t>
      </w:r>
      <w:r w:rsidR="002E4E1D" w:rsidRPr="00404724">
        <w:t xml:space="preserve"> restrictions on learner and provisional drivers in many states, with maximum speeds between 90</w:t>
      </w:r>
      <w:r w:rsidR="00C82E00" w:rsidRPr="00404724">
        <w:t xml:space="preserve"> km/h</w:t>
      </w:r>
      <w:r w:rsidR="002E4E1D" w:rsidRPr="00404724">
        <w:t xml:space="preserve"> to 100</w:t>
      </w:r>
      <w:r w:rsidR="00C82E00" w:rsidRPr="00404724">
        <w:t xml:space="preserve"> km/h</w:t>
      </w:r>
      <w:r w:rsidR="002E4E1D" w:rsidRPr="00404724">
        <w:t xml:space="preserve"> for these drivers. </w:t>
      </w:r>
    </w:p>
    <w:p w14:paraId="62B5CF9F" w14:textId="1AEB77B3" w:rsidR="000075AC" w:rsidRPr="00404724" w:rsidRDefault="002E4E1D" w:rsidP="002E4E1D">
      <w:r w:rsidRPr="00404724">
        <w:t xml:space="preserve">The default speed limits in each state and territory in Australia are outlined in </w:t>
      </w:r>
      <w:r w:rsidR="00495D20" w:rsidRPr="00404724">
        <w:fldChar w:fldCharType="begin"/>
      </w:r>
      <w:r w:rsidR="00495D20" w:rsidRPr="00404724">
        <w:instrText xml:space="preserve"> REF _Ref208496217 \h </w:instrText>
      </w:r>
      <w:r w:rsidR="00495D20" w:rsidRPr="00404724">
        <w:fldChar w:fldCharType="separate"/>
      </w:r>
      <w:r w:rsidR="00BF489D" w:rsidRPr="00404724">
        <w:t xml:space="preserve">Table </w:t>
      </w:r>
      <w:r w:rsidR="00BF489D">
        <w:rPr>
          <w:noProof/>
        </w:rPr>
        <w:t>9</w:t>
      </w:r>
      <w:r w:rsidR="00495D20" w:rsidRPr="00404724">
        <w:fldChar w:fldCharType="end"/>
      </w:r>
      <w:r w:rsidRPr="00404724">
        <w:t>.</w:t>
      </w:r>
    </w:p>
    <w:p w14:paraId="7E59004C" w14:textId="7466F2A5" w:rsidR="00482FEC" w:rsidRPr="00404724" w:rsidRDefault="00495D20" w:rsidP="003979C3">
      <w:pPr>
        <w:pStyle w:val="Tablefigureheading"/>
      </w:pPr>
      <w:bookmarkStart w:id="188" w:name="_Ref208496217"/>
      <w:bookmarkStart w:id="189" w:name="_Toc210040354"/>
      <w:bookmarkStart w:id="190" w:name="_Toc210051890"/>
      <w:r w:rsidRPr="00404724">
        <w:t xml:space="preserve">Table </w:t>
      </w:r>
      <w:r w:rsidR="00EC39D5">
        <w:fldChar w:fldCharType="begin"/>
      </w:r>
      <w:r w:rsidR="00EC39D5">
        <w:instrText xml:space="preserve"> SEQ Table \* ARABIC </w:instrText>
      </w:r>
      <w:r w:rsidR="00EC39D5">
        <w:fldChar w:fldCharType="separate"/>
      </w:r>
      <w:r w:rsidR="00BF489D">
        <w:rPr>
          <w:noProof/>
        </w:rPr>
        <w:t>9</w:t>
      </w:r>
      <w:r w:rsidR="00EC39D5">
        <w:rPr>
          <w:noProof/>
        </w:rPr>
        <w:fldChar w:fldCharType="end"/>
      </w:r>
      <w:bookmarkEnd w:id="188"/>
      <w:r w:rsidR="000F615A" w:rsidRPr="00404724">
        <w:tab/>
        <w:t>Default speed limits by State and Territory</w:t>
      </w:r>
      <w:bookmarkEnd w:id="189"/>
      <w:bookmarkEnd w:id="190"/>
    </w:p>
    <w:tbl>
      <w:tblPr>
        <w:tblStyle w:val="DefaultTable1"/>
        <w:tblW w:w="9923" w:type="dxa"/>
        <w:tblLook w:val="04E0" w:firstRow="1" w:lastRow="1" w:firstColumn="1" w:lastColumn="0" w:noHBand="0" w:noVBand="1"/>
        <w:tblCaption w:val="Table 9 Default speed limits by State and Territory"/>
        <w:tblDescription w:val="Table 9 Default speed limits by State and Territory"/>
      </w:tblPr>
      <w:tblGrid>
        <w:gridCol w:w="1985"/>
        <w:gridCol w:w="1984"/>
        <w:gridCol w:w="2268"/>
        <w:gridCol w:w="3686"/>
      </w:tblGrid>
      <w:tr w:rsidR="000F615A" w:rsidRPr="00404724" w14:paraId="194DABD0" w14:textId="77777777" w:rsidTr="00A54398">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5" w:type="dxa"/>
          </w:tcPr>
          <w:p w14:paraId="14AA7056" w14:textId="1898DE1F" w:rsidR="000F615A" w:rsidRPr="00404724" w:rsidRDefault="004D7CD9" w:rsidP="00BB5FCD">
            <w:r w:rsidRPr="00404724">
              <w:t>State or Territory</w:t>
            </w:r>
          </w:p>
        </w:tc>
        <w:tc>
          <w:tcPr>
            <w:tcW w:w="1984" w:type="dxa"/>
          </w:tcPr>
          <w:p w14:paraId="69A45208" w14:textId="1E8CF1BB" w:rsidR="000F615A" w:rsidRPr="00404724" w:rsidRDefault="004D7CD9" w:rsidP="00BB5FCD">
            <w:pPr>
              <w:cnfStyle w:val="100000000000" w:firstRow="1" w:lastRow="0" w:firstColumn="0" w:lastColumn="0" w:oddVBand="0" w:evenVBand="0" w:oddHBand="0" w:evenHBand="0" w:firstRowFirstColumn="0" w:firstRowLastColumn="0" w:lastRowFirstColumn="0" w:lastRowLastColumn="0"/>
            </w:pPr>
            <w:r w:rsidRPr="00404724">
              <w:t>Default speed in built-up areas</w:t>
            </w:r>
          </w:p>
        </w:tc>
        <w:tc>
          <w:tcPr>
            <w:tcW w:w="2268" w:type="dxa"/>
          </w:tcPr>
          <w:p w14:paraId="5FEBDEFC" w14:textId="311D5C60" w:rsidR="000F615A" w:rsidRPr="00404724" w:rsidRDefault="004D7CD9" w:rsidP="00BB5FCD">
            <w:pPr>
              <w:cnfStyle w:val="100000000000" w:firstRow="1" w:lastRow="0" w:firstColumn="0" w:lastColumn="0" w:oddVBand="0" w:evenVBand="0" w:oddHBand="0" w:evenHBand="0" w:firstRowFirstColumn="0" w:firstRowLastColumn="0" w:lastRowFirstColumn="0" w:lastRowLastColumn="0"/>
            </w:pPr>
            <w:r w:rsidRPr="00404724">
              <w:t xml:space="preserve">Default speed </w:t>
            </w:r>
            <w:r w:rsidR="00AF0248" w:rsidRPr="00404724">
              <w:t xml:space="preserve">outside </w:t>
            </w:r>
            <w:r w:rsidRPr="00404724">
              <w:t>built-up areas</w:t>
            </w:r>
          </w:p>
        </w:tc>
        <w:tc>
          <w:tcPr>
            <w:tcW w:w="3686" w:type="dxa"/>
          </w:tcPr>
          <w:p w14:paraId="76D660D4" w14:textId="5519E0C1" w:rsidR="000F615A" w:rsidRPr="00404724" w:rsidRDefault="00765244" w:rsidP="00BB5FCD">
            <w:pPr>
              <w:cnfStyle w:val="100000000000" w:firstRow="1" w:lastRow="0" w:firstColumn="0" w:lastColumn="0" w:oddVBand="0" w:evenVBand="0" w:oddHBand="0" w:evenHBand="0" w:firstRowFirstColumn="0" w:firstRowLastColumn="0" w:lastRowFirstColumn="0" w:lastRowLastColumn="0"/>
            </w:pPr>
            <w:r w:rsidRPr="00404724">
              <w:t>Expectations or additional considerations</w:t>
            </w:r>
          </w:p>
        </w:tc>
      </w:tr>
      <w:tr w:rsidR="00AD6E4A" w:rsidRPr="00404724" w14:paraId="0A7470A8" w14:textId="77777777" w:rsidTr="00A54398">
        <w:trPr>
          <w:cantSplit/>
        </w:trPr>
        <w:tc>
          <w:tcPr>
            <w:cnfStyle w:val="001000000000" w:firstRow="0" w:lastRow="0" w:firstColumn="1" w:lastColumn="0" w:oddVBand="0" w:evenVBand="0" w:oddHBand="0" w:evenHBand="0" w:firstRowFirstColumn="0" w:firstRowLastColumn="0" w:lastRowFirstColumn="0" w:lastRowLastColumn="0"/>
            <w:tcW w:w="1985" w:type="dxa"/>
          </w:tcPr>
          <w:p w14:paraId="53C51BB5" w14:textId="21C8BDAE" w:rsidR="00AD6E4A" w:rsidRPr="00404724" w:rsidRDefault="00AD6E4A" w:rsidP="00AD6E4A">
            <w:pPr>
              <w:rPr>
                <w:b w:val="0"/>
                <w:bCs/>
              </w:rPr>
            </w:pPr>
            <w:r w:rsidRPr="00404724">
              <w:rPr>
                <w:b w:val="0"/>
                <w:bCs/>
              </w:rPr>
              <w:t>Australian Capital Territory</w:t>
            </w:r>
          </w:p>
        </w:tc>
        <w:tc>
          <w:tcPr>
            <w:tcW w:w="1984" w:type="dxa"/>
          </w:tcPr>
          <w:p w14:paraId="53C81217" w14:textId="025A5C5B" w:rsidR="00AD6E4A" w:rsidRPr="00404724" w:rsidRDefault="00AD6E4A" w:rsidP="00AD6E4A">
            <w:pPr>
              <w:cnfStyle w:val="000000000000" w:firstRow="0" w:lastRow="0" w:firstColumn="0" w:lastColumn="0" w:oddVBand="0" w:evenVBand="0" w:oddHBand="0" w:evenHBand="0" w:firstRowFirstColumn="0" w:firstRowLastColumn="0" w:lastRowFirstColumn="0" w:lastRowLastColumn="0"/>
              <w:rPr>
                <w:bCs/>
              </w:rPr>
            </w:pPr>
            <w:r w:rsidRPr="00404724">
              <w:rPr>
                <w:bCs/>
              </w:rPr>
              <w:t>50</w:t>
            </w:r>
            <w:r w:rsidR="00C82E00" w:rsidRPr="00404724">
              <w:rPr>
                <w:bCs/>
              </w:rPr>
              <w:t xml:space="preserve"> km/h</w:t>
            </w:r>
          </w:p>
        </w:tc>
        <w:tc>
          <w:tcPr>
            <w:tcW w:w="2268" w:type="dxa"/>
          </w:tcPr>
          <w:p w14:paraId="3D6AE0FC" w14:textId="277CE322" w:rsidR="00AD6E4A" w:rsidRPr="00404724" w:rsidRDefault="00AD6E4A" w:rsidP="00AD6E4A">
            <w:pPr>
              <w:cnfStyle w:val="000000000000" w:firstRow="0" w:lastRow="0" w:firstColumn="0" w:lastColumn="0" w:oddVBand="0" w:evenVBand="0" w:oddHBand="0" w:evenHBand="0" w:firstRowFirstColumn="0" w:firstRowLastColumn="0" w:lastRowFirstColumn="0" w:lastRowLastColumn="0"/>
              <w:rPr>
                <w:bCs/>
              </w:rPr>
            </w:pPr>
            <w:r w:rsidRPr="00404724">
              <w:rPr>
                <w:bCs/>
              </w:rPr>
              <w:t>100</w:t>
            </w:r>
            <w:r w:rsidR="00C82E00" w:rsidRPr="00404724">
              <w:rPr>
                <w:bCs/>
              </w:rPr>
              <w:t xml:space="preserve"> km/h</w:t>
            </w:r>
          </w:p>
        </w:tc>
        <w:tc>
          <w:tcPr>
            <w:tcW w:w="3686" w:type="dxa"/>
          </w:tcPr>
          <w:p w14:paraId="3EBD97C7" w14:textId="04BE9044" w:rsidR="00AD6E4A" w:rsidRPr="00404724" w:rsidRDefault="00AD6E4A" w:rsidP="00AD6E4A">
            <w:pPr>
              <w:cnfStyle w:val="000000000000" w:firstRow="0" w:lastRow="0" w:firstColumn="0" w:lastColumn="0" w:oddVBand="0" w:evenVBand="0" w:oddHBand="0" w:evenHBand="0" w:firstRowFirstColumn="0" w:firstRowLastColumn="0" w:lastRowFirstColumn="0" w:lastRowLastColumn="0"/>
              <w:rPr>
                <w:bCs/>
              </w:rPr>
            </w:pPr>
          </w:p>
        </w:tc>
      </w:tr>
      <w:tr w:rsidR="00AD6E4A" w:rsidRPr="00404724" w14:paraId="775A39EA" w14:textId="77777777" w:rsidTr="00A5439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5" w:type="dxa"/>
          </w:tcPr>
          <w:p w14:paraId="145A3C05" w14:textId="5B6CC8D5" w:rsidR="00AD6E4A" w:rsidRPr="00404724" w:rsidRDefault="00AD6E4A" w:rsidP="00AD6E4A">
            <w:pPr>
              <w:rPr>
                <w:b w:val="0"/>
                <w:bCs/>
              </w:rPr>
            </w:pPr>
            <w:r w:rsidRPr="00404724">
              <w:rPr>
                <w:b w:val="0"/>
                <w:bCs/>
              </w:rPr>
              <w:t>New South Wales</w:t>
            </w:r>
          </w:p>
        </w:tc>
        <w:tc>
          <w:tcPr>
            <w:tcW w:w="1984" w:type="dxa"/>
          </w:tcPr>
          <w:p w14:paraId="64BD5014" w14:textId="2AEB3CD4" w:rsidR="00AD6E4A" w:rsidRPr="00404724" w:rsidRDefault="00AD6E4A" w:rsidP="00AD6E4A">
            <w:pPr>
              <w:cnfStyle w:val="000000010000" w:firstRow="0" w:lastRow="0" w:firstColumn="0" w:lastColumn="0" w:oddVBand="0" w:evenVBand="0" w:oddHBand="0" w:evenHBand="1" w:firstRowFirstColumn="0" w:firstRowLastColumn="0" w:lastRowFirstColumn="0" w:lastRowLastColumn="0"/>
              <w:rPr>
                <w:bCs/>
              </w:rPr>
            </w:pPr>
            <w:r w:rsidRPr="00404724">
              <w:rPr>
                <w:bCs/>
              </w:rPr>
              <w:t>50</w:t>
            </w:r>
            <w:r w:rsidR="00C82E00" w:rsidRPr="00404724">
              <w:rPr>
                <w:bCs/>
              </w:rPr>
              <w:t xml:space="preserve"> km/h</w:t>
            </w:r>
          </w:p>
        </w:tc>
        <w:tc>
          <w:tcPr>
            <w:tcW w:w="2268" w:type="dxa"/>
          </w:tcPr>
          <w:p w14:paraId="4DB5EBF4" w14:textId="3B56AAEC" w:rsidR="00AD6E4A" w:rsidRPr="00404724" w:rsidRDefault="00AD6E4A" w:rsidP="00AD6E4A">
            <w:pPr>
              <w:cnfStyle w:val="000000010000" w:firstRow="0" w:lastRow="0" w:firstColumn="0" w:lastColumn="0" w:oddVBand="0" w:evenVBand="0" w:oddHBand="0" w:evenHBand="1" w:firstRowFirstColumn="0" w:firstRowLastColumn="0" w:lastRowFirstColumn="0" w:lastRowLastColumn="0"/>
              <w:rPr>
                <w:bCs/>
              </w:rPr>
            </w:pPr>
            <w:r w:rsidRPr="00404724">
              <w:rPr>
                <w:bCs/>
              </w:rPr>
              <w:t>100</w:t>
            </w:r>
            <w:r w:rsidR="00C82E00" w:rsidRPr="00404724">
              <w:rPr>
                <w:bCs/>
              </w:rPr>
              <w:t xml:space="preserve"> km/h</w:t>
            </w:r>
          </w:p>
        </w:tc>
        <w:tc>
          <w:tcPr>
            <w:tcW w:w="3686" w:type="dxa"/>
          </w:tcPr>
          <w:p w14:paraId="5729BD91" w14:textId="030D266C" w:rsidR="00AD6E4A" w:rsidRPr="00404724" w:rsidRDefault="00AD6E4A" w:rsidP="00AD6E4A">
            <w:pPr>
              <w:cnfStyle w:val="000000010000" w:firstRow="0" w:lastRow="0" w:firstColumn="0" w:lastColumn="0" w:oddVBand="0" w:evenVBand="0" w:oddHBand="0" w:evenHBand="1" w:firstRowFirstColumn="0" w:firstRowLastColumn="0" w:lastRowFirstColumn="0" w:lastRowLastColumn="0"/>
              <w:rPr>
                <w:bCs/>
              </w:rPr>
            </w:pPr>
            <w:r w:rsidRPr="00404724">
              <w:rPr>
                <w:bCs/>
              </w:rPr>
              <w:t>Learner drivers and Provisional P1 drivers may not drive faster than 90</w:t>
            </w:r>
            <w:r w:rsidR="00806D24" w:rsidRPr="00404724">
              <w:rPr>
                <w:bCs/>
              </w:rPr>
              <w:t> </w:t>
            </w:r>
            <w:r w:rsidR="00C82E00" w:rsidRPr="00404724">
              <w:rPr>
                <w:bCs/>
              </w:rPr>
              <w:t>km/h</w:t>
            </w:r>
          </w:p>
        </w:tc>
      </w:tr>
      <w:tr w:rsidR="00AD6E4A" w:rsidRPr="00404724" w14:paraId="1AF4F741" w14:textId="77777777" w:rsidTr="00A54398">
        <w:trPr>
          <w:cantSplit/>
        </w:trPr>
        <w:tc>
          <w:tcPr>
            <w:cnfStyle w:val="001000000000" w:firstRow="0" w:lastRow="0" w:firstColumn="1" w:lastColumn="0" w:oddVBand="0" w:evenVBand="0" w:oddHBand="0" w:evenHBand="0" w:firstRowFirstColumn="0" w:firstRowLastColumn="0" w:lastRowFirstColumn="0" w:lastRowLastColumn="0"/>
            <w:tcW w:w="1985" w:type="dxa"/>
          </w:tcPr>
          <w:p w14:paraId="29B71E57" w14:textId="42BE280B" w:rsidR="00AD6E4A" w:rsidRPr="00404724" w:rsidRDefault="00AD6E4A" w:rsidP="00AD6E4A">
            <w:pPr>
              <w:rPr>
                <w:b w:val="0"/>
                <w:bCs/>
              </w:rPr>
            </w:pPr>
            <w:r w:rsidRPr="00404724">
              <w:rPr>
                <w:b w:val="0"/>
                <w:bCs/>
              </w:rPr>
              <w:t>Northern Territory</w:t>
            </w:r>
          </w:p>
        </w:tc>
        <w:tc>
          <w:tcPr>
            <w:tcW w:w="1984" w:type="dxa"/>
          </w:tcPr>
          <w:p w14:paraId="7113B091" w14:textId="1CD68C4C" w:rsidR="00AD6E4A" w:rsidRPr="00404724" w:rsidRDefault="00AD6E4A" w:rsidP="001F6E2C">
            <w:pPr>
              <w:cnfStyle w:val="000000000000" w:firstRow="0" w:lastRow="0" w:firstColumn="0" w:lastColumn="0" w:oddVBand="0" w:evenVBand="0" w:oddHBand="0" w:evenHBand="0" w:firstRowFirstColumn="0" w:firstRowLastColumn="0" w:lastRowFirstColumn="0" w:lastRowLastColumn="0"/>
              <w:rPr>
                <w:bCs/>
              </w:rPr>
            </w:pPr>
            <w:r w:rsidRPr="00404724">
              <w:rPr>
                <w:bCs/>
              </w:rPr>
              <w:t>60</w:t>
            </w:r>
            <w:r w:rsidR="00C82E00" w:rsidRPr="00404724">
              <w:rPr>
                <w:bCs/>
              </w:rPr>
              <w:t xml:space="preserve"> km/h</w:t>
            </w:r>
            <w:r w:rsidRPr="00404724">
              <w:rPr>
                <w:bCs/>
              </w:rPr>
              <w:t xml:space="preserve">, unless </w:t>
            </w:r>
            <w:r w:rsidR="001B57EB" w:rsidRPr="00404724">
              <w:rPr>
                <w:bCs/>
              </w:rPr>
              <w:t>local government</w:t>
            </w:r>
            <w:r w:rsidRPr="00404724">
              <w:rPr>
                <w:bCs/>
              </w:rPr>
              <w:t xml:space="preserve"> has gazetted lower default limit</w:t>
            </w:r>
          </w:p>
        </w:tc>
        <w:tc>
          <w:tcPr>
            <w:tcW w:w="2268" w:type="dxa"/>
          </w:tcPr>
          <w:p w14:paraId="1B699706" w14:textId="47FDCDC1" w:rsidR="00AD6E4A" w:rsidRPr="00404724" w:rsidRDefault="00AD6E4A" w:rsidP="00AD6E4A">
            <w:pPr>
              <w:cnfStyle w:val="000000000000" w:firstRow="0" w:lastRow="0" w:firstColumn="0" w:lastColumn="0" w:oddVBand="0" w:evenVBand="0" w:oddHBand="0" w:evenHBand="0" w:firstRowFirstColumn="0" w:firstRowLastColumn="0" w:lastRowFirstColumn="0" w:lastRowLastColumn="0"/>
              <w:rPr>
                <w:bCs/>
              </w:rPr>
            </w:pPr>
            <w:r w:rsidRPr="00404724">
              <w:rPr>
                <w:bCs/>
              </w:rPr>
              <w:t>110</w:t>
            </w:r>
            <w:r w:rsidR="00C82E00" w:rsidRPr="00404724">
              <w:rPr>
                <w:bCs/>
              </w:rPr>
              <w:t xml:space="preserve"> km/h</w:t>
            </w:r>
          </w:p>
        </w:tc>
        <w:tc>
          <w:tcPr>
            <w:tcW w:w="3686" w:type="dxa"/>
          </w:tcPr>
          <w:p w14:paraId="3CD38DD5" w14:textId="77777777" w:rsidR="00AD6E4A" w:rsidRPr="00404724" w:rsidRDefault="00AD6E4A" w:rsidP="00AD6E4A">
            <w:pPr>
              <w:cnfStyle w:val="000000000000" w:firstRow="0" w:lastRow="0" w:firstColumn="0" w:lastColumn="0" w:oddVBand="0" w:evenVBand="0" w:oddHBand="0" w:evenHBand="0" w:firstRowFirstColumn="0" w:firstRowLastColumn="0" w:lastRowFirstColumn="0" w:lastRowLastColumn="0"/>
              <w:rPr>
                <w:bCs/>
              </w:rPr>
            </w:pPr>
          </w:p>
        </w:tc>
      </w:tr>
      <w:tr w:rsidR="00AD6E4A" w:rsidRPr="00404724" w14:paraId="5E37D39A" w14:textId="77777777" w:rsidTr="00A5439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5" w:type="dxa"/>
          </w:tcPr>
          <w:p w14:paraId="569FB435" w14:textId="1EBDA5DF" w:rsidR="00AD6E4A" w:rsidRPr="00404724" w:rsidRDefault="00AD6E4A" w:rsidP="00AD6E4A">
            <w:pPr>
              <w:rPr>
                <w:b w:val="0"/>
                <w:bCs/>
              </w:rPr>
            </w:pPr>
            <w:r w:rsidRPr="00404724">
              <w:rPr>
                <w:b w:val="0"/>
                <w:bCs/>
              </w:rPr>
              <w:lastRenderedPageBreak/>
              <w:t>Queensland</w:t>
            </w:r>
          </w:p>
        </w:tc>
        <w:tc>
          <w:tcPr>
            <w:tcW w:w="1984" w:type="dxa"/>
          </w:tcPr>
          <w:p w14:paraId="47D127E6" w14:textId="068B64B2" w:rsidR="00AD6E4A" w:rsidRPr="00404724" w:rsidRDefault="00AD6E4A" w:rsidP="00AD6E4A">
            <w:pPr>
              <w:cnfStyle w:val="000000010000" w:firstRow="0" w:lastRow="0" w:firstColumn="0" w:lastColumn="0" w:oddVBand="0" w:evenVBand="0" w:oddHBand="0" w:evenHBand="1" w:firstRowFirstColumn="0" w:firstRowLastColumn="0" w:lastRowFirstColumn="0" w:lastRowLastColumn="0"/>
              <w:rPr>
                <w:bCs/>
              </w:rPr>
            </w:pPr>
            <w:r w:rsidRPr="00404724">
              <w:rPr>
                <w:bCs/>
              </w:rPr>
              <w:t>50</w:t>
            </w:r>
            <w:r w:rsidR="00C82E00" w:rsidRPr="00404724">
              <w:rPr>
                <w:bCs/>
              </w:rPr>
              <w:t xml:space="preserve"> km/h</w:t>
            </w:r>
          </w:p>
        </w:tc>
        <w:tc>
          <w:tcPr>
            <w:tcW w:w="2268" w:type="dxa"/>
          </w:tcPr>
          <w:p w14:paraId="3DF489CE" w14:textId="78CE9BC8" w:rsidR="00AD6E4A" w:rsidRPr="00404724" w:rsidRDefault="00AD6E4A" w:rsidP="00AD6E4A">
            <w:pPr>
              <w:cnfStyle w:val="000000010000" w:firstRow="0" w:lastRow="0" w:firstColumn="0" w:lastColumn="0" w:oddVBand="0" w:evenVBand="0" w:oddHBand="0" w:evenHBand="1" w:firstRowFirstColumn="0" w:firstRowLastColumn="0" w:lastRowFirstColumn="0" w:lastRowLastColumn="0"/>
              <w:rPr>
                <w:bCs/>
              </w:rPr>
            </w:pPr>
            <w:r w:rsidRPr="00404724">
              <w:rPr>
                <w:bCs/>
              </w:rPr>
              <w:t>100</w:t>
            </w:r>
            <w:r w:rsidR="00C82E00" w:rsidRPr="00404724">
              <w:rPr>
                <w:bCs/>
              </w:rPr>
              <w:t xml:space="preserve"> km/h</w:t>
            </w:r>
          </w:p>
        </w:tc>
        <w:tc>
          <w:tcPr>
            <w:tcW w:w="3686" w:type="dxa"/>
          </w:tcPr>
          <w:p w14:paraId="69578936" w14:textId="77777777" w:rsidR="00AD6E4A" w:rsidRPr="00404724" w:rsidRDefault="00AD6E4A" w:rsidP="00AD6E4A">
            <w:pPr>
              <w:cnfStyle w:val="000000010000" w:firstRow="0" w:lastRow="0" w:firstColumn="0" w:lastColumn="0" w:oddVBand="0" w:evenVBand="0" w:oddHBand="0" w:evenHBand="1" w:firstRowFirstColumn="0" w:firstRowLastColumn="0" w:lastRowFirstColumn="0" w:lastRowLastColumn="0"/>
              <w:rPr>
                <w:bCs/>
              </w:rPr>
            </w:pPr>
          </w:p>
        </w:tc>
      </w:tr>
      <w:tr w:rsidR="00AD6E4A" w:rsidRPr="00404724" w14:paraId="0114018A" w14:textId="77777777" w:rsidTr="00A54398">
        <w:trPr>
          <w:cantSplit/>
        </w:trPr>
        <w:tc>
          <w:tcPr>
            <w:cnfStyle w:val="001000000000" w:firstRow="0" w:lastRow="0" w:firstColumn="1" w:lastColumn="0" w:oddVBand="0" w:evenVBand="0" w:oddHBand="0" w:evenHBand="0" w:firstRowFirstColumn="0" w:firstRowLastColumn="0" w:lastRowFirstColumn="0" w:lastRowLastColumn="0"/>
            <w:tcW w:w="1985" w:type="dxa"/>
          </w:tcPr>
          <w:p w14:paraId="567E42BB" w14:textId="778BCB91" w:rsidR="00AD6E4A" w:rsidRPr="00404724" w:rsidRDefault="00AD6E4A" w:rsidP="00AD6E4A">
            <w:pPr>
              <w:rPr>
                <w:b w:val="0"/>
                <w:bCs/>
              </w:rPr>
            </w:pPr>
            <w:r w:rsidRPr="00404724">
              <w:rPr>
                <w:b w:val="0"/>
                <w:bCs/>
              </w:rPr>
              <w:t>South Australia</w:t>
            </w:r>
          </w:p>
        </w:tc>
        <w:tc>
          <w:tcPr>
            <w:tcW w:w="1984" w:type="dxa"/>
          </w:tcPr>
          <w:p w14:paraId="44D2DBA5" w14:textId="61605EC1" w:rsidR="00AD6E4A" w:rsidRPr="00404724" w:rsidRDefault="00AD6E4A" w:rsidP="00AD6E4A">
            <w:pPr>
              <w:cnfStyle w:val="000000000000" w:firstRow="0" w:lastRow="0" w:firstColumn="0" w:lastColumn="0" w:oddVBand="0" w:evenVBand="0" w:oddHBand="0" w:evenHBand="0" w:firstRowFirstColumn="0" w:firstRowLastColumn="0" w:lastRowFirstColumn="0" w:lastRowLastColumn="0"/>
              <w:rPr>
                <w:bCs/>
              </w:rPr>
            </w:pPr>
            <w:r w:rsidRPr="00404724">
              <w:rPr>
                <w:bCs/>
              </w:rPr>
              <w:t>50</w:t>
            </w:r>
            <w:r w:rsidR="00C82E00" w:rsidRPr="00404724">
              <w:rPr>
                <w:bCs/>
              </w:rPr>
              <w:t xml:space="preserve"> km/h</w:t>
            </w:r>
          </w:p>
        </w:tc>
        <w:tc>
          <w:tcPr>
            <w:tcW w:w="2268" w:type="dxa"/>
          </w:tcPr>
          <w:p w14:paraId="68412F5E" w14:textId="6BD37CF8" w:rsidR="00AD6E4A" w:rsidRPr="00404724" w:rsidRDefault="00AD6E4A" w:rsidP="00AD6E4A">
            <w:pPr>
              <w:cnfStyle w:val="000000000000" w:firstRow="0" w:lastRow="0" w:firstColumn="0" w:lastColumn="0" w:oddVBand="0" w:evenVBand="0" w:oddHBand="0" w:evenHBand="0" w:firstRowFirstColumn="0" w:firstRowLastColumn="0" w:lastRowFirstColumn="0" w:lastRowLastColumn="0"/>
              <w:rPr>
                <w:bCs/>
              </w:rPr>
            </w:pPr>
            <w:r w:rsidRPr="00404724">
              <w:rPr>
                <w:bCs/>
              </w:rPr>
              <w:t>100</w:t>
            </w:r>
            <w:r w:rsidR="00C82E00" w:rsidRPr="00404724">
              <w:rPr>
                <w:bCs/>
              </w:rPr>
              <w:t xml:space="preserve"> km/h</w:t>
            </w:r>
          </w:p>
        </w:tc>
        <w:tc>
          <w:tcPr>
            <w:tcW w:w="3686" w:type="dxa"/>
          </w:tcPr>
          <w:p w14:paraId="27C30E9A" w14:textId="53DD719C" w:rsidR="00AD6E4A" w:rsidRPr="00404724" w:rsidRDefault="00AD6E4A" w:rsidP="00AD6E4A">
            <w:pPr>
              <w:cnfStyle w:val="000000000000" w:firstRow="0" w:lastRow="0" w:firstColumn="0" w:lastColumn="0" w:oddVBand="0" w:evenVBand="0" w:oddHBand="0" w:evenHBand="0" w:firstRowFirstColumn="0" w:firstRowLastColumn="0" w:lastRowFirstColumn="0" w:lastRowLastColumn="0"/>
              <w:rPr>
                <w:bCs/>
              </w:rPr>
            </w:pPr>
            <w:r w:rsidRPr="00404724">
              <w:rPr>
                <w:bCs/>
              </w:rPr>
              <w:t>Heavy vehicles over 12 tonnes GVM or a bus GVM over 5 tonnes maximum speed is 100</w:t>
            </w:r>
            <w:r w:rsidR="00C82E00" w:rsidRPr="00404724">
              <w:rPr>
                <w:bCs/>
              </w:rPr>
              <w:t xml:space="preserve"> km/h</w:t>
            </w:r>
            <w:r w:rsidRPr="00404724">
              <w:rPr>
                <w:bCs/>
              </w:rPr>
              <w:t>, except for road trains where a speed limit of 90</w:t>
            </w:r>
            <w:r w:rsidR="00C82E00" w:rsidRPr="00404724">
              <w:rPr>
                <w:bCs/>
              </w:rPr>
              <w:t xml:space="preserve"> km/h</w:t>
            </w:r>
            <w:r w:rsidRPr="00404724">
              <w:rPr>
                <w:bCs/>
              </w:rPr>
              <w:t xml:space="preserve"> applies for most roads</w:t>
            </w:r>
          </w:p>
        </w:tc>
      </w:tr>
      <w:tr w:rsidR="00AD6E4A" w:rsidRPr="00404724" w14:paraId="584361E7" w14:textId="77777777" w:rsidTr="00A5439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5" w:type="dxa"/>
          </w:tcPr>
          <w:p w14:paraId="1BE7A1BF" w14:textId="2C0FB848" w:rsidR="00AD6E4A" w:rsidRPr="00404724" w:rsidRDefault="00AD6E4A" w:rsidP="00AD6E4A">
            <w:pPr>
              <w:rPr>
                <w:b w:val="0"/>
                <w:bCs/>
              </w:rPr>
            </w:pPr>
            <w:r w:rsidRPr="00404724">
              <w:rPr>
                <w:b w:val="0"/>
                <w:bCs/>
              </w:rPr>
              <w:t>Tasmania</w:t>
            </w:r>
          </w:p>
        </w:tc>
        <w:tc>
          <w:tcPr>
            <w:tcW w:w="1984" w:type="dxa"/>
          </w:tcPr>
          <w:p w14:paraId="2034CF7D" w14:textId="32D5528D" w:rsidR="00AD6E4A" w:rsidRPr="00404724" w:rsidRDefault="00AD6E4A" w:rsidP="00AD6E4A">
            <w:pPr>
              <w:cnfStyle w:val="000000010000" w:firstRow="0" w:lastRow="0" w:firstColumn="0" w:lastColumn="0" w:oddVBand="0" w:evenVBand="0" w:oddHBand="0" w:evenHBand="1" w:firstRowFirstColumn="0" w:firstRowLastColumn="0" w:lastRowFirstColumn="0" w:lastRowLastColumn="0"/>
              <w:rPr>
                <w:bCs/>
              </w:rPr>
            </w:pPr>
            <w:r w:rsidRPr="00404724">
              <w:rPr>
                <w:bCs/>
              </w:rPr>
              <w:t>50</w:t>
            </w:r>
            <w:r w:rsidR="00C82E00" w:rsidRPr="00404724">
              <w:rPr>
                <w:bCs/>
              </w:rPr>
              <w:t xml:space="preserve"> km/h</w:t>
            </w:r>
          </w:p>
        </w:tc>
        <w:tc>
          <w:tcPr>
            <w:tcW w:w="2268" w:type="dxa"/>
          </w:tcPr>
          <w:p w14:paraId="2508C39B" w14:textId="09FB780F" w:rsidR="00AD6E4A" w:rsidRPr="00404724" w:rsidRDefault="00AD6E4A" w:rsidP="00AD6E4A">
            <w:pPr>
              <w:cnfStyle w:val="000000010000" w:firstRow="0" w:lastRow="0" w:firstColumn="0" w:lastColumn="0" w:oddVBand="0" w:evenVBand="0" w:oddHBand="0" w:evenHBand="1" w:firstRowFirstColumn="0" w:firstRowLastColumn="0" w:lastRowFirstColumn="0" w:lastRowLastColumn="0"/>
              <w:rPr>
                <w:bCs/>
              </w:rPr>
            </w:pPr>
            <w:r w:rsidRPr="00404724">
              <w:rPr>
                <w:bCs/>
              </w:rPr>
              <w:t>100</w:t>
            </w:r>
            <w:r w:rsidR="00C82E00" w:rsidRPr="00404724">
              <w:rPr>
                <w:bCs/>
              </w:rPr>
              <w:t xml:space="preserve"> km/h</w:t>
            </w:r>
            <w:r w:rsidRPr="00404724">
              <w:rPr>
                <w:bCs/>
              </w:rPr>
              <w:t xml:space="preserve"> sealed, 80</w:t>
            </w:r>
            <w:r w:rsidR="00806D24" w:rsidRPr="00404724">
              <w:rPr>
                <w:bCs/>
              </w:rPr>
              <w:t> </w:t>
            </w:r>
            <w:r w:rsidR="00C82E00" w:rsidRPr="00404724">
              <w:rPr>
                <w:bCs/>
              </w:rPr>
              <w:t>km/h</w:t>
            </w:r>
            <w:r w:rsidRPr="00404724">
              <w:rPr>
                <w:bCs/>
              </w:rPr>
              <w:t xml:space="preserve"> unsealed</w:t>
            </w:r>
          </w:p>
        </w:tc>
        <w:tc>
          <w:tcPr>
            <w:tcW w:w="3686" w:type="dxa"/>
          </w:tcPr>
          <w:p w14:paraId="5C44D8F0" w14:textId="7F96B2B4" w:rsidR="00AD6E4A" w:rsidRPr="00404724" w:rsidRDefault="00AD6E4A" w:rsidP="00AD6E4A">
            <w:pPr>
              <w:cnfStyle w:val="000000010000" w:firstRow="0" w:lastRow="0" w:firstColumn="0" w:lastColumn="0" w:oddVBand="0" w:evenVBand="0" w:oddHBand="0" w:evenHBand="1" w:firstRowFirstColumn="0" w:firstRowLastColumn="0" w:lastRowFirstColumn="0" w:lastRowLastColumn="0"/>
              <w:rPr>
                <w:bCs/>
              </w:rPr>
            </w:pPr>
            <w:r w:rsidRPr="00404724">
              <w:rPr>
                <w:bCs/>
              </w:rPr>
              <w:t>Learner and Provisional drivers must not drive faster than 90</w:t>
            </w:r>
            <w:r w:rsidR="00C82E00" w:rsidRPr="00404724">
              <w:rPr>
                <w:bCs/>
              </w:rPr>
              <w:t xml:space="preserve"> km/h</w:t>
            </w:r>
          </w:p>
        </w:tc>
      </w:tr>
      <w:tr w:rsidR="00AD6E4A" w:rsidRPr="00404724" w14:paraId="3C663A3B" w14:textId="77777777" w:rsidTr="00A54398">
        <w:trPr>
          <w:cantSplit/>
        </w:trPr>
        <w:tc>
          <w:tcPr>
            <w:cnfStyle w:val="001000000000" w:firstRow="0" w:lastRow="0" w:firstColumn="1" w:lastColumn="0" w:oddVBand="0" w:evenVBand="0" w:oddHBand="0" w:evenHBand="0" w:firstRowFirstColumn="0" w:firstRowLastColumn="0" w:lastRowFirstColumn="0" w:lastRowLastColumn="0"/>
            <w:tcW w:w="1985" w:type="dxa"/>
          </w:tcPr>
          <w:p w14:paraId="39902A4D" w14:textId="38D4B603" w:rsidR="00AD6E4A" w:rsidRPr="00404724" w:rsidRDefault="00AD6E4A" w:rsidP="00AD6E4A">
            <w:pPr>
              <w:rPr>
                <w:b w:val="0"/>
                <w:bCs/>
              </w:rPr>
            </w:pPr>
            <w:r w:rsidRPr="00404724">
              <w:rPr>
                <w:b w:val="0"/>
                <w:bCs/>
              </w:rPr>
              <w:t>Victoria</w:t>
            </w:r>
          </w:p>
        </w:tc>
        <w:tc>
          <w:tcPr>
            <w:tcW w:w="1984" w:type="dxa"/>
          </w:tcPr>
          <w:p w14:paraId="6AB394A7" w14:textId="4E1EBFB8" w:rsidR="00AD6E4A" w:rsidRPr="00404724" w:rsidRDefault="00AD6E4A" w:rsidP="00AD6E4A">
            <w:pPr>
              <w:cnfStyle w:val="000000000000" w:firstRow="0" w:lastRow="0" w:firstColumn="0" w:lastColumn="0" w:oddVBand="0" w:evenVBand="0" w:oddHBand="0" w:evenHBand="0" w:firstRowFirstColumn="0" w:firstRowLastColumn="0" w:lastRowFirstColumn="0" w:lastRowLastColumn="0"/>
              <w:rPr>
                <w:bCs/>
              </w:rPr>
            </w:pPr>
            <w:r w:rsidRPr="00404724">
              <w:rPr>
                <w:bCs/>
              </w:rPr>
              <w:t>50</w:t>
            </w:r>
            <w:r w:rsidR="00C82E00" w:rsidRPr="00404724">
              <w:rPr>
                <w:bCs/>
              </w:rPr>
              <w:t xml:space="preserve"> km/h</w:t>
            </w:r>
          </w:p>
        </w:tc>
        <w:tc>
          <w:tcPr>
            <w:tcW w:w="2268" w:type="dxa"/>
          </w:tcPr>
          <w:p w14:paraId="065AABDB" w14:textId="05EDBCC1" w:rsidR="00AD6E4A" w:rsidRPr="00404724" w:rsidRDefault="00AD6E4A" w:rsidP="00AD6E4A">
            <w:pPr>
              <w:cnfStyle w:val="000000000000" w:firstRow="0" w:lastRow="0" w:firstColumn="0" w:lastColumn="0" w:oddVBand="0" w:evenVBand="0" w:oddHBand="0" w:evenHBand="0" w:firstRowFirstColumn="0" w:firstRowLastColumn="0" w:lastRowFirstColumn="0" w:lastRowLastColumn="0"/>
              <w:rPr>
                <w:bCs/>
              </w:rPr>
            </w:pPr>
            <w:r w:rsidRPr="00404724">
              <w:rPr>
                <w:bCs/>
              </w:rPr>
              <w:t>100</w:t>
            </w:r>
            <w:r w:rsidR="00C82E00" w:rsidRPr="00404724">
              <w:rPr>
                <w:bCs/>
              </w:rPr>
              <w:t xml:space="preserve"> km/h</w:t>
            </w:r>
          </w:p>
        </w:tc>
        <w:tc>
          <w:tcPr>
            <w:tcW w:w="3686" w:type="dxa"/>
          </w:tcPr>
          <w:p w14:paraId="5F7F9439" w14:textId="77777777" w:rsidR="00AD6E4A" w:rsidRPr="00404724" w:rsidRDefault="00AD6E4A" w:rsidP="00AD6E4A">
            <w:pPr>
              <w:cnfStyle w:val="000000000000" w:firstRow="0" w:lastRow="0" w:firstColumn="0" w:lastColumn="0" w:oddVBand="0" w:evenVBand="0" w:oddHBand="0" w:evenHBand="0" w:firstRowFirstColumn="0" w:firstRowLastColumn="0" w:lastRowFirstColumn="0" w:lastRowLastColumn="0"/>
              <w:rPr>
                <w:bCs/>
              </w:rPr>
            </w:pPr>
          </w:p>
        </w:tc>
      </w:tr>
      <w:tr w:rsidR="00AD6E4A" w:rsidRPr="00404724" w14:paraId="29FF6550" w14:textId="77777777" w:rsidTr="00A54398">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5" w:type="dxa"/>
            <w:shd w:val="clear" w:color="auto" w:fill="F2F2F2" w:themeFill="background1" w:themeFillShade="F2"/>
          </w:tcPr>
          <w:p w14:paraId="1ED03CC3" w14:textId="45DE7CBD" w:rsidR="00AD6E4A" w:rsidRPr="00404724" w:rsidRDefault="00AD6E4A" w:rsidP="00AD6E4A">
            <w:pPr>
              <w:rPr>
                <w:b w:val="0"/>
                <w:bCs/>
              </w:rPr>
            </w:pPr>
            <w:r w:rsidRPr="00404724">
              <w:rPr>
                <w:b w:val="0"/>
                <w:bCs/>
              </w:rPr>
              <w:t>Western Australia</w:t>
            </w:r>
          </w:p>
        </w:tc>
        <w:tc>
          <w:tcPr>
            <w:tcW w:w="1984" w:type="dxa"/>
            <w:shd w:val="clear" w:color="auto" w:fill="F2F2F2" w:themeFill="background1" w:themeFillShade="F2"/>
          </w:tcPr>
          <w:p w14:paraId="35B7C13C" w14:textId="1745268A" w:rsidR="00AD6E4A" w:rsidRPr="00404724" w:rsidRDefault="00AD6E4A" w:rsidP="00AD6E4A">
            <w:pPr>
              <w:cnfStyle w:val="010000000000" w:firstRow="0" w:lastRow="1" w:firstColumn="0" w:lastColumn="0" w:oddVBand="0" w:evenVBand="0" w:oddHBand="0" w:evenHBand="0" w:firstRowFirstColumn="0" w:firstRowLastColumn="0" w:lastRowFirstColumn="0" w:lastRowLastColumn="0"/>
              <w:rPr>
                <w:b w:val="0"/>
                <w:bCs/>
              </w:rPr>
            </w:pPr>
            <w:r w:rsidRPr="00404724">
              <w:rPr>
                <w:b w:val="0"/>
                <w:bCs/>
              </w:rPr>
              <w:t>50</w:t>
            </w:r>
            <w:r w:rsidR="00C82E00" w:rsidRPr="00404724">
              <w:rPr>
                <w:b w:val="0"/>
                <w:bCs/>
              </w:rPr>
              <w:t xml:space="preserve"> km/h</w:t>
            </w:r>
            <w:r w:rsidRPr="00404724">
              <w:rPr>
                <w:b w:val="0"/>
                <w:bCs/>
              </w:rPr>
              <w:t xml:space="preserve"> </w:t>
            </w:r>
          </w:p>
        </w:tc>
        <w:tc>
          <w:tcPr>
            <w:tcW w:w="2268" w:type="dxa"/>
            <w:shd w:val="clear" w:color="auto" w:fill="F2F2F2" w:themeFill="background1" w:themeFillShade="F2"/>
          </w:tcPr>
          <w:p w14:paraId="657CDDB5" w14:textId="16316ECA" w:rsidR="00AD6E4A" w:rsidRPr="00404724" w:rsidRDefault="00AD6E4A" w:rsidP="00AD6E4A">
            <w:pPr>
              <w:cnfStyle w:val="010000000000" w:firstRow="0" w:lastRow="1" w:firstColumn="0" w:lastColumn="0" w:oddVBand="0" w:evenVBand="0" w:oddHBand="0" w:evenHBand="0" w:firstRowFirstColumn="0" w:firstRowLastColumn="0" w:lastRowFirstColumn="0" w:lastRowLastColumn="0"/>
              <w:rPr>
                <w:b w:val="0"/>
                <w:bCs/>
              </w:rPr>
            </w:pPr>
            <w:r w:rsidRPr="00404724">
              <w:rPr>
                <w:b w:val="0"/>
                <w:bCs/>
              </w:rPr>
              <w:t>110</w:t>
            </w:r>
            <w:r w:rsidR="00C82E00" w:rsidRPr="00404724">
              <w:rPr>
                <w:b w:val="0"/>
                <w:bCs/>
              </w:rPr>
              <w:t xml:space="preserve"> km/h</w:t>
            </w:r>
          </w:p>
        </w:tc>
        <w:tc>
          <w:tcPr>
            <w:tcW w:w="3686" w:type="dxa"/>
            <w:shd w:val="clear" w:color="auto" w:fill="F2F2F2" w:themeFill="background1" w:themeFillShade="F2"/>
          </w:tcPr>
          <w:p w14:paraId="02524A77" w14:textId="64DCC0F2" w:rsidR="00AD6E4A" w:rsidRPr="00404724" w:rsidRDefault="00AD6E4A" w:rsidP="00AD6E4A">
            <w:pPr>
              <w:cnfStyle w:val="010000000000" w:firstRow="0" w:lastRow="1" w:firstColumn="0" w:lastColumn="0" w:oddVBand="0" w:evenVBand="0" w:oddHBand="0" w:evenHBand="0" w:firstRowFirstColumn="0" w:firstRowLastColumn="0" w:lastRowFirstColumn="0" w:lastRowLastColumn="0"/>
              <w:rPr>
                <w:b w:val="0"/>
                <w:bCs/>
              </w:rPr>
            </w:pPr>
          </w:p>
        </w:tc>
      </w:tr>
    </w:tbl>
    <w:p w14:paraId="2370CDBA" w14:textId="4AA6D779" w:rsidR="00A54398" w:rsidRDefault="007C56C8" w:rsidP="007C56C8">
      <w:pPr>
        <w:pStyle w:val="Sourcenotes"/>
        <w:rPr>
          <w:lang w:val="en-AU"/>
        </w:rPr>
      </w:pPr>
      <w:r w:rsidRPr="00404724">
        <w:rPr>
          <w:lang w:val="en-AU"/>
        </w:rPr>
        <w:t xml:space="preserve">Source: ACT Government (2019), ACT Road Rules Handbook; NSW Government (n.d), Speed Limits, Retrieved from </w:t>
      </w:r>
      <w:hyperlink r:id="rId33" w:history="1">
        <w:r w:rsidR="00A54398" w:rsidRPr="00D068D7">
          <w:rPr>
            <w:rStyle w:val="Hyperlink"/>
            <w:lang w:val="en-AU"/>
          </w:rPr>
          <w:t>https://www.nsw.gov.au/driving-boating-and-transport/roads-safety-and-rules/safe-driving/speed-limits-and-cameras/speed-limits</w:t>
        </w:r>
      </w:hyperlink>
      <w:r w:rsidR="00A54398">
        <w:rPr>
          <w:lang w:val="en-AU"/>
        </w:rPr>
        <w:t xml:space="preserve">, </w:t>
      </w:r>
      <w:r w:rsidRPr="00404724">
        <w:rPr>
          <w:lang w:val="en-AU"/>
        </w:rPr>
        <w:t xml:space="preserve">Northern Territory Government (2020). Road Users’ Handbook.; Queensland Government (2024). Speed Limits. Retrieved from: </w:t>
      </w:r>
      <w:hyperlink r:id="rId34" w:history="1">
        <w:r w:rsidR="00A54398" w:rsidRPr="00D068D7">
          <w:rPr>
            <w:rStyle w:val="Hyperlink"/>
            <w:lang w:val="en-AU"/>
          </w:rPr>
          <w:t>https://www.qld.gov.au/transport/safety/rules/speed-limits</w:t>
        </w:r>
      </w:hyperlink>
      <w:r w:rsidR="00A54398">
        <w:rPr>
          <w:lang w:val="en-AU"/>
        </w:rPr>
        <w:t xml:space="preserve">, </w:t>
      </w:r>
      <w:r w:rsidRPr="00404724">
        <w:rPr>
          <w:lang w:val="en-AU"/>
        </w:rPr>
        <w:t xml:space="preserve">Government of South Australia (2025). Driver’s Handbook; Tasmanian Government (2022). Tasmanian Road Rules; Victorian Government (2017). Road Safety Road Rules 2017.; Main roads Western Australia (2023) Speed Zones. Retrieved from: </w:t>
      </w:r>
      <w:hyperlink r:id="rId35" w:history="1">
        <w:r w:rsidR="00A54398" w:rsidRPr="00D068D7">
          <w:rPr>
            <w:rStyle w:val="Hyperlink"/>
            <w:lang w:val="en-AU"/>
          </w:rPr>
          <w:t>https://www.mainroads.wa.gov.au/technical-commercial/technical-library/road-traffic-engineering/traffic-management/speed-zones/</w:t>
        </w:r>
      </w:hyperlink>
      <w:r w:rsidR="00A54398">
        <w:rPr>
          <w:lang w:val="en-AU"/>
        </w:rPr>
        <w:t>.</w:t>
      </w:r>
    </w:p>
    <w:p w14:paraId="34FBB73B" w14:textId="7EDDF9F1" w:rsidR="00D1239E" w:rsidRPr="00404724" w:rsidRDefault="001F6E2C" w:rsidP="001F6E2C">
      <w:pPr>
        <w:pStyle w:val="Heading3"/>
      </w:pPr>
      <w:bookmarkStart w:id="191" w:name="_Toc210040306"/>
      <w:bookmarkStart w:id="192" w:name="_Toc210049179"/>
      <w:bookmarkStart w:id="193" w:name="_Toc210051619"/>
      <w:bookmarkStart w:id="194" w:name="_Toc210051700"/>
      <w:r>
        <w:t>2.4</w:t>
      </w:r>
      <w:r>
        <w:tab/>
      </w:r>
      <w:r w:rsidR="00D1239E" w:rsidRPr="00404724">
        <w:t>Need for further government intervention in managing default speed limits</w:t>
      </w:r>
      <w:bookmarkEnd w:id="191"/>
      <w:bookmarkEnd w:id="192"/>
      <w:bookmarkEnd w:id="193"/>
      <w:bookmarkEnd w:id="194"/>
    </w:p>
    <w:p w14:paraId="37B12920" w14:textId="3892234B" w:rsidR="00D1239E" w:rsidRPr="00404724" w:rsidRDefault="00D1239E" w:rsidP="00D1239E">
      <w:r w:rsidRPr="00404724">
        <w:t xml:space="preserve">As mentioned before, Australia’s road safety performance has declined over recent years, with road fatalities per 100,000 population increasing from </w:t>
      </w:r>
      <w:r w:rsidR="00AC0CFA" w:rsidRPr="00404724">
        <w:t>4.3</w:t>
      </w:r>
      <w:r w:rsidRPr="00404724">
        <w:t xml:space="preserve"> in 20</w:t>
      </w:r>
      <w:r w:rsidR="00AC0CFA" w:rsidRPr="00404724">
        <w:t>21</w:t>
      </w:r>
      <w:r w:rsidRPr="00404724">
        <w:t xml:space="preserve"> to </w:t>
      </w:r>
      <w:r w:rsidR="00AC0CFA" w:rsidRPr="00404724">
        <w:t>4.7</w:t>
      </w:r>
      <w:r w:rsidRPr="00404724">
        <w:t xml:space="preserve"> in 20</w:t>
      </w:r>
      <w:r w:rsidR="00AC0CFA" w:rsidRPr="00404724">
        <w:t>24</w:t>
      </w:r>
      <w:r w:rsidRPr="00404724">
        <w:t xml:space="preserve">. This upward trend contrasts sharply with the sustained improvements seen in similar advanced economies like </w:t>
      </w:r>
      <w:r w:rsidR="00AC0CFA" w:rsidRPr="00404724">
        <w:t>the United Kingdom</w:t>
      </w:r>
      <w:r w:rsidRPr="00404724">
        <w:t xml:space="preserve">, </w:t>
      </w:r>
      <w:r w:rsidR="00AC0CFA" w:rsidRPr="00404724">
        <w:t>United States</w:t>
      </w:r>
      <w:r w:rsidRPr="00404724">
        <w:t xml:space="preserve"> and </w:t>
      </w:r>
      <w:r w:rsidR="00AC0CFA" w:rsidRPr="00404724">
        <w:t>New Zealand</w:t>
      </w:r>
      <w:r w:rsidRPr="00404724">
        <w:t xml:space="preserve">, which have achieved their safety gains through comprehensive approaches that include lower default speed limits. </w:t>
      </w:r>
    </w:p>
    <w:p w14:paraId="22839089" w14:textId="5DF996EC" w:rsidR="00D1239E" w:rsidRPr="00404724" w:rsidRDefault="00D1239E" w:rsidP="00D1239E">
      <w:r w:rsidRPr="00404724">
        <w:t xml:space="preserve">Australian governments recognised the need for additional intervention in this space through the Strategy and the Action Plan, which commit to reviewing default speed limits </w:t>
      </w:r>
      <w:r w:rsidR="004C7AC7" w:rsidRPr="00404724">
        <w:t xml:space="preserve">for roads outside of built-up areas </w:t>
      </w:r>
      <w:r w:rsidRPr="00404724">
        <w:t xml:space="preserve">as part of a broader effort to reduce road trauma. </w:t>
      </w:r>
    </w:p>
    <w:p w14:paraId="2C4C9E6E" w14:textId="68FA9664" w:rsidR="00D1239E" w:rsidRPr="00404724" w:rsidRDefault="001F6E2C" w:rsidP="001F6E2C">
      <w:pPr>
        <w:pStyle w:val="Heading4"/>
      </w:pPr>
      <w:bookmarkStart w:id="195" w:name="_Toc210040307"/>
      <w:bookmarkStart w:id="196" w:name="_Toc210049180"/>
      <w:bookmarkStart w:id="197" w:name="_Toc210051620"/>
      <w:bookmarkStart w:id="198" w:name="_Toc210051701"/>
      <w:r>
        <w:t>2.4.1</w:t>
      </w:r>
      <w:r>
        <w:tab/>
      </w:r>
      <w:r w:rsidR="00D1239E" w:rsidRPr="00404724">
        <w:t>Policy imperatives</w:t>
      </w:r>
      <w:bookmarkEnd w:id="195"/>
      <w:bookmarkEnd w:id="196"/>
      <w:bookmarkEnd w:id="197"/>
      <w:bookmarkEnd w:id="198"/>
    </w:p>
    <w:p w14:paraId="1266A074" w14:textId="1C5FBDE7" w:rsidR="00D1239E" w:rsidRPr="00404724" w:rsidRDefault="00D1239E" w:rsidP="00D1239E">
      <w:r w:rsidRPr="00404724">
        <w:t>As discussed in Section</w:t>
      </w:r>
      <w:r w:rsidR="00AC0CFA" w:rsidRPr="00404724">
        <w:t xml:space="preserve"> </w:t>
      </w:r>
      <w:r w:rsidR="00AC0CFA" w:rsidRPr="00404724">
        <w:fldChar w:fldCharType="begin"/>
      </w:r>
      <w:r w:rsidR="00AC0CFA" w:rsidRPr="00404724">
        <w:instrText xml:space="preserve"> REF _Ref208496576 \r \h  \* MERGEFORMAT </w:instrText>
      </w:r>
      <w:r w:rsidR="00AC0CFA" w:rsidRPr="00404724">
        <w:fldChar w:fldCharType="separate"/>
      </w:r>
      <w:r w:rsidR="00BF489D">
        <w:t>1.3</w:t>
      </w:r>
      <w:r w:rsidR="00AC0CFA" w:rsidRPr="00404724">
        <w:fldChar w:fldCharType="end"/>
      </w:r>
      <w:r w:rsidRPr="00404724">
        <w:t xml:space="preserve">, </w:t>
      </w:r>
      <w:r w:rsidR="001B57EB" w:rsidRPr="00404724">
        <w:t xml:space="preserve">governments </w:t>
      </w:r>
      <w:r w:rsidRPr="00404724">
        <w:t xml:space="preserve">have </w:t>
      </w:r>
      <w:r w:rsidR="001B57EB" w:rsidRPr="00404724">
        <w:t xml:space="preserve">agreed to </w:t>
      </w:r>
      <w:r w:rsidRPr="00404724">
        <w:t>ambitious road safety targets through the Strategy, including a 50% reduction in road fatalities and a 30% reduction in serious injuries by 2030, progressing toward the ultimate goal of zero deaths and serious injuries by 2050.</w:t>
      </w:r>
    </w:p>
    <w:p w14:paraId="0626485A" w14:textId="77777777" w:rsidR="00D1239E" w:rsidRPr="00404724" w:rsidRDefault="00D1239E" w:rsidP="00D1239E">
      <w:r w:rsidRPr="00404724">
        <w:t>The Strategy embeds speed management across all key themes (safe roads, safe vehicles, and safe road use) as a key component of its multifaceted approach. This strategic positioning highlights that further government action on default speed limits is essential for achieving comprehensive road safety improvements.</w:t>
      </w:r>
    </w:p>
    <w:p w14:paraId="515C9EF0" w14:textId="77777777" w:rsidR="003B2572" w:rsidRPr="00404724" w:rsidRDefault="003B2572" w:rsidP="003B2572">
      <w:r w:rsidRPr="00404724">
        <w:t>Without proactive action in managing default speed limits alongside other safety measures, Australia risks falling further behind international best practice and failing to meet its targets to reduce road deaths by 50% and serious injuries by 30% by 2030.</w:t>
      </w:r>
    </w:p>
    <w:p w14:paraId="6A8172F1" w14:textId="69B4A648" w:rsidR="003B2572" w:rsidRPr="00404724" w:rsidRDefault="003B2572" w:rsidP="001F6E2C">
      <w:pPr>
        <w:pStyle w:val="Box1Heading"/>
        <w:keepNext/>
        <w:rPr>
          <w:lang w:val="en-AU"/>
        </w:rPr>
      </w:pPr>
      <w:r w:rsidRPr="00404724">
        <w:rPr>
          <w:lang w:val="en-AU"/>
        </w:rPr>
        <w:lastRenderedPageBreak/>
        <w:t>The ‘Safe System’ approach and speed</w:t>
      </w:r>
    </w:p>
    <w:p w14:paraId="1A4639FE" w14:textId="3C21B972" w:rsidR="003B2572" w:rsidRPr="00404724" w:rsidRDefault="003B2572" w:rsidP="001F6E2C">
      <w:pPr>
        <w:pStyle w:val="Box1Text"/>
        <w:keepLines/>
        <w:rPr>
          <w:lang w:val="en-AU"/>
        </w:rPr>
      </w:pPr>
      <w:r w:rsidRPr="00404724">
        <w:rPr>
          <w:lang w:val="en-AU"/>
        </w:rPr>
        <w:t>Depending upon the level of protection available, different travel speeds within the system have different thresholds. For drivers and passengers in a reasonably modern vehicle, the maximum speed at which a head-on crash is permissible is around 70 km/h. In a carriageway departure crash into a rigid roadside object such as a tree or non-frangible pole, the threshold before serious or fatal outcomes becomes much more likely drops to 50 km/h. Side impact crashes between vehicles approaching at right angles are also limited to 50 km/h before the likelihood of death or serious injury increases sharply. It is apparent that legally permissible travel speeds are frequently well in excess of these thresholds, and the current road system is therefore not Safe System-compliant.</w:t>
      </w:r>
    </w:p>
    <w:p w14:paraId="132B73A8" w14:textId="1CA25336" w:rsidR="003B2572" w:rsidRPr="00404724" w:rsidRDefault="003B2572" w:rsidP="003B2572">
      <w:pPr>
        <w:pStyle w:val="Box1Text"/>
        <w:rPr>
          <w:lang w:val="en-AU"/>
        </w:rPr>
      </w:pPr>
      <w:r w:rsidRPr="00404724">
        <w:rPr>
          <w:lang w:val="en-AU"/>
        </w:rPr>
        <w:t>To meet Safe System standards on high-speed roads, particularly in regional and remote areas, it would be necessary to match allowable speeds with infrastructure quality. Where current travel speeds of 100</w:t>
      </w:r>
      <w:r w:rsidR="0067754E" w:rsidRPr="00404724">
        <w:rPr>
          <w:lang w:val="en-AU"/>
        </w:rPr>
        <w:t> </w:t>
      </w:r>
      <w:r w:rsidRPr="00404724">
        <w:rPr>
          <w:lang w:val="en-AU"/>
        </w:rPr>
        <w:t>km/h and higher are desired, suitable road safety measures would need to be implemented to prevent crashes from exceeding human limits. Measures such as flexible mid- and side-barrier, coupled with suitable intersection improvements such as roundabouts or grade separation are highly effective in preventing serious outcomes for vehicle occupants. Nevertheless, such measures are expensive, particularly if they were to be constructed on tens of thousands of kilometres of roads throughout country Australia.</w:t>
      </w:r>
    </w:p>
    <w:p w14:paraId="270FB499" w14:textId="088D68D6" w:rsidR="00D1239E" w:rsidRPr="00404724" w:rsidRDefault="001F6E2C" w:rsidP="001F6E2C">
      <w:pPr>
        <w:pStyle w:val="Heading4"/>
      </w:pPr>
      <w:bookmarkStart w:id="199" w:name="_Toc210040308"/>
      <w:bookmarkStart w:id="200" w:name="_Toc210049181"/>
      <w:bookmarkStart w:id="201" w:name="_Toc210051621"/>
      <w:bookmarkStart w:id="202" w:name="_Toc210051702"/>
      <w:r>
        <w:t>2.4.2</w:t>
      </w:r>
      <w:r>
        <w:tab/>
      </w:r>
      <w:r w:rsidR="00D1239E" w:rsidRPr="00404724">
        <w:t>Evidence on cost effectiveness of speed management interventions</w:t>
      </w:r>
      <w:bookmarkEnd w:id="199"/>
      <w:bookmarkEnd w:id="200"/>
      <w:bookmarkEnd w:id="201"/>
      <w:bookmarkEnd w:id="202"/>
    </w:p>
    <w:p w14:paraId="20900A61" w14:textId="77777777" w:rsidR="00D1239E" w:rsidRPr="00404724" w:rsidRDefault="00D1239E" w:rsidP="00D1239E">
      <w:r w:rsidRPr="00404724">
        <w:t>As discussed in previous sections, speed remains fundamentally linked to both crash occurrence and severity, even small reductions in average speeds produce disproportionately large safety benefits by giving drivers more time to react and dramatically improving survivability when crashes do occur.</w:t>
      </w:r>
    </w:p>
    <w:p w14:paraId="50EAF8F0" w14:textId="422BEFF0" w:rsidR="00D1239E" w:rsidRPr="00404724" w:rsidRDefault="00D1239E" w:rsidP="00D1239E">
      <w:r w:rsidRPr="00404724">
        <w:t xml:space="preserve">Unlike some road safety interventions that require infrastructure upgrades or behavioural change campaigns, adjusting speed limits requires a significantly lower level of resources and has an immediate effect on risk levels.  </w:t>
      </w:r>
    </w:p>
    <w:p w14:paraId="615CF6E3" w14:textId="4B069130" w:rsidR="00D1239E" w:rsidRPr="00404724" w:rsidRDefault="001F6E2C" w:rsidP="001F6E2C">
      <w:pPr>
        <w:pStyle w:val="Heading3"/>
      </w:pPr>
      <w:bookmarkStart w:id="203" w:name="_Toc210040309"/>
      <w:bookmarkStart w:id="204" w:name="_Toc210049182"/>
      <w:bookmarkStart w:id="205" w:name="_Toc210051622"/>
      <w:bookmarkStart w:id="206" w:name="_Toc210051703"/>
      <w:r>
        <w:t>2.5</w:t>
      </w:r>
      <w:r>
        <w:tab/>
      </w:r>
      <w:r w:rsidR="00D1239E" w:rsidRPr="00404724">
        <w:t>Summing up</w:t>
      </w:r>
      <w:bookmarkEnd w:id="203"/>
      <w:bookmarkEnd w:id="204"/>
      <w:bookmarkEnd w:id="205"/>
      <w:bookmarkEnd w:id="206"/>
    </w:p>
    <w:p w14:paraId="46784B4A" w14:textId="77777777" w:rsidR="00D1239E" w:rsidRPr="00404724" w:rsidRDefault="00D1239E" w:rsidP="00D1239E">
      <w:r w:rsidRPr="00404724">
        <w:t>The discussion above suggests that, in principle, there is a case for a reduction in the default speed limits in the ARR on the basis of:</w:t>
      </w:r>
    </w:p>
    <w:p w14:paraId="0FED3425" w14:textId="30B4ED25" w:rsidR="00D1239E" w:rsidRPr="00404724" w:rsidRDefault="00D1239E" w:rsidP="00485648">
      <w:pPr>
        <w:pStyle w:val="Listparagraphbullets"/>
      </w:pPr>
      <w:r w:rsidRPr="00404724">
        <w:rPr>
          <w:b/>
          <w:bCs/>
        </w:rPr>
        <w:t>Deteriorating road safety</w:t>
      </w:r>
      <w:r w:rsidRPr="00404724">
        <w:t xml:space="preserve"> – Australia</w:t>
      </w:r>
      <w:r w:rsidR="0067754E" w:rsidRPr="00404724">
        <w:t>’</w:t>
      </w:r>
      <w:r w:rsidRPr="00404724">
        <w:t>s road safety outcomes have worsened despite improvements in vehicle safety technology and sustained government intervention efforts, with fatality rates increasing while international peers achieve significant reductions.</w:t>
      </w:r>
    </w:p>
    <w:p w14:paraId="19F63640" w14:textId="31F78010" w:rsidR="00D1239E" w:rsidRPr="00404724" w:rsidRDefault="00D1239E" w:rsidP="00485648">
      <w:pPr>
        <w:pStyle w:val="Listparagraphbullets"/>
      </w:pPr>
      <w:r w:rsidRPr="00404724">
        <w:rPr>
          <w:b/>
          <w:bCs/>
        </w:rPr>
        <w:t>The existence of market failures</w:t>
      </w:r>
      <w:r w:rsidRPr="00404724">
        <w:t xml:space="preserve"> – imperfect information and negative externalities mean that individual drivers may unintentionally impose unacceptable risks on others. Default speed limits help address these failures by providing clear guidance on </w:t>
      </w:r>
      <w:r w:rsidR="005E4B70" w:rsidRPr="00404724">
        <w:t xml:space="preserve">default </w:t>
      </w:r>
      <w:r w:rsidRPr="00404724">
        <w:t>roads and preventing speeds that generate disproportionate dangers for all users.</w:t>
      </w:r>
    </w:p>
    <w:p w14:paraId="158C01AE" w14:textId="7E17709E" w:rsidR="00D1239E" w:rsidRPr="00404724" w:rsidRDefault="00D1239E" w:rsidP="00485648">
      <w:pPr>
        <w:pStyle w:val="Listparagraphbullets"/>
      </w:pPr>
      <w:r w:rsidRPr="00404724">
        <w:rPr>
          <w:b/>
          <w:bCs/>
        </w:rPr>
        <w:t>Cost effective policy mechanism</w:t>
      </w:r>
      <w:r w:rsidRPr="00404724">
        <w:t xml:space="preserve"> – speed management is an essential component of a comprehensive road safety approach that offers practical value as a proven, cost-effective intervention. Alternative non-regulatory approaches (including infrastructure upgrades and education campaigns) remain important but typically deliver lower safety returns per dollar invested and prove insufficient without complementary speed guidance. </w:t>
      </w:r>
    </w:p>
    <w:p w14:paraId="37292E2D" w14:textId="2B417645" w:rsidR="00D1239E" w:rsidRPr="00404724" w:rsidRDefault="00D1239E" w:rsidP="00485648">
      <w:pPr>
        <w:pStyle w:val="Listparagraphbullets"/>
      </w:pPr>
      <w:r w:rsidRPr="00404724">
        <w:rPr>
          <w:b/>
          <w:bCs/>
        </w:rPr>
        <w:t>Recent policy commitments</w:t>
      </w:r>
      <w:r w:rsidRPr="00404724">
        <w:t xml:space="preserve"> – the Action Plan specifically identified ARR default speed limit reform as a priority contribution the Australian Government can make to the broader national road safety effort.</w:t>
      </w:r>
    </w:p>
    <w:p w14:paraId="41DD5681" w14:textId="77777777" w:rsidR="00D1239E" w:rsidRPr="00404724" w:rsidRDefault="00D1239E" w:rsidP="00D1239E">
      <w:r w:rsidRPr="00404724">
        <w:t>The case for reduced default speed limits in the ARR is carefully assessed in this RIA to determine whether the proposed changes are likely to be beneficial for the Australian society overall.</w:t>
      </w:r>
    </w:p>
    <w:p w14:paraId="634C6AC1" w14:textId="5DEFE9AD" w:rsidR="00D1239E" w:rsidRPr="00404724" w:rsidRDefault="00EC39D5" w:rsidP="00EC39D5">
      <w:pPr>
        <w:pStyle w:val="Heading3"/>
      </w:pPr>
      <w:bookmarkStart w:id="207" w:name="_Toc210040310"/>
      <w:bookmarkStart w:id="208" w:name="_Toc210049183"/>
      <w:bookmarkStart w:id="209" w:name="_Toc210051623"/>
      <w:bookmarkStart w:id="210" w:name="_Toc210051704"/>
      <w:r>
        <w:lastRenderedPageBreak/>
        <w:t>2.6</w:t>
      </w:r>
      <w:r>
        <w:tab/>
      </w:r>
      <w:r w:rsidR="00D1239E" w:rsidRPr="00404724">
        <w:t>Questions for stakeholders</w:t>
      </w:r>
      <w:bookmarkEnd w:id="207"/>
      <w:bookmarkEnd w:id="208"/>
      <w:bookmarkEnd w:id="209"/>
      <w:bookmarkEnd w:id="210"/>
      <w:r w:rsidR="00D1239E" w:rsidRPr="00404724">
        <w:t xml:space="preserve"> </w:t>
      </w:r>
    </w:p>
    <w:p w14:paraId="05A84A6E" w14:textId="2BEAEEBA" w:rsidR="00D1239E" w:rsidRPr="00832A33" w:rsidRDefault="00D1239E" w:rsidP="00832A33">
      <w:pPr>
        <w:pStyle w:val="Listparagraphbullets"/>
      </w:pPr>
      <w:bookmarkStart w:id="211" w:name="_Ref208397593"/>
      <w:r w:rsidRPr="00832A33">
        <w:t>Does the RIA adequately identify and define the problem?</w:t>
      </w:r>
      <w:bookmarkEnd w:id="211"/>
    </w:p>
    <w:p w14:paraId="243C090C" w14:textId="042E7DA7" w:rsidR="00D1239E" w:rsidRPr="00404724" w:rsidRDefault="00D1239E" w:rsidP="00832A33">
      <w:pPr>
        <w:pStyle w:val="Listparagraphbullets"/>
      </w:pPr>
      <w:bookmarkStart w:id="212" w:name="_Ref208397617"/>
      <w:r w:rsidRPr="00404724">
        <w:t>Are there any other problems not considered by this RIA?</w:t>
      </w:r>
      <w:bookmarkEnd w:id="212"/>
    </w:p>
    <w:p w14:paraId="2E33D5D8" w14:textId="3B4E7D9A" w:rsidR="00D1239E" w:rsidRPr="00404724" w:rsidRDefault="00D1239E" w:rsidP="00832A33">
      <w:pPr>
        <w:pStyle w:val="Listparagraphbullets"/>
      </w:pPr>
      <w:r w:rsidRPr="00404724">
        <w:t>Does the RIA establish a case for amending the default speed limits in the ARR?</w:t>
      </w:r>
    </w:p>
    <w:p w14:paraId="3934F713" w14:textId="6C34FDD1" w:rsidR="00D434FA" w:rsidRPr="00404724" w:rsidRDefault="00D434FA" w:rsidP="002B3569">
      <w:r w:rsidRPr="00404724">
        <w:br w:type="page"/>
      </w:r>
    </w:p>
    <w:p w14:paraId="0C0D9C7D" w14:textId="4B83A501" w:rsidR="00BD59AE" w:rsidRPr="00404724" w:rsidRDefault="00662CE3" w:rsidP="00EC39D5">
      <w:pPr>
        <w:pStyle w:val="Heading2"/>
      </w:pPr>
      <w:bookmarkStart w:id="213" w:name="_Toc210049184"/>
      <w:bookmarkStart w:id="214" w:name="_Toc210051624"/>
      <w:bookmarkStart w:id="215" w:name="_Toc210051705"/>
      <w:r>
        <w:lastRenderedPageBreak/>
        <w:t>3.</w:t>
      </w:r>
      <w:r>
        <w:tab/>
      </w:r>
      <w:bookmarkStart w:id="216" w:name="_Ref208397631"/>
      <w:bookmarkStart w:id="217" w:name="_Toc210040311"/>
      <w:r w:rsidR="00BD59AE" w:rsidRPr="00404724">
        <w:t>Objectives and options</w:t>
      </w:r>
      <w:bookmarkEnd w:id="216"/>
      <w:bookmarkEnd w:id="217"/>
      <w:bookmarkEnd w:id="213"/>
      <w:bookmarkEnd w:id="214"/>
      <w:bookmarkEnd w:id="215"/>
    </w:p>
    <w:p w14:paraId="048D58DF" w14:textId="144C4977" w:rsidR="00BD59AE" w:rsidRPr="00404724" w:rsidRDefault="00BD59AE" w:rsidP="004C5509">
      <w:pPr>
        <w:pStyle w:val="Introduction"/>
        <w:rPr>
          <w:lang w:val="en-AU"/>
        </w:rPr>
      </w:pPr>
      <w:r w:rsidRPr="00404724">
        <w:rPr>
          <w:lang w:val="en-AU"/>
        </w:rPr>
        <w:t>What are the objectives of government action? What policy options are being considered to achieve these objectives?</w:t>
      </w:r>
    </w:p>
    <w:p w14:paraId="3D970C2D" w14:textId="2BC07D69" w:rsidR="00BD59AE" w:rsidRPr="00404724" w:rsidRDefault="00662CE3" w:rsidP="00662CE3">
      <w:pPr>
        <w:pStyle w:val="Heading3"/>
      </w:pPr>
      <w:bookmarkStart w:id="218" w:name="_Toc210040312"/>
      <w:bookmarkStart w:id="219" w:name="_Toc210049185"/>
      <w:bookmarkStart w:id="220" w:name="_Toc210051625"/>
      <w:bookmarkStart w:id="221" w:name="_Toc210051706"/>
      <w:r>
        <w:t>3.1</w:t>
      </w:r>
      <w:r>
        <w:tab/>
      </w:r>
      <w:r w:rsidR="00BD59AE" w:rsidRPr="00404724">
        <w:t>Objectives of government action</w:t>
      </w:r>
      <w:bookmarkEnd w:id="218"/>
      <w:bookmarkEnd w:id="219"/>
      <w:bookmarkEnd w:id="220"/>
      <w:bookmarkEnd w:id="221"/>
    </w:p>
    <w:p w14:paraId="66BAFC60" w14:textId="7EF8A8B8" w:rsidR="00BD59AE" w:rsidRPr="00404724" w:rsidRDefault="00BD59AE" w:rsidP="00BD59AE">
      <w:r w:rsidRPr="00404724">
        <w:t>The objectives of further government action in managing default speed limits outside built-up areas can be summarised to:</w:t>
      </w:r>
    </w:p>
    <w:p w14:paraId="2E70DEF8" w14:textId="246DA2EA" w:rsidR="00BD59AE" w:rsidRPr="00404724" w:rsidRDefault="00BD59AE" w:rsidP="00485648">
      <w:pPr>
        <w:pStyle w:val="Listparagraphbullets"/>
      </w:pPr>
      <w:r w:rsidRPr="00404724">
        <w:t xml:space="preserve">improve the safety of </w:t>
      </w:r>
      <w:r w:rsidR="005E4B70" w:rsidRPr="00404724">
        <w:t>default</w:t>
      </w:r>
      <w:r w:rsidRPr="00404724">
        <w:t xml:space="preserve"> roads outside built-up areas </w:t>
      </w:r>
    </w:p>
    <w:p w14:paraId="3B269FBE" w14:textId="1D0FBF74" w:rsidR="00BD59AE" w:rsidRPr="00404724" w:rsidRDefault="00BD59AE" w:rsidP="00485648">
      <w:pPr>
        <w:pStyle w:val="Listparagraphbullets"/>
      </w:pPr>
      <w:r w:rsidRPr="00404724">
        <w:t xml:space="preserve">reduce road deaths and serious injuries on </w:t>
      </w:r>
      <w:r w:rsidR="005E4B70" w:rsidRPr="00404724">
        <w:t>default</w:t>
      </w:r>
      <w:r w:rsidRPr="00404724">
        <w:t xml:space="preserve"> roads outside built-up areas</w:t>
      </w:r>
    </w:p>
    <w:p w14:paraId="0C973C24" w14:textId="37F40717" w:rsidR="00D37408" w:rsidRPr="00404724" w:rsidRDefault="00BD59AE" w:rsidP="00485648">
      <w:pPr>
        <w:pStyle w:val="Listparagraphbullets"/>
      </w:pPr>
      <w:r w:rsidRPr="00404724">
        <w:t xml:space="preserve">contribute towards reaching the </w:t>
      </w:r>
      <w:r w:rsidR="001B57EB" w:rsidRPr="00404724">
        <w:t xml:space="preserve">trauma reduction </w:t>
      </w:r>
      <w:r w:rsidRPr="00404724">
        <w:t>targets set by the Strategy.</w:t>
      </w:r>
    </w:p>
    <w:p w14:paraId="4B0284DE" w14:textId="01B3C3AE" w:rsidR="000C1C23" w:rsidRPr="00404724" w:rsidRDefault="00662CE3" w:rsidP="00662CE3">
      <w:pPr>
        <w:pStyle w:val="Heading3"/>
      </w:pPr>
      <w:bookmarkStart w:id="222" w:name="_Ref209694705"/>
      <w:bookmarkStart w:id="223" w:name="_Toc210040313"/>
      <w:bookmarkStart w:id="224" w:name="_Toc210049186"/>
      <w:bookmarkStart w:id="225" w:name="_Toc210051626"/>
      <w:bookmarkStart w:id="226" w:name="_Toc210051707"/>
      <w:r>
        <w:t>3.2</w:t>
      </w:r>
      <w:r>
        <w:tab/>
      </w:r>
      <w:r w:rsidR="00374E56" w:rsidRPr="00404724">
        <w:t>Policy options</w:t>
      </w:r>
      <w:bookmarkEnd w:id="222"/>
      <w:bookmarkEnd w:id="223"/>
      <w:bookmarkEnd w:id="224"/>
      <w:bookmarkEnd w:id="225"/>
      <w:bookmarkEnd w:id="226"/>
    </w:p>
    <w:p w14:paraId="4331A8AC" w14:textId="503964ED" w:rsidR="000C1C23" w:rsidRPr="00404724" w:rsidRDefault="000C1C23" w:rsidP="000C1C23">
      <w:r w:rsidRPr="00404724">
        <w:t xml:space="preserve">The objectives of the policies and commitments driving change in road safety across Australia are very broad and, as such, there are a wide range of policy measures that can contribute towards the achievement of these objectives. Many of these options are unrelated to default speed limits and/or outside the remit of the </w:t>
      </w:r>
      <w:r w:rsidR="001B57EB" w:rsidRPr="00404724">
        <w:t xml:space="preserve">Australian </w:t>
      </w:r>
      <w:r w:rsidRPr="00404724">
        <w:t xml:space="preserve">Government. In light of this, and the specific commitment in the Action Plan to examine the impact of lowering default speed limits, the RIA focuses solely on options that relate to default speed limits outside built-up areas and are within the remit of the </w:t>
      </w:r>
      <w:r w:rsidR="001B57EB" w:rsidRPr="00404724">
        <w:t xml:space="preserve">Australian </w:t>
      </w:r>
      <w:r w:rsidRPr="00404724">
        <w:t>Government.</w:t>
      </w:r>
    </w:p>
    <w:p w14:paraId="0AFDDD78" w14:textId="0D67440A" w:rsidR="000C1C23" w:rsidRPr="00404724" w:rsidRDefault="000C1C23" w:rsidP="000C1C23">
      <w:r w:rsidRPr="00404724">
        <w:t>The policy options formally considered in this RIA</w:t>
      </w:r>
      <w:r w:rsidR="000A13C5" w:rsidRPr="00404724">
        <w:t xml:space="preserve"> were developed in discussion with </w:t>
      </w:r>
      <w:r w:rsidR="00C94374" w:rsidRPr="00404724">
        <w:t>stakeholders and</w:t>
      </w:r>
      <w:r w:rsidRPr="00404724">
        <w:t xml:space="preserve"> are discussed in more detail in the sections below.</w:t>
      </w:r>
    </w:p>
    <w:p w14:paraId="12C47A5A" w14:textId="36AA0D3E" w:rsidR="00374E56" w:rsidRPr="00404724" w:rsidRDefault="00001668" w:rsidP="00001668">
      <w:pPr>
        <w:pStyle w:val="Subtitle"/>
        <w:spacing w:before="240"/>
      </w:pPr>
      <w:r w:rsidRPr="00404724">
        <w:t xml:space="preserve">The RIA focuses solely on options that relate to default speed limits outside built-up areas and are within the remit of the </w:t>
      </w:r>
      <w:r w:rsidR="001B57EB" w:rsidRPr="00404724">
        <w:t xml:space="preserve">Australian </w:t>
      </w:r>
      <w:r w:rsidRPr="00404724">
        <w:t>Government.</w:t>
      </w:r>
    </w:p>
    <w:p w14:paraId="2DF377C1" w14:textId="1ACAFFC9" w:rsidR="00A540D1" w:rsidRPr="00404724" w:rsidRDefault="00662CE3" w:rsidP="00662CE3">
      <w:pPr>
        <w:pStyle w:val="Heading4"/>
      </w:pPr>
      <w:bookmarkStart w:id="227" w:name="_Toc210040314"/>
      <w:bookmarkStart w:id="228" w:name="_Toc210049187"/>
      <w:bookmarkStart w:id="229" w:name="_Toc210051627"/>
      <w:bookmarkStart w:id="230" w:name="_Toc210051708"/>
      <w:r>
        <w:t>3.2.1</w:t>
      </w:r>
      <w:r>
        <w:tab/>
      </w:r>
      <w:r w:rsidR="00A540D1" w:rsidRPr="00404724">
        <w:t>Base case (status quo)</w:t>
      </w:r>
      <w:bookmarkEnd w:id="227"/>
      <w:bookmarkEnd w:id="228"/>
      <w:bookmarkEnd w:id="229"/>
      <w:bookmarkEnd w:id="230"/>
    </w:p>
    <w:p w14:paraId="7045EF91" w14:textId="77777777" w:rsidR="00A540D1" w:rsidRPr="00404724" w:rsidRDefault="00A540D1" w:rsidP="00A54398">
      <w:pPr>
        <w:spacing w:after="240"/>
      </w:pPr>
      <w:r w:rsidRPr="00404724">
        <w:t>The base case or status quo is an option where there are no changes are made to the ARR rules. Currently, the ARR state that:</w:t>
      </w:r>
    </w:p>
    <w:p w14:paraId="46048051" w14:textId="77777777" w:rsidR="00A540D1" w:rsidRPr="00404724" w:rsidRDefault="00A540D1" w:rsidP="001E4596">
      <w:pPr>
        <w:pStyle w:val="Quote"/>
      </w:pPr>
      <w:r w:rsidRPr="00404724">
        <w:t>(3) The default speed-limit applying to a driver for any other length of road is:</w:t>
      </w:r>
    </w:p>
    <w:p w14:paraId="35BB79F8" w14:textId="77777777" w:rsidR="00A540D1" w:rsidRPr="00404724" w:rsidRDefault="00A540D1" w:rsidP="001E4596">
      <w:pPr>
        <w:pStyle w:val="Quote"/>
      </w:pPr>
      <w:r w:rsidRPr="00404724">
        <w:t>(a) for a driver driving a bus with a GVM over 5 tonnes, or another vehicle with a GVM over 12 tonnes—100 kilometres per hour; or</w:t>
      </w:r>
    </w:p>
    <w:p w14:paraId="7442F110" w14:textId="77777777" w:rsidR="00A540D1" w:rsidRPr="00404724" w:rsidRDefault="00A540D1" w:rsidP="001E4596">
      <w:pPr>
        <w:pStyle w:val="Quote"/>
      </w:pPr>
      <w:r w:rsidRPr="00404724">
        <w:t>(b) for any other driver—100 kilometres per hour or as otherwise provided under another law of this jurisdiction.</w:t>
      </w:r>
    </w:p>
    <w:p w14:paraId="4726E813" w14:textId="77777777" w:rsidR="00A540D1" w:rsidRPr="00404724" w:rsidRDefault="00A540D1" w:rsidP="001E4596">
      <w:pPr>
        <w:pStyle w:val="Quote"/>
      </w:pPr>
      <w:r w:rsidRPr="00404724">
        <w:t>Rule 25, (3), Part 3, Page 29 Australian Road Rules</w:t>
      </w:r>
    </w:p>
    <w:p w14:paraId="3AA20515" w14:textId="4E3685BF" w:rsidR="00A540D1" w:rsidRPr="00404724" w:rsidRDefault="00A540D1" w:rsidP="00A54398">
      <w:pPr>
        <w:spacing w:before="360"/>
      </w:pPr>
      <w:r w:rsidRPr="00404724">
        <w:t xml:space="preserve">As described in </w:t>
      </w:r>
      <w:r w:rsidR="002A3553" w:rsidRPr="00404724">
        <w:fldChar w:fldCharType="begin"/>
      </w:r>
      <w:r w:rsidR="002A3553" w:rsidRPr="00404724">
        <w:instrText xml:space="preserve"> REF _Ref208496217 \h </w:instrText>
      </w:r>
      <w:r w:rsidR="002A3553" w:rsidRPr="00404724">
        <w:fldChar w:fldCharType="separate"/>
      </w:r>
      <w:r w:rsidR="00BF489D" w:rsidRPr="00404724">
        <w:t xml:space="preserve">Table </w:t>
      </w:r>
      <w:r w:rsidR="00BF489D">
        <w:rPr>
          <w:noProof/>
        </w:rPr>
        <w:t>9</w:t>
      </w:r>
      <w:r w:rsidR="002A3553" w:rsidRPr="00404724">
        <w:fldChar w:fldCharType="end"/>
      </w:r>
      <w:r w:rsidR="002A3553" w:rsidRPr="00404724">
        <w:t xml:space="preserve"> </w:t>
      </w:r>
      <w:r w:rsidRPr="00404724">
        <w:t xml:space="preserve">there are instances where jurisdictions provide for alternative default speed limits. Those differences notwithstanding, for the purposes of this RIA, the base case represents the current ARR speed settings. The approach to handling these differences in our model is described in </w:t>
      </w:r>
      <w:r w:rsidR="0067754E" w:rsidRPr="00404724">
        <w:t xml:space="preserve">Section </w:t>
      </w:r>
      <w:r w:rsidR="0067754E" w:rsidRPr="00404724">
        <w:fldChar w:fldCharType="begin"/>
      </w:r>
      <w:r w:rsidR="0067754E" w:rsidRPr="00404724">
        <w:instrText xml:space="preserve"> REF _Ref208573924 \r \h </w:instrText>
      </w:r>
      <w:r w:rsidR="0067754E" w:rsidRPr="00404724">
        <w:fldChar w:fldCharType="separate"/>
      </w:r>
      <w:r w:rsidR="00BF489D">
        <w:t>4.1.1</w:t>
      </w:r>
      <w:r w:rsidR="0067754E" w:rsidRPr="00404724">
        <w:fldChar w:fldCharType="end"/>
      </w:r>
      <w:r w:rsidRPr="00404724">
        <w:t xml:space="preserve">. </w:t>
      </w:r>
    </w:p>
    <w:p w14:paraId="74A9CAD8" w14:textId="3908CA57" w:rsidR="00A540D1" w:rsidRPr="00404724" w:rsidRDefault="00662CE3" w:rsidP="00662CE3">
      <w:pPr>
        <w:pStyle w:val="Heading4"/>
      </w:pPr>
      <w:bookmarkStart w:id="231" w:name="_Toc210040315"/>
      <w:bookmarkStart w:id="232" w:name="_Toc210049188"/>
      <w:bookmarkStart w:id="233" w:name="_Toc210051628"/>
      <w:bookmarkStart w:id="234" w:name="_Toc210051709"/>
      <w:r>
        <w:lastRenderedPageBreak/>
        <w:t>3.2.2</w:t>
      </w:r>
      <w:r>
        <w:tab/>
      </w:r>
      <w:r w:rsidR="00A540D1" w:rsidRPr="00404724">
        <w:t>Reform options</w:t>
      </w:r>
      <w:bookmarkEnd w:id="231"/>
      <w:bookmarkEnd w:id="232"/>
      <w:bookmarkEnd w:id="233"/>
      <w:bookmarkEnd w:id="234"/>
    </w:p>
    <w:p w14:paraId="30D7C6F7" w14:textId="34CACEAD" w:rsidR="00A540D1" w:rsidRPr="00404724" w:rsidRDefault="00A540D1" w:rsidP="00662CE3">
      <w:pPr>
        <w:keepNext/>
      </w:pPr>
      <w:r w:rsidRPr="00404724">
        <w:t xml:space="preserve">In consultation with state and territory road </w:t>
      </w:r>
      <w:r w:rsidR="001B57EB" w:rsidRPr="00404724">
        <w:t>authorities</w:t>
      </w:r>
      <w:r w:rsidRPr="00404724">
        <w:t xml:space="preserve">, a range of options to reduce </w:t>
      </w:r>
      <w:r w:rsidR="001B57EB" w:rsidRPr="00404724">
        <w:t xml:space="preserve">default </w:t>
      </w:r>
      <w:r w:rsidRPr="00404724">
        <w:t>speed limits were identified for assessment in this RIA. These discussions highlighted several key principles guiding the development of reform options, namely that:</w:t>
      </w:r>
    </w:p>
    <w:p w14:paraId="60F8CD5E" w14:textId="5BF63316" w:rsidR="00A540D1" w:rsidRPr="00404724" w:rsidRDefault="00A540D1" w:rsidP="00485648">
      <w:pPr>
        <w:pStyle w:val="Listparagraphbullets"/>
      </w:pPr>
      <w:r w:rsidRPr="00404724">
        <w:t>speed limits should, for simplicity, be set in multiples of 10</w:t>
      </w:r>
      <w:r w:rsidR="00C82E00" w:rsidRPr="00404724">
        <w:t xml:space="preserve"> km/h</w:t>
      </w:r>
    </w:p>
    <w:p w14:paraId="43EB6E9B" w14:textId="5C44BF30" w:rsidR="00A540D1" w:rsidRPr="00404724" w:rsidRDefault="00A540D1" w:rsidP="00485648">
      <w:pPr>
        <w:pStyle w:val="Listparagraphbullets"/>
      </w:pPr>
      <w:r w:rsidRPr="00404724">
        <w:t>a lower speed limit  should be considered for unsealed roads, reflecting their higher safety risks</w:t>
      </w:r>
    </w:p>
    <w:p w14:paraId="39FF19E2" w14:textId="7757FB48" w:rsidR="00A540D1" w:rsidRPr="00404724" w:rsidRDefault="00A540D1" w:rsidP="00485648">
      <w:pPr>
        <w:pStyle w:val="Listparagraphbullets"/>
      </w:pPr>
      <w:r w:rsidRPr="00404724">
        <w:t>a 70</w:t>
      </w:r>
      <w:r w:rsidR="00C82E00" w:rsidRPr="00404724">
        <w:t xml:space="preserve"> km/h</w:t>
      </w:r>
      <w:r w:rsidRPr="00404724">
        <w:t xml:space="preserve"> speed limit should be considered, as it aligns with the Safe System principles.</w:t>
      </w:r>
      <w:r w:rsidR="00BB3FB3" w:rsidRPr="00404724">
        <w:rPr>
          <w:rStyle w:val="FootnoteReference"/>
        </w:rPr>
        <w:footnoteReference w:id="72"/>
      </w:r>
    </w:p>
    <w:p w14:paraId="2483BDDA" w14:textId="2077C159" w:rsidR="00374E56" w:rsidRPr="00404724" w:rsidRDefault="00A540D1" w:rsidP="00A540D1">
      <w:r w:rsidRPr="00404724">
        <w:t>On this basis, the proposed reform options explore different speed limits for sealed and unsealed</w:t>
      </w:r>
      <w:r w:rsidR="004C7AC7" w:rsidRPr="00404724">
        <w:t xml:space="preserve"> roads outside of built-up areas</w:t>
      </w:r>
      <w:r w:rsidRPr="00404724">
        <w:t>, as outlined in</w:t>
      </w:r>
      <w:r w:rsidR="00AC0CFA" w:rsidRPr="00404724">
        <w:t xml:space="preserve"> </w:t>
      </w:r>
      <w:r w:rsidR="00AC0CFA" w:rsidRPr="00404724">
        <w:fldChar w:fldCharType="begin"/>
      </w:r>
      <w:r w:rsidR="00AC0CFA" w:rsidRPr="00404724">
        <w:instrText xml:space="preserve"> REF _Ref208496629 \h </w:instrText>
      </w:r>
      <w:r w:rsidR="00AC0CFA" w:rsidRPr="00404724">
        <w:fldChar w:fldCharType="separate"/>
      </w:r>
      <w:r w:rsidR="00BF489D" w:rsidRPr="00404724">
        <w:t xml:space="preserve">Table </w:t>
      </w:r>
      <w:r w:rsidR="00BF489D">
        <w:rPr>
          <w:noProof/>
        </w:rPr>
        <w:t>10</w:t>
      </w:r>
      <w:r w:rsidR="00AC0CFA" w:rsidRPr="00404724">
        <w:fldChar w:fldCharType="end"/>
      </w:r>
      <w:r w:rsidRPr="00404724">
        <w:t>. These options will be assessed independently, noting that various combinations of options may also be feasible, except where the proposed speed limit for unsealed roads would fall below that for sealed roads.</w:t>
      </w:r>
    </w:p>
    <w:p w14:paraId="5E73B872" w14:textId="06EAB9E4" w:rsidR="00A540D1" w:rsidRPr="00404724" w:rsidRDefault="00AC0CFA" w:rsidP="003979C3">
      <w:pPr>
        <w:pStyle w:val="Tablefigureheading"/>
      </w:pPr>
      <w:bookmarkStart w:id="235" w:name="_Ref208496629"/>
      <w:bookmarkStart w:id="236" w:name="_Toc210040355"/>
      <w:bookmarkStart w:id="237" w:name="_Toc210051891"/>
      <w:r w:rsidRPr="00404724">
        <w:t xml:space="preserve">Table </w:t>
      </w:r>
      <w:r w:rsidR="00EC39D5">
        <w:fldChar w:fldCharType="begin"/>
      </w:r>
      <w:r w:rsidR="00EC39D5">
        <w:instrText xml:space="preserve"> SEQ Table \* ARABIC </w:instrText>
      </w:r>
      <w:r w:rsidR="00EC39D5">
        <w:fldChar w:fldCharType="separate"/>
      </w:r>
      <w:r w:rsidR="00BF489D">
        <w:rPr>
          <w:noProof/>
        </w:rPr>
        <w:t>10</w:t>
      </w:r>
      <w:r w:rsidR="00EC39D5">
        <w:rPr>
          <w:noProof/>
        </w:rPr>
        <w:fldChar w:fldCharType="end"/>
      </w:r>
      <w:bookmarkEnd w:id="235"/>
      <w:r w:rsidR="008057AF" w:rsidRPr="00404724">
        <w:tab/>
      </w:r>
      <w:r w:rsidR="00913A28" w:rsidRPr="00404724">
        <w:t>Proposed options for sealed and unsealed roads</w:t>
      </w:r>
      <w:bookmarkEnd w:id="236"/>
      <w:bookmarkEnd w:id="237"/>
    </w:p>
    <w:tbl>
      <w:tblPr>
        <w:tblStyle w:val="DefaultTable1"/>
        <w:tblW w:w="6380" w:type="dxa"/>
        <w:tblLook w:val="04E0" w:firstRow="1" w:lastRow="1" w:firstColumn="1" w:lastColumn="0" w:noHBand="0" w:noVBand="1"/>
        <w:tblCaption w:val="Table 10 Proposed options for sealed and unsealed roads"/>
        <w:tblDescription w:val="Table 10 Proposed options for sealed and unsealed roads"/>
      </w:tblPr>
      <w:tblGrid>
        <w:gridCol w:w="4395"/>
        <w:gridCol w:w="1985"/>
      </w:tblGrid>
      <w:tr w:rsidR="00832113" w:rsidRPr="00404724" w14:paraId="6DC707D8" w14:textId="77777777" w:rsidTr="00A54398">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tcPr>
          <w:p w14:paraId="0D7A119A" w14:textId="7C28607A" w:rsidR="00832113" w:rsidRPr="00404724" w:rsidRDefault="00832113" w:rsidP="00BB5FCD"/>
        </w:tc>
        <w:tc>
          <w:tcPr>
            <w:tcW w:w="1985" w:type="dxa"/>
          </w:tcPr>
          <w:p w14:paraId="1F02086E" w14:textId="7DA67561" w:rsidR="00832113" w:rsidRPr="00404724" w:rsidRDefault="003F026F" w:rsidP="00BB5FCD">
            <w:pPr>
              <w:cnfStyle w:val="100000000000" w:firstRow="1" w:lastRow="0" w:firstColumn="0" w:lastColumn="0" w:oddVBand="0" w:evenVBand="0" w:oddHBand="0" w:evenHBand="0" w:firstRowFirstColumn="0" w:firstRowLastColumn="0" w:lastRowFirstColumn="0" w:lastRowLastColumn="0"/>
            </w:pPr>
            <w:r w:rsidRPr="00404724">
              <w:t>Options</w:t>
            </w:r>
          </w:p>
        </w:tc>
      </w:tr>
      <w:tr w:rsidR="00832113" w:rsidRPr="00404724" w14:paraId="1188E8C6" w14:textId="77777777" w:rsidTr="00A54398">
        <w:trPr>
          <w:cantSplit/>
        </w:trPr>
        <w:tc>
          <w:tcPr>
            <w:cnfStyle w:val="001000000000" w:firstRow="0" w:lastRow="0" w:firstColumn="1" w:lastColumn="0" w:oddVBand="0" w:evenVBand="0" w:oddHBand="0" w:evenHBand="0" w:firstRowFirstColumn="0" w:firstRowLastColumn="0" w:lastRowFirstColumn="0" w:lastRowLastColumn="0"/>
            <w:tcW w:w="4395" w:type="dxa"/>
          </w:tcPr>
          <w:p w14:paraId="0784EE65" w14:textId="435B5645" w:rsidR="00832113" w:rsidRPr="00404724" w:rsidRDefault="0096064E" w:rsidP="00BB5FCD">
            <w:pPr>
              <w:rPr>
                <w:b w:val="0"/>
                <w:bCs/>
              </w:rPr>
            </w:pPr>
            <w:r w:rsidRPr="00404724">
              <w:rPr>
                <w:b w:val="0"/>
                <w:bCs/>
              </w:rPr>
              <w:t>Options considered for sealed roads</w:t>
            </w:r>
          </w:p>
        </w:tc>
        <w:tc>
          <w:tcPr>
            <w:tcW w:w="1985" w:type="dxa"/>
          </w:tcPr>
          <w:p w14:paraId="563496D9" w14:textId="6F1A3C70" w:rsidR="00523B8A" w:rsidRPr="00404724" w:rsidRDefault="00523B8A" w:rsidP="00523B8A">
            <w:pPr>
              <w:ind w:left="315" w:hanging="315"/>
              <w:cnfStyle w:val="000000000000" w:firstRow="0" w:lastRow="0" w:firstColumn="0" w:lastColumn="0" w:oddVBand="0" w:evenVBand="0" w:oddHBand="0" w:evenHBand="0" w:firstRowFirstColumn="0" w:firstRowLastColumn="0" w:lastRowFirstColumn="0" w:lastRowLastColumn="0"/>
              <w:rPr>
                <w:bCs/>
              </w:rPr>
            </w:pPr>
            <w:r w:rsidRPr="00404724">
              <w:rPr>
                <w:bCs/>
              </w:rPr>
              <w:t>1.</w:t>
            </w:r>
            <w:r w:rsidRPr="00404724">
              <w:rPr>
                <w:bCs/>
              </w:rPr>
              <w:tab/>
              <w:t>90</w:t>
            </w:r>
            <w:r w:rsidR="00C82E00" w:rsidRPr="00404724">
              <w:rPr>
                <w:bCs/>
              </w:rPr>
              <w:t xml:space="preserve"> km/h</w:t>
            </w:r>
          </w:p>
          <w:p w14:paraId="3A8BDF72" w14:textId="3ADB6B83" w:rsidR="00523B8A" w:rsidRPr="00404724" w:rsidRDefault="00523B8A" w:rsidP="00523B8A">
            <w:pPr>
              <w:ind w:left="315" w:hanging="315"/>
              <w:cnfStyle w:val="000000000000" w:firstRow="0" w:lastRow="0" w:firstColumn="0" w:lastColumn="0" w:oddVBand="0" w:evenVBand="0" w:oddHBand="0" w:evenHBand="0" w:firstRowFirstColumn="0" w:firstRowLastColumn="0" w:lastRowFirstColumn="0" w:lastRowLastColumn="0"/>
              <w:rPr>
                <w:bCs/>
              </w:rPr>
            </w:pPr>
            <w:r w:rsidRPr="00404724">
              <w:rPr>
                <w:bCs/>
              </w:rPr>
              <w:t>2.</w:t>
            </w:r>
            <w:r w:rsidRPr="00404724">
              <w:rPr>
                <w:bCs/>
              </w:rPr>
              <w:tab/>
              <w:t>80</w:t>
            </w:r>
            <w:r w:rsidR="00C82E00" w:rsidRPr="00404724">
              <w:rPr>
                <w:bCs/>
              </w:rPr>
              <w:t xml:space="preserve"> km/h</w:t>
            </w:r>
          </w:p>
          <w:p w14:paraId="11BA5529" w14:textId="507DAAA0" w:rsidR="00832113" w:rsidRPr="00404724" w:rsidRDefault="00523B8A" w:rsidP="00523B8A">
            <w:pPr>
              <w:ind w:left="315" w:hanging="315"/>
              <w:cnfStyle w:val="000000000000" w:firstRow="0" w:lastRow="0" w:firstColumn="0" w:lastColumn="0" w:oddVBand="0" w:evenVBand="0" w:oddHBand="0" w:evenHBand="0" w:firstRowFirstColumn="0" w:firstRowLastColumn="0" w:lastRowFirstColumn="0" w:lastRowLastColumn="0"/>
              <w:rPr>
                <w:bCs/>
              </w:rPr>
            </w:pPr>
            <w:r w:rsidRPr="00404724">
              <w:rPr>
                <w:bCs/>
              </w:rPr>
              <w:t>3.</w:t>
            </w:r>
            <w:r w:rsidRPr="00404724">
              <w:rPr>
                <w:bCs/>
              </w:rPr>
              <w:tab/>
              <w:t>70</w:t>
            </w:r>
            <w:r w:rsidR="00C82E00" w:rsidRPr="00404724">
              <w:rPr>
                <w:bCs/>
              </w:rPr>
              <w:t xml:space="preserve"> km/h</w:t>
            </w:r>
          </w:p>
        </w:tc>
      </w:tr>
      <w:tr w:rsidR="00832113" w:rsidRPr="00404724" w14:paraId="5FF7AB35" w14:textId="77777777" w:rsidTr="00A54398">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shd w:val="clear" w:color="auto" w:fill="F2F2F2" w:themeFill="background1" w:themeFillShade="F2"/>
          </w:tcPr>
          <w:p w14:paraId="4C56BF15" w14:textId="6488C6FE" w:rsidR="00832113" w:rsidRPr="00404724" w:rsidRDefault="0096064E" w:rsidP="00BB5FCD">
            <w:pPr>
              <w:rPr>
                <w:b w:val="0"/>
                <w:bCs/>
              </w:rPr>
            </w:pPr>
            <w:r w:rsidRPr="00404724">
              <w:rPr>
                <w:b w:val="0"/>
                <w:bCs/>
              </w:rPr>
              <w:t>Options considered for unsealed roads</w:t>
            </w:r>
          </w:p>
        </w:tc>
        <w:tc>
          <w:tcPr>
            <w:tcW w:w="1985" w:type="dxa"/>
            <w:shd w:val="clear" w:color="auto" w:fill="F2F2F2" w:themeFill="background1" w:themeFillShade="F2"/>
          </w:tcPr>
          <w:p w14:paraId="0D843DC9" w14:textId="3EC04E84" w:rsidR="00065E90" w:rsidRPr="00404724" w:rsidRDefault="00065E90" w:rsidP="00065E90">
            <w:pPr>
              <w:ind w:left="315" w:hanging="315"/>
              <w:cnfStyle w:val="010000000000" w:firstRow="0" w:lastRow="1" w:firstColumn="0" w:lastColumn="0" w:oddVBand="0" w:evenVBand="0" w:oddHBand="0" w:evenHBand="0" w:firstRowFirstColumn="0" w:firstRowLastColumn="0" w:lastRowFirstColumn="0" w:lastRowLastColumn="0"/>
              <w:rPr>
                <w:b w:val="0"/>
                <w:bCs/>
              </w:rPr>
            </w:pPr>
            <w:r w:rsidRPr="00404724">
              <w:rPr>
                <w:b w:val="0"/>
                <w:bCs/>
              </w:rPr>
              <w:t>1.</w:t>
            </w:r>
            <w:r w:rsidRPr="00404724">
              <w:rPr>
                <w:b w:val="0"/>
                <w:bCs/>
              </w:rPr>
              <w:tab/>
              <w:t>80</w:t>
            </w:r>
            <w:r w:rsidR="00C82E00" w:rsidRPr="00404724">
              <w:rPr>
                <w:b w:val="0"/>
                <w:bCs/>
              </w:rPr>
              <w:t xml:space="preserve"> km/h</w:t>
            </w:r>
          </w:p>
          <w:p w14:paraId="36ED6996" w14:textId="3B404B6E" w:rsidR="00832113" w:rsidRPr="00404724" w:rsidRDefault="00065E90" w:rsidP="00065E90">
            <w:pPr>
              <w:ind w:left="315" w:hanging="315"/>
              <w:cnfStyle w:val="010000000000" w:firstRow="0" w:lastRow="1" w:firstColumn="0" w:lastColumn="0" w:oddVBand="0" w:evenVBand="0" w:oddHBand="0" w:evenHBand="0" w:firstRowFirstColumn="0" w:firstRowLastColumn="0" w:lastRowFirstColumn="0" w:lastRowLastColumn="0"/>
              <w:rPr>
                <w:b w:val="0"/>
                <w:bCs/>
              </w:rPr>
            </w:pPr>
            <w:r w:rsidRPr="00404724">
              <w:rPr>
                <w:b w:val="0"/>
                <w:bCs/>
              </w:rPr>
              <w:t>2.</w:t>
            </w:r>
            <w:r w:rsidRPr="00404724">
              <w:rPr>
                <w:b w:val="0"/>
                <w:bCs/>
              </w:rPr>
              <w:tab/>
              <w:t>70</w:t>
            </w:r>
            <w:r w:rsidR="00C82E00" w:rsidRPr="00404724">
              <w:rPr>
                <w:b w:val="0"/>
                <w:bCs/>
              </w:rPr>
              <w:t xml:space="preserve"> km/h</w:t>
            </w:r>
          </w:p>
        </w:tc>
      </w:tr>
    </w:tbl>
    <w:p w14:paraId="471F22EF" w14:textId="7B46B46E" w:rsidR="00A540D1" w:rsidRPr="00404724" w:rsidRDefault="00E15EB9" w:rsidP="00E15EB9">
      <w:pPr>
        <w:pStyle w:val="Sourcenotes"/>
        <w:rPr>
          <w:lang w:val="en-AU"/>
        </w:rPr>
      </w:pPr>
      <w:r w:rsidRPr="00404724">
        <w:rPr>
          <w:lang w:val="en-AU"/>
        </w:rPr>
        <w:t>Source: ACIL Allen</w:t>
      </w:r>
    </w:p>
    <w:p w14:paraId="13175118" w14:textId="6ABFE9BB" w:rsidR="00F30F9F" w:rsidRPr="00404724" w:rsidRDefault="00662CE3" w:rsidP="00662CE3">
      <w:pPr>
        <w:pStyle w:val="Heading4"/>
      </w:pPr>
      <w:bookmarkStart w:id="238" w:name="_Toc210040316"/>
      <w:bookmarkStart w:id="239" w:name="_Toc210049189"/>
      <w:bookmarkStart w:id="240" w:name="_Toc210051629"/>
      <w:bookmarkStart w:id="241" w:name="_Toc210051710"/>
      <w:r>
        <w:t>3.2.3</w:t>
      </w:r>
      <w:r>
        <w:tab/>
      </w:r>
      <w:r w:rsidR="00F30F9F" w:rsidRPr="00404724">
        <w:t>Alternative approaches</w:t>
      </w:r>
      <w:bookmarkEnd w:id="238"/>
      <w:bookmarkEnd w:id="239"/>
      <w:bookmarkEnd w:id="240"/>
      <w:bookmarkEnd w:id="241"/>
    </w:p>
    <w:p w14:paraId="436F34AA" w14:textId="5E68741E" w:rsidR="00DF7732" w:rsidRPr="00404724" w:rsidRDefault="00DF7732" w:rsidP="00DF7732">
      <w:r w:rsidRPr="00404724">
        <w:t xml:space="preserve">The </w:t>
      </w:r>
      <w:r w:rsidR="001B57EB" w:rsidRPr="00404724">
        <w:t xml:space="preserve">OIA </w:t>
      </w:r>
      <w:r w:rsidRPr="00404724">
        <w:t>Guidelines require that a RIA identifies a range of viable options, including, as appropriate, non-regulatory, self-regulatory and co-regulatory options.</w:t>
      </w:r>
      <w:r w:rsidRPr="00404724">
        <w:rPr>
          <w:rStyle w:val="FootnoteReference"/>
        </w:rPr>
        <w:t xml:space="preserve"> </w:t>
      </w:r>
      <w:r w:rsidRPr="00404724">
        <w:rPr>
          <w:rStyle w:val="FootnoteReference"/>
        </w:rPr>
        <w:footnoteReference w:id="73"/>
      </w:r>
      <w:r w:rsidRPr="00404724">
        <w:t xml:space="preserve"> As noted above, this RIA will focus the discussion of alternative approaches to options that relate to managing default speed limits outside built-up areas.  </w:t>
      </w:r>
    </w:p>
    <w:p w14:paraId="00EA47BE" w14:textId="77777777" w:rsidR="00F30F9F" w:rsidRPr="00404724" w:rsidRDefault="00F30F9F" w:rsidP="00662CE3">
      <w:pPr>
        <w:pStyle w:val="Heading5"/>
      </w:pPr>
      <w:bookmarkStart w:id="242" w:name="_Toc210042545"/>
      <w:r w:rsidRPr="00404724">
        <w:t>Non-regulatory approaches</w:t>
      </w:r>
      <w:bookmarkEnd w:id="242"/>
    </w:p>
    <w:p w14:paraId="36CEF088" w14:textId="5BA5F670" w:rsidR="00F30F9F" w:rsidRPr="00404724" w:rsidRDefault="00F30F9F" w:rsidP="00F30F9F">
      <w:r w:rsidRPr="00404724">
        <w:t xml:space="preserve">Relevant non-regulatory approaches which focus on managing speed in </w:t>
      </w:r>
      <w:r w:rsidR="005E4B70" w:rsidRPr="00404724">
        <w:t>default</w:t>
      </w:r>
      <w:r w:rsidRPr="00404724">
        <w:t xml:space="preserve"> roads through information provision and incentives already exist in various forms at both the national and state level. For instance: </w:t>
      </w:r>
    </w:p>
    <w:p w14:paraId="3BEE72B3" w14:textId="1D5A3D4D" w:rsidR="00F30F9F" w:rsidRPr="00404724" w:rsidRDefault="00D43E92" w:rsidP="00485648">
      <w:pPr>
        <w:pStyle w:val="Listparagraphbullets"/>
      </w:pPr>
      <w:r w:rsidRPr="00404724">
        <w:t>road safety infrastructure</w:t>
      </w:r>
    </w:p>
    <w:p w14:paraId="45B30DBA" w14:textId="29EE7E5A" w:rsidR="00F30F9F" w:rsidRPr="00404724" w:rsidRDefault="00D43E92" w:rsidP="00485648">
      <w:pPr>
        <w:pStyle w:val="Listparagraphbullets"/>
      </w:pPr>
      <w:r w:rsidRPr="00404724">
        <w:t>educational campaigns about the risk of particular driving behaviours</w:t>
      </w:r>
    </w:p>
    <w:p w14:paraId="0122641A" w14:textId="0EF7E947" w:rsidR="00F30F9F" w:rsidRPr="00404724" w:rsidRDefault="00713B55" w:rsidP="00485648">
      <w:pPr>
        <w:pStyle w:val="Listparagraphbullets"/>
      </w:pPr>
      <w:r w:rsidRPr="00404724">
        <w:t>provision of public transport options</w:t>
      </w:r>
      <w:r w:rsidR="0067754E" w:rsidRPr="00404724">
        <w:t>.</w:t>
      </w:r>
    </w:p>
    <w:p w14:paraId="1F66F085" w14:textId="3B743717" w:rsidR="00F30F9F" w:rsidRPr="00404724" w:rsidRDefault="00F30F9F" w:rsidP="00F30F9F">
      <w:r w:rsidRPr="00404724">
        <w:t xml:space="preserve">The statistics discussed in Section </w:t>
      </w:r>
      <w:r w:rsidR="00AC0CFA" w:rsidRPr="00404724">
        <w:fldChar w:fldCharType="begin"/>
      </w:r>
      <w:r w:rsidR="00AC0CFA" w:rsidRPr="00404724">
        <w:instrText xml:space="preserve"> REF _Ref208496768 \r \h </w:instrText>
      </w:r>
      <w:r w:rsidR="00AC0CFA" w:rsidRPr="00404724">
        <w:fldChar w:fldCharType="separate"/>
      </w:r>
      <w:r w:rsidR="00BF489D">
        <w:t>2.1.1</w:t>
      </w:r>
      <w:r w:rsidR="00AC0CFA" w:rsidRPr="00404724">
        <w:fldChar w:fldCharType="end"/>
      </w:r>
      <w:r w:rsidR="00AC0CFA" w:rsidRPr="00404724">
        <w:t xml:space="preserve"> </w:t>
      </w:r>
      <w:r w:rsidRPr="00404724">
        <w:t>highlights that voluntary approaches have had mixed results, with a sustained period of decreases in road fatalities and injuries, followed by a recent increase. Furthermore, investment in additional infrastructure as an alternative policy typically delivers lower safety returns per dollar invested and prove insufficient without complementary speed guidance.</w:t>
      </w:r>
    </w:p>
    <w:p w14:paraId="29BD2FD1" w14:textId="43CA2881" w:rsidR="00A540D1" w:rsidRPr="00404724" w:rsidRDefault="00F30F9F" w:rsidP="00F30F9F">
      <w:r w:rsidRPr="00404724">
        <w:t>Finally, alternative approaches (such as infrastructure) are costly in comparison to changes to the default limit. Research conducted in South Australia showed that speed limit reductions can have an unparalleled impact safety at a very low direct cost (</w:t>
      </w:r>
      <w:r w:rsidR="00AC0CFA" w:rsidRPr="00404724">
        <w:fldChar w:fldCharType="begin"/>
      </w:r>
      <w:r w:rsidR="00AC0CFA" w:rsidRPr="00404724">
        <w:instrText xml:space="preserve"> REF _Ref208496652 \h </w:instrText>
      </w:r>
      <w:r w:rsidR="00AC0CFA" w:rsidRPr="00404724">
        <w:fldChar w:fldCharType="separate"/>
      </w:r>
      <w:r w:rsidR="00BF489D" w:rsidRPr="00404724">
        <w:t xml:space="preserve">Table </w:t>
      </w:r>
      <w:r w:rsidR="00BF489D">
        <w:rPr>
          <w:noProof/>
        </w:rPr>
        <w:t>11</w:t>
      </w:r>
      <w:r w:rsidR="00AC0CFA" w:rsidRPr="00404724">
        <w:fldChar w:fldCharType="end"/>
      </w:r>
      <w:r w:rsidRPr="00404724">
        <w:t>).</w:t>
      </w:r>
    </w:p>
    <w:p w14:paraId="712C76EA" w14:textId="284D2B44" w:rsidR="00E15EB9" w:rsidRPr="00404724" w:rsidRDefault="00AC0CFA" w:rsidP="003979C3">
      <w:pPr>
        <w:pStyle w:val="Tablefigureheading"/>
      </w:pPr>
      <w:bookmarkStart w:id="243" w:name="_Ref208496652"/>
      <w:bookmarkStart w:id="244" w:name="_Toc210040356"/>
      <w:bookmarkStart w:id="245" w:name="_Toc210051892"/>
      <w:r w:rsidRPr="00404724">
        <w:lastRenderedPageBreak/>
        <w:t xml:space="preserve">Table </w:t>
      </w:r>
      <w:r w:rsidR="00EC39D5">
        <w:fldChar w:fldCharType="begin"/>
      </w:r>
      <w:r w:rsidR="00EC39D5">
        <w:instrText xml:space="preserve"> SEQ Table \* ARABIC </w:instrText>
      </w:r>
      <w:r w:rsidR="00EC39D5">
        <w:fldChar w:fldCharType="separate"/>
      </w:r>
      <w:r w:rsidR="00BF489D">
        <w:rPr>
          <w:noProof/>
        </w:rPr>
        <w:t>11</w:t>
      </w:r>
      <w:r w:rsidR="00EC39D5">
        <w:rPr>
          <w:noProof/>
        </w:rPr>
        <w:fldChar w:fldCharType="end"/>
      </w:r>
      <w:bookmarkEnd w:id="243"/>
      <w:r w:rsidR="00A065CE" w:rsidRPr="00404724">
        <w:tab/>
        <w:t xml:space="preserve">Cost of obtaining reductions on </w:t>
      </w:r>
      <w:r w:rsidR="006D39D6" w:rsidRPr="00404724">
        <w:t>state-controlled</w:t>
      </w:r>
      <w:r w:rsidR="00A065CE" w:rsidRPr="00404724">
        <w:t xml:space="preserve"> roads in South Australia with infrastructure changes or speed limits on 100</w:t>
      </w:r>
      <w:r w:rsidR="00C82E00" w:rsidRPr="00404724">
        <w:t xml:space="preserve"> km/h</w:t>
      </w:r>
      <w:r w:rsidR="00A065CE" w:rsidRPr="00404724">
        <w:t xml:space="preserve"> roads</w:t>
      </w:r>
      <w:bookmarkEnd w:id="244"/>
      <w:bookmarkEnd w:id="245"/>
    </w:p>
    <w:tbl>
      <w:tblPr>
        <w:tblStyle w:val="DefaultTable1"/>
        <w:tblW w:w="9864" w:type="dxa"/>
        <w:tblLook w:val="04E0" w:firstRow="1" w:lastRow="1" w:firstColumn="1" w:lastColumn="0" w:noHBand="0" w:noVBand="1"/>
        <w:tblCaption w:val="Table 11 Cost of obtaining reductions on state-controlled roads in South Australia with infrastructure changes or speed limits on 100 km/h roads"/>
        <w:tblDescription w:val="Table 11 Cost of obtaining reductions on state-controlled roads in South Australia with infrastructure changes or speed limits on 100 km/h roads"/>
      </w:tblPr>
      <w:tblGrid>
        <w:gridCol w:w="3119"/>
        <w:gridCol w:w="2248"/>
        <w:gridCol w:w="2248"/>
        <w:gridCol w:w="2249"/>
      </w:tblGrid>
      <w:tr w:rsidR="00637341" w:rsidRPr="00404724" w14:paraId="2C7B2D20" w14:textId="5FF84119" w:rsidTr="00A54398">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tcPr>
          <w:p w14:paraId="456F6363" w14:textId="14C32329" w:rsidR="00637341" w:rsidRPr="00404724" w:rsidRDefault="007B4F07" w:rsidP="00005155">
            <w:pPr>
              <w:spacing w:before="40" w:after="40"/>
            </w:pPr>
            <w:r w:rsidRPr="00404724">
              <w:t>Treatment option</w:t>
            </w:r>
          </w:p>
        </w:tc>
        <w:tc>
          <w:tcPr>
            <w:tcW w:w="2248" w:type="dxa"/>
          </w:tcPr>
          <w:p w14:paraId="5D449E56" w14:textId="2E31DBC3" w:rsidR="00637341" w:rsidRPr="00404724" w:rsidRDefault="00C05883" w:rsidP="00005155">
            <w:pPr>
              <w:spacing w:before="40" w:after="40"/>
              <w:jc w:val="center"/>
              <w:cnfStyle w:val="100000000000" w:firstRow="1" w:lastRow="0" w:firstColumn="0" w:lastColumn="0" w:oddVBand="0" w:evenVBand="0" w:oddHBand="0" w:evenHBand="0" w:firstRowFirstColumn="0" w:firstRowLastColumn="0" w:lastRowFirstColumn="0" w:lastRowLastColumn="0"/>
            </w:pPr>
            <w:r w:rsidRPr="00404724">
              <w:t>Serious casualty crash reduction (%)</w:t>
            </w:r>
          </w:p>
        </w:tc>
        <w:tc>
          <w:tcPr>
            <w:tcW w:w="2248" w:type="dxa"/>
          </w:tcPr>
          <w:p w14:paraId="498C35B3" w14:textId="765BA118" w:rsidR="00637341" w:rsidRPr="00404724" w:rsidRDefault="00776C65" w:rsidP="00005155">
            <w:pPr>
              <w:spacing w:before="40" w:after="40"/>
              <w:jc w:val="center"/>
              <w:cnfStyle w:val="100000000000" w:firstRow="1" w:lastRow="0" w:firstColumn="0" w:lastColumn="0" w:oddVBand="0" w:evenVBand="0" w:oddHBand="0" w:evenHBand="0" w:firstRowFirstColumn="0" w:firstRowLastColumn="0" w:lastRowFirstColumn="0" w:lastRowLastColumn="0"/>
            </w:pPr>
            <w:r w:rsidRPr="00404724">
              <w:t>Cost of treatment</w:t>
            </w:r>
          </w:p>
        </w:tc>
        <w:tc>
          <w:tcPr>
            <w:tcW w:w="2249" w:type="dxa"/>
          </w:tcPr>
          <w:p w14:paraId="51E636E5" w14:textId="6CE252DA" w:rsidR="00637341" w:rsidRPr="00404724" w:rsidRDefault="00C07EEF" w:rsidP="00005155">
            <w:pPr>
              <w:spacing w:before="40" w:after="40"/>
              <w:jc w:val="center"/>
              <w:cnfStyle w:val="100000000000" w:firstRow="1" w:lastRow="0" w:firstColumn="0" w:lastColumn="0" w:oddVBand="0" w:evenVBand="0" w:oddHBand="0" w:evenHBand="0" w:firstRowFirstColumn="0" w:firstRowLastColumn="0" w:lastRowFirstColumn="0" w:lastRowLastColumn="0"/>
            </w:pPr>
            <w:r w:rsidRPr="00404724">
              <w:t>Cost of 20% serious casualty crash reduction</w:t>
            </w:r>
          </w:p>
        </w:tc>
      </w:tr>
      <w:tr w:rsidR="007B4F07" w:rsidRPr="00404724" w14:paraId="0BF1A0A7" w14:textId="7630BBD8" w:rsidTr="00A54398">
        <w:trPr>
          <w:cantSplit/>
        </w:trPr>
        <w:tc>
          <w:tcPr>
            <w:cnfStyle w:val="001000000000" w:firstRow="0" w:lastRow="0" w:firstColumn="1" w:lastColumn="0" w:oddVBand="0" w:evenVBand="0" w:oddHBand="0" w:evenHBand="0" w:firstRowFirstColumn="0" w:firstRowLastColumn="0" w:lastRowFirstColumn="0" w:lastRowLastColumn="0"/>
            <w:tcW w:w="3119" w:type="dxa"/>
          </w:tcPr>
          <w:p w14:paraId="0C7EDCF9" w14:textId="58B85556" w:rsidR="007B4F07" w:rsidRPr="00404724" w:rsidRDefault="007B4F07" w:rsidP="00005155">
            <w:pPr>
              <w:spacing w:before="40" w:after="40"/>
              <w:rPr>
                <w:b w:val="0"/>
                <w:bCs/>
              </w:rPr>
            </w:pPr>
            <w:r w:rsidRPr="00404724">
              <w:rPr>
                <w:b w:val="0"/>
                <w:bCs/>
              </w:rPr>
              <w:t>10</w:t>
            </w:r>
            <w:r w:rsidR="00C82E00" w:rsidRPr="00404724">
              <w:rPr>
                <w:b w:val="0"/>
                <w:bCs/>
              </w:rPr>
              <w:t xml:space="preserve"> km/h</w:t>
            </w:r>
            <w:r w:rsidRPr="00404724">
              <w:rPr>
                <w:b w:val="0"/>
                <w:bCs/>
              </w:rPr>
              <w:t xml:space="preserve"> speed limit reduction</w:t>
            </w:r>
          </w:p>
        </w:tc>
        <w:tc>
          <w:tcPr>
            <w:tcW w:w="2248" w:type="dxa"/>
          </w:tcPr>
          <w:p w14:paraId="594A2170" w14:textId="76497E12" w:rsidR="007B4F07" w:rsidRPr="00404724" w:rsidRDefault="007B4F07" w:rsidP="00005155">
            <w:pPr>
              <w:spacing w:before="40" w:after="40"/>
              <w:ind w:left="315" w:hanging="315"/>
              <w:jc w:val="center"/>
              <w:cnfStyle w:val="000000000000" w:firstRow="0" w:lastRow="0" w:firstColumn="0" w:lastColumn="0" w:oddVBand="0" w:evenVBand="0" w:oddHBand="0" w:evenHBand="0" w:firstRowFirstColumn="0" w:firstRowLastColumn="0" w:lastRowFirstColumn="0" w:lastRowLastColumn="0"/>
              <w:rPr>
                <w:bCs/>
              </w:rPr>
            </w:pPr>
            <w:r w:rsidRPr="00404724">
              <w:rPr>
                <w:bCs/>
              </w:rPr>
              <w:t>20%</w:t>
            </w:r>
          </w:p>
        </w:tc>
        <w:tc>
          <w:tcPr>
            <w:tcW w:w="2248" w:type="dxa"/>
          </w:tcPr>
          <w:p w14:paraId="768BE388" w14:textId="668D3395" w:rsidR="007B4F07" w:rsidRPr="00404724" w:rsidRDefault="007B4F07" w:rsidP="00005155">
            <w:pPr>
              <w:spacing w:before="40" w:after="40"/>
              <w:ind w:left="315" w:hanging="315"/>
              <w:jc w:val="center"/>
              <w:cnfStyle w:val="000000000000" w:firstRow="0" w:lastRow="0" w:firstColumn="0" w:lastColumn="0" w:oddVBand="0" w:evenVBand="0" w:oddHBand="0" w:evenHBand="0" w:firstRowFirstColumn="0" w:firstRowLastColumn="0" w:lastRowFirstColumn="0" w:lastRowLastColumn="0"/>
              <w:rPr>
                <w:bCs/>
              </w:rPr>
            </w:pPr>
            <w:r w:rsidRPr="00404724">
              <w:rPr>
                <w:bCs/>
              </w:rPr>
              <w:t>&lt;$1m</w:t>
            </w:r>
          </w:p>
        </w:tc>
        <w:tc>
          <w:tcPr>
            <w:tcW w:w="2249" w:type="dxa"/>
          </w:tcPr>
          <w:p w14:paraId="46A3382B" w14:textId="00F496B8" w:rsidR="007B4F07" w:rsidRPr="00404724" w:rsidRDefault="007B4F07" w:rsidP="00005155">
            <w:pPr>
              <w:spacing w:before="40" w:after="40"/>
              <w:ind w:left="315" w:hanging="315"/>
              <w:jc w:val="center"/>
              <w:cnfStyle w:val="000000000000" w:firstRow="0" w:lastRow="0" w:firstColumn="0" w:lastColumn="0" w:oddVBand="0" w:evenVBand="0" w:oddHBand="0" w:evenHBand="0" w:firstRowFirstColumn="0" w:firstRowLastColumn="0" w:lastRowFirstColumn="0" w:lastRowLastColumn="0"/>
              <w:rPr>
                <w:bCs/>
              </w:rPr>
            </w:pPr>
            <w:r w:rsidRPr="00404724">
              <w:rPr>
                <w:bCs/>
              </w:rPr>
              <w:t>&lt;$1m</w:t>
            </w:r>
          </w:p>
        </w:tc>
      </w:tr>
      <w:tr w:rsidR="007B4F07" w:rsidRPr="00404724" w14:paraId="57937B72" w14:textId="2E4235EB" w:rsidTr="00A5439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tcPr>
          <w:p w14:paraId="4FACEDC6" w14:textId="2CD872A4" w:rsidR="007B4F07" w:rsidRPr="00404724" w:rsidRDefault="007B4F07" w:rsidP="00005155">
            <w:pPr>
              <w:spacing w:before="40" w:after="40"/>
              <w:rPr>
                <w:b w:val="0"/>
                <w:bCs/>
              </w:rPr>
            </w:pPr>
            <w:r w:rsidRPr="00404724">
              <w:rPr>
                <w:b w:val="0"/>
                <w:bCs/>
              </w:rPr>
              <w:t>Shoulder sealing</w:t>
            </w:r>
          </w:p>
        </w:tc>
        <w:tc>
          <w:tcPr>
            <w:tcW w:w="2248" w:type="dxa"/>
          </w:tcPr>
          <w:p w14:paraId="58448447" w14:textId="1327B644" w:rsidR="007B4F07" w:rsidRPr="00404724" w:rsidRDefault="007B4F07" w:rsidP="00005155">
            <w:pPr>
              <w:spacing w:before="40" w:after="40"/>
              <w:ind w:left="315" w:hanging="315"/>
              <w:jc w:val="center"/>
              <w:cnfStyle w:val="000000010000" w:firstRow="0" w:lastRow="0" w:firstColumn="0" w:lastColumn="0" w:oddVBand="0" w:evenVBand="0" w:oddHBand="0" w:evenHBand="1" w:firstRowFirstColumn="0" w:firstRowLastColumn="0" w:lastRowFirstColumn="0" w:lastRowLastColumn="0"/>
              <w:rPr>
                <w:bCs/>
              </w:rPr>
            </w:pPr>
            <w:r w:rsidRPr="00404724">
              <w:rPr>
                <w:bCs/>
              </w:rPr>
              <w:t>14%</w:t>
            </w:r>
          </w:p>
        </w:tc>
        <w:tc>
          <w:tcPr>
            <w:tcW w:w="2248" w:type="dxa"/>
          </w:tcPr>
          <w:p w14:paraId="3823DABB" w14:textId="7EBCC563" w:rsidR="007B4F07" w:rsidRPr="00404724" w:rsidRDefault="007B4F07" w:rsidP="00005155">
            <w:pPr>
              <w:spacing w:before="40" w:after="40"/>
              <w:ind w:left="315" w:hanging="315"/>
              <w:jc w:val="center"/>
              <w:cnfStyle w:val="000000010000" w:firstRow="0" w:lastRow="0" w:firstColumn="0" w:lastColumn="0" w:oddVBand="0" w:evenVBand="0" w:oddHBand="0" w:evenHBand="1" w:firstRowFirstColumn="0" w:firstRowLastColumn="0" w:lastRowFirstColumn="0" w:lastRowLastColumn="0"/>
              <w:rPr>
                <w:bCs/>
              </w:rPr>
            </w:pPr>
            <w:r w:rsidRPr="00404724">
              <w:rPr>
                <w:bCs/>
              </w:rPr>
              <w:t>$104m</w:t>
            </w:r>
          </w:p>
        </w:tc>
        <w:tc>
          <w:tcPr>
            <w:tcW w:w="2249" w:type="dxa"/>
          </w:tcPr>
          <w:p w14:paraId="3D1B38F6" w14:textId="6FCCB7AD" w:rsidR="007B4F07" w:rsidRPr="00404724" w:rsidRDefault="007B4F07" w:rsidP="00005155">
            <w:pPr>
              <w:spacing w:before="40" w:after="40"/>
              <w:ind w:left="315" w:hanging="315"/>
              <w:jc w:val="center"/>
              <w:cnfStyle w:val="000000010000" w:firstRow="0" w:lastRow="0" w:firstColumn="0" w:lastColumn="0" w:oddVBand="0" w:evenVBand="0" w:oddHBand="0" w:evenHBand="1" w:firstRowFirstColumn="0" w:firstRowLastColumn="0" w:lastRowFirstColumn="0" w:lastRowLastColumn="0"/>
              <w:rPr>
                <w:bCs/>
              </w:rPr>
            </w:pPr>
            <w:r w:rsidRPr="00404724">
              <w:rPr>
                <w:bCs/>
              </w:rPr>
              <w:t>NA</w:t>
            </w:r>
          </w:p>
        </w:tc>
      </w:tr>
      <w:tr w:rsidR="007B4F07" w:rsidRPr="00404724" w14:paraId="532B3F3D" w14:textId="77777777" w:rsidTr="00A54398">
        <w:trPr>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F2F2F2" w:themeFill="background1" w:themeFillShade="F2"/>
          </w:tcPr>
          <w:p w14:paraId="23AD38D0" w14:textId="1BAF6462" w:rsidR="007B4F07" w:rsidRPr="00404724" w:rsidRDefault="007B4F07" w:rsidP="00005155">
            <w:pPr>
              <w:spacing w:before="40" w:after="40"/>
              <w:rPr>
                <w:b w:val="0"/>
                <w:bCs/>
              </w:rPr>
            </w:pPr>
            <w:r w:rsidRPr="00404724">
              <w:rPr>
                <w:b w:val="0"/>
                <w:bCs/>
              </w:rPr>
              <w:t>Roadside barriers</w:t>
            </w:r>
          </w:p>
        </w:tc>
        <w:tc>
          <w:tcPr>
            <w:tcW w:w="2248" w:type="dxa"/>
            <w:shd w:val="clear" w:color="auto" w:fill="F2F2F2" w:themeFill="background1" w:themeFillShade="F2"/>
          </w:tcPr>
          <w:p w14:paraId="47694307" w14:textId="32AAB2E2" w:rsidR="007B4F07" w:rsidRPr="00404724" w:rsidRDefault="007B4F07" w:rsidP="00005155">
            <w:pPr>
              <w:spacing w:before="40" w:after="40"/>
              <w:ind w:left="315" w:hanging="315"/>
              <w:jc w:val="center"/>
              <w:cnfStyle w:val="000000000000" w:firstRow="0" w:lastRow="0" w:firstColumn="0" w:lastColumn="0" w:oddVBand="0" w:evenVBand="0" w:oddHBand="0" w:evenHBand="0" w:firstRowFirstColumn="0" w:firstRowLastColumn="0" w:lastRowFirstColumn="0" w:lastRowLastColumn="0"/>
              <w:rPr>
                <w:bCs/>
              </w:rPr>
            </w:pPr>
            <w:r w:rsidRPr="00404724">
              <w:rPr>
                <w:bCs/>
              </w:rPr>
              <w:t>18%</w:t>
            </w:r>
          </w:p>
        </w:tc>
        <w:tc>
          <w:tcPr>
            <w:tcW w:w="2248" w:type="dxa"/>
            <w:shd w:val="clear" w:color="auto" w:fill="F2F2F2" w:themeFill="background1" w:themeFillShade="F2"/>
          </w:tcPr>
          <w:p w14:paraId="2C3D379D" w14:textId="599D532E" w:rsidR="007B4F07" w:rsidRPr="00404724" w:rsidRDefault="007B4F07" w:rsidP="00005155">
            <w:pPr>
              <w:spacing w:before="40" w:after="40"/>
              <w:ind w:left="315" w:hanging="315"/>
              <w:jc w:val="center"/>
              <w:cnfStyle w:val="000000000000" w:firstRow="0" w:lastRow="0" w:firstColumn="0" w:lastColumn="0" w:oddVBand="0" w:evenVBand="0" w:oddHBand="0" w:evenHBand="0" w:firstRowFirstColumn="0" w:firstRowLastColumn="0" w:lastRowFirstColumn="0" w:lastRowLastColumn="0"/>
              <w:rPr>
                <w:bCs/>
              </w:rPr>
            </w:pPr>
            <w:r w:rsidRPr="00404724">
              <w:rPr>
                <w:bCs/>
              </w:rPr>
              <w:t>$526m</w:t>
            </w:r>
          </w:p>
        </w:tc>
        <w:tc>
          <w:tcPr>
            <w:tcW w:w="2249" w:type="dxa"/>
            <w:shd w:val="clear" w:color="auto" w:fill="F2F2F2" w:themeFill="background1" w:themeFillShade="F2"/>
          </w:tcPr>
          <w:p w14:paraId="438B543B" w14:textId="038CE5B4" w:rsidR="007B4F07" w:rsidRPr="00404724" w:rsidRDefault="007B4F07" w:rsidP="00005155">
            <w:pPr>
              <w:spacing w:before="40" w:after="40"/>
              <w:ind w:left="315" w:hanging="315"/>
              <w:jc w:val="center"/>
              <w:cnfStyle w:val="000000000000" w:firstRow="0" w:lastRow="0" w:firstColumn="0" w:lastColumn="0" w:oddVBand="0" w:evenVBand="0" w:oddHBand="0" w:evenHBand="0" w:firstRowFirstColumn="0" w:firstRowLastColumn="0" w:lastRowFirstColumn="0" w:lastRowLastColumn="0"/>
              <w:rPr>
                <w:bCs/>
              </w:rPr>
            </w:pPr>
            <w:r w:rsidRPr="00404724">
              <w:rPr>
                <w:bCs/>
              </w:rPr>
              <w:t>NA</w:t>
            </w:r>
          </w:p>
        </w:tc>
      </w:tr>
      <w:tr w:rsidR="007B4F07" w:rsidRPr="00404724" w14:paraId="728F841D" w14:textId="77777777" w:rsidTr="00A54398">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F2F2F2" w:themeFill="background1" w:themeFillShade="F2"/>
          </w:tcPr>
          <w:p w14:paraId="573383E2" w14:textId="4F54E3A3" w:rsidR="007B4F07" w:rsidRPr="00404724" w:rsidRDefault="007B4F07" w:rsidP="00005155">
            <w:pPr>
              <w:spacing w:before="40" w:after="40"/>
              <w:rPr>
                <w:b w:val="0"/>
                <w:bCs/>
              </w:rPr>
            </w:pPr>
            <w:r w:rsidRPr="00404724">
              <w:rPr>
                <w:b w:val="0"/>
                <w:bCs/>
              </w:rPr>
              <w:t>Median barriers</w:t>
            </w:r>
          </w:p>
        </w:tc>
        <w:tc>
          <w:tcPr>
            <w:tcW w:w="2248" w:type="dxa"/>
            <w:shd w:val="clear" w:color="auto" w:fill="F2F2F2" w:themeFill="background1" w:themeFillShade="F2"/>
          </w:tcPr>
          <w:p w14:paraId="6E574D11" w14:textId="06ADB55E" w:rsidR="007B4F07" w:rsidRPr="00404724" w:rsidRDefault="007B4F07" w:rsidP="00005155">
            <w:pPr>
              <w:spacing w:before="40" w:after="40"/>
              <w:ind w:left="315" w:hanging="315"/>
              <w:jc w:val="center"/>
              <w:cnfStyle w:val="010000000000" w:firstRow="0" w:lastRow="1" w:firstColumn="0" w:lastColumn="0" w:oddVBand="0" w:evenVBand="0" w:oddHBand="0" w:evenHBand="0" w:firstRowFirstColumn="0" w:firstRowLastColumn="0" w:lastRowFirstColumn="0" w:lastRowLastColumn="0"/>
              <w:rPr>
                <w:b w:val="0"/>
                <w:bCs/>
              </w:rPr>
            </w:pPr>
            <w:r w:rsidRPr="00404724">
              <w:rPr>
                <w:b w:val="0"/>
                <w:bCs/>
              </w:rPr>
              <w:t>14%</w:t>
            </w:r>
          </w:p>
        </w:tc>
        <w:tc>
          <w:tcPr>
            <w:tcW w:w="2248" w:type="dxa"/>
            <w:shd w:val="clear" w:color="auto" w:fill="F2F2F2" w:themeFill="background1" w:themeFillShade="F2"/>
          </w:tcPr>
          <w:p w14:paraId="263476D8" w14:textId="51137FC2" w:rsidR="007B4F07" w:rsidRPr="00404724" w:rsidRDefault="007B4F07" w:rsidP="00005155">
            <w:pPr>
              <w:spacing w:before="40" w:after="40"/>
              <w:ind w:left="315" w:hanging="315"/>
              <w:jc w:val="center"/>
              <w:cnfStyle w:val="010000000000" w:firstRow="0" w:lastRow="1" w:firstColumn="0" w:lastColumn="0" w:oddVBand="0" w:evenVBand="0" w:oddHBand="0" w:evenHBand="0" w:firstRowFirstColumn="0" w:firstRowLastColumn="0" w:lastRowFirstColumn="0" w:lastRowLastColumn="0"/>
              <w:rPr>
                <w:b w:val="0"/>
                <w:bCs/>
              </w:rPr>
            </w:pPr>
            <w:r w:rsidRPr="00404724">
              <w:rPr>
                <w:b w:val="0"/>
                <w:bCs/>
              </w:rPr>
              <w:t>$2,142m</w:t>
            </w:r>
          </w:p>
        </w:tc>
        <w:tc>
          <w:tcPr>
            <w:tcW w:w="2249" w:type="dxa"/>
            <w:shd w:val="clear" w:color="auto" w:fill="F2F2F2" w:themeFill="background1" w:themeFillShade="F2"/>
          </w:tcPr>
          <w:p w14:paraId="45C00513" w14:textId="7419208C" w:rsidR="007B4F07" w:rsidRPr="00404724" w:rsidRDefault="007B4F07" w:rsidP="00005155">
            <w:pPr>
              <w:spacing w:before="40" w:after="40"/>
              <w:ind w:left="315" w:hanging="315"/>
              <w:jc w:val="center"/>
              <w:cnfStyle w:val="010000000000" w:firstRow="0" w:lastRow="1" w:firstColumn="0" w:lastColumn="0" w:oddVBand="0" w:evenVBand="0" w:oddHBand="0" w:evenHBand="0" w:firstRowFirstColumn="0" w:firstRowLastColumn="0" w:lastRowFirstColumn="0" w:lastRowLastColumn="0"/>
              <w:rPr>
                <w:b w:val="0"/>
                <w:bCs/>
              </w:rPr>
            </w:pPr>
            <w:r w:rsidRPr="00404724">
              <w:rPr>
                <w:b w:val="0"/>
                <w:bCs/>
              </w:rPr>
              <w:t>NA</w:t>
            </w:r>
          </w:p>
        </w:tc>
      </w:tr>
    </w:tbl>
    <w:p w14:paraId="0E728B01" w14:textId="680BCB5E" w:rsidR="00E15EB9" w:rsidRPr="00404724" w:rsidRDefault="00091482" w:rsidP="00091482">
      <w:pPr>
        <w:pStyle w:val="Sourcenotes"/>
        <w:rPr>
          <w:lang w:val="en-AU"/>
        </w:rPr>
      </w:pPr>
      <w:r w:rsidRPr="00404724">
        <w:rPr>
          <w:lang w:val="en-AU"/>
        </w:rPr>
        <w:t xml:space="preserve">Source: </w:t>
      </w:r>
      <w:r w:rsidR="007F3BF5" w:rsidRPr="00404724">
        <w:rPr>
          <w:lang w:val="en-AU"/>
        </w:rPr>
        <w:t xml:space="preserve">Austroads </w:t>
      </w:r>
    </w:p>
    <w:p w14:paraId="781F222C" w14:textId="41447034" w:rsidR="00C327F4" w:rsidRPr="00404724" w:rsidRDefault="00C327F4" w:rsidP="00662CE3">
      <w:pPr>
        <w:pStyle w:val="Heading5"/>
      </w:pPr>
      <w:bookmarkStart w:id="246" w:name="_Toc210042546"/>
      <w:r w:rsidRPr="00404724">
        <w:t>Quasi-regulation</w:t>
      </w:r>
      <w:bookmarkEnd w:id="246"/>
    </w:p>
    <w:p w14:paraId="16EC3E79" w14:textId="09113A7D" w:rsidR="00AC0CFA" w:rsidRPr="00404724" w:rsidRDefault="00AC0CFA" w:rsidP="00AC0CFA">
      <w:pPr>
        <w:pStyle w:val="BodyText"/>
        <w:keepNext/>
        <w:keepLines/>
      </w:pPr>
      <w:r w:rsidRPr="00404724">
        <w:t xml:space="preserve">The quasi-regulatory approach covers a wide range of rules or arrangements that are not part of explicit government </w:t>
      </w:r>
      <w:r w:rsidR="00C94374" w:rsidRPr="00404724">
        <w:t>regulation but</w:t>
      </w:r>
      <w:r w:rsidRPr="00404724">
        <w:t xml:space="preserve"> seek to influence the behaviour of businesses and individuals. Examples include: voluntary codes and standards such as the Australasian New Car Assessment Program (ANCAP), guidance notes and information like the National Road Safety Data Hub, industry-government agreements and accreditation schemes.</w:t>
      </w:r>
      <w:r w:rsidRPr="00404724">
        <w:rPr>
          <w:rStyle w:val="FootnoteReference"/>
        </w:rPr>
        <w:footnoteReference w:id="74"/>
      </w:r>
    </w:p>
    <w:p w14:paraId="1C2BFBBF" w14:textId="2785B7E8" w:rsidR="00AC0CFA" w:rsidRPr="00404724" w:rsidRDefault="00AC0CFA" w:rsidP="006E43B5">
      <w:pPr>
        <w:pStyle w:val="BodyText"/>
      </w:pPr>
      <w:r w:rsidRPr="00404724">
        <w:t>The Australian Government Best Practice Regulation Handbook (2007)</w:t>
      </w:r>
      <w:r w:rsidRPr="00404724">
        <w:rPr>
          <w:rStyle w:val="FootnoteReference"/>
        </w:rPr>
        <w:footnoteReference w:id="75"/>
      </w:r>
      <w:r w:rsidRPr="00404724">
        <w:t xml:space="preserve"> provides a checklist for the assessment of when quasi-regulation should be considered (</w:t>
      </w:r>
      <w:r w:rsidR="006E43B5" w:rsidRPr="00404724">
        <w:t>see the box below</w:t>
      </w:r>
      <w:r w:rsidRPr="00404724">
        <w:t xml:space="preserve">). </w:t>
      </w:r>
      <w:r w:rsidR="006E43B5" w:rsidRPr="00404724">
        <w:t>Australian governments already take extensive quasi-regulatory action. While further action of that type may be appropriate</w:t>
      </w:r>
      <w:r w:rsidR="006D39D6" w:rsidRPr="00404724">
        <w:t>, this is</w:t>
      </w:r>
      <w:r w:rsidR="006E43B5" w:rsidRPr="00404724">
        <w:t xml:space="preserve"> not considered in this assessment.</w:t>
      </w:r>
    </w:p>
    <w:p w14:paraId="5D6EE5AC" w14:textId="0CECB0F6" w:rsidR="00C327F4" w:rsidRPr="00404724" w:rsidRDefault="00AC0CFA" w:rsidP="00005155">
      <w:pPr>
        <w:pStyle w:val="Box2Heading"/>
        <w:spacing w:before="80" w:after="0"/>
        <w:rPr>
          <w:lang w:val="en-AU"/>
        </w:rPr>
      </w:pPr>
      <w:r w:rsidRPr="00404724">
        <w:rPr>
          <w:lang w:val="en-AU"/>
        </w:rPr>
        <w:t>Checklist for the assessment of quasi-regulation</w:t>
      </w:r>
    </w:p>
    <w:p w14:paraId="22836AE9" w14:textId="77777777" w:rsidR="00AC0CFA" w:rsidRPr="00404724" w:rsidRDefault="00AC0CFA" w:rsidP="00005155">
      <w:pPr>
        <w:pStyle w:val="Box2Text"/>
        <w:spacing w:before="80" w:after="0"/>
        <w:rPr>
          <w:lang w:val="en-AU"/>
        </w:rPr>
      </w:pPr>
      <w:r w:rsidRPr="00404724">
        <w:rPr>
          <w:lang w:val="en-AU"/>
        </w:rPr>
        <w:t>Quasi-regulation should be considered where:</w:t>
      </w:r>
    </w:p>
    <w:p w14:paraId="26A93254" w14:textId="77777777" w:rsidR="00AC0CFA" w:rsidRPr="00404724" w:rsidRDefault="00AC0CFA" w:rsidP="00005155">
      <w:pPr>
        <w:pStyle w:val="Box2Checklist"/>
        <w:spacing w:before="80" w:after="0"/>
        <w:rPr>
          <w:lang w:val="en-AU"/>
        </w:rPr>
      </w:pPr>
      <w:r w:rsidRPr="00404724">
        <w:rPr>
          <w:lang w:val="en-AU"/>
        </w:rPr>
        <w:t>there is a public interest in some government involvement in addressing a community concern and the issue is unlikely to be addressed by self-regulation</w:t>
      </w:r>
    </w:p>
    <w:p w14:paraId="43FC9782" w14:textId="77777777" w:rsidR="00AC0CFA" w:rsidRPr="00404724" w:rsidRDefault="00AC0CFA" w:rsidP="00005155">
      <w:pPr>
        <w:pStyle w:val="Box2Checklist"/>
        <w:spacing w:before="80" w:after="0"/>
        <w:rPr>
          <w:lang w:val="en-AU"/>
        </w:rPr>
      </w:pPr>
      <w:r w:rsidRPr="00404724">
        <w:rPr>
          <w:lang w:val="en-AU"/>
        </w:rPr>
        <w:t>there is a need for an urgent, interim response to a problem in the short term, while a long-term regulatory solution is being developed</w:t>
      </w:r>
    </w:p>
    <w:p w14:paraId="4C4D2BA5" w14:textId="77777777" w:rsidR="00AC0CFA" w:rsidRPr="00404724" w:rsidRDefault="00AC0CFA" w:rsidP="00005155">
      <w:pPr>
        <w:pStyle w:val="Box2Checklist"/>
        <w:spacing w:before="80" w:after="0"/>
        <w:rPr>
          <w:lang w:val="en-AU"/>
        </w:rPr>
      </w:pPr>
      <w:r w:rsidRPr="00404724">
        <w:rPr>
          <w:lang w:val="en-AU"/>
        </w:rPr>
        <w:t>government is not convinced of the need to develop or mandate a code for the whole industry</w:t>
      </w:r>
    </w:p>
    <w:p w14:paraId="4790357A" w14:textId="77777777" w:rsidR="00AC0CFA" w:rsidRPr="00404724" w:rsidRDefault="00AC0CFA" w:rsidP="00005155">
      <w:pPr>
        <w:pStyle w:val="Box2Checklist"/>
        <w:spacing w:before="80" w:after="0"/>
        <w:rPr>
          <w:lang w:val="en-AU"/>
        </w:rPr>
      </w:pPr>
      <w:r w:rsidRPr="00404724">
        <w:rPr>
          <w:lang w:val="en-AU"/>
        </w:rPr>
        <w:t>there are cost advantages from flexible, tailor-made solutions and less formal mechanisms</w:t>
      </w:r>
    </w:p>
    <w:p w14:paraId="02606FAD" w14:textId="77777777" w:rsidR="00AC0CFA" w:rsidRPr="00404724" w:rsidRDefault="00AC0CFA" w:rsidP="00005155">
      <w:pPr>
        <w:pStyle w:val="Box2Checklist"/>
        <w:spacing w:before="80" w:after="0"/>
        <w:rPr>
          <w:lang w:val="en-AU"/>
        </w:rPr>
      </w:pPr>
      <w:r w:rsidRPr="00404724">
        <w:rPr>
          <w:lang w:val="en-AU"/>
        </w:rPr>
        <w:t>there are advantages in the government engaging in a collaborative approach with industry, with industry having substantial ownership of the scheme. For this to be successful, there needs to be:</w:t>
      </w:r>
    </w:p>
    <w:p w14:paraId="48A8F7F8" w14:textId="77777777" w:rsidR="00AC0CFA" w:rsidRPr="00404724" w:rsidRDefault="00AC0CFA" w:rsidP="00005155">
      <w:pPr>
        <w:pStyle w:val="Box2Checklist"/>
        <w:spacing w:before="80" w:after="0"/>
        <w:ind w:left="993" w:hanging="709"/>
        <w:rPr>
          <w:lang w:val="en-AU"/>
        </w:rPr>
      </w:pPr>
      <w:r w:rsidRPr="00404724">
        <w:rPr>
          <w:lang w:val="en-AU"/>
        </w:rPr>
        <w:t>a specific industry solution rather than regulation of general application</w:t>
      </w:r>
    </w:p>
    <w:p w14:paraId="153DC0D0" w14:textId="77777777" w:rsidR="00AC0CFA" w:rsidRPr="00404724" w:rsidRDefault="00AC0CFA" w:rsidP="00005155">
      <w:pPr>
        <w:pStyle w:val="Box2Checklist"/>
        <w:spacing w:before="80" w:after="0"/>
        <w:ind w:left="993" w:hanging="709"/>
        <w:rPr>
          <w:lang w:val="en-AU"/>
        </w:rPr>
      </w:pPr>
      <w:r w:rsidRPr="00404724">
        <w:rPr>
          <w:lang w:val="en-AU"/>
        </w:rPr>
        <w:t>a cohesive industry with like-minded participants, motivated to achieve the goals</w:t>
      </w:r>
    </w:p>
    <w:p w14:paraId="7D1A9C43" w14:textId="77777777" w:rsidR="00AC0CFA" w:rsidRPr="00404724" w:rsidRDefault="00AC0CFA" w:rsidP="00005155">
      <w:pPr>
        <w:pStyle w:val="Box2Checklist"/>
        <w:spacing w:before="80" w:after="0"/>
        <w:ind w:left="993" w:hanging="709"/>
        <w:rPr>
          <w:lang w:val="en-AU"/>
        </w:rPr>
      </w:pPr>
      <w:r w:rsidRPr="00404724">
        <w:rPr>
          <w:lang w:val="en-AU"/>
        </w:rPr>
        <w:t>a viable industry association with the resources necessary to develop and/or enforce the scheme</w:t>
      </w:r>
    </w:p>
    <w:p w14:paraId="00E9B918" w14:textId="77777777" w:rsidR="00AC0CFA" w:rsidRPr="00404724" w:rsidRDefault="00AC0CFA" w:rsidP="00005155">
      <w:pPr>
        <w:pStyle w:val="Box2Checklist"/>
        <w:spacing w:before="80" w:after="0"/>
        <w:ind w:left="993" w:hanging="709"/>
        <w:rPr>
          <w:lang w:val="en-AU"/>
        </w:rPr>
      </w:pPr>
      <w:r w:rsidRPr="00404724">
        <w:rPr>
          <w:lang w:val="en-AU"/>
        </w:rPr>
        <w:t>effective sanctions or incentives to achieve the required level of compliance, with low scope for benefits being shared by non-participants</w:t>
      </w:r>
    </w:p>
    <w:p w14:paraId="216E7FD9" w14:textId="77777777" w:rsidR="00AC0CFA" w:rsidRPr="00404724" w:rsidRDefault="00AC0CFA" w:rsidP="00005155">
      <w:pPr>
        <w:pStyle w:val="Box2Checklist"/>
        <w:spacing w:before="80" w:after="0"/>
        <w:ind w:left="993" w:hanging="709"/>
        <w:rPr>
          <w:lang w:val="en-AU"/>
        </w:rPr>
      </w:pPr>
      <w:r w:rsidRPr="00404724">
        <w:rPr>
          <w:lang w:val="en-AU"/>
        </w:rPr>
        <w:t>effective external pressure from industry itself (survival factors), or threat of consumer or government action.</w:t>
      </w:r>
    </w:p>
    <w:p w14:paraId="16F73CDC" w14:textId="272B6F2B" w:rsidR="00AC0CFA" w:rsidRPr="00404724" w:rsidRDefault="00AC0CFA" w:rsidP="00005155">
      <w:pPr>
        <w:pStyle w:val="Box2Text"/>
        <w:spacing w:before="80" w:after="0"/>
        <w:rPr>
          <w:lang w:val="en-AU"/>
        </w:rPr>
      </w:pPr>
      <w:r w:rsidRPr="00404724">
        <w:rPr>
          <w:lang w:val="en-AU"/>
        </w:rPr>
        <w:t>Proposed quasi-regulation approaches should not restrict competition.</w:t>
      </w:r>
    </w:p>
    <w:p w14:paraId="026DE2B6" w14:textId="77777777" w:rsidR="00C327F4" w:rsidRPr="00404724" w:rsidRDefault="00C327F4" w:rsidP="00662CE3">
      <w:pPr>
        <w:pStyle w:val="Heading5"/>
      </w:pPr>
      <w:bookmarkStart w:id="248" w:name="_Toc210042547"/>
      <w:r w:rsidRPr="00404724">
        <w:lastRenderedPageBreak/>
        <w:t>Summing up</w:t>
      </w:r>
      <w:bookmarkEnd w:id="248"/>
    </w:p>
    <w:p w14:paraId="4C9F10D2" w14:textId="77777777" w:rsidR="00C327F4" w:rsidRPr="00404724" w:rsidRDefault="00C327F4" w:rsidP="00C327F4">
      <w:r w:rsidRPr="00404724">
        <w:t>In light of the discussion above, the RIA does not formally analyse alternative approaches to achieve the objectives of government action. This approach recognises that:</w:t>
      </w:r>
    </w:p>
    <w:p w14:paraId="0D5524AE" w14:textId="24B98287" w:rsidR="00C327F4" w:rsidRPr="00404724" w:rsidRDefault="00C327F4" w:rsidP="00485648">
      <w:pPr>
        <w:pStyle w:val="Listparagraphbullets"/>
      </w:pPr>
      <w:r w:rsidRPr="00404724">
        <w:t xml:space="preserve">there are a range of non-regulatory measures already in place to encourage speed management at both the national and state level </w:t>
      </w:r>
    </w:p>
    <w:p w14:paraId="166CF045" w14:textId="459F7244" w:rsidR="00C327F4" w:rsidRPr="00404724" w:rsidRDefault="00C327F4" w:rsidP="00485648">
      <w:pPr>
        <w:pStyle w:val="Listparagraphbullets"/>
      </w:pPr>
      <w:r w:rsidRPr="00404724">
        <w:t xml:space="preserve">it has been acknowledged (through the Strategy the Action Plan and other policies) that a suite of policies and tools are needed to improve road safety (including regulation) </w:t>
      </w:r>
    </w:p>
    <w:p w14:paraId="6A05E379" w14:textId="62E6ABE9" w:rsidR="00091482" w:rsidRPr="00404724" w:rsidRDefault="00C327F4" w:rsidP="00485648">
      <w:pPr>
        <w:pStyle w:val="Listparagraphbullets"/>
      </w:pPr>
      <w:r w:rsidRPr="00404724">
        <w:t>the need for regulation in this space has been established in the past, with various regulations relating to speed limits already in place.</w:t>
      </w:r>
    </w:p>
    <w:p w14:paraId="396A6E8F" w14:textId="7AFCD89C" w:rsidR="00864070" w:rsidRPr="00404724" w:rsidRDefault="00662CE3" w:rsidP="00485648">
      <w:pPr>
        <w:pStyle w:val="Heading3"/>
      </w:pPr>
      <w:bookmarkStart w:id="249" w:name="_Toc210040317"/>
      <w:bookmarkStart w:id="250" w:name="_Toc210042548"/>
      <w:bookmarkStart w:id="251" w:name="_Toc210049190"/>
      <w:bookmarkStart w:id="252" w:name="_Toc210051630"/>
      <w:bookmarkStart w:id="253" w:name="_Toc210051711"/>
      <w:r>
        <w:t>3</w:t>
      </w:r>
      <w:r w:rsidR="00485648">
        <w:t>.3</w:t>
      </w:r>
      <w:r w:rsidR="00485648">
        <w:tab/>
      </w:r>
      <w:r w:rsidR="00864070" w:rsidRPr="00404724">
        <w:t>Questions for stakeholders</w:t>
      </w:r>
      <w:bookmarkEnd w:id="249"/>
      <w:bookmarkEnd w:id="250"/>
      <w:bookmarkEnd w:id="251"/>
      <w:bookmarkEnd w:id="252"/>
      <w:bookmarkEnd w:id="253"/>
    </w:p>
    <w:p w14:paraId="43203625" w14:textId="7E0046D5" w:rsidR="00864070" w:rsidRPr="00485648" w:rsidRDefault="00864070" w:rsidP="00832A33">
      <w:pPr>
        <w:pStyle w:val="Listparagraphbullets"/>
      </w:pPr>
      <w:r w:rsidRPr="00485648">
        <w:t>Does the RIA present clear, well differentiated options that can achieve the stated policy objective?</w:t>
      </w:r>
    </w:p>
    <w:p w14:paraId="45CA0D3F" w14:textId="4FED0231" w:rsidR="00864070" w:rsidRPr="00485648" w:rsidRDefault="00864070" w:rsidP="00832A33">
      <w:pPr>
        <w:pStyle w:val="Listparagraphbullets"/>
      </w:pPr>
      <w:r w:rsidRPr="00485648">
        <w:t>Which of the options analysed have the ability to meet the stated objectives? How could these be enhanced?</w:t>
      </w:r>
    </w:p>
    <w:p w14:paraId="736B01A0" w14:textId="22E9F361" w:rsidR="00864070" w:rsidRPr="00485648" w:rsidRDefault="00864070" w:rsidP="00832A33">
      <w:pPr>
        <w:pStyle w:val="Listparagraphbullets"/>
      </w:pPr>
      <w:r w:rsidRPr="00485648">
        <w:t xml:space="preserve">Are there any other feasible options to address the problems identified in the previous chapter that have not been assessed in the RIA and should be considered? </w:t>
      </w:r>
    </w:p>
    <w:p w14:paraId="6B2A4BDC" w14:textId="59D10B15" w:rsidR="00864070" w:rsidRPr="00485648" w:rsidRDefault="00864070" w:rsidP="00832A33">
      <w:pPr>
        <w:pStyle w:val="Listparagraphbullets"/>
      </w:pPr>
      <w:r w:rsidRPr="00485648">
        <w:t>Of the options discussed in this chapter which would be the most effective at achieving the stated objectives and why?</w:t>
      </w:r>
    </w:p>
    <w:p w14:paraId="50AD3720" w14:textId="76EDB642" w:rsidR="00864070" w:rsidRPr="00485648" w:rsidRDefault="00864070" w:rsidP="00832A33">
      <w:pPr>
        <w:pStyle w:val="Listparagraphbullets"/>
      </w:pPr>
      <w:r w:rsidRPr="00485648">
        <w:t>Which is your preferred option</w:t>
      </w:r>
      <w:r w:rsidR="006D39D6" w:rsidRPr="00485648">
        <w:t xml:space="preserve"> and why</w:t>
      </w:r>
      <w:r w:rsidRPr="00485648">
        <w:t>?</w:t>
      </w:r>
    </w:p>
    <w:p w14:paraId="20289860" w14:textId="5D9B8389" w:rsidR="00864070" w:rsidRPr="00485648" w:rsidRDefault="001B7CDB" w:rsidP="00832A33">
      <w:pPr>
        <w:pStyle w:val="Listparagraphbullets"/>
      </w:pPr>
      <w:r w:rsidRPr="00485648">
        <w:t>Are the objectives as expressed above appropriate</w:t>
      </w:r>
      <w:r w:rsidR="00864070" w:rsidRPr="00485648">
        <w:t>?</w:t>
      </w:r>
    </w:p>
    <w:p w14:paraId="0034827B" w14:textId="4D26EE78" w:rsidR="00864070" w:rsidRPr="00404724" w:rsidRDefault="00864070" w:rsidP="000C1C23">
      <w:r w:rsidRPr="00404724">
        <w:br w:type="page"/>
      </w:r>
    </w:p>
    <w:p w14:paraId="1648861B" w14:textId="2A8627E7" w:rsidR="0088161A" w:rsidRPr="00404724" w:rsidRDefault="00662CE3" w:rsidP="00EC46ED">
      <w:pPr>
        <w:pStyle w:val="Heading2"/>
      </w:pPr>
      <w:bookmarkStart w:id="254" w:name="_Toc210040318"/>
      <w:bookmarkStart w:id="255" w:name="_Toc210042549"/>
      <w:bookmarkStart w:id="256" w:name="_Toc210049191"/>
      <w:bookmarkStart w:id="257" w:name="_Toc210051631"/>
      <w:bookmarkStart w:id="258" w:name="_Toc210051712"/>
      <w:r>
        <w:lastRenderedPageBreak/>
        <w:t>4</w:t>
      </w:r>
      <w:r w:rsidR="00EC46ED">
        <w:t>.</w:t>
      </w:r>
      <w:r w:rsidR="00EC46ED">
        <w:tab/>
      </w:r>
      <w:bookmarkStart w:id="259" w:name="_Ref209776755"/>
      <w:r w:rsidR="00FA01E0">
        <w:t>Modelling approach</w:t>
      </w:r>
      <w:bookmarkEnd w:id="259"/>
      <w:bookmarkEnd w:id="254"/>
      <w:bookmarkEnd w:id="255"/>
      <w:bookmarkEnd w:id="256"/>
      <w:bookmarkEnd w:id="257"/>
      <w:bookmarkEnd w:id="258"/>
      <w:r w:rsidR="0088161A" w:rsidRPr="00404724">
        <w:t xml:space="preserve"> </w:t>
      </w:r>
    </w:p>
    <w:p w14:paraId="410BEE06" w14:textId="35826B58" w:rsidR="00994BF9" w:rsidRPr="00404724" w:rsidRDefault="00323B73" w:rsidP="00EC46ED">
      <w:pPr>
        <w:pStyle w:val="Heading3"/>
      </w:pPr>
      <w:bookmarkStart w:id="260" w:name="_Toc210040319"/>
      <w:bookmarkStart w:id="261" w:name="_Toc210042550"/>
      <w:bookmarkStart w:id="262" w:name="_Toc210049192"/>
      <w:bookmarkStart w:id="263" w:name="_Toc210051632"/>
      <w:bookmarkStart w:id="264" w:name="_Toc210051713"/>
      <w:r>
        <w:t>4</w:t>
      </w:r>
      <w:r w:rsidR="00EC46ED">
        <w:t>.1</w:t>
      </w:r>
      <w:r w:rsidR="00EC46ED">
        <w:tab/>
      </w:r>
      <w:r w:rsidR="00994BF9" w:rsidRPr="00404724">
        <w:t>General framework</w:t>
      </w:r>
      <w:bookmarkEnd w:id="260"/>
      <w:bookmarkEnd w:id="261"/>
      <w:bookmarkEnd w:id="262"/>
      <w:bookmarkEnd w:id="263"/>
      <w:bookmarkEnd w:id="264"/>
    </w:p>
    <w:p w14:paraId="6A977BE9" w14:textId="57726EA1" w:rsidR="002A5496" w:rsidRPr="00404724" w:rsidRDefault="002A5496" w:rsidP="002A5496">
      <w:r w:rsidRPr="00404724">
        <w:t>Consistent with best regulatory practice, the analysis of the impact of the proposed changes to default speed limits was undertaken using a cost benefit analysis (CBA) framework.</w:t>
      </w:r>
    </w:p>
    <w:p w14:paraId="507996B3" w14:textId="121D16FF" w:rsidR="002A5496" w:rsidRPr="00404724" w:rsidRDefault="002A5496" w:rsidP="002A5496">
      <w:r w:rsidRPr="00404724">
        <w:t xml:space="preserve">CBA is an economic analytical tool used to assess the costs and benefits of regulatory proposals. Costs and benefits are examined from the perspective of the community as a whole to identify the proposal with the highest net benefit. </w:t>
      </w:r>
      <w:r w:rsidRPr="00404724">
        <w:rPr>
          <w:highlight w:val="yellow"/>
        </w:rPr>
        <w:fldChar w:fldCharType="begin"/>
      </w:r>
      <w:r w:rsidRPr="00404724">
        <w:instrText xml:space="preserve"> REF _Ref208407564 \h </w:instrText>
      </w:r>
      <w:r w:rsidRPr="00404724">
        <w:rPr>
          <w:highlight w:val="yellow"/>
        </w:rPr>
      </w:r>
      <w:r w:rsidRPr="00404724">
        <w:rPr>
          <w:highlight w:val="yellow"/>
        </w:rPr>
        <w:fldChar w:fldCharType="separate"/>
      </w:r>
      <w:r w:rsidR="00BF489D" w:rsidRPr="00404724">
        <w:t xml:space="preserve">Table </w:t>
      </w:r>
      <w:r w:rsidR="00BF489D">
        <w:rPr>
          <w:noProof/>
        </w:rPr>
        <w:t>12</w:t>
      </w:r>
      <w:r w:rsidRPr="00404724">
        <w:rPr>
          <w:highlight w:val="yellow"/>
        </w:rPr>
        <w:fldChar w:fldCharType="end"/>
      </w:r>
      <w:r w:rsidRPr="00404724">
        <w:t xml:space="preserve"> summarises the costs and benefits that will be modelled.</w:t>
      </w:r>
    </w:p>
    <w:p w14:paraId="2A7A45E8" w14:textId="3D43AF83" w:rsidR="002A5496" w:rsidRPr="00404724" w:rsidRDefault="002A5496" w:rsidP="003979C3">
      <w:pPr>
        <w:pStyle w:val="Tablefigureheading"/>
      </w:pPr>
      <w:bookmarkStart w:id="265" w:name="_Ref208407564"/>
      <w:bookmarkStart w:id="266" w:name="_Toc210040357"/>
      <w:bookmarkStart w:id="267" w:name="_Toc210051893"/>
      <w:r w:rsidRPr="00404724">
        <w:t xml:space="preserve">Table </w:t>
      </w:r>
      <w:r w:rsidR="00EC39D5">
        <w:fldChar w:fldCharType="begin"/>
      </w:r>
      <w:r w:rsidR="00EC39D5">
        <w:instrText xml:space="preserve"> SEQ Table \* ARABIC </w:instrText>
      </w:r>
      <w:r w:rsidR="00EC39D5">
        <w:fldChar w:fldCharType="separate"/>
      </w:r>
      <w:r w:rsidR="00BF489D">
        <w:rPr>
          <w:noProof/>
        </w:rPr>
        <w:t>12</w:t>
      </w:r>
      <w:r w:rsidR="00EC39D5">
        <w:rPr>
          <w:noProof/>
        </w:rPr>
        <w:fldChar w:fldCharType="end"/>
      </w:r>
      <w:bookmarkEnd w:id="265"/>
      <w:r w:rsidR="00CF1735" w:rsidRPr="00404724">
        <w:tab/>
        <w:t>Costs and benefits framework</w:t>
      </w:r>
      <w:bookmarkEnd w:id="266"/>
      <w:bookmarkEnd w:id="267"/>
      <w:r w:rsidR="00CF1735" w:rsidRPr="00404724">
        <w:t xml:space="preserve"> </w:t>
      </w:r>
    </w:p>
    <w:tbl>
      <w:tblPr>
        <w:tblStyle w:val="aacTableBasic"/>
        <w:tblW w:w="5000" w:type="pct"/>
        <w:tblLayout w:type="fixed"/>
        <w:tblLook w:val="04A0" w:firstRow="1" w:lastRow="0" w:firstColumn="1" w:lastColumn="0" w:noHBand="0" w:noVBand="1"/>
        <w:tblCaption w:val="Table 12 Costs and benefits framework "/>
        <w:tblDescription w:val="Table 12 Costs and benefits framework "/>
      </w:tblPr>
      <w:tblGrid>
        <w:gridCol w:w="2097"/>
        <w:gridCol w:w="2420"/>
        <w:gridCol w:w="2673"/>
        <w:gridCol w:w="71"/>
        <w:gridCol w:w="2603"/>
      </w:tblGrid>
      <w:tr w:rsidR="002A5496" w:rsidRPr="00404724" w14:paraId="5D938271" w14:textId="77777777" w:rsidTr="00537732">
        <w:trPr>
          <w:cnfStyle w:val="100000000000" w:firstRow="1" w:lastRow="0" w:firstColumn="0" w:lastColumn="0" w:oddVBand="0" w:evenVBand="0" w:oddHBand="0" w:evenHBand="0" w:firstRowFirstColumn="0" w:firstRowLastColumn="0" w:lastRowFirstColumn="0" w:lastRowLastColumn="0"/>
          <w:cantSplit/>
          <w:tblHeader/>
        </w:trPr>
        <w:tc>
          <w:tcPr>
            <w:tcW w:w="2097" w:type="dxa"/>
          </w:tcPr>
          <w:p w14:paraId="38FF2517" w14:textId="77777777" w:rsidR="002A5496" w:rsidRPr="00404724" w:rsidRDefault="002A5496" w:rsidP="002A5496">
            <w:pPr>
              <w:spacing w:before="80"/>
              <w:rPr>
                <w:rFonts w:asciiTheme="minorHAnsi" w:hAnsiTheme="minorHAnsi"/>
                <w:b/>
                <w:bCs/>
                <w:lang w:val="en-AU"/>
              </w:rPr>
            </w:pPr>
            <w:r w:rsidRPr="00404724">
              <w:rPr>
                <w:rFonts w:asciiTheme="minorHAnsi" w:hAnsiTheme="minorHAnsi"/>
                <w:b/>
                <w:bCs/>
                <w:lang w:val="en-AU"/>
              </w:rPr>
              <w:t>High level impact</w:t>
            </w:r>
          </w:p>
        </w:tc>
        <w:tc>
          <w:tcPr>
            <w:tcW w:w="2420" w:type="dxa"/>
          </w:tcPr>
          <w:p w14:paraId="2F3EBEFE" w14:textId="77777777" w:rsidR="002A5496" w:rsidRPr="00404724" w:rsidRDefault="002A5496" w:rsidP="002A5496">
            <w:pPr>
              <w:spacing w:before="80"/>
              <w:rPr>
                <w:rFonts w:asciiTheme="minorHAnsi" w:hAnsiTheme="minorHAnsi"/>
                <w:b/>
                <w:bCs/>
                <w:lang w:val="en-AU"/>
              </w:rPr>
            </w:pPr>
            <w:r w:rsidRPr="00404724">
              <w:rPr>
                <w:rFonts w:asciiTheme="minorHAnsi" w:hAnsiTheme="minorHAnsi"/>
                <w:b/>
                <w:bCs/>
                <w:lang w:val="en-AU"/>
              </w:rPr>
              <w:t>Detailed benefits</w:t>
            </w:r>
          </w:p>
        </w:tc>
        <w:tc>
          <w:tcPr>
            <w:tcW w:w="2744" w:type="dxa"/>
            <w:gridSpan w:val="2"/>
          </w:tcPr>
          <w:p w14:paraId="1531F5BC" w14:textId="77777777" w:rsidR="002A5496" w:rsidRPr="00404724" w:rsidRDefault="002A5496" w:rsidP="002A5496">
            <w:pPr>
              <w:spacing w:before="80"/>
              <w:rPr>
                <w:rFonts w:asciiTheme="minorHAnsi" w:hAnsiTheme="minorHAnsi"/>
                <w:b/>
                <w:bCs/>
                <w:lang w:val="en-AU"/>
              </w:rPr>
            </w:pPr>
            <w:r w:rsidRPr="00404724">
              <w:rPr>
                <w:rFonts w:asciiTheme="minorHAnsi" w:hAnsiTheme="minorHAnsi"/>
                <w:b/>
                <w:bCs/>
                <w:lang w:val="en-AU"/>
              </w:rPr>
              <w:t>Price</w:t>
            </w:r>
          </w:p>
        </w:tc>
        <w:tc>
          <w:tcPr>
            <w:tcW w:w="2603" w:type="dxa"/>
          </w:tcPr>
          <w:p w14:paraId="38ACF082" w14:textId="77777777" w:rsidR="002A5496" w:rsidRPr="00404724" w:rsidRDefault="002A5496" w:rsidP="002A5496">
            <w:pPr>
              <w:spacing w:before="80"/>
              <w:rPr>
                <w:rFonts w:asciiTheme="minorHAnsi" w:hAnsiTheme="minorHAnsi"/>
                <w:b/>
                <w:bCs/>
                <w:lang w:val="en-AU"/>
              </w:rPr>
            </w:pPr>
            <w:r w:rsidRPr="00404724">
              <w:rPr>
                <w:rFonts w:asciiTheme="minorHAnsi" w:hAnsiTheme="minorHAnsi"/>
                <w:b/>
                <w:bCs/>
                <w:lang w:val="en-AU"/>
              </w:rPr>
              <w:t>Quantity</w:t>
            </w:r>
          </w:p>
        </w:tc>
      </w:tr>
      <w:tr w:rsidR="002A5496" w:rsidRPr="00404724" w14:paraId="0DC64FF4" w14:textId="77777777" w:rsidTr="00537732">
        <w:trPr>
          <w:cantSplit/>
        </w:trPr>
        <w:tc>
          <w:tcPr>
            <w:tcW w:w="2097" w:type="dxa"/>
            <w:shd w:val="clear" w:color="auto" w:fill="B1CCF5" w:themeFill="accent1" w:themeFillTint="33"/>
          </w:tcPr>
          <w:p w14:paraId="7F00135F" w14:textId="77777777" w:rsidR="002A5496" w:rsidRPr="00404724" w:rsidRDefault="002A5496" w:rsidP="002A5496">
            <w:pPr>
              <w:spacing w:before="80"/>
              <w:rPr>
                <w:rFonts w:asciiTheme="minorHAnsi" w:hAnsiTheme="minorHAnsi"/>
                <w:b/>
                <w:bCs/>
                <w:lang w:val="en-AU"/>
              </w:rPr>
            </w:pPr>
            <w:r w:rsidRPr="00404724">
              <w:rPr>
                <w:rFonts w:asciiTheme="minorHAnsi" w:hAnsiTheme="minorHAnsi"/>
                <w:b/>
                <w:bCs/>
                <w:lang w:val="en-AU"/>
              </w:rPr>
              <w:t>Benefits</w:t>
            </w:r>
          </w:p>
        </w:tc>
        <w:tc>
          <w:tcPr>
            <w:tcW w:w="2420" w:type="dxa"/>
            <w:shd w:val="clear" w:color="auto" w:fill="B1CCF5" w:themeFill="accent1" w:themeFillTint="33"/>
          </w:tcPr>
          <w:p w14:paraId="40F41A0C" w14:textId="77777777" w:rsidR="002A5496" w:rsidRPr="00404724" w:rsidRDefault="002A5496" w:rsidP="002A5496">
            <w:pPr>
              <w:spacing w:before="80"/>
              <w:rPr>
                <w:rFonts w:asciiTheme="minorHAnsi" w:hAnsiTheme="minorHAnsi"/>
                <w:b/>
                <w:bCs/>
                <w:lang w:val="en-AU"/>
              </w:rPr>
            </w:pPr>
          </w:p>
        </w:tc>
        <w:tc>
          <w:tcPr>
            <w:tcW w:w="2744" w:type="dxa"/>
            <w:gridSpan w:val="2"/>
            <w:shd w:val="clear" w:color="auto" w:fill="B1CCF5" w:themeFill="accent1" w:themeFillTint="33"/>
          </w:tcPr>
          <w:p w14:paraId="6F9825FC" w14:textId="77777777" w:rsidR="002A5496" w:rsidRPr="00404724" w:rsidRDefault="002A5496" w:rsidP="002A5496">
            <w:pPr>
              <w:spacing w:before="80"/>
              <w:rPr>
                <w:rFonts w:asciiTheme="minorHAnsi" w:hAnsiTheme="minorHAnsi"/>
                <w:b/>
                <w:bCs/>
                <w:lang w:val="en-AU"/>
              </w:rPr>
            </w:pPr>
          </w:p>
        </w:tc>
        <w:tc>
          <w:tcPr>
            <w:tcW w:w="2603" w:type="dxa"/>
            <w:shd w:val="clear" w:color="auto" w:fill="B1CCF5" w:themeFill="accent1" w:themeFillTint="33"/>
          </w:tcPr>
          <w:p w14:paraId="3AF61667" w14:textId="77777777" w:rsidR="002A5496" w:rsidRPr="00404724" w:rsidRDefault="002A5496" w:rsidP="002A5496">
            <w:pPr>
              <w:spacing w:before="80"/>
              <w:rPr>
                <w:rFonts w:asciiTheme="minorHAnsi" w:hAnsiTheme="minorHAnsi"/>
                <w:b/>
                <w:bCs/>
                <w:lang w:val="en-AU"/>
              </w:rPr>
            </w:pPr>
          </w:p>
        </w:tc>
      </w:tr>
      <w:tr w:rsidR="002A5496" w:rsidRPr="00404724" w14:paraId="3972B641" w14:textId="77777777" w:rsidTr="00537732">
        <w:trPr>
          <w:cantSplit/>
          <w:trHeight w:val="441"/>
        </w:trPr>
        <w:tc>
          <w:tcPr>
            <w:tcW w:w="2097" w:type="dxa"/>
            <w:vMerge w:val="restart"/>
            <w:shd w:val="clear" w:color="auto" w:fill="F2F2F2" w:themeFill="background1" w:themeFillShade="F2"/>
          </w:tcPr>
          <w:p w14:paraId="0BF5F1A6" w14:textId="77777777" w:rsidR="002A5496" w:rsidRPr="00404724" w:rsidRDefault="002A5496" w:rsidP="002A5496">
            <w:pPr>
              <w:spacing w:before="80"/>
              <w:rPr>
                <w:rFonts w:asciiTheme="minorHAnsi" w:hAnsiTheme="minorHAnsi"/>
                <w:lang w:val="en-AU"/>
              </w:rPr>
            </w:pPr>
            <w:r w:rsidRPr="00404724">
              <w:rPr>
                <w:rFonts w:asciiTheme="minorHAnsi" w:hAnsiTheme="minorHAnsi"/>
                <w:lang w:val="en-AU"/>
              </w:rPr>
              <w:t>Avoided costs of fatalities and serious injuries</w:t>
            </w:r>
          </w:p>
        </w:tc>
        <w:tc>
          <w:tcPr>
            <w:tcW w:w="2420" w:type="dxa"/>
          </w:tcPr>
          <w:p w14:paraId="75443502" w14:textId="77777777" w:rsidR="002A5496" w:rsidRPr="00404724" w:rsidRDefault="002A5496" w:rsidP="002A5496">
            <w:pPr>
              <w:spacing w:before="80"/>
              <w:rPr>
                <w:rFonts w:asciiTheme="minorHAnsi" w:hAnsiTheme="minorHAnsi"/>
                <w:lang w:val="en-AU"/>
              </w:rPr>
            </w:pPr>
            <w:r w:rsidRPr="00404724">
              <w:rPr>
                <w:rFonts w:asciiTheme="minorHAnsi" w:hAnsiTheme="minorHAnsi"/>
                <w:lang w:val="en-AU"/>
              </w:rPr>
              <w:t>Avoided fatalities</w:t>
            </w:r>
          </w:p>
        </w:tc>
        <w:tc>
          <w:tcPr>
            <w:tcW w:w="2744" w:type="dxa"/>
            <w:gridSpan w:val="2"/>
          </w:tcPr>
          <w:p w14:paraId="54B28769" w14:textId="77777777" w:rsidR="002A5496" w:rsidRPr="00404724" w:rsidRDefault="002A5496" w:rsidP="002A5496">
            <w:pPr>
              <w:spacing w:before="80"/>
              <w:rPr>
                <w:rFonts w:asciiTheme="minorHAnsi" w:hAnsiTheme="minorHAnsi"/>
                <w:lang w:val="en-AU"/>
              </w:rPr>
            </w:pPr>
            <w:r w:rsidRPr="00404724">
              <w:rPr>
                <w:rFonts w:asciiTheme="minorHAnsi" w:hAnsiTheme="minorHAnsi"/>
                <w:lang w:val="en-AU"/>
              </w:rPr>
              <w:t>Office of Impact Assessment (OIA) value of a statistical life</w:t>
            </w:r>
          </w:p>
        </w:tc>
        <w:tc>
          <w:tcPr>
            <w:tcW w:w="2603" w:type="dxa"/>
          </w:tcPr>
          <w:p w14:paraId="6001A062" w14:textId="77777777" w:rsidR="002A5496" w:rsidRPr="00404724" w:rsidRDefault="002A5496" w:rsidP="002A5496">
            <w:pPr>
              <w:spacing w:before="80"/>
              <w:rPr>
                <w:rFonts w:asciiTheme="minorHAnsi" w:hAnsiTheme="minorHAnsi"/>
                <w:lang w:val="en-AU"/>
              </w:rPr>
            </w:pPr>
            <w:r w:rsidRPr="00404724">
              <w:rPr>
                <w:rFonts w:asciiTheme="minorHAnsi" w:hAnsiTheme="minorHAnsi"/>
                <w:lang w:val="en-AU"/>
              </w:rPr>
              <w:t>MUARC scenario modelling</w:t>
            </w:r>
          </w:p>
        </w:tc>
      </w:tr>
      <w:tr w:rsidR="00537732" w:rsidRPr="00404724" w14:paraId="529914DC" w14:textId="77777777" w:rsidTr="00537732">
        <w:trPr>
          <w:cantSplit/>
          <w:trHeight w:val="441"/>
        </w:trPr>
        <w:tc>
          <w:tcPr>
            <w:tcW w:w="2097" w:type="dxa"/>
            <w:vMerge/>
            <w:shd w:val="clear" w:color="auto" w:fill="F2F2F2" w:themeFill="background1" w:themeFillShade="F2"/>
          </w:tcPr>
          <w:p w14:paraId="1A2971E1" w14:textId="77777777" w:rsidR="00537732" w:rsidRPr="00404724" w:rsidRDefault="00537732" w:rsidP="00537732">
            <w:pPr>
              <w:spacing w:before="80"/>
              <w:rPr>
                <w:lang w:val="en-AU"/>
              </w:rPr>
            </w:pPr>
          </w:p>
        </w:tc>
        <w:tc>
          <w:tcPr>
            <w:tcW w:w="2420" w:type="dxa"/>
          </w:tcPr>
          <w:p w14:paraId="430292E3" w14:textId="4E8C10B2" w:rsidR="00537732" w:rsidRPr="00404724" w:rsidRDefault="00537732" w:rsidP="00537732">
            <w:pPr>
              <w:spacing w:before="80"/>
              <w:rPr>
                <w:lang w:val="en-AU"/>
              </w:rPr>
            </w:pPr>
            <w:r w:rsidRPr="00404724">
              <w:rPr>
                <w:rFonts w:asciiTheme="minorHAnsi" w:hAnsiTheme="minorHAnsi"/>
                <w:lang w:val="en-AU"/>
              </w:rPr>
              <w:t>Avoided serious injuries</w:t>
            </w:r>
          </w:p>
        </w:tc>
        <w:tc>
          <w:tcPr>
            <w:tcW w:w="2744" w:type="dxa"/>
            <w:gridSpan w:val="2"/>
          </w:tcPr>
          <w:p w14:paraId="54C9F99D" w14:textId="6E695A06" w:rsidR="00537732" w:rsidRPr="00404724" w:rsidRDefault="00537732" w:rsidP="00537732">
            <w:pPr>
              <w:spacing w:before="80"/>
              <w:rPr>
                <w:lang w:val="en-AU"/>
              </w:rPr>
            </w:pPr>
            <w:r w:rsidRPr="00404724">
              <w:rPr>
                <w:rFonts w:asciiTheme="minorHAnsi" w:hAnsiTheme="minorHAnsi"/>
                <w:lang w:val="en-AU"/>
              </w:rPr>
              <w:t>Based on Australian Transport Assessment and Planning (ATAP) Guidelines</w:t>
            </w:r>
          </w:p>
        </w:tc>
        <w:tc>
          <w:tcPr>
            <w:tcW w:w="2603" w:type="dxa"/>
          </w:tcPr>
          <w:p w14:paraId="6379CC22" w14:textId="5AAF7E75" w:rsidR="00537732" w:rsidRPr="00404724" w:rsidRDefault="00537732" w:rsidP="00537732">
            <w:pPr>
              <w:spacing w:before="80"/>
              <w:rPr>
                <w:lang w:val="en-AU"/>
              </w:rPr>
            </w:pPr>
            <w:r w:rsidRPr="00404724">
              <w:rPr>
                <w:rFonts w:asciiTheme="minorHAnsi" w:hAnsiTheme="minorHAnsi"/>
                <w:lang w:val="en-AU"/>
              </w:rPr>
              <w:t>MUARC scenario modelling</w:t>
            </w:r>
          </w:p>
        </w:tc>
      </w:tr>
      <w:tr w:rsidR="002A5496" w:rsidRPr="00404724" w14:paraId="7AC64BD4" w14:textId="77777777" w:rsidTr="00537732">
        <w:trPr>
          <w:cantSplit/>
          <w:trHeight w:val="439"/>
        </w:trPr>
        <w:tc>
          <w:tcPr>
            <w:tcW w:w="2097" w:type="dxa"/>
            <w:vMerge/>
            <w:shd w:val="clear" w:color="auto" w:fill="F2F2F2" w:themeFill="background1" w:themeFillShade="F2"/>
          </w:tcPr>
          <w:p w14:paraId="00C6AF9D" w14:textId="77777777" w:rsidR="002A5496" w:rsidRPr="00404724" w:rsidRDefault="002A5496" w:rsidP="002A5496">
            <w:pPr>
              <w:spacing w:before="80"/>
              <w:rPr>
                <w:rFonts w:asciiTheme="minorHAnsi" w:hAnsiTheme="minorHAnsi"/>
                <w:lang w:val="en-AU"/>
              </w:rPr>
            </w:pPr>
          </w:p>
        </w:tc>
        <w:tc>
          <w:tcPr>
            <w:tcW w:w="2420" w:type="dxa"/>
          </w:tcPr>
          <w:p w14:paraId="614BBEE6" w14:textId="519B9046" w:rsidR="002A5496" w:rsidRPr="00404724" w:rsidRDefault="00537732" w:rsidP="002A5496">
            <w:pPr>
              <w:spacing w:before="80"/>
              <w:rPr>
                <w:rFonts w:asciiTheme="minorHAnsi" w:hAnsiTheme="minorHAnsi"/>
                <w:lang w:val="en-AU"/>
              </w:rPr>
            </w:pPr>
            <w:r w:rsidRPr="00404724">
              <w:rPr>
                <w:rFonts w:asciiTheme="minorHAnsi" w:hAnsiTheme="minorHAnsi"/>
                <w:lang w:val="en-AU"/>
              </w:rPr>
              <w:t>Avoided minor injuries</w:t>
            </w:r>
          </w:p>
        </w:tc>
        <w:tc>
          <w:tcPr>
            <w:tcW w:w="2744" w:type="dxa"/>
            <w:gridSpan w:val="2"/>
          </w:tcPr>
          <w:p w14:paraId="31E7657C" w14:textId="2B4CB960" w:rsidR="002A5496" w:rsidRPr="00404724" w:rsidRDefault="00537732" w:rsidP="002A5496">
            <w:pPr>
              <w:spacing w:before="80"/>
              <w:rPr>
                <w:rFonts w:asciiTheme="minorHAnsi" w:hAnsiTheme="minorHAnsi"/>
                <w:lang w:val="en-AU"/>
              </w:rPr>
            </w:pPr>
            <w:r w:rsidRPr="00404724">
              <w:rPr>
                <w:rFonts w:asciiTheme="minorHAnsi" w:hAnsiTheme="minorHAnsi"/>
                <w:lang w:val="en-AU"/>
              </w:rPr>
              <w:t>Based on Australian Transport Assessment and Planning (ATAP) Guidelines</w:t>
            </w:r>
          </w:p>
        </w:tc>
        <w:tc>
          <w:tcPr>
            <w:tcW w:w="2603" w:type="dxa"/>
          </w:tcPr>
          <w:p w14:paraId="152D0284" w14:textId="4A2D0FD7" w:rsidR="002A5496" w:rsidRPr="00404724" w:rsidRDefault="00537732" w:rsidP="002A5496">
            <w:pPr>
              <w:spacing w:before="80"/>
              <w:rPr>
                <w:rFonts w:asciiTheme="minorHAnsi" w:hAnsiTheme="minorHAnsi"/>
                <w:lang w:val="en-AU"/>
              </w:rPr>
            </w:pPr>
            <w:r w:rsidRPr="00404724">
              <w:rPr>
                <w:rFonts w:asciiTheme="minorHAnsi" w:hAnsiTheme="minorHAnsi"/>
                <w:lang w:val="en-AU"/>
              </w:rPr>
              <w:t>Proportional to serious injuries</w:t>
            </w:r>
          </w:p>
        </w:tc>
      </w:tr>
      <w:tr w:rsidR="002A5496" w:rsidRPr="00404724" w14:paraId="6798A911" w14:textId="77777777" w:rsidTr="00537732">
        <w:trPr>
          <w:cantSplit/>
          <w:trHeight w:val="352"/>
        </w:trPr>
        <w:tc>
          <w:tcPr>
            <w:tcW w:w="2097" w:type="dxa"/>
            <w:vMerge w:val="restart"/>
            <w:shd w:val="clear" w:color="auto" w:fill="F2F2F2" w:themeFill="background1" w:themeFillShade="F2"/>
          </w:tcPr>
          <w:p w14:paraId="245807F7" w14:textId="77777777" w:rsidR="002A5496" w:rsidRPr="00404724" w:rsidRDefault="002A5496" w:rsidP="002A5496">
            <w:pPr>
              <w:spacing w:before="80"/>
              <w:rPr>
                <w:rFonts w:asciiTheme="minorHAnsi" w:hAnsiTheme="minorHAnsi"/>
                <w:lang w:val="en-AU"/>
              </w:rPr>
            </w:pPr>
            <w:r w:rsidRPr="00404724">
              <w:rPr>
                <w:rFonts w:asciiTheme="minorHAnsi" w:hAnsiTheme="minorHAnsi"/>
                <w:lang w:val="en-AU"/>
              </w:rPr>
              <w:t>Avoided fuel consumption</w:t>
            </w:r>
          </w:p>
        </w:tc>
        <w:tc>
          <w:tcPr>
            <w:tcW w:w="2420" w:type="dxa"/>
          </w:tcPr>
          <w:p w14:paraId="6036639F" w14:textId="77777777" w:rsidR="002A5496" w:rsidRPr="00404724" w:rsidRDefault="002A5496" w:rsidP="002A5496">
            <w:pPr>
              <w:spacing w:before="80"/>
              <w:rPr>
                <w:rFonts w:asciiTheme="minorHAnsi" w:hAnsiTheme="minorHAnsi"/>
                <w:lang w:val="en-AU"/>
              </w:rPr>
            </w:pPr>
            <w:r w:rsidRPr="00404724">
              <w:rPr>
                <w:rFonts w:asciiTheme="minorHAnsi" w:hAnsiTheme="minorHAnsi"/>
                <w:lang w:val="en-AU"/>
              </w:rPr>
              <w:t>Cost of fuel</w:t>
            </w:r>
          </w:p>
        </w:tc>
        <w:tc>
          <w:tcPr>
            <w:tcW w:w="2744" w:type="dxa"/>
            <w:gridSpan w:val="2"/>
            <w:vMerge w:val="restart"/>
          </w:tcPr>
          <w:p w14:paraId="2198C340" w14:textId="5279F382" w:rsidR="002A5496" w:rsidRPr="00404724" w:rsidRDefault="002A5496" w:rsidP="002A5496">
            <w:pPr>
              <w:spacing w:before="80"/>
              <w:rPr>
                <w:rFonts w:asciiTheme="minorHAnsi" w:hAnsiTheme="minorHAnsi"/>
                <w:lang w:val="en-AU"/>
              </w:rPr>
            </w:pPr>
            <w:r w:rsidRPr="00404724">
              <w:rPr>
                <w:rFonts w:asciiTheme="minorHAnsi" w:hAnsiTheme="minorHAnsi"/>
                <w:lang w:val="en-AU"/>
              </w:rPr>
              <w:t>Estimates from ACIL Allen’s previous New Vehicle Efficiency Standard (NVES) work</w:t>
            </w:r>
          </w:p>
        </w:tc>
        <w:tc>
          <w:tcPr>
            <w:tcW w:w="2603" w:type="dxa"/>
            <w:vMerge w:val="restart"/>
          </w:tcPr>
          <w:p w14:paraId="7C8724B8" w14:textId="321215E8" w:rsidR="002A5496" w:rsidRPr="00404724" w:rsidRDefault="002A5496" w:rsidP="002A5496">
            <w:pPr>
              <w:spacing w:before="80"/>
              <w:rPr>
                <w:rFonts w:asciiTheme="minorHAnsi" w:hAnsiTheme="minorHAnsi"/>
                <w:lang w:val="en-AU"/>
              </w:rPr>
            </w:pPr>
            <w:r w:rsidRPr="00404724">
              <w:rPr>
                <w:rFonts w:asciiTheme="minorHAnsi" w:hAnsiTheme="minorHAnsi"/>
                <w:lang w:val="en-AU"/>
              </w:rPr>
              <w:t xml:space="preserve">Estimated share of VKT on </w:t>
            </w:r>
            <w:r w:rsidR="005E4B70" w:rsidRPr="00404724">
              <w:rPr>
                <w:rFonts w:asciiTheme="minorHAnsi" w:hAnsiTheme="minorHAnsi"/>
                <w:lang w:val="en-AU"/>
              </w:rPr>
              <w:t>default</w:t>
            </w:r>
            <w:r w:rsidRPr="00404724">
              <w:rPr>
                <w:rFonts w:asciiTheme="minorHAnsi" w:hAnsiTheme="minorHAnsi"/>
                <w:lang w:val="en-AU"/>
              </w:rPr>
              <w:t xml:space="preserve"> roads, adjusted by speed change estimates output by MUARC’s modelling</w:t>
            </w:r>
          </w:p>
        </w:tc>
      </w:tr>
      <w:tr w:rsidR="002A5496" w:rsidRPr="00404724" w14:paraId="268E2854" w14:textId="77777777" w:rsidTr="00537732">
        <w:trPr>
          <w:cantSplit/>
          <w:trHeight w:val="351"/>
        </w:trPr>
        <w:tc>
          <w:tcPr>
            <w:tcW w:w="2097" w:type="dxa"/>
            <w:vMerge/>
            <w:shd w:val="clear" w:color="auto" w:fill="F2F2F2" w:themeFill="background1" w:themeFillShade="F2"/>
          </w:tcPr>
          <w:p w14:paraId="669AE5B0" w14:textId="77777777" w:rsidR="002A5496" w:rsidRPr="00404724" w:rsidRDefault="002A5496" w:rsidP="002A5496">
            <w:pPr>
              <w:spacing w:before="80"/>
              <w:rPr>
                <w:rFonts w:asciiTheme="minorHAnsi" w:hAnsiTheme="minorHAnsi"/>
                <w:lang w:val="en-AU"/>
              </w:rPr>
            </w:pPr>
          </w:p>
        </w:tc>
        <w:tc>
          <w:tcPr>
            <w:tcW w:w="2420" w:type="dxa"/>
          </w:tcPr>
          <w:p w14:paraId="5F6A7C15" w14:textId="77777777" w:rsidR="002A5496" w:rsidRPr="00404724" w:rsidRDefault="002A5496" w:rsidP="002A5496">
            <w:pPr>
              <w:spacing w:before="80"/>
              <w:rPr>
                <w:rFonts w:asciiTheme="minorHAnsi" w:hAnsiTheme="minorHAnsi"/>
                <w:lang w:val="en-AU"/>
              </w:rPr>
            </w:pPr>
            <w:r w:rsidRPr="00404724">
              <w:rPr>
                <w:rFonts w:asciiTheme="minorHAnsi" w:hAnsiTheme="minorHAnsi"/>
                <w:lang w:val="en-AU"/>
              </w:rPr>
              <w:t>Emissions benefits</w:t>
            </w:r>
          </w:p>
        </w:tc>
        <w:tc>
          <w:tcPr>
            <w:tcW w:w="2744" w:type="dxa"/>
            <w:gridSpan w:val="2"/>
            <w:vMerge/>
          </w:tcPr>
          <w:p w14:paraId="13272818" w14:textId="77777777" w:rsidR="002A5496" w:rsidRPr="00404724" w:rsidRDefault="002A5496" w:rsidP="002A5496">
            <w:pPr>
              <w:spacing w:before="80"/>
              <w:rPr>
                <w:rFonts w:asciiTheme="minorHAnsi" w:hAnsiTheme="minorHAnsi"/>
                <w:lang w:val="en-AU"/>
              </w:rPr>
            </w:pPr>
          </w:p>
        </w:tc>
        <w:tc>
          <w:tcPr>
            <w:tcW w:w="2603" w:type="dxa"/>
            <w:vMerge/>
          </w:tcPr>
          <w:p w14:paraId="6039DADD" w14:textId="77777777" w:rsidR="002A5496" w:rsidRPr="00404724" w:rsidRDefault="002A5496" w:rsidP="002A5496">
            <w:pPr>
              <w:spacing w:before="80"/>
              <w:rPr>
                <w:rFonts w:asciiTheme="minorHAnsi" w:hAnsiTheme="minorHAnsi"/>
                <w:lang w:val="en-AU"/>
              </w:rPr>
            </w:pPr>
          </w:p>
        </w:tc>
      </w:tr>
      <w:tr w:rsidR="002A5496" w:rsidRPr="00404724" w14:paraId="6E122EDF" w14:textId="77777777" w:rsidTr="00537732">
        <w:trPr>
          <w:cantSplit/>
        </w:trPr>
        <w:tc>
          <w:tcPr>
            <w:tcW w:w="2097" w:type="dxa"/>
            <w:shd w:val="clear" w:color="auto" w:fill="F2F2F2" w:themeFill="background1" w:themeFillShade="F2"/>
          </w:tcPr>
          <w:p w14:paraId="36ADE267" w14:textId="77777777" w:rsidR="002A5496" w:rsidRPr="00404724" w:rsidRDefault="002A5496" w:rsidP="002A5496">
            <w:pPr>
              <w:spacing w:before="80"/>
              <w:rPr>
                <w:rFonts w:asciiTheme="minorHAnsi" w:hAnsiTheme="minorHAnsi"/>
                <w:lang w:val="en-AU"/>
              </w:rPr>
            </w:pPr>
            <w:r w:rsidRPr="00404724">
              <w:rPr>
                <w:rFonts w:asciiTheme="minorHAnsi" w:hAnsiTheme="minorHAnsi"/>
                <w:lang w:val="en-AU"/>
              </w:rPr>
              <w:t>Other intangible benefits</w:t>
            </w:r>
          </w:p>
        </w:tc>
        <w:tc>
          <w:tcPr>
            <w:tcW w:w="2420" w:type="dxa"/>
          </w:tcPr>
          <w:p w14:paraId="47D3529F" w14:textId="344D7ED1" w:rsidR="002A5496" w:rsidRPr="00404724" w:rsidRDefault="002A5496" w:rsidP="002A5496">
            <w:pPr>
              <w:spacing w:before="80"/>
              <w:rPr>
                <w:rFonts w:asciiTheme="minorHAnsi" w:hAnsiTheme="minorHAnsi"/>
                <w:lang w:val="en-AU"/>
              </w:rPr>
            </w:pPr>
            <w:r w:rsidRPr="00404724">
              <w:rPr>
                <w:rFonts w:asciiTheme="minorHAnsi" w:hAnsiTheme="minorHAnsi"/>
                <w:lang w:val="en-AU"/>
              </w:rPr>
              <w:t>Improved community amenity, reduced noise, reduced road maintenance, and enhanced perceptions of safety</w:t>
            </w:r>
          </w:p>
        </w:tc>
        <w:tc>
          <w:tcPr>
            <w:tcW w:w="2744" w:type="dxa"/>
            <w:gridSpan w:val="2"/>
          </w:tcPr>
          <w:p w14:paraId="1115895D" w14:textId="77777777" w:rsidR="002A5496" w:rsidRPr="00404724" w:rsidRDefault="002A5496" w:rsidP="002A5496">
            <w:pPr>
              <w:spacing w:before="80"/>
              <w:rPr>
                <w:rFonts w:asciiTheme="minorHAnsi" w:hAnsiTheme="minorHAnsi"/>
                <w:lang w:val="en-AU"/>
              </w:rPr>
            </w:pPr>
            <w:r w:rsidRPr="00404724">
              <w:rPr>
                <w:rFonts w:asciiTheme="minorHAnsi" w:hAnsiTheme="minorHAnsi"/>
                <w:lang w:val="en-AU"/>
              </w:rPr>
              <w:t>Qualitative discussion</w:t>
            </w:r>
          </w:p>
        </w:tc>
        <w:tc>
          <w:tcPr>
            <w:tcW w:w="2603" w:type="dxa"/>
          </w:tcPr>
          <w:p w14:paraId="024361F9" w14:textId="77777777" w:rsidR="002A5496" w:rsidRPr="00404724" w:rsidRDefault="002A5496" w:rsidP="002A5496">
            <w:pPr>
              <w:spacing w:before="80"/>
              <w:rPr>
                <w:rFonts w:asciiTheme="minorHAnsi" w:hAnsiTheme="minorHAnsi"/>
                <w:lang w:val="en-AU"/>
              </w:rPr>
            </w:pPr>
            <w:r w:rsidRPr="00404724">
              <w:rPr>
                <w:rFonts w:asciiTheme="minorHAnsi" w:hAnsiTheme="minorHAnsi"/>
                <w:lang w:val="en-AU"/>
              </w:rPr>
              <w:t>Qualitative discussion</w:t>
            </w:r>
          </w:p>
        </w:tc>
      </w:tr>
      <w:tr w:rsidR="002A5496" w:rsidRPr="00404724" w14:paraId="49A2C810" w14:textId="77777777" w:rsidTr="00537732">
        <w:trPr>
          <w:cantSplit/>
        </w:trPr>
        <w:tc>
          <w:tcPr>
            <w:tcW w:w="2097" w:type="dxa"/>
            <w:shd w:val="clear" w:color="auto" w:fill="B1CCF5" w:themeFill="accent1" w:themeFillTint="33"/>
          </w:tcPr>
          <w:p w14:paraId="4A9D21AA" w14:textId="77777777" w:rsidR="002A5496" w:rsidRPr="00404724" w:rsidRDefault="002A5496" w:rsidP="002A5496">
            <w:pPr>
              <w:spacing w:before="80"/>
              <w:rPr>
                <w:rFonts w:ascii="Calibri" w:hAnsi="Calibri" w:cs="Calibri"/>
                <w:b/>
                <w:bCs/>
                <w:lang w:val="en-AU"/>
              </w:rPr>
            </w:pPr>
            <w:r w:rsidRPr="00404724">
              <w:rPr>
                <w:rFonts w:asciiTheme="minorHAnsi" w:hAnsiTheme="minorHAnsi"/>
                <w:b/>
                <w:bCs/>
                <w:lang w:val="en-AU"/>
              </w:rPr>
              <w:t>Costs</w:t>
            </w:r>
          </w:p>
        </w:tc>
        <w:tc>
          <w:tcPr>
            <w:tcW w:w="2420" w:type="dxa"/>
            <w:shd w:val="clear" w:color="auto" w:fill="B1CCF5" w:themeFill="accent1" w:themeFillTint="33"/>
          </w:tcPr>
          <w:p w14:paraId="092162E2" w14:textId="77777777" w:rsidR="002A5496" w:rsidRPr="00404724" w:rsidRDefault="002A5496" w:rsidP="00BB5FCD">
            <w:pPr>
              <w:pStyle w:val="Tabletext"/>
              <w:rPr>
                <w:rFonts w:ascii="Calibri" w:hAnsi="Calibri" w:cs="Calibri"/>
                <w:b/>
                <w:bCs/>
                <w:sz w:val="22"/>
                <w:lang w:val="en-AU"/>
              </w:rPr>
            </w:pPr>
          </w:p>
        </w:tc>
        <w:tc>
          <w:tcPr>
            <w:tcW w:w="2744" w:type="dxa"/>
            <w:gridSpan w:val="2"/>
            <w:shd w:val="clear" w:color="auto" w:fill="B1CCF5" w:themeFill="accent1" w:themeFillTint="33"/>
          </w:tcPr>
          <w:p w14:paraId="60DB2FB2" w14:textId="77777777" w:rsidR="002A5496" w:rsidRPr="00404724" w:rsidRDefault="002A5496" w:rsidP="00BB5FCD">
            <w:pPr>
              <w:pStyle w:val="Tabletext"/>
              <w:rPr>
                <w:rFonts w:ascii="Calibri" w:hAnsi="Calibri" w:cs="Calibri"/>
                <w:b/>
                <w:bCs/>
                <w:sz w:val="22"/>
                <w:lang w:val="en-AU"/>
              </w:rPr>
            </w:pPr>
          </w:p>
        </w:tc>
        <w:tc>
          <w:tcPr>
            <w:tcW w:w="2603" w:type="dxa"/>
            <w:shd w:val="clear" w:color="auto" w:fill="B1CCF5" w:themeFill="accent1" w:themeFillTint="33"/>
          </w:tcPr>
          <w:p w14:paraId="53C1B753" w14:textId="77777777" w:rsidR="002A5496" w:rsidRPr="00404724" w:rsidRDefault="002A5496" w:rsidP="00BB5FCD">
            <w:pPr>
              <w:pStyle w:val="Tabletext"/>
              <w:rPr>
                <w:rFonts w:ascii="Calibri" w:hAnsi="Calibri" w:cs="Calibri"/>
                <w:b/>
                <w:bCs/>
                <w:sz w:val="22"/>
                <w:lang w:val="en-AU"/>
              </w:rPr>
            </w:pPr>
          </w:p>
        </w:tc>
      </w:tr>
      <w:tr w:rsidR="002A5496" w:rsidRPr="00404724" w14:paraId="3F6E9D3F" w14:textId="77777777" w:rsidTr="00537732">
        <w:trPr>
          <w:cantSplit/>
        </w:trPr>
        <w:tc>
          <w:tcPr>
            <w:tcW w:w="2097" w:type="dxa"/>
            <w:shd w:val="clear" w:color="auto" w:fill="F2F2F2" w:themeFill="background1" w:themeFillShade="F2"/>
          </w:tcPr>
          <w:p w14:paraId="04E1F0A6" w14:textId="77777777" w:rsidR="002A5496" w:rsidRPr="00404724" w:rsidRDefault="002A5496" w:rsidP="002A5496">
            <w:pPr>
              <w:spacing w:before="80"/>
              <w:rPr>
                <w:rFonts w:asciiTheme="minorHAnsi" w:hAnsiTheme="minorHAnsi"/>
                <w:lang w:val="en-AU"/>
              </w:rPr>
            </w:pPr>
            <w:r w:rsidRPr="00404724">
              <w:rPr>
                <w:rFonts w:asciiTheme="minorHAnsi" w:hAnsiTheme="minorHAnsi"/>
                <w:lang w:val="en-AU"/>
              </w:rPr>
              <w:t>Travel time</w:t>
            </w:r>
          </w:p>
        </w:tc>
        <w:tc>
          <w:tcPr>
            <w:tcW w:w="2420" w:type="dxa"/>
          </w:tcPr>
          <w:p w14:paraId="6AD9B3D2" w14:textId="77777777" w:rsidR="002A5496" w:rsidRPr="00404724" w:rsidRDefault="002A5496" w:rsidP="002A5496">
            <w:pPr>
              <w:spacing w:before="80"/>
              <w:rPr>
                <w:rFonts w:asciiTheme="minorHAnsi" w:hAnsiTheme="minorHAnsi"/>
                <w:lang w:val="en-AU"/>
              </w:rPr>
            </w:pPr>
            <w:r w:rsidRPr="00404724">
              <w:rPr>
                <w:rFonts w:asciiTheme="minorHAnsi" w:hAnsiTheme="minorHAnsi"/>
                <w:lang w:val="en-AU"/>
              </w:rPr>
              <w:t>Private travel time</w:t>
            </w:r>
          </w:p>
          <w:p w14:paraId="3CD45CE0" w14:textId="77777777" w:rsidR="002A5496" w:rsidRPr="00404724" w:rsidRDefault="002A5496" w:rsidP="002A5496">
            <w:pPr>
              <w:spacing w:before="80"/>
              <w:rPr>
                <w:rFonts w:asciiTheme="minorHAnsi" w:hAnsiTheme="minorHAnsi"/>
                <w:lang w:val="en-AU"/>
              </w:rPr>
            </w:pPr>
            <w:r w:rsidRPr="00404724">
              <w:rPr>
                <w:rFonts w:asciiTheme="minorHAnsi" w:hAnsiTheme="minorHAnsi"/>
                <w:lang w:val="en-AU"/>
              </w:rPr>
              <w:t>Business travel time</w:t>
            </w:r>
          </w:p>
          <w:p w14:paraId="39FBD245" w14:textId="77777777" w:rsidR="002A5496" w:rsidRPr="00404724" w:rsidRDefault="002A5496" w:rsidP="002A5496">
            <w:pPr>
              <w:spacing w:before="80"/>
              <w:rPr>
                <w:rFonts w:asciiTheme="minorHAnsi" w:hAnsiTheme="minorHAnsi"/>
                <w:lang w:val="en-AU"/>
              </w:rPr>
            </w:pPr>
            <w:r w:rsidRPr="00404724">
              <w:rPr>
                <w:rFonts w:asciiTheme="minorHAnsi" w:hAnsiTheme="minorHAnsi"/>
                <w:lang w:val="en-AU"/>
              </w:rPr>
              <w:t>Logistics travel time</w:t>
            </w:r>
          </w:p>
        </w:tc>
        <w:tc>
          <w:tcPr>
            <w:tcW w:w="2744" w:type="dxa"/>
            <w:gridSpan w:val="2"/>
          </w:tcPr>
          <w:p w14:paraId="0CBE7331" w14:textId="7ADF37C6" w:rsidR="002A5496" w:rsidRPr="00404724" w:rsidRDefault="006D39D6" w:rsidP="002A5496">
            <w:pPr>
              <w:spacing w:before="80"/>
              <w:rPr>
                <w:rFonts w:asciiTheme="minorHAnsi" w:hAnsiTheme="minorHAnsi"/>
                <w:lang w:val="en-AU"/>
              </w:rPr>
            </w:pPr>
            <w:r w:rsidRPr="00404724">
              <w:rPr>
                <w:rFonts w:asciiTheme="minorHAnsi" w:hAnsiTheme="minorHAnsi"/>
                <w:lang w:val="en-AU"/>
              </w:rPr>
              <w:t>Austroads</w:t>
            </w:r>
            <w:r w:rsidR="002A5496" w:rsidRPr="00404724">
              <w:rPr>
                <w:rFonts w:asciiTheme="minorHAnsi" w:hAnsiTheme="minorHAnsi"/>
                <w:lang w:val="en-AU"/>
              </w:rPr>
              <w:t xml:space="preserve"> estimates of value of travel time</w:t>
            </w:r>
          </w:p>
          <w:p w14:paraId="0155D547" w14:textId="77777777" w:rsidR="002A5496" w:rsidRPr="00404724" w:rsidRDefault="002A5496" w:rsidP="002A5496">
            <w:pPr>
              <w:spacing w:before="80"/>
              <w:rPr>
                <w:rFonts w:asciiTheme="minorHAnsi" w:hAnsiTheme="minorHAnsi"/>
                <w:lang w:val="en-AU"/>
              </w:rPr>
            </w:pPr>
            <w:r w:rsidRPr="00404724">
              <w:rPr>
                <w:rFonts w:asciiTheme="minorHAnsi" w:hAnsiTheme="minorHAnsi"/>
                <w:lang w:val="en-AU"/>
              </w:rPr>
              <w:t>Logistics company estimates of cost of travel time</w:t>
            </w:r>
          </w:p>
        </w:tc>
        <w:tc>
          <w:tcPr>
            <w:tcW w:w="2603" w:type="dxa"/>
          </w:tcPr>
          <w:p w14:paraId="54E3BA4A" w14:textId="606BA69B" w:rsidR="002A5496" w:rsidRPr="00404724" w:rsidRDefault="002A5496" w:rsidP="002A5496">
            <w:pPr>
              <w:spacing w:before="80"/>
              <w:rPr>
                <w:rFonts w:asciiTheme="minorHAnsi" w:hAnsiTheme="minorHAnsi"/>
                <w:lang w:val="en-AU"/>
              </w:rPr>
            </w:pPr>
            <w:r w:rsidRPr="00404724">
              <w:rPr>
                <w:rFonts w:asciiTheme="minorHAnsi" w:hAnsiTheme="minorHAnsi"/>
                <w:lang w:val="en-AU"/>
              </w:rPr>
              <w:t xml:space="preserve">Estimated share of VKT on </w:t>
            </w:r>
            <w:r w:rsidR="005E4B70" w:rsidRPr="00404724">
              <w:rPr>
                <w:rFonts w:asciiTheme="minorHAnsi" w:hAnsiTheme="minorHAnsi"/>
                <w:lang w:val="en-AU"/>
              </w:rPr>
              <w:t>default</w:t>
            </w:r>
            <w:r w:rsidRPr="00404724">
              <w:rPr>
                <w:rFonts w:asciiTheme="minorHAnsi" w:hAnsiTheme="minorHAnsi"/>
                <w:lang w:val="en-AU"/>
              </w:rPr>
              <w:t xml:space="preserve"> roads, adjusted by speed change estimates</w:t>
            </w:r>
          </w:p>
        </w:tc>
      </w:tr>
      <w:tr w:rsidR="002A5496" w:rsidRPr="00404724" w14:paraId="0ECB3662" w14:textId="77777777" w:rsidTr="00537732">
        <w:trPr>
          <w:cantSplit/>
        </w:trPr>
        <w:tc>
          <w:tcPr>
            <w:tcW w:w="2097" w:type="dxa"/>
            <w:shd w:val="clear" w:color="auto" w:fill="F2F2F2" w:themeFill="background1" w:themeFillShade="F2"/>
          </w:tcPr>
          <w:p w14:paraId="11936291" w14:textId="77777777" w:rsidR="002A5496" w:rsidRPr="00404724" w:rsidRDefault="002A5496" w:rsidP="002A5496">
            <w:pPr>
              <w:spacing w:before="80"/>
              <w:rPr>
                <w:rFonts w:asciiTheme="minorHAnsi" w:hAnsiTheme="minorHAnsi"/>
                <w:lang w:val="en-AU"/>
              </w:rPr>
            </w:pPr>
            <w:r w:rsidRPr="00404724">
              <w:rPr>
                <w:rFonts w:asciiTheme="minorHAnsi" w:hAnsiTheme="minorHAnsi"/>
                <w:lang w:val="en-AU"/>
              </w:rPr>
              <w:t>Government costs</w:t>
            </w:r>
          </w:p>
        </w:tc>
        <w:tc>
          <w:tcPr>
            <w:tcW w:w="2420" w:type="dxa"/>
          </w:tcPr>
          <w:p w14:paraId="5E38FEA2" w14:textId="160CDF8C" w:rsidR="002A5496" w:rsidRPr="00404724" w:rsidRDefault="002A5496" w:rsidP="002A5496">
            <w:pPr>
              <w:spacing w:before="80"/>
              <w:rPr>
                <w:rFonts w:asciiTheme="minorHAnsi" w:hAnsiTheme="minorHAnsi"/>
                <w:lang w:val="en-AU"/>
              </w:rPr>
            </w:pPr>
            <w:r w:rsidRPr="00404724">
              <w:rPr>
                <w:rFonts w:asciiTheme="minorHAnsi" w:hAnsiTheme="minorHAnsi"/>
                <w:lang w:val="en-AU"/>
              </w:rPr>
              <w:t>Administrative costs</w:t>
            </w:r>
          </w:p>
        </w:tc>
        <w:tc>
          <w:tcPr>
            <w:tcW w:w="5347" w:type="dxa"/>
            <w:gridSpan w:val="3"/>
          </w:tcPr>
          <w:p w14:paraId="4B8D8244" w14:textId="68E5A781" w:rsidR="002A5496" w:rsidRPr="00404724" w:rsidRDefault="002A5496" w:rsidP="002A5496">
            <w:pPr>
              <w:spacing w:before="80"/>
              <w:rPr>
                <w:rFonts w:asciiTheme="minorHAnsi" w:hAnsiTheme="minorHAnsi"/>
                <w:lang w:val="en-AU"/>
              </w:rPr>
            </w:pPr>
            <w:r w:rsidRPr="00404724">
              <w:rPr>
                <w:rFonts w:asciiTheme="minorHAnsi" w:hAnsiTheme="minorHAnsi"/>
                <w:lang w:val="en-AU"/>
              </w:rPr>
              <w:t>Departmental estimates</w:t>
            </w:r>
          </w:p>
        </w:tc>
      </w:tr>
      <w:tr w:rsidR="002A5496" w:rsidRPr="00404724" w14:paraId="43DDF83E" w14:textId="77777777" w:rsidTr="00537732">
        <w:trPr>
          <w:cantSplit/>
        </w:trPr>
        <w:tc>
          <w:tcPr>
            <w:tcW w:w="2097" w:type="dxa"/>
            <w:shd w:val="clear" w:color="auto" w:fill="F2F2F2" w:themeFill="background1" w:themeFillShade="F2"/>
          </w:tcPr>
          <w:p w14:paraId="24F2129D" w14:textId="77777777" w:rsidR="002A5496" w:rsidRPr="00404724" w:rsidRDefault="002A5496" w:rsidP="002A5496">
            <w:pPr>
              <w:spacing w:before="80"/>
              <w:rPr>
                <w:rFonts w:asciiTheme="minorHAnsi" w:hAnsiTheme="minorHAnsi"/>
                <w:lang w:val="en-AU"/>
              </w:rPr>
            </w:pPr>
            <w:r w:rsidRPr="00404724">
              <w:rPr>
                <w:rFonts w:asciiTheme="minorHAnsi" w:hAnsiTheme="minorHAnsi"/>
                <w:lang w:val="en-AU"/>
              </w:rPr>
              <w:t>Other intangible costs</w:t>
            </w:r>
          </w:p>
        </w:tc>
        <w:tc>
          <w:tcPr>
            <w:tcW w:w="2420" w:type="dxa"/>
          </w:tcPr>
          <w:p w14:paraId="75C0CFAC" w14:textId="1CE375EE" w:rsidR="002A5496" w:rsidRPr="00404724" w:rsidRDefault="002A5496" w:rsidP="002A5496">
            <w:pPr>
              <w:spacing w:before="80"/>
              <w:rPr>
                <w:rFonts w:asciiTheme="minorHAnsi" w:hAnsiTheme="minorHAnsi"/>
                <w:lang w:val="en-AU"/>
              </w:rPr>
            </w:pPr>
            <w:r w:rsidRPr="00404724">
              <w:rPr>
                <w:rFonts w:asciiTheme="minorHAnsi" w:hAnsiTheme="minorHAnsi"/>
                <w:lang w:val="en-AU"/>
              </w:rPr>
              <w:t xml:space="preserve">Social acceptance and public </w:t>
            </w:r>
            <w:r w:rsidR="006D39D6" w:rsidRPr="00404724">
              <w:rPr>
                <w:rFonts w:asciiTheme="minorHAnsi" w:hAnsiTheme="minorHAnsi"/>
                <w:lang w:val="en-AU"/>
              </w:rPr>
              <w:t>opinion</w:t>
            </w:r>
          </w:p>
        </w:tc>
        <w:tc>
          <w:tcPr>
            <w:tcW w:w="2673" w:type="dxa"/>
          </w:tcPr>
          <w:p w14:paraId="00EBF3FF" w14:textId="77777777" w:rsidR="002A5496" w:rsidRPr="00404724" w:rsidRDefault="002A5496" w:rsidP="002A5496">
            <w:pPr>
              <w:spacing w:before="80"/>
              <w:rPr>
                <w:rFonts w:asciiTheme="minorHAnsi" w:hAnsiTheme="minorHAnsi"/>
                <w:lang w:val="en-AU"/>
              </w:rPr>
            </w:pPr>
            <w:r w:rsidRPr="00404724">
              <w:rPr>
                <w:rFonts w:asciiTheme="minorHAnsi" w:hAnsiTheme="minorHAnsi"/>
                <w:lang w:val="en-AU"/>
              </w:rPr>
              <w:t>Qualitative discussion</w:t>
            </w:r>
          </w:p>
        </w:tc>
        <w:tc>
          <w:tcPr>
            <w:tcW w:w="2674" w:type="dxa"/>
            <w:gridSpan w:val="2"/>
          </w:tcPr>
          <w:p w14:paraId="76FC3083" w14:textId="77777777" w:rsidR="002A5496" w:rsidRPr="00404724" w:rsidRDefault="002A5496" w:rsidP="002A5496">
            <w:pPr>
              <w:spacing w:before="80"/>
              <w:rPr>
                <w:rFonts w:asciiTheme="minorHAnsi" w:hAnsiTheme="minorHAnsi"/>
                <w:lang w:val="en-AU"/>
              </w:rPr>
            </w:pPr>
            <w:r w:rsidRPr="00404724">
              <w:rPr>
                <w:rFonts w:asciiTheme="minorHAnsi" w:hAnsiTheme="minorHAnsi"/>
                <w:lang w:val="en-AU"/>
              </w:rPr>
              <w:t>Qualitative discussion</w:t>
            </w:r>
          </w:p>
        </w:tc>
      </w:tr>
    </w:tbl>
    <w:p w14:paraId="3589420F" w14:textId="77777777" w:rsidR="002A5496" w:rsidRPr="00404724" w:rsidRDefault="002A5496" w:rsidP="00AE4E2F">
      <w:pPr>
        <w:pStyle w:val="Sourcenotes"/>
        <w:rPr>
          <w:lang w:val="en-AU"/>
        </w:rPr>
      </w:pPr>
      <w:r w:rsidRPr="00404724">
        <w:rPr>
          <w:lang w:val="en-AU"/>
        </w:rPr>
        <w:t>Source: ACIL Allen</w:t>
      </w:r>
    </w:p>
    <w:p w14:paraId="031CD208" w14:textId="4A846D56" w:rsidR="0096309D" w:rsidRPr="00404724" w:rsidRDefault="0096309D" w:rsidP="00FE7D3E">
      <w:pPr>
        <w:pStyle w:val="Heading4"/>
      </w:pPr>
      <w:bookmarkStart w:id="268" w:name="_Toc210042551"/>
      <w:bookmarkStart w:id="269" w:name="_Toc210049193"/>
      <w:bookmarkStart w:id="270" w:name="_Toc210051633"/>
      <w:bookmarkStart w:id="271" w:name="_Toc210051714"/>
      <w:r w:rsidRPr="00404724">
        <w:t>Scenario-based modelling</w:t>
      </w:r>
      <w:bookmarkEnd w:id="268"/>
      <w:bookmarkEnd w:id="269"/>
      <w:bookmarkEnd w:id="270"/>
      <w:bookmarkEnd w:id="271"/>
    </w:p>
    <w:p w14:paraId="41561B91" w14:textId="2BEDF6E1" w:rsidR="00527ACB" w:rsidRPr="00404724" w:rsidRDefault="0096309D" w:rsidP="0096309D">
      <w:r w:rsidRPr="00404724">
        <w:t xml:space="preserve">CBAs typically make a central estimate of the costs and benefits on the basis of relatively certain estimates of quantity and price, allowing for any deviations from these to be handled in sensitivity analysis. </w:t>
      </w:r>
      <w:r w:rsidR="007813A6" w:rsidRPr="00404724">
        <w:t>However</w:t>
      </w:r>
      <w:r w:rsidR="00527ACB" w:rsidRPr="00404724">
        <w:t xml:space="preserve">, in attempting to estimate the costs and benefits of a default speed reductions, there are too many uncertainties to be able to make a </w:t>
      </w:r>
      <w:r w:rsidR="000943D4" w:rsidRPr="00404724">
        <w:t>firm</w:t>
      </w:r>
      <w:r w:rsidR="00527ACB" w:rsidRPr="00404724">
        <w:t xml:space="preserve"> estimate. </w:t>
      </w:r>
      <w:r w:rsidRPr="00404724">
        <w:t xml:space="preserve">As will be discussed further in sections </w:t>
      </w:r>
      <w:r w:rsidRPr="00404724">
        <w:fldChar w:fldCharType="begin"/>
      </w:r>
      <w:r w:rsidRPr="00404724">
        <w:instrText xml:space="preserve"> REF _Ref208567633 \r \h </w:instrText>
      </w:r>
      <w:r w:rsidRPr="00404724">
        <w:fldChar w:fldCharType="separate"/>
      </w:r>
      <w:r w:rsidR="00BF489D">
        <w:t>4.2</w:t>
      </w:r>
      <w:r w:rsidRPr="00404724">
        <w:fldChar w:fldCharType="end"/>
      </w:r>
      <w:r w:rsidRPr="00404724">
        <w:t xml:space="preserve"> and </w:t>
      </w:r>
      <w:r w:rsidRPr="00404724">
        <w:fldChar w:fldCharType="begin"/>
      </w:r>
      <w:r w:rsidRPr="00404724">
        <w:instrText xml:space="preserve"> REF _Ref208567655 \r \h </w:instrText>
      </w:r>
      <w:r w:rsidRPr="00404724">
        <w:fldChar w:fldCharType="separate"/>
      </w:r>
      <w:r w:rsidR="00BF489D">
        <w:t>4.3</w:t>
      </w:r>
      <w:r w:rsidRPr="00404724">
        <w:fldChar w:fldCharType="end"/>
      </w:r>
      <w:r w:rsidRPr="00404724">
        <w:t xml:space="preserve">, </w:t>
      </w:r>
      <w:r w:rsidR="00527ACB" w:rsidRPr="00404724">
        <w:t xml:space="preserve">the </w:t>
      </w:r>
      <w:r w:rsidRPr="00404724">
        <w:t xml:space="preserve">vehicle-kilometres travelled </w:t>
      </w:r>
      <w:r w:rsidR="00527ACB" w:rsidRPr="00404724">
        <w:t xml:space="preserve">(VKT) (that is to say, the amount of driving) </w:t>
      </w:r>
      <w:r w:rsidRPr="00404724">
        <w:t xml:space="preserve">and </w:t>
      </w:r>
      <w:r w:rsidR="00527ACB" w:rsidRPr="00404724">
        <w:t xml:space="preserve">the </w:t>
      </w:r>
      <w:r w:rsidRPr="00404724">
        <w:t>share of fatal and serious injury</w:t>
      </w:r>
      <w:r w:rsidR="00527ACB" w:rsidRPr="00404724">
        <w:t xml:space="preserve"> (FSI)</w:t>
      </w:r>
      <w:r w:rsidRPr="00404724">
        <w:t xml:space="preserve"> crashes </w:t>
      </w:r>
      <w:r w:rsidRPr="00404724">
        <w:lastRenderedPageBreak/>
        <w:t>that occur on default roads</w:t>
      </w:r>
      <w:r w:rsidR="00527ACB" w:rsidRPr="00404724">
        <w:t xml:space="preserve"> are unknown</w:t>
      </w:r>
      <w:r w:rsidR="000943D4" w:rsidRPr="00404724">
        <w:t xml:space="preserve"> across jurisdictions</w:t>
      </w:r>
      <w:r w:rsidR="00527ACB" w:rsidRPr="00404724">
        <w:t xml:space="preserve">. While the VKT and FSI on default roads cannot exceed the VKT and FSI on all roads, there is very limited information on what their </w:t>
      </w:r>
      <w:r w:rsidR="000943D4" w:rsidRPr="00404724">
        <w:t>true</w:t>
      </w:r>
      <w:r w:rsidR="00527ACB" w:rsidRPr="00404724">
        <w:t xml:space="preserve"> values might be.</w:t>
      </w:r>
    </w:p>
    <w:p w14:paraId="7A9F811A" w14:textId="4D56E091" w:rsidR="00527ACB" w:rsidRPr="00404724" w:rsidRDefault="00527ACB" w:rsidP="0096309D">
      <w:r w:rsidRPr="00404724">
        <w:t xml:space="preserve">As such, there is no way to develop a robust central estimate for each option. To ameliorate these risks, a scenario-based approach has been taken.  </w:t>
      </w:r>
    </w:p>
    <w:p w14:paraId="05A0304A" w14:textId="7012D322" w:rsidR="00527ACB" w:rsidRPr="00404724" w:rsidRDefault="00527ACB" w:rsidP="00FC7ABC">
      <w:pPr>
        <w:pStyle w:val="Subtitle"/>
        <w:spacing w:before="240"/>
      </w:pPr>
      <w:r w:rsidRPr="00404724">
        <w:t xml:space="preserve">By modelling several scenarios, </w:t>
      </w:r>
      <w:r w:rsidR="00705D56" w:rsidRPr="00404724">
        <w:t xml:space="preserve">it can be identified </w:t>
      </w:r>
      <w:r w:rsidRPr="00404724">
        <w:t xml:space="preserve">whether an option would have a positive </w:t>
      </w:r>
      <w:r w:rsidR="00705D56" w:rsidRPr="00404724">
        <w:t>(</w:t>
      </w:r>
      <w:r w:rsidRPr="00404724">
        <w:t>or negative</w:t>
      </w:r>
      <w:r w:rsidR="00705D56" w:rsidRPr="00404724">
        <w:t>)</w:t>
      </w:r>
      <w:r w:rsidRPr="00404724">
        <w:t xml:space="preserve"> result under any set of reasonable assumptions</w:t>
      </w:r>
      <w:r w:rsidR="00705D56" w:rsidRPr="00404724">
        <w:t>. This approach incorporates the uncertainty around the share of FSI and VKT into a range of final results.</w:t>
      </w:r>
    </w:p>
    <w:p w14:paraId="2C876122" w14:textId="5365CA6F" w:rsidR="00705D56" w:rsidRPr="00404724" w:rsidRDefault="00CC3FA7" w:rsidP="0096309D">
      <w:r w:rsidRPr="00404724">
        <w:t xml:space="preserve">In using these scenarios, both the </w:t>
      </w:r>
      <w:r w:rsidR="00705D56" w:rsidRPr="00404724">
        <w:t xml:space="preserve">plausible </w:t>
      </w:r>
      <w:r w:rsidRPr="00404724">
        <w:t xml:space="preserve">best- and </w:t>
      </w:r>
      <w:r w:rsidR="00705D56" w:rsidRPr="00404724">
        <w:t xml:space="preserve">plausible </w:t>
      </w:r>
      <w:r w:rsidRPr="00404724">
        <w:t xml:space="preserve">worst-case scenarios are modelled. In this way, </w:t>
      </w:r>
      <w:r w:rsidR="00144518" w:rsidRPr="00404724">
        <w:t xml:space="preserve">it </w:t>
      </w:r>
      <w:r w:rsidRPr="00404724">
        <w:t xml:space="preserve">can </w:t>
      </w:r>
      <w:r w:rsidR="00144518" w:rsidRPr="00404724">
        <w:t xml:space="preserve">be </w:t>
      </w:r>
      <w:r w:rsidRPr="00404724">
        <w:t>determine</w:t>
      </w:r>
      <w:r w:rsidR="009E4016" w:rsidRPr="00404724">
        <w:t>d</w:t>
      </w:r>
      <w:r w:rsidRPr="00404724">
        <w:t xml:space="preserve"> if there are any </w:t>
      </w:r>
      <w:r w:rsidR="00705D56" w:rsidRPr="00404724">
        <w:t xml:space="preserve">reasonable </w:t>
      </w:r>
      <w:r w:rsidRPr="00404724">
        <w:t>scenarios under which the reforms would or would not lead to a positive net benefit.</w:t>
      </w:r>
      <w:r w:rsidR="00705D56" w:rsidRPr="00404724">
        <w:t xml:space="preserve"> </w:t>
      </w:r>
      <w:r w:rsidRPr="00404724">
        <w:t>As such, instead of one set of</w:t>
      </w:r>
      <w:r w:rsidR="006D39D6" w:rsidRPr="00404724">
        <w:t xml:space="preserve"> </w:t>
      </w:r>
      <w:r w:rsidR="00705D56" w:rsidRPr="00404724">
        <w:t>results, a range would be presented.</w:t>
      </w:r>
    </w:p>
    <w:p w14:paraId="786CBCD4" w14:textId="324AB09C" w:rsidR="0096309D" w:rsidRPr="00404724" w:rsidRDefault="00705D56" w:rsidP="0096309D">
      <w:r w:rsidRPr="00404724">
        <w:t xml:space="preserve">These results will be expressed both in terms of the </w:t>
      </w:r>
      <w:r w:rsidR="006D39D6" w:rsidRPr="00404724">
        <w:t>benefit-cost ratio</w:t>
      </w:r>
      <w:r w:rsidR="00CC3FA7" w:rsidRPr="00404724">
        <w:t xml:space="preserve"> </w:t>
      </w:r>
      <w:r w:rsidR="006D39D6" w:rsidRPr="00404724">
        <w:t>(</w:t>
      </w:r>
      <w:r w:rsidR="00CC3FA7" w:rsidRPr="00404724">
        <w:t>BCR</w:t>
      </w:r>
      <w:r w:rsidR="006D39D6" w:rsidRPr="00404724">
        <w:t>)</w:t>
      </w:r>
      <w:r w:rsidR="00CC3FA7" w:rsidRPr="00404724">
        <w:t xml:space="preserve"> and </w:t>
      </w:r>
      <w:r w:rsidR="006D39D6" w:rsidRPr="00404724">
        <w:t>net present value (</w:t>
      </w:r>
      <w:r w:rsidR="00CC3FA7" w:rsidRPr="00404724">
        <w:t>NPV</w:t>
      </w:r>
      <w:r w:rsidR="006D39D6" w:rsidRPr="00404724">
        <w:t>)</w:t>
      </w:r>
      <w:r w:rsidR="00CC3FA7" w:rsidRPr="00404724">
        <w:t xml:space="preserve">. </w:t>
      </w:r>
      <w:r w:rsidR="001B7CDB" w:rsidRPr="00404724">
        <w:t xml:space="preserve">An explanation of these measures </w:t>
      </w:r>
      <w:r w:rsidR="009E4016" w:rsidRPr="00404724">
        <w:t>is</w:t>
      </w:r>
      <w:r w:rsidR="001B7CDB" w:rsidRPr="00404724">
        <w:t xml:space="preserve"> provided in </w:t>
      </w:r>
      <w:r w:rsidR="001B7CDB" w:rsidRPr="00404724">
        <w:fldChar w:fldCharType="begin"/>
      </w:r>
      <w:r w:rsidR="001B7CDB" w:rsidRPr="00404724">
        <w:instrText xml:space="preserve"> REF _Ref209435724 \h </w:instrText>
      </w:r>
      <w:r w:rsidR="001B7CDB" w:rsidRPr="00404724">
        <w:fldChar w:fldCharType="separate"/>
      </w:r>
      <w:r w:rsidR="00BF489D" w:rsidRPr="00404724">
        <w:t xml:space="preserve">Table </w:t>
      </w:r>
      <w:r w:rsidR="00BF489D">
        <w:rPr>
          <w:noProof/>
        </w:rPr>
        <w:t>13</w:t>
      </w:r>
      <w:r w:rsidR="001B7CDB" w:rsidRPr="00404724">
        <w:fldChar w:fldCharType="end"/>
      </w:r>
      <w:r w:rsidR="001B7CDB" w:rsidRPr="00404724">
        <w:t>.</w:t>
      </w:r>
      <w:r w:rsidR="00CC3FA7" w:rsidRPr="00404724">
        <w:t xml:space="preserve"> </w:t>
      </w:r>
    </w:p>
    <w:p w14:paraId="50181E6F" w14:textId="0AC16719" w:rsidR="001B7CDB" w:rsidRPr="00404724" w:rsidRDefault="001B7CDB" w:rsidP="003979C3">
      <w:pPr>
        <w:pStyle w:val="Tablefigureheading"/>
      </w:pPr>
      <w:bookmarkStart w:id="272" w:name="_Ref209435724"/>
      <w:bookmarkStart w:id="273" w:name="_Toc210040358"/>
      <w:bookmarkStart w:id="274" w:name="_Toc210051894"/>
      <w:r w:rsidRPr="00404724">
        <w:t xml:space="preserve">Table </w:t>
      </w:r>
      <w:r w:rsidR="00EC39D5">
        <w:fldChar w:fldCharType="begin"/>
      </w:r>
      <w:r w:rsidR="00EC39D5">
        <w:instrText xml:space="preserve"> SEQ Table \* ARABIC </w:instrText>
      </w:r>
      <w:r w:rsidR="00EC39D5">
        <w:fldChar w:fldCharType="separate"/>
      </w:r>
      <w:r w:rsidR="00BF489D">
        <w:rPr>
          <w:noProof/>
        </w:rPr>
        <w:t>13</w:t>
      </w:r>
      <w:r w:rsidR="00EC39D5">
        <w:rPr>
          <w:noProof/>
        </w:rPr>
        <w:fldChar w:fldCharType="end"/>
      </w:r>
      <w:bookmarkEnd w:id="272"/>
      <w:r w:rsidRPr="00404724">
        <w:tab/>
        <w:t>Net impact measures</w:t>
      </w:r>
      <w:bookmarkEnd w:id="273"/>
      <w:bookmarkEnd w:id="274"/>
    </w:p>
    <w:tbl>
      <w:tblPr>
        <w:tblW w:w="10207" w:type="dxa"/>
        <w:tblLook w:val="04A0" w:firstRow="1" w:lastRow="0" w:firstColumn="1" w:lastColumn="0" w:noHBand="0" w:noVBand="1"/>
        <w:tblCaption w:val="Table 13 Net impact measures"/>
        <w:tblDescription w:val="Table 13 Net impact measures"/>
      </w:tblPr>
      <w:tblGrid>
        <w:gridCol w:w="1418"/>
        <w:gridCol w:w="1984"/>
        <w:gridCol w:w="2410"/>
        <w:gridCol w:w="4395"/>
      </w:tblGrid>
      <w:tr w:rsidR="001B7CDB" w:rsidRPr="00404724" w14:paraId="6EB59590" w14:textId="77777777" w:rsidTr="00FC7ABC">
        <w:trPr>
          <w:cantSplit/>
          <w:tblHeader/>
        </w:trPr>
        <w:tc>
          <w:tcPr>
            <w:tcW w:w="1418" w:type="dxa"/>
            <w:tcBorders>
              <w:top w:val="nil"/>
              <w:left w:val="nil"/>
              <w:bottom w:val="single" w:sz="4" w:space="0" w:color="auto"/>
              <w:right w:val="nil"/>
            </w:tcBorders>
            <w:shd w:val="clear" w:color="auto" w:fill="081E3E" w:themeFill="accent1"/>
            <w:hideMark/>
          </w:tcPr>
          <w:p w14:paraId="43A6A3D9" w14:textId="77777777" w:rsidR="001B7CDB" w:rsidRPr="00404724" w:rsidRDefault="001B7CDB" w:rsidP="00FC7ABC">
            <w:pPr>
              <w:spacing w:after="0"/>
              <w:rPr>
                <w:b/>
                <w:color w:val="FFFFFF" w:themeColor="background1"/>
              </w:rPr>
            </w:pPr>
            <w:r w:rsidRPr="00404724">
              <w:rPr>
                <w:b/>
                <w:color w:val="FFFFFF" w:themeColor="background1"/>
              </w:rPr>
              <w:t>Measure</w:t>
            </w:r>
          </w:p>
        </w:tc>
        <w:tc>
          <w:tcPr>
            <w:tcW w:w="1984" w:type="dxa"/>
            <w:tcBorders>
              <w:top w:val="nil"/>
              <w:left w:val="nil"/>
              <w:bottom w:val="single" w:sz="4" w:space="0" w:color="auto"/>
              <w:right w:val="nil"/>
            </w:tcBorders>
            <w:shd w:val="clear" w:color="auto" w:fill="081E3E" w:themeFill="accent1"/>
            <w:hideMark/>
          </w:tcPr>
          <w:p w14:paraId="6AE89AC4" w14:textId="77777777" w:rsidR="001B7CDB" w:rsidRPr="00404724" w:rsidRDefault="001B7CDB" w:rsidP="00FC7ABC">
            <w:pPr>
              <w:spacing w:after="0"/>
              <w:rPr>
                <w:b/>
                <w:color w:val="FFFFFF" w:themeColor="background1"/>
              </w:rPr>
            </w:pPr>
            <w:r w:rsidRPr="00404724">
              <w:rPr>
                <w:b/>
                <w:color w:val="FFFFFF" w:themeColor="background1"/>
              </w:rPr>
              <w:t>Description</w:t>
            </w:r>
          </w:p>
        </w:tc>
        <w:tc>
          <w:tcPr>
            <w:tcW w:w="2410" w:type="dxa"/>
            <w:tcBorders>
              <w:top w:val="nil"/>
              <w:left w:val="nil"/>
              <w:bottom w:val="single" w:sz="4" w:space="0" w:color="auto"/>
              <w:right w:val="nil"/>
            </w:tcBorders>
            <w:shd w:val="clear" w:color="auto" w:fill="081E3E" w:themeFill="accent1"/>
            <w:hideMark/>
          </w:tcPr>
          <w:p w14:paraId="7886305C" w14:textId="77777777" w:rsidR="001B7CDB" w:rsidRPr="00404724" w:rsidRDefault="001B7CDB" w:rsidP="00FC7ABC">
            <w:pPr>
              <w:spacing w:after="0"/>
              <w:rPr>
                <w:b/>
                <w:color w:val="FFFFFF" w:themeColor="background1"/>
              </w:rPr>
            </w:pPr>
            <w:r w:rsidRPr="00404724">
              <w:rPr>
                <w:b/>
                <w:color w:val="FFFFFF" w:themeColor="background1"/>
              </w:rPr>
              <w:t>Success measurement</w:t>
            </w:r>
          </w:p>
        </w:tc>
        <w:tc>
          <w:tcPr>
            <w:tcW w:w="0" w:type="auto"/>
            <w:tcBorders>
              <w:top w:val="nil"/>
              <w:left w:val="nil"/>
              <w:bottom w:val="single" w:sz="4" w:space="0" w:color="auto"/>
              <w:right w:val="nil"/>
            </w:tcBorders>
            <w:shd w:val="clear" w:color="auto" w:fill="081E3E" w:themeFill="accent1"/>
            <w:hideMark/>
          </w:tcPr>
          <w:p w14:paraId="4EFA2DA3" w14:textId="77777777" w:rsidR="001B7CDB" w:rsidRPr="00404724" w:rsidRDefault="001B7CDB" w:rsidP="00FC7ABC">
            <w:pPr>
              <w:spacing w:after="0"/>
              <w:rPr>
                <w:b/>
                <w:color w:val="FFFFFF" w:themeColor="background1"/>
              </w:rPr>
            </w:pPr>
            <w:r w:rsidRPr="00404724">
              <w:rPr>
                <w:b/>
                <w:color w:val="FFFFFF" w:themeColor="background1"/>
              </w:rPr>
              <w:t>Comparative ability</w:t>
            </w:r>
          </w:p>
        </w:tc>
      </w:tr>
      <w:tr w:rsidR="001B7CDB" w:rsidRPr="00404724" w14:paraId="12791D22" w14:textId="77777777" w:rsidTr="00FC7ABC">
        <w:trPr>
          <w:cantSplit/>
        </w:trPr>
        <w:tc>
          <w:tcPr>
            <w:tcW w:w="1418" w:type="dxa"/>
            <w:tcBorders>
              <w:top w:val="single" w:sz="4" w:space="0" w:color="auto"/>
              <w:left w:val="nil"/>
              <w:bottom w:val="single" w:sz="4" w:space="0" w:color="auto"/>
              <w:right w:val="nil"/>
            </w:tcBorders>
            <w:shd w:val="clear" w:color="auto" w:fill="F2F2F2" w:themeFill="background1" w:themeFillShade="F2"/>
            <w:hideMark/>
          </w:tcPr>
          <w:p w14:paraId="47379CDD" w14:textId="77777777" w:rsidR="001B7CDB" w:rsidRPr="00404724" w:rsidRDefault="001B7CDB" w:rsidP="00FC7ABC">
            <w:pPr>
              <w:spacing w:before="0"/>
            </w:pPr>
            <w:r w:rsidRPr="00404724">
              <w:rPr>
                <w:b/>
                <w:bCs/>
              </w:rPr>
              <w:t xml:space="preserve">Net present value </w:t>
            </w:r>
            <w:r w:rsidRPr="00404724">
              <w:t>(NPV)</w:t>
            </w:r>
          </w:p>
        </w:tc>
        <w:tc>
          <w:tcPr>
            <w:tcW w:w="1984" w:type="dxa"/>
            <w:tcBorders>
              <w:top w:val="single" w:sz="4" w:space="0" w:color="auto"/>
              <w:left w:val="nil"/>
              <w:bottom w:val="single" w:sz="4" w:space="0" w:color="auto"/>
              <w:right w:val="nil"/>
            </w:tcBorders>
            <w:hideMark/>
          </w:tcPr>
          <w:p w14:paraId="3B89A553" w14:textId="77777777" w:rsidR="001B7CDB" w:rsidRPr="00404724" w:rsidRDefault="001B7CDB" w:rsidP="00FC7ABC">
            <w:pPr>
              <w:spacing w:before="0"/>
            </w:pPr>
            <w:r w:rsidRPr="00404724">
              <w:t xml:space="preserve">Sum of discounted annual net benefits (benefits minus costs) </w:t>
            </w:r>
          </w:p>
        </w:tc>
        <w:tc>
          <w:tcPr>
            <w:tcW w:w="2410" w:type="dxa"/>
            <w:tcBorders>
              <w:top w:val="single" w:sz="4" w:space="0" w:color="auto"/>
              <w:left w:val="nil"/>
              <w:bottom w:val="single" w:sz="4" w:space="0" w:color="auto"/>
              <w:right w:val="nil"/>
            </w:tcBorders>
            <w:hideMark/>
          </w:tcPr>
          <w:p w14:paraId="2A982F3B" w14:textId="5755D2C1" w:rsidR="001B7CDB" w:rsidRPr="00404724" w:rsidRDefault="00BB3FB3" w:rsidP="00FC7ABC">
            <w:pPr>
              <w:spacing w:before="0"/>
            </w:pPr>
            <w:r w:rsidRPr="00404724">
              <w:t xml:space="preserve">Policy </w:t>
            </w:r>
            <w:r w:rsidR="001B7CDB" w:rsidRPr="00404724">
              <w:t xml:space="preserve">is beneficial to society if NPV is greater than zero </w:t>
            </w:r>
          </w:p>
        </w:tc>
        <w:tc>
          <w:tcPr>
            <w:tcW w:w="0" w:type="auto"/>
            <w:tcBorders>
              <w:top w:val="single" w:sz="4" w:space="0" w:color="auto"/>
              <w:left w:val="nil"/>
              <w:bottom w:val="single" w:sz="4" w:space="0" w:color="auto"/>
              <w:right w:val="nil"/>
            </w:tcBorders>
            <w:hideMark/>
          </w:tcPr>
          <w:p w14:paraId="2B58A840" w14:textId="77777777" w:rsidR="001B7CDB" w:rsidRPr="00404724" w:rsidRDefault="001B7CDB" w:rsidP="00FC7ABC">
            <w:pPr>
              <w:spacing w:before="0"/>
            </w:pPr>
            <w:r w:rsidRPr="00404724">
              <w:t>Provides the ability to compare programs according to the total economic return of each, where the option with the largest NPV should generally be favoured</w:t>
            </w:r>
          </w:p>
        </w:tc>
      </w:tr>
      <w:tr w:rsidR="001B7CDB" w:rsidRPr="00404724" w14:paraId="40472DC7" w14:textId="77777777" w:rsidTr="00FC7ABC">
        <w:trPr>
          <w:cantSplit/>
        </w:trPr>
        <w:tc>
          <w:tcPr>
            <w:tcW w:w="1418" w:type="dxa"/>
            <w:tcBorders>
              <w:top w:val="single" w:sz="4" w:space="0" w:color="auto"/>
              <w:left w:val="nil"/>
              <w:bottom w:val="single" w:sz="4" w:space="0" w:color="auto"/>
              <w:right w:val="nil"/>
            </w:tcBorders>
            <w:shd w:val="clear" w:color="auto" w:fill="F2F2F2" w:themeFill="background1" w:themeFillShade="F2"/>
            <w:hideMark/>
          </w:tcPr>
          <w:p w14:paraId="1AC9A2BB" w14:textId="77777777" w:rsidR="001B7CDB" w:rsidRPr="00404724" w:rsidRDefault="001B7CDB" w:rsidP="00FC7ABC">
            <w:pPr>
              <w:spacing w:before="0"/>
            </w:pPr>
            <w:r w:rsidRPr="00404724">
              <w:rPr>
                <w:b/>
                <w:bCs/>
              </w:rPr>
              <w:t xml:space="preserve">Benefit-cost ratio </w:t>
            </w:r>
            <w:r w:rsidRPr="00404724">
              <w:t>(BCR)</w:t>
            </w:r>
          </w:p>
        </w:tc>
        <w:tc>
          <w:tcPr>
            <w:tcW w:w="1984" w:type="dxa"/>
            <w:tcBorders>
              <w:top w:val="single" w:sz="4" w:space="0" w:color="auto"/>
              <w:left w:val="nil"/>
              <w:bottom w:val="single" w:sz="4" w:space="0" w:color="auto"/>
              <w:right w:val="nil"/>
            </w:tcBorders>
            <w:hideMark/>
          </w:tcPr>
          <w:p w14:paraId="44749523" w14:textId="77777777" w:rsidR="001B7CDB" w:rsidRPr="00404724" w:rsidRDefault="001B7CDB" w:rsidP="00FC7ABC">
            <w:pPr>
              <w:spacing w:before="0"/>
            </w:pPr>
            <w:r w:rsidRPr="00404724">
              <w:t xml:space="preserve">Ratio of the present value of total benefits to the present value of total costs </w:t>
            </w:r>
          </w:p>
        </w:tc>
        <w:tc>
          <w:tcPr>
            <w:tcW w:w="2410" w:type="dxa"/>
            <w:tcBorders>
              <w:top w:val="single" w:sz="4" w:space="0" w:color="auto"/>
              <w:left w:val="nil"/>
              <w:bottom w:val="single" w:sz="4" w:space="0" w:color="auto"/>
              <w:right w:val="nil"/>
            </w:tcBorders>
            <w:hideMark/>
          </w:tcPr>
          <w:p w14:paraId="478A28D8" w14:textId="50FFFDFA" w:rsidR="001B7CDB" w:rsidRPr="00404724" w:rsidRDefault="00BB3FB3" w:rsidP="00FC7ABC">
            <w:pPr>
              <w:spacing w:before="0"/>
            </w:pPr>
            <w:r w:rsidRPr="00404724">
              <w:t xml:space="preserve">Policy </w:t>
            </w:r>
            <w:r w:rsidR="001B7CDB" w:rsidRPr="00404724">
              <w:t>is beneficial to society if BCR is greater than one</w:t>
            </w:r>
          </w:p>
        </w:tc>
        <w:tc>
          <w:tcPr>
            <w:tcW w:w="0" w:type="auto"/>
            <w:tcBorders>
              <w:top w:val="single" w:sz="4" w:space="0" w:color="auto"/>
              <w:left w:val="nil"/>
              <w:bottom w:val="single" w:sz="4" w:space="0" w:color="auto"/>
              <w:right w:val="nil"/>
            </w:tcBorders>
            <w:hideMark/>
          </w:tcPr>
          <w:p w14:paraId="1A4DCB1A" w14:textId="77777777" w:rsidR="001B7CDB" w:rsidRPr="00404724" w:rsidRDefault="001B7CDB" w:rsidP="00FC7ABC">
            <w:pPr>
              <w:spacing w:before="0"/>
            </w:pPr>
            <w:r w:rsidRPr="00404724">
              <w:t>Provides the ability to compare programs according to the degree to which benefits outweigh costs for each, where the option with the largest BCR should be favoured</w:t>
            </w:r>
          </w:p>
        </w:tc>
      </w:tr>
    </w:tbl>
    <w:p w14:paraId="01B738A5" w14:textId="6F8B03D2" w:rsidR="00994BF9" w:rsidRPr="00404724" w:rsidRDefault="00994BF9" w:rsidP="00FE7D3E">
      <w:pPr>
        <w:pStyle w:val="Heading4"/>
      </w:pPr>
      <w:bookmarkStart w:id="275" w:name="_Toc210042552"/>
      <w:bookmarkStart w:id="276" w:name="_Toc210049194"/>
      <w:bookmarkStart w:id="277" w:name="_Toc210051634"/>
      <w:bookmarkStart w:id="278" w:name="_Toc210051715"/>
      <w:r w:rsidRPr="00404724">
        <w:t>Timeframe</w:t>
      </w:r>
      <w:bookmarkEnd w:id="275"/>
      <w:bookmarkEnd w:id="276"/>
      <w:bookmarkEnd w:id="277"/>
      <w:bookmarkEnd w:id="278"/>
    </w:p>
    <w:p w14:paraId="37644E5D" w14:textId="24230E23" w:rsidR="00DE0321" w:rsidRPr="00404724" w:rsidRDefault="00DE0321" w:rsidP="00DE0321">
      <w:r w:rsidRPr="00404724">
        <w:t xml:space="preserve">Consistent with best practice and previous </w:t>
      </w:r>
      <w:r w:rsidR="006D39D6" w:rsidRPr="00404724">
        <w:t>RIAs</w:t>
      </w:r>
      <w:r w:rsidRPr="00404724">
        <w:t>, it is assumed that compliance and enforcement actions begin the year that the amendments take effect and are modelled to extend for a period of 10 years (that is, costs and benefits associated and attributed to the policy are to be modelled for 10 years). After this period, it is assumed that in a normal cyclical policy review, a new cost benefit analysis results in either the regulations being superseded, revised or extended.</w:t>
      </w:r>
    </w:p>
    <w:p w14:paraId="498DB44C" w14:textId="7B9A8CF4" w:rsidR="00DE0321" w:rsidRPr="00404724" w:rsidRDefault="00DE0321" w:rsidP="00DE0321">
      <w:r w:rsidRPr="00404724">
        <w:t>It will be assumed that implementation will take place in 2026, meaning the analysis covers the period of 2026 to 2035.</w:t>
      </w:r>
    </w:p>
    <w:p w14:paraId="6D04CAF6" w14:textId="77777777" w:rsidR="00994BF9" w:rsidRPr="00404724" w:rsidRDefault="00994BF9" w:rsidP="00FE7D3E">
      <w:pPr>
        <w:pStyle w:val="Heading4"/>
      </w:pPr>
      <w:bookmarkStart w:id="279" w:name="_Toc210042553"/>
      <w:bookmarkStart w:id="280" w:name="_Toc210049195"/>
      <w:bookmarkStart w:id="281" w:name="_Toc210051635"/>
      <w:bookmarkStart w:id="282" w:name="_Toc210051716"/>
      <w:r w:rsidRPr="00404724">
        <w:t>Discount rate</w:t>
      </w:r>
      <w:bookmarkEnd w:id="279"/>
      <w:bookmarkEnd w:id="280"/>
      <w:bookmarkEnd w:id="281"/>
      <w:bookmarkEnd w:id="282"/>
    </w:p>
    <w:p w14:paraId="2A610993" w14:textId="7FA3B2BC" w:rsidR="00DE0321" w:rsidRPr="00404724" w:rsidRDefault="00DE0321" w:rsidP="00DE0321">
      <w:r w:rsidRPr="00404724">
        <w:t xml:space="preserve">Discounting is an economics concept that involves </w:t>
      </w:r>
      <w:r w:rsidR="001F1446" w:rsidRPr="00404724">
        <w:t>in effect</w:t>
      </w:r>
      <w:r w:rsidR="00ED29C5" w:rsidRPr="00404724">
        <w:t xml:space="preserve"> </w:t>
      </w:r>
      <w:r w:rsidRPr="00404724">
        <w:t>reducing costs and benefits that occur in the future to their values in the present using a discount rate. The discount rate is the rate at which the weight given to future consumption decreases in economic models. This process converts costs and benefits that occur in different periods of time to the same unit to enable comparisons.</w:t>
      </w:r>
    </w:p>
    <w:p w14:paraId="2F5F544E" w14:textId="6D4B10E4" w:rsidR="00DE0321" w:rsidRPr="00404724" w:rsidRDefault="00DE0321" w:rsidP="00994BF9">
      <w:r w:rsidRPr="00404724">
        <w:lastRenderedPageBreak/>
        <w:t>The OIA guidelines require the calculation of net present values at an annual central real discount rate of 7%, with sensitivity analysis conducted using a lower bound discount rate of 3% and an upper bound discount rate of 10%.</w:t>
      </w:r>
      <w:r w:rsidRPr="00404724">
        <w:rPr>
          <w:rStyle w:val="FootnoteReference"/>
        </w:rPr>
        <w:footnoteReference w:id="76"/>
      </w:r>
    </w:p>
    <w:p w14:paraId="36833FE0" w14:textId="77777777" w:rsidR="00994BF9" w:rsidRPr="00404724" w:rsidRDefault="00994BF9" w:rsidP="00FE7D3E">
      <w:pPr>
        <w:pStyle w:val="Heading4"/>
      </w:pPr>
      <w:bookmarkStart w:id="283" w:name="_Toc210042554"/>
      <w:bookmarkStart w:id="284" w:name="_Toc210049196"/>
      <w:bookmarkStart w:id="285" w:name="_Toc210051636"/>
      <w:bookmarkStart w:id="286" w:name="_Toc210051717"/>
      <w:r w:rsidRPr="00404724">
        <w:t>Compliance</w:t>
      </w:r>
      <w:bookmarkEnd w:id="283"/>
      <w:bookmarkEnd w:id="284"/>
      <w:bookmarkEnd w:id="285"/>
      <w:bookmarkEnd w:id="286"/>
    </w:p>
    <w:p w14:paraId="6508189C" w14:textId="3A39E93A" w:rsidR="00DE0321" w:rsidRPr="00404724" w:rsidRDefault="00DE0321" w:rsidP="00DE0321">
      <w:pPr>
        <w:pStyle w:val="BodyText"/>
      </w:pPr>
      <w:r w:rsidRPr="00404724">
        <w:t>The standard assumption in regulatory analysis is full compliance with proposed new requirements. However, for the modelling of speed limits in the RIA, it is assumed less than 100% compliance as some drivers breach the speed limits (e.g. due to habitual driving patterns, inadequate signage awareness, etc).</w:t>
      </w:r>
    </w:p>
    <w:p w14:paraId="5FA4D68E" w14:textId="6FE22051" w:rsidR="00DE0321" w:rsidRPr="00404724" w:rsidRDefault="00DE0321" w:rsidP="00DE0321">
      <w:pPr>
        <w:pStyle w:val="BodyText"/>
      </w:pPr>
      <w:r w:rsidRPr="00404724">
        <w:rPr>
          <w:rStyle w:val="Strong"/>
          <w:b w:val="0"/>
          <w:bCs w:val="0"/>
        </w:rPr>
        <w:t>This approach accounts for the well documented phenomenon whereby vehicle users do not decrease their speed proportionally to speed limit reductions.</w:t>
      </w:r>
      <w:r w:rsidRPr="00404724">
        <w:rPr>
          <w:rStyle w:val="FootnoteReference"/>
        </w:rPr>
        <w:footnoteReference w:id="77"/>
      </w:r>
      <w:r w:rsidRPr="00404724">
        <w:rPr>
          <w:rStyle w:val="Strong"/>
        </w:rPr>
        <w:t xml:space="preserve"> </w:t>
      </w:r>
      <w:r w:rsidRPr="00404724">
        <w:rPr>
          <w:rStyle w:val="Strong"/>
          <w:b w:val="0"/>
          <w:bCs w:val="0"/>
        </w:rPr>
        <w:t xml:space="preserve">This behaviour is often exacerbated on roads with </w:t>
      </w:r>
      <w:r w:rsidR="005E4B70" w:rsidRPr="00404724">
        <w:rPr>
          <w:rStyle w:val="Strong"/>
          <w:b w:val="0"/>
          <w:bCs w:val="0"/>
        </w:rPr>
        <w:t>default</w:t>
      </w:r>
      <w:r w:rsidRPr="00404724">
        <w:rPr>
          <w:rStyle w:val="Strong"/>
          <w:b w:val="0"/>
          <w:bCs w:val="0"/>
        </w:rPr>
        <w:t xml:space="preserve"> speed limits. The exact speed changes have been derived from MUARC’s modelling, drawing on extensive domestic and international literature.</w:t>
      </w:r>
    </w:p>
    <w:p w14:paraId="2C14E47E" w14:textId="754EE646" w:rsidR="0088161A" w:rsidRPr="00404724" w:rsidRDefault="00323B73" w:rsidP="00EC46ED">
      <w:pPr>
        <w:pStyle w:val="Heading4"/>
      </w:pPr>
      <w:bookmarkStart w:id="287" w:name="_Ref208573924"/>
      <w:bookmarkStart w:id="288" w:name="_Toc210042555"/>
      <w:bookmarkStart w:id="289" w:name="_Toc210049197"/>
      <w:bookmarkStart w:id="290" w:name="_Toc210051637"/>
      <w:bookmarkStart w:id="291" w:name="_Toc210051718"/>
      <w:r>
        <w:t>4</w:t>
      </w:r>
      <w:r w:rsidR="00EC46ED">
        <w:t>.1.1</w:t>
      </w:r>
      <w:r w:rsidR="00EC46ED">
        <w:tab/>
      </w:r>
      <w:r w:rsidR="0088161A" w:rsidRPr="00404724">
        <w:t>Stakeholder consultation</w:t>
      </w:r>
      <w:bookmarkEnd w:id="287"/>
      <w:bookmarkEnd w:id="288"/>
      <w:bookmarkEnd w:id="289"/>
      <w:bookmarkEnd w:id="290"/>
      <w:bookmarkEnd w:id="291"/>
    </w:p>
    <w:p w14:paraId="544F50C9" w14:textId="1F0FD183" w:rsidR="0088161A" w:rsidRPr="00404724" w:rsidRDefault="0088161A" w:rsidP="0088161A">
      <w:r w:rsidRPr="00404724">
        <w:t>To support the development of this model, ACIL Allen held 6 workshops with key stakeholders, with a particular focus on the proposed parameters of the models, costs and benefits, and the implementation measures required to achieve compliance. The workshops included:</w:t>
      </w:r>
    </w:p>
    <w:p w14:paraId="118450EC" w14:textId="7D6C37E4" w:rsidR="0088161A" w:rsidRPr="00404724" w:rsidRDefault="0088161A" w:rsidP="00EC46ED">
      <w:pPr>
        <w:pStyle w:val="ListLegal1"/>
        <w:ind w:left="567" w:hanging="567"/>
        <w:rPr>
          <w:lang w:val="en-AU"/>
        </w:rPr>
      </w:pPr>
      <w:r w:rsidRPr="00404724">
        <w:rPr>
          <w:lang w:val="en-AU"/>
        </w:rPr>
        <w:t xml:space="preserve">Jurisdictional road authorities from each state and territory government, as well as </w:t>
      </w:r>
      <w:r w:rsidR="006D39D6" w:rsidRPr="00404724">
        <w:rPr>
          <w:lang w:val="en-AU"/>
        </w:rPr>
        <w:t>the Australian Local Government Association</w:t>
      </w:r>
    </w:p>
    <w:p w14:paraId="2E740880" w14:textId="58BEE41E" w:rsidR="0088161A" w:rsidRPr="00404724" w:rsidRDefault="0088161A" w:rsidP="00EC46ED">
      <w:pPr>
        <w:pStyle w:val="ListLegal1"/>
        <w:ind w:left="567" w:hanging="567"/>
        <w:rPr>
          <w:lang w:val="en-AU"/>
        </w:rPr>
      </w:pPr>
      <w:r w:rsidRPr="00404724">
        <w:rPr>
          <w:lang w:val="en-AU"/>
        </w:rPr>
        <w:t>Jurisdictional police authorities</w:t>
      </w:r>
    </w:p>
    <w:p w14:paraId="70F94020" w14:textId="1F874A35" w:rsidR="0088161A" w:rsidRPr="00404724" w:rsidRDefault="0088161A" w:rsidP="00EC46ED">
      <w:pPr>
        <w:pStyle w:val="ListLegal1"/>
        <w:ind w:left="567" w:hanging="567"/>
        <w:rPr>
          <w:lang w:val="en-AU"/>
        </w:rPr>
      </w:pPr>
      <w:r w:rsidRPr="00404724">
        <w:rPr>
          <w:lang w:val="en-AU"/>
        </w:rPr>
        <w:t>Delivery and logistics businesses</w:t>
      </w:r>
    </w:p>
    <w:p w14:paraId="6098894E" w14:textId="7C03A224" w:rsidR="0088161A" w:rsidRPr="00404724" w:rsidRDefault="0088161A" w:rsidP="00EC46ED">
      <w:pPr>
        <w:pStyle w:val="ListLegal1"/>
        <w:ind w:left="567" w:hanging="567"/>
        <w:rPr>
          <w:lang w:val="en-AU"/>
        </w:rPr>
      </w:pPr>
      <w:r w:rsidRPr="00404724">
        <w:rPr>
          <w:lang w:val="en-AU"/>
        </w:rPr>
        <w:t>Road safety academics</w:t>
      </w:r>
    </w:p>
    <w:p w14:paraId="496D312B" w14:textId="392A764C" w:rsidR="0088161A" w:rsidRPr="00404724" w:rsidRDefault="0088161A" w:rsidP="00EC46ED">
      <w:pPr>
        <w:pStyle w:val="ListLegal1"/>
        <w:ind w:left="567" w:hanging="567"/>
        <w:rPr>
          <w:lang w:val="en-AU"/>
        </w:rPr>
      </w:pPr>
      <w:r w:rsidRPr="00404724">
        <w:rPr>
          <w:lang w:val="en-AU"/>
        </w:rPr>
        <w:t>Statutory insurers</w:t>
      </w:r>
    </w:p>
    <w:p w14:paraId="4783F760" w14:textId="78E5FED0" w:rsidR="0088161A" w:rsidRPr="00404724" w:rsidRDefault="0088161A" w:rsidP="00EC46ED">
      <w:pPr>
        <w:pStyle w:val="ListLegal1"/>
        <w:ind w:left="567" w:hanging="567"/>
        <w:rPr>
          <w:lang w:val="en-AU"/>
        </w:rPr>
      </w:pPr>
      <w:r w:rsidRPr="00404724">
        <w:rPr>
          <w:lang w:val="en-AU"/>
        </w:rPr>
        <w:t>Motorist groups.</w:t>
      </w:r>
    </w:p>
    <w:p w14:paraId="79299C7D" w14:textId="1350CEBA" w:rsidR="0088161A" w:rsidRPr="00404724" w:rsidRDefault="0088161A" w:rsidP="0088161A">
      <w:r w:rsidRPr="00404724">
        <w:t xml:space="preserve">Additional details of who was engaged are provided in </w:t>
      </w:r>
      <w:r w:rsidRPr="00404724">
        <w:fldChar w:fldCharType="begin"/>
      </w:r>
      <w:r w:rsidRPr="00404724">
        <w:instrText xml:space="preserve"> REF _Ref208569041 \r \h </w:instrText>
      </w:r>
      <w:r w:rsidRPr="00404724">
        <w:fldChar w:fldCharType="separate"/>
      </w:r>
      <w:r w:rsidR="00BF489D">
        <w:t>Appendix A –</w:t>
      </w:r>
      <w:r w:rsidRPr="00404724">
        <w:fldChar w:fldCharType="end"/>
      </w:r>
      <w:r w:rsidRPr="00404724">
        <w:t xml:space="preserve"> </w:t>
      </w:r>
      <w:r w:rsidRPr="00404724">
        <w:fldChar w:fldCharType="begin"/>
      </w:r>
      <w:r w:rsidRPr="00404724">
        <w:instrText xml:space="preserve"> REF _Ref208569041 \h </w:instrText>
      </w:r>
      <w:r w:rsidRPr="00404724">
        <w:fldChar w:fldCharType="separate"/>
      </w:r>
      <w:r w:rsidR="00BF489D" w:rsidRPr="00404724">
        <w:t>Stakeholder consultation overview</w:t>
      </w:r>
      <w:r w:rsidRPr="00404724">
        <w:fldChar w:fldCharType="end"/>
      </w:r>
      <w:r w:rsidRPr="00404724">
        <w:t>.</w:t>
      </w:r>
    </w:p>
    <w:p w14:paraId="0EC00F8F" w14:textId="7DDB3F9E" w:rsidR="00994BF9" w:rsidRPr="00404724" w:rsidRDefault="00323B73" w:rsidP="00EC46ED">
      <w:pPr>
        <w:pStyle w:val="Heading4"/>
      </w:pPr>
      <w:bookmarkStart w:id="292" w:name="_Toc210042556"/>
      <w:bookmarkStart w:id="293" w:name="_Toc210049198"/>
      <w:bookmarkStart w:id="294" w:name="_Toc210051638"/>
      <w:bookmarkStart w:id="295" w:name="_Toc210051719"/>
      <w:r>
        <w:t>4</w:t>
      </w:r>
      <w:r w:rsidR="00EC46ED">
        <w:t>.1.2</w:t>
      </w:r>
      <w:r w:rsidR="00EC46ED">
        <w:tab/>
      </w:r>
      <w:r w:rsidR="00994BF9" w:rsidRPr="00404724">
        <w:t>Interactions with state and territory legislation</w:t>
      </w:r>
      <w:bookmarkEnd w:id="292"/>
      <w:bookmarkEnd w:id="293"/>
      <w:bookmarkEnd w:id="294"/>
      <w:bookmarkEnd w:id="295"/>
    </w:p>
    <w:p w14:paraId="79218C7B" w14:textId="0A8A0FE3" w:rsidR="00994BF9" w:rsidRPr="00404724" w:rsidRDefault="00994BF9" w:rsidP="00994BF9">
      <w:r w:rsidRPr="00404724">
        <w:t>While the ARR are national model law</w:t>
      </w:r>
      <w:r w:rsidR="00EC4A8C" w:rsidRPr="00404724">
        <w:t>s</w:t>
      </w:r>
      <w:r w:rsidRPr="00404724">
        <w:t>, states and territories can choose to adopt the law or not, or to make amendments. As such, (and as described in</w:t>
      </w:r>
      <w:r w:rsidR="002A3553" w:rsidRPr="00404724">
        <w:t xml:space="preserve"> </w:t>
      </w:r>
      <w:r w:rsidR="002A3553" w:rsidRPr="00404724">
        <w:fldChar w:fldCharType="begin"/>
      </w:r>
      <w:r w:rsidR="002A3553" w:rsidRPr="00404724">
        <w:instrText xml:space="preserve"> REF _Ref208496217 \h </w:instrText>
      </w:r>
      <w:r w:rsidR="002A3553" w:rsidRPr="00404724">
        <w:fldChar w:fldCharType="separate"/>
      </w:r>
      <w:r w:rsidR="00BF489D" w:rsidRPr="00404724">
        <w:t xml:space="preserve">Table </w:t>
      </w:r>
      <w:r w:rsidR="00BF489D">
        <w:rPr>
          <w:noProof/>
        </w:rPr>
        <w:t>9</w:t>
      </w:r>
      <w:r w:rsidR="002A3553" w:rsidRPr="00404724">
        <w:fldChar w:fldCharType="end"/>
      </w:r>
      <w:r w:rsidRPr="00404724">
        <w:t xml:space="preserve">) default speed rules are applied with variations in some states and territories. </w:t>
      </w:r>
    </w:p>
    <w:p w14:paraId="171738FB" w14:textId="3A4C6CE6" w:rsidR="00994BF9" w:rsidRPr="00404724" w:rsidRDefault="00994BF9" w:rsidP="00994BF9">
      <w:r w:rsidRPr="00404724">
        <w:t>In</w:t>
      </w:r>
      <w:r w:rsidR="006D39D6" w:rsidRPr="00404724">
        <w:t xml:space="preserve"> </w:t>
      </w:r>
      <w:r w:rsidRPr="00404724">
        <w:t>line with previous RIA</w:t>
      </w:r>
      <w:r w:rsidR="006D39D6" w:rsidRPr="00404724">
        <w:t>s</w:t>
      </w:r>
      <w:r w:rsidRPr="00404724">
        <w:t xml:space="preserve">, this </w:t>
      </w:r>
      <w:r w:rsidR="006D39D6" w:rsidRPr="00404724">
        <w:t xml:space="preserve">analysis </w:t>
      </w:r>
      <w:r w:rsidRPr="00404724">
        <w:t xml:space="preserve">does not address the interaction between the proposed amendments to the ARR and the existing and planned state and territory policies. The analysis assumes that each of the states and territories will apply amendments to the </w:t>
      </w:r>
      <w:r w:rsidR="00C94374" w:rsidRPr="00404724">
        <w:t>ARR and</w:t>
      </w:r>
      <w:r w:rsidRPr="00404724">
        <w:t xml:space="preserve"> compares the current speed limits to the proposed ones.</w:t>
      </w:r>
    </w:p>
    <w:p w14:paraId="70F1B70B" w14:textId="4D5961E8" w:rsidR="00994BF9" w:rsidRPr="00404724" w:rsidRDefault="00994BF9" w:rsidP="00994BF9">
      <w:r w:rsidRPr="00404724">
        <w:t>Therefore, the baseline for this RIA is that all default roads have a speed of 100</w:t>
      </w:r>
      <w:r w:rsidR="00C82E00" w:rsidRPr="00404724">
        <w:t xml:space="preserve"> km/h</w:t>
      </w:r>
      <w:r w:rsidRPr="00404724">
        <w:t xml:space="preserve">, and this is compared to a situation where all roads have new defaults in line with the options in </w:t>
      </w:r>
      <w:r w:rsidR="00347D4A" w:rsidRPr="00404724">
        <w:t xml:space="preserve">Section </w:t>
      </w:r>
      <w:r w:rsidR="00347D4A" w:rsidRPr="00404724">
        <w:fldChar w:fldCharType="begin"/>
      </w:r>
      <w:r w:rsidR="00347D4A" w:rsidRPr="00404724">
        <w:instrText xml:space="preserve"> REF _Ref209694705 \n \h </w:instrText>
      </w:r>
      <w:r w:rsidR="00347D4A" w:rsidRPr="00404724">
        <w:fldChar w:fldCharType="separate"/>
      </w:r>
      <w:r w:rsidR="00BF489D">
        <w:t>3.2</w:t>
      </w:r>
      <w:r w:rsidR="00347D4A" w:rsidRPr="00404724">
        <w:fldChar w:fldCharType="end"/>
      </w:r>
      <w:r w:rsidRPr="00404724">
        <w:t xml:space="preserve">. Given this, the results of the analysis in this RIA should be interpreted as to represent the costs and benefits associated with decreasing speed limits from the existing ARR settings to the new ones. This approach allows for a like with like comparison between states and with previous </w:t>
      </w:r>
      <w:r w:rsidR="006D39D6" w:rsidRPr="00404724">
        <w:t xml:space="preserve">RIAs </w:t>
      </w:r>
      <w:r w:rsidRPr="00404724">
        <w:t xml:space="preserve">and avoids having to make assumptions about the likely policy responses of different states and territories. </w:t>
      </w:r>
    </w:p>
    <w:p w14:paraId="0408143D" w14:textId="77777777" w:rsidR="00994BF9" w:rsidRPr="00404724" w:rsidRDefault="00994BF9" w:rsidP="00994BF9">
      <w:r w:rsidRPr="00404724">
        <w:t>Notably, all the technical modelling undertaken by ACIL Allen and MUARC has been done on this basis.</w:t>
      </w:r>
    </w:p>
    <w:p w14:paraId="69975865" w14:textId="6431AA53" w:rsidR="00091482" w:rsidRPr="00404724" w:rsidRDefault="00323B73" w:rsidP="00EC46ED">
      <w:pPr>
        <w:pStyle w:val="Heading3"/>
      </w:pPr>
      <w:bookmarkStart w:id="296" w:name="_Ref208567633"/>
      <w:bookmarkStart w:id="297" w:name="_Toc210040320"/>
      <w:bookmarkStart w:id="298" w:name="_Toc210042557"/>
      <w:bookmarkStart w:id="299" w:name="_Toc210049199"/>
      <w:bookmarkStart w:id="300" w:name="_Toc210051639"/>
      <w:bookmarkStart w:id="301" w:name="_Toc210051720"/>
      <w:r>
        <w:lastRenderedPageBreak/>
        <w:t>4</w:t>
      </w:r>
      <w:r w:rsidR="00EC46ED">
        <w:t>.2</w:t>
      </w:r>
      <w:r w:rsidR="00EC46ED">
        <w:tab/>
      </w:r>
      <w:r w:rsidR="002A5496" w:rsidRPr="00404724">
        <w:t>Establishing a baseline</w:t>
      </w:r>
      <w:bookmarkEnd w:id="296"/>
      <w:bookmarkEnd w:id="297"/>
      <w:bookmarkEnd w:id="298"/>
      <w:bookmarkEnd w:id="299"/>
      <w:bookmarkEnd w:id="300"/>
      <w:bookmarkEnd w:id="301"/>
    </w:p>
    <w:p w14:paraId="29D62BE9" w14:textId="63609D63" w:rsidR="002A5496" w:rsidRPr="00404724" w:rsidRDefault="002A5496" w:rsidP="00393FD2">
      <w:r w:rsidRPr="00404724">
        <w:t xml:space="preserve">The baseline is the scenario against which the costs and benefits of the proposed changes are assessed. It reflects a situation in which the default speed limit is not reduced. Establishing a baseline involves understanding and projecting the various factors that would be affected by the change in default speed limits, assuming that change does not occur. For this purpose, </w:t>
      </w:r>
      <w:r w:rsidR="002134EA" w:rsidRPr="00404724">
        <w:t>the</w:t>
      </w:r>
      <w:r w:rsidRPr="00404724">
        <w:t xml:space="preserve"> following</w:t>
      </w:r>
      <w:r w:rsidR="002134EA" w:rsidRPr="00404724">
        <w:t xml:space="preserve"> are considered</w:t>
      </w:r>
      <w:r w:rsidRPr="00404724">
        <w:t>:</w:t>
      </w:r>
    </w:p>
    <w:p w14:paraId="185F5613" w14:textId="77777777" w:rsidR="002A5496" w:rsidRPr="00404724" w:rsidRDefault="002A5496" w:rsidP="00485648">
      <w:pPr>
        <w:pStyle w:val="Listparagraphbullets"/>
      </w:pPr>
      <w:r w:rsidRPr="00404724">
        <w:t>Fatal and Serious Injuries (FSI)</w:t>
      </w:r>
    </w:p>
    <w:p w14:paraId="1C75D4DF" w14:textId="77777777" w:rsidR="002A5496" w:rsidRPr="00404724" w:rsidRDefault="002A5496" w:rsidP="00485648">
      <w:pPr>
        <w:pStyle w:val="Listparagraphbullets"/>
      </w:pPr>
      <w:r w:rsidRPr="00404724">
        <w:t>Vehicle Kilometres Travelled (VKT)</w:t>
      </w:r>
    </w:p>
    <w:p w14:paraId="6F742ACD" w14:textId="5F42A4B4" w:rsidR="002A5496" w:rsidRPr="00404724" w:rsidRDefault="002A5496" w:rsidP="00485648">
      <w:pPr>
        <w:pStyle w:val="Listparagraphbullets"/>
      </w:pPr>
      <w:r w:rsidRPr="00404724">
        <w:t>vehicle efficiency</w:t>
      </w:r>
      <w:r w:rsidR="004E1100" w:rsidRPr="00404724">
        <w:t>.</w:t>
      </w:r>
      <w:r w:rsidRPr="00404724">
        <w:t xml:space="preserve"> </w:t>
      </w:r>
    </w:p>
    <w:p w14:paraId="1244D3F6" w14:textId="77777777" w:rsidR="002A5496" w:rsidRPr="00404724" w:rsidRDefault="002A5496" w:rsidP="00393FD2">
      <w:r w:rsidRPr="00404724">
        <w:t>The methodology to develop these baseline estimates is discussed below.</w:t>
      </w:r>
    </w:p>
    <w:p w14:paraId="7584366B" w14:textId="5BD8B6F2" w:rsidR="002A5496" w:rsidRPr="00404724" w:rsidRDefault="00323B73" w:rsidP="00EC46ED">
      <w:pPr>
        <w:pStyle w:val="Heading4"/>
      </w:pPr>
      <w:bookmarkStart w:id="302" w:name="_Toc210042558"/>
      <w:bookmarkStart w:id="303" w:name="_Toc210049200"/>
      <w:bookmarkStart w:id="304" w:name="_Toc210051640"/>
      <w:bookmarkStart w:id="305" w:name="_Toc210051721"/>
      <w:r>
        <w:t>4</w:t>
      </w:r>
      <w:r w:rsidR="00EC46ED">
        <w:t>.</w:t>
      </w:r>
      <w:r w:rsidR="001C12F9">
        <w:t>2</w:t>
      </w:r>
      <w:r w:rsidR="00EC46ED">
        <w:t>.1</w:t>
      </w:r>
      <w:r w:rsidR="00EC46ED">
        <w:tab/>
      </w:r>
      <w:r w:rsidR="002A5496" w:rsidRPr="00404724">
        <w:t>Fatal and Serious Injuries (FSI)</w:t>
      </w:r>
      <w:bookmarkEnd w:id="302"/>
      <w:bookmarkEnd w:id="303"/>
      <w:bookmarkEnd w:id="304"/>
      <w:bookmarkEnd w:id="305"/>
    </w:p>
    <w:p w14:paraId="6C288D98" w14:textId="143BBB0D" w:rsidR="002A5496" w:rsidRPr="00404724" w:rsidRDefault="002A5496" w:rsidP="00393FD2">
      <w:r w:rsidRPr="00404724">
        <w:t xml:space="preserve">MUARC has a national fatality and serious injury dataset, compiled for the development of the National Road Safety Strategy 2021-2030, which will be used as the basis for estimating the number and distribution of FSI by speed zone in Australia. Furthermore, this dataset incorporates improved estimates of serious injury numbers by matching against state and territory hospitalisation data. </w:t>
      </w:r>
      <w:r w:rsidR="009E677D" w:rsidRPr="00404724">
        <w:t xml:space="preserve">Notably, for the purposes of this report, </w:t>
      </w:r>
      <w:r w:rsidR="001E3DFF" w:rsidRPr="00404724">
        <w:t>there is no</w:t>
      </w:r>
      <w:r w:rsidR="009E677D" w:rsidRPr="00404724">
        <w:t xml:space="preserve"> distinguish</w:t>
      </w:r>
      <w:r w:rsidR="001E3DFF" w:rsidRPr="00404724">
        <w:t>ing</w:t>
      </w:r>
      <w:r w:rsidR="009E677D" w:rsidRPr="00404724">
        <w:t xml:space="preserve"> between the definitions of serious injuries used between the jurisdictions. That is to say that anything that a state or territory reports as a serious injury</w:t>
      </w:r>
      <w:r w:rsidR="006D39D6" w:rsidRPr="00404724">
        <w:t>, is counted</w:t>
      </w:r>
      <w:r w:rsidR="009E677D" w:rsidRPr="00404724">
        <w:t xml:space="preserve"> as a serious injury.</w:t>
      </w:r>
    </w:p>
    <w:p w14:paraId="6ACD019E" w14:textId="4679B417" w:rsidR="002A5496" w:rsidRPr="00404724" w:rsidRDefault="002A5496" w:rsidP="00393FD2">
      <w:r w:rsidRPr="00404724">
        <w:t xml:space="preserve">MUARC has recently prepared an updated Baseline Trauma Trends Model (BTTM) that makes </w:t>
      </w:r>
      <w:r w:rsidR="00C94374" w:rsidRPr="00404724">
        <w:t>highly informed</w:t>
      </w:r>
      <w:r w:rsidRPr="00404724">
        <w:t xml:space="preserve"> FSI projections that take into account a wide range of underlying trends. The BTTM incorporates both road safety and non-road safety-related trends (including the complex effects seen during and post-COVID) and has demonstrated strong correlations with actual road trauma. The BTTM will be used to estimate current absolute FSI numbers.</w:t>
      </w:r>
    </w:p>
    <w:p w14:paraId="55C3FEE9" w14:textId="77777777" w:rsidR="002A5496" w:rsidRPr="00404724" w:rsidRDefault="002A5496" w:rsidP="00393FD2">
      <w:r w:rsidRPr="00404724">
        <w:t>The remaining key variables for the analysis will need to be derived either by estimation or through scenario modelling, in accordance with the procedures outlined in subsequent sections. In addition, the model to be developed will allow probabilistic inputs to accommodate ranges via Latin Hypercube simulation methods</w:t>
      </w:r>
      <w:r w:rsidRPr="00404724">
        <w:rPr>
          <w:vertAlign w:val="superscript"/>
        </w:rPr>
        <w:footnoteReference w:id="78"/>
      </w:r>
      <w:r w:rsidRPr="00404724">
        <w:t>, thereby accommodating the levels of uncertainty inherent in such an analysis.</w:t>
      </w:r>
    </w:p>
    <w:p w14:paraId="76D0630B" w14:textId="6F94DD99" w:rsidR="009E677D" w:rsidRPr="00404724" w:rsidRDefault="009E677D" w:rsidP="00EC46ED">
      <w:pPr>
        <w:pStyle w:val="Heading5"/>
      </w:pPr>
      <w:r w:rsidRPr="00404724">
        <w:t>Non-serious injuries</w:t>
      </w:r>
    </w:p>
    <w:p w14:paraId="5E748854" w14:textId="772C0DD8" w:rsidR="00BE211C" w:rsidRPr="00404724" w:rsidRDefault="009E677D" w:rsidP="00393FD2">
      <w:r w:rsidRPr="00404724">
        <w:t>In discussions with stakeholders, it was established that the numbers of non-serious injuries (defined here as any injury resulting from a crash that does not result in admission to hospital) are under-reported as many do not involve police or others who would be able to report on such a crash. Nevertheless, in 2022</w:t>
      </w:r>
      <w:r w:rsidR="004E1100" w:rsidRPr="00404724">
        <w:t xml:space="preserve"> the Bureau of Infrastructure and Transport Research Economics</w:t>
      </w:r>
      <w:r w:rsidRPr="00404724">
        <w:t xml:space="preserve"> </w:t>
      </w:r>
      <w:r w:rsidR="004E1100" w:rsidRPr="00404724">
        <w:t>(</w:t>
      </w:r>
      <w:r w:rsidRPr="00404724">
        <w:t>BITRE</w:t>
      </w:r>
      <w:r w:rsidR="004E1100" w:rsidRPr="00404724">
        <w:t>)</w:t>
      </w:r>
      <w:r w:rsidRPr="00404724">
        <w:t xml:space="preserve"> provided an estimate of non-serious injuries (described in their report as non-hospitalised injuries) which show that they are approximately 2.47 times as prevalent as serious (hospitalised) injuries.</w:t>
      </w:r>
      <w:r w:rsidRPr="00404724">
        <w:rPr>
          <w:rStyle w:val="FootnoteReference"/>
        </w:rPr>
        <w:footnoteReference w:id="79"/>
      </w:r>
      <w:r w:rsidRPr="00404724">
        <w:t xml:space="preserve"> </w:t>
      </w:r>
      <w:r w:rsidR="00BE211C" w:rsidRPr="00404724">
        <w:t xml:space="preserve">However, the relationship between speed and non-serious injuries is different than those for fatalities and serious injuries, and as such there would be a greater reduction in serious injuries than in non-serious injuries. </w:t>
      </w:r>
    </w:p>
    <w:p w14:paraId="70546DA8" w14:textId="1A070BF4" w:rsidR="00BE211C" w:rsidRPr="00404724" w:rsidRDefault="00BE211C" w:rsidP="009E677D">
      <w:r w:rsidRPr="00404724">
        <w:t xml:space="preserve">Given these limitations, moderate or minor injuries </w:t>
      </w:r>
      <w:r w:rsidR="00E55439" w:rsidRPr="00404724">
        <w:t xml:space="preserve">are not included in </w:t>
      </w:r>
      <w:r w:rsidRPr="00404724">
        <w:t>the central case. However, the inclusion of non-serious injuries into the modelling was expressly requested by jurisdictional authorities to ensure that the full picture was captured.</w:t>
      </w:r>
    </w:p>
    <w:p w14:paraId="1F3ED076" w14:textId="287E7CF6" w:rsidR="000A13C5" w:rsidRPr="00404724" w:rsidRDefault="00BE211C" w:rsidP="00BE211C">
      <w:r w:rsidRPr="00404724">
        <w:lastRenderedPageBreak/>
        <w:t>For the purposes of this report, an indicative estimation of the number of reduced minor or moderate injuries</w:t>
      </w:r>
      <w:r w:rsidR="00E55439" w:rsidRPr="00404724">
        <w:t xml:space="preserve"> was included</w:t>
      </w:r>
      <w:r w:rsidRPr="00404724">
        <w:t xml:space="preserve">, but only in sensitivities (i.e., not in the central estimate). To do so, the modelling </w:t>
      </w:r>
      <w:r w:rsidR="009E677D" w:rsidRPr="00404724">
        <w:t>assume</w:t>
      </w:r>
      <w:r w:rsidRPr="00404724">
        <w:t>s</w:t>
      </w:r>
      <w:r w:rsidR="009E677D" w:rsidRPr="00404724">
        <w:t xml:space="preserve"> there are 2.47 times as many non-serious injuries </w:t>
      </w:r>
      <w:r w:rsidRPr="00404724">
        <w:t xml:space="preserve">prevented </w:t>
      </w:r>
      <w:r w:rsidR="009E677D" w:rsidRPr="00404724">
        <w:t>as serious injuries.</w:t>
      </w:r>
      <w:r w:rsidRPr="00404724">
        <w:t xml:space="preserve"> </w:t>
      </w:r>
    </w:p>
    <w:p w14:paraId="5B171BDE" w14:textId="6704F540" w:rsidR="002A5496" w:rsidRPr="00404724" w:rsidRDefault="00323B73" w:rsidP="00EC46ED">
      <w:pPr>
        <w:pStyle w:val="Heading4"/>
      </w:pPr>
      <w:bookmarkStart w:id="306" w:name="_Toc210042559"/>
      <w:bookmarkStart w:id="307" w:name="_Toc210049201"/>
      <w:bookmarkStart w:id="308" w:name="_Toc210051641"/>
      <w:bookmarkStart w:id="309" w:name="_Toc210051722"/>
      <w:r>
        <w:t>4</w:t>
      </w:r>
      <w:r w:rsidR="00EC46ED">
        <w:t>.</w:t>
      </w:r>
      <w:r w:rsidR="001C12F9">
        <w:t>2</w:t>
      </w:r>
      <w:r w:rsidR="00EC46ED">
        <w:t>.2</w:t>
      </w:r>
      <w:r w:rsidR="00EC46ED">
        <w:tab/>
      </w:r>
      <w:r w:rsidR="002A5496" w:rsidRPr="00404724">
        <w:t>Vehicle Kilometres Travelled (VKT)</w:t>
      </w:r>
      <w:bookmarkEnd w:id="306"/>
      <w:bookmarkEnd w:id="307"/>
      <w:bookmarkEnd w:id="308"/>
      <w:bookmarkEnd w:id="309"/>
    </w:p>
    <w:p w14:paraId="2094EAB8" w14:textId="52839BCB" w:rsidR="002A5496" w:rsidRPr="00404724" w:rsidRDefault="002A5496" w:rsidP="00393FD2">
      <w:r w:rsidRPr="00404724">
        <w:t xml:space="preserve">The rate at which roads are used is an important factor in apportioning the reduction in FSI and the cost of increased travel time as a result of reduced speed limits. As such, it is crucial to both forecast the total vehicle kilometres travelled and the split of this travel between signed and </w:t>
      </w:r>
      <w:r w:rsidR="005E4B70" w:rsidRPr="00404724">
        <w:t>default</w:t>
      </w:r>
      <w:r w:rsidRPr="00404724">
        <w:t xml:space="preserve"> roads by region. </w:t>
      </w:r>
    </w:p>
    <w:p w14:paraId="0BFD4ADF" w14:textId="77777777" w:rsidR="002A5496" w:rsidRPr="00404724" w:rsidRDefault="002A5496" w:rsidP="00393FD2">
      <w:r w:rsidRPr="00404724">
        <w:t>The proposed reduction in default speed limit would affect all forms of motorised vehicles, including:</w:t>
      </w:r>
    </w:p>
    <w:p w14:paraId="0F2DFF11" w14:textId="77777777" w:rsidR="002A5496" w:rsidRPr="00404724" w:rsidRDefault="002A5496" w:rsidP="00485648">
      <w:pPr>
        <w:pStyle w:val="Listparagraphbullets"/>
      </w:pPr>
      <w:r w:rsidRPr="00404724">
        <w:t>passenger vehicles (including motorcycles)</w:t>
      </w:r>
    </w:p>
    <w:p w14:paraId="729EEF89" w14:textId="77777777" w:rsidR="002A5496" w:rsidRPr="00404724" w:rsidRDefault="002A5496" w:rsidP="00485648">
      <w:pPr>
        <w:pStyle w:val="Listparagraphbullets"/>
      </w:pPr>
      <w:r w:rsidRPr="00404724">
        <w:t>light commercial vehicles (LCV)</w:t>
      </w:r>
    </w:p>
    <w:p w14:paraId="56585C18" w14:textId="77777777" w:rsidR="002A5496" w:rsidRPr="00404724" w:rsidRDefault="002A5496" w:rsidP="00485648">
      <w:pPr>
        <w:pStyle w:val="Listparagraphbullets"/>
      </w:pPr>
      <w:r w:rsidRPr="00404724">
        <w:t>rigid trucks</w:t>
      </w:r>
    </w:p>
    <w:p w14:paraId="16D1F257" w14:textId="77777777" w:rsidR="002A5496" w:rsidRPr="00404724" w:rsidRDefault="002A5496" w:rsidP="00485648">
      <w:pPr>
        <w:pStyle w:val="Listparagraphbullets"/>
      </w:pPr>
      <w:r w:rsidRPr="00404724">
        <w:t>articulated trucks</w:t>
      </w:r>
    </w:p>
    <w:p w14:paraId="0F4AC37B" w14:textId="0F67172E" w:rsidR="002A5496" w:rsidRPr="00404724" w:rsidRDefault="002A5496" w:rsidP="00485648">
      <w:pPr>
        <w:pStyle w:val="Listparagraphbullets"/>
      </w:pPr>
      <w:r w:rsidRPr="00404724">
        <w:t>buses</w:t>
      </w:r>
      <w:r w:rsidR="00EB083C" w:rsidRPr="00404724">
        <w:t>.</w:t>
      </w:r>
    </w:p>
    <w:p w14:paraId="423A1149" w14:textId="7C8CBF4B" w:rsidR="002A5496" w:rsidRPr="00404724" w:rsidRDefault="002A5496" w:rsidP="00393FD2">
      <w:r w:rsidRPr="00404724">
        <w:t xml:space="preserve">In order to estimate the costs and benefits of the proposed policy change accurately, it is necessary to produce a forecast of VKT on </w:t>
      </w:r>
      <w:r w:rsidR="005E4B70" w:rsidRPr="00404724">
        <w:rPr>
          <w:i/>
          <w:iCs/>
        </w:rPr>
        <w:t>default</w:t>
      </w:r>
      <w:r w:rsidRPr="00404724">
        <w:rPr>
          <w:i/>
          <w:iCs/>
        </w:rPr>
        <w:t xml:space="preserve"> roads</w:t>
      </w:r>
      <w:r w:rsidRPr="00404724">
        <w:t xml:space="preserve"> by </w:t>
      </w:r>
      <w:r w:rsidRPr="00404724">
        <w:rPr>
          <w:i/>
          <w:iCs/>
        </w:rPr>
        <w:t>vehicle type</w:t>
      </w:r>
      <w:r w:rsidRPr="00404724">
        <w:t xml:space="preserve"> by </w:t>
      </w:r>
      <w:r w:rsidRPr="00404724">
        <w:rPr>
          <w:i/>
          <w:iCs/>
        </w:rPr>
        <w:t>remoteness region</w:t>
      </w:r>
      <w:r w:rsidRPr="00404724">
        <w:t xml:space="preserve"> by </w:t>
      </w:r>
      <w:r w:rsidRPr="00404724">
        <w:rPr>
          <w:i/>
          <w:iCs/>
        </w:rPr>
        <w:t>travel purpose</w:t>
      </w:r>
      <w:r w:rsidRPr="00404724">
        <w:t>. Available data on VKT does not exist at this level of detail, therefore, the following steps to produce this forecast series</w:t>
      </w:r>
      <w:r w:rsidR="002134EA" w:rsidRPr="00404724">
        <w:t xml:space="preserve"> were taken</w:t>
      </w:r>
      <w:r w:rsidRPr="00404724">
        <w:t>:</w:t>
      </w:r>
    </w:p>
    <w:p w14:paraId="48B601EC" w14:textId="2F149522" w:rsidR="002A5496" w:rsidRPr="00404724" w:rsidRDefault="002A5496" w:rsidP="004F2C7A">
      <w:pPr>
        <w:pStyle w:val="ListLegal1"/>
        <w:numPr>
          <w:ilvl w:val="0"/>
          <w:numId w:val="45"/>
        </w:numPr>
        <w:ind w:left="567" w:hanging="567"/>
        <w:rPr>
          <w:lang w:val="en-AU"/>
        </w:rPr>
      </w:pPr>
      <w:r w:rsidRPr="00404724">
        <w:rPr>
          <w:lang w:val="en-AU"/>
        </w:rPr>
        <w:t xml:space="preserve">Develop a projection of VKT by </w:t>
      </w:r>
      <w:r w:rsidRPr="00404724">
        <w:rPr>
          <w:i/>
          <w:iCs/>
          <w:lang w:val="en-AU"/>
        </w:rPr>
        <w:t>vehicle type</w:t>
      </w:r>
      <w:r w:rsidRPr="00404724">
        <w:rPr>
          <w:lang w:val="en-AU"/>
        </w:rPr>
        <w:t xml:space="preserve"> using regression modelling</w:t>
      </w:r>
      <w:r w:rsidR="00D92D21" w:rsidRPr="00404724">
        <w:rPr>
          <w:lang w:val="en-AU"/>
        </w:rPr>
        <w:t>.</w:t>
      </w:r>
    </w:p>
    <w:p w14:paraId="0974A3DD" w14:textId="1423780D" w:rsidR="002A5496" w:rsidRPr="00404724" w:rsidRDefault="002A5496" w:rsidP="00EC46ED">
      <w:pPr>
        <w:pStyle w:val="ListLegal1"/>
        <w:ind w:left="567" w:hanging="567"/>
        <w:rPr>
          <w:i/>
          <w:iCs/>
          <w:lang w:val="en-AU"/>
        </w:rPr>
      </w:pPr>
      <w:r w:rsidRPr="00404724">
        <w:rPr>
          <w:lang w:val="en-AU"/>
        </w:rPr>
        <w:t xml:space="preserve">Project number of vehicles based on population projection and assumed ownership rate by </w:t>
      </w:r>
      <w:r w:rsidRPr="00404724">
        <w:rPr>
          <w:i/>
          <w:iCs/>
          <w:lang w:val="en-AU"/>
        </w:rPr>
        <w:t>vehicle type</w:t>
      </w:r>
      <w:r w:rsidR="00D92D21" w:rsidRPr="00404724">
        <w:rPr>
          <w:lang w:val="en-AU"/>
        </w:rPr>
        <w:t>.</w:t>
      </w:r>
    </w:p>
    <w:p w14:paraId="5ABF02B1" w14:textId="36F3C230" w:rsidR="002A5496" w:rsidRPr="00404724" w:rsidRDefault="002A5496" w:rsidP="00EC46ED">
      <w:pPr>
        <w:pStyle w:val="ListLegal1"/>
        <w:ind w:left="567" w:hanging="567"/>
        <w:rPr>
          <w:lang w:val="en-AU"/>
        </w:rPr>
      </w:pPr>
      <w:r w:rsidRPr="00404724">
        <w:rPr>
          <w:lang w:val="en-AU"/>
        </w:rPr>
        <w:t xml:space="preserve">Calculate average annual VKT per vehicle </w:t>
      </w:r>
      <w:r w:rsidRPr="00404724">
        <w:rPr>
          <w:i/>
          <w:iCs/>
          <w:lang w:val="en-AU"/>
        </w:rPr>
        <w:t>by vehicle type</w:t>
      </w:r>
      <w:r w:rsidRPr="00404724">
        <w:rPr>
          <w:lang w:val="en-AU"/>
        </w:rPr>
        <w:t xml:space="preserve"> for each of the forecast year based on output of step 1</w:t>
      </w:r>
      <w:r w:rsidR="00D92D21" w:rsidRPr="00404724">
        <w:rPr>
          <w:lang w:val="en-AU"/>
        </w:rPr>
        <w:t>.</w:t>
      </w:r>
    </w:p>
    <w:p w14:paraId="6CD71CFC" w14:textId="64EF824D" w:rsidR="002A5496" w:rsidRPr="00404724" w:rsidRDefault="002A5496" w:rsidP="00EC46ED">
      <w:pPr>
        <w:pStyle w:val="ListLegal1"/>
        <w:ind w:left="567" w:hanging="567"/>
        <w:rPr>
          <w:lang w:val="en-AU"/>
        </w:rPr>
      </w:pPr>
      <w:r w:rsidRPr="00404724">
        <w:rPr>
          <w:lang w:val="en-AU"/>
        </w:rPr>
        <w:t xml:space="preserve">Develop assumptions on ratio of VKT travelled by </w:t>
      </w:r>
      <w:r w:rsidRPr="00404724">
        <w:rPr>
          <w:i/>
          <w:iCs/>
          <w:lang w:val="en-AU"/>
        </w:rPr>
        <w:t>vehicle type</w:t>
      </w:r>
      <w:r w:rsidRPr="00404724">
        <w:rPr>
          <w:lang w:val="en-AU"/>
        </w:rPr>
        <w:t xml:space="preserve"> in each </w:t>
      </w:r>
      <w:r w:rsidRPr="00404724">
        <w:rPr>
          <w:i/>
          <w:iCs/>
          <w:lang w:val="en-AU"/>
        </w:rPr>
        <w:t>remoteness region</w:t>
      </w:r>
      <w:r w:rsidR="00D92D21" w:rsidRPr="00404724">
        <w:rPr>
          <w:lang w:val="en-AU"/>
        </w:rPr>
        <w:t>.</w:t>
      </w:r>
      <w:r w:rsidRPr="00404724">
        <w:rPr>
          <w:lang w:val="en-AU"/>
        </w:rPr>
        <w:t xml:space="preserve"> </w:t>
      </w:r>
    </w:p>
    <w:p w14:paraId="137FE3D7" w14:textId="44FCD9E5" w:rsidR="002A5496" w:rsidRPr="00404724" w:rsidRDefault="002A5496" w:rsidP="00EC46ED">
      <w:pPr>
        <w:pStyle w:val="ListLegal1"/>
        <w:ind w:left="567" w:hanging="567"/>
        <w:rPr>
          <w:lang w:val="en-AU"/>
        </w:rPr>
      </w:pPr>
      <w:r w:rsidRPr="00404724">
        <w:rPr>
          <w:lang w:val="en-AU"/>
        </w:rPr>
        <w:t xml:space="preserve">Calculate VKT for each </w:t>
      </w:r>
      <w:r w:rsidRPr="00404724">
        <w:rPr>
          <w:i/>
          <w:iCs/>
          <w:lang w:val="en-AU"/>
        </w:rPr>
        <w:t>vehicle type</w:t>
      </w:r>
      <w:r w:rsidRPr="00404724">
        <w:rPr>
          <w:lang w:val="en-AU"/>
        </w:rPr>
        <w:t xml:space="preserve"> in each </w:t>
      </w:r>
      <w:r w:rsidRPr="00404724">
        <w:rPr>
          <w:i/>
          <w:iCs/>
          <w:lang w:val="en-AU"/>
        </w:rPr>
        <w:t>remoteness region</w:t>
      </w:r>
      <w:r w:rsidRPr="00404724">
        <w:rPr>
          <w:lang w:val="en-AU"/>
        </w:rPr>
        <w:t xml:space="preserve"> based on outputs from steps 2, 3 and 4</w:t>
      </w:r>
      <w:r w:rsidR="00D92D21" w:rsidRPr="00404724">
        <w:rPr>
          <w:lang w:val="en-AU"/>
        </w:rPr>
        <w:t>.</w:t>
      </w:r>
    </w:p>
    <w:p w14:paraId="2C545EFC" w14:textId="28437C32" w:rsidR="002A5496" w:rsidRPr="00404724" w:rsidRDefault="002A5496" w:rsidP="00EC46ED">
      <w:pPr>
        <w:pStyle w:val="ListLegal1"/>
        <w:ind w:left="567" w:hanging="567"/>
        <w:rPr>
          <w:lang w:val="en-AU"/>
        </w:rPr>
      </w:pPr>
      <w:r w:rsidRPr="00404724">
        <w:rPr>
          <w:lang w:val="en-AU"/>
        </w:rPr>
        <w:t xml:space="preserve">Split VKT output from step 5 by </w:t>
      </w:r>
      <w:r w:rsidRPr="00404724">
        <w:rPr>
          <w:i/>
          <w:iCs/>
          <w:lang w:val="en-AU"/>
        </w:rPr>
        <w:t>travel purpose</w:t>
      </w:r>
      <w:r w:rsidR="00D92D21" w:rsidRPr="00404724">
        <w:rPr>
          <w:lang w:val="en-AU"/>
        </w:rPr>
        <w:t>.</w:t>
      </w:r>
    </w:p>
    <w:p w14:paraId="3BCCC602" w14:textId="43B89E68" w:rsidR="002A5496" w:rsidRPr="00404724" w:rsidRDefault="002A5496" w:rsidP="00EC46ED">
      <w:pPr>
        <w:pStyle w:val="ListLegal1"/>
        <w:ind w:left="567" w:hanging="567"/>
        <w:rPr>
          <w:lang w:val="en-AU"/>
        </w:rPr>
      </w:pPr>
      <w:r w:rsidRPr="00404724">
        <w:rPr>
          <w:lang w:val="en-AU"/>
        </w:rPr>
        <w:t xml:space="preserve">Calculate VKT on </w:t>
      </w:r>
      <w:r w:rsidR="005E4B70" w:rsidRPr="00404724">
        <w:rPr>
          <w:i/>
          <w:iCs/>
          <w:lang w:val="en-AU"/>
        </w:rPr>
        <w:t>default</w:t>
      </w:r>
      <w:r w:rsidRPr="00404724">
        <w:rPr>
          <w:i/>
          <w:iCs/>
          <w:lang w:val="en-AU"/>
        </w:rPr>
        <w:t xml:space="preserve"> roads</w:t>
      </w:r>
      <w:r w:rsidRPr="00404724">
        <w:rPr>
          <w:lang w:val="en-AU"/>
        </w:rPr>
        <w:t xml:space="preserve"> by </w:t>
      </w:r>
      <w:r w:rsidRPr="00404724">
        <w:rPr>
          <w:i/>
          <w:iCs/>
          <w:lang w:val="en-AU"/>
        </w:rPr>
        <w:t>vehicle type</w:t>
      </w:r>
      <w:r w:rsidRPr="00404724">
        <w:rPr>
          <w:lang w:val="en-AU"/>
        </w:rPr>
        <w:t xml:space="preserve"> by </w:t>
      </w:r>
      <w:r w:rsidRPr="00404724">
        <w:rPr>
          <w:i/>
          <w:iCs/>
          <w:lang w:val="en-AU"/>
        </w:rPr>
        <w:t>remoteness region</w:t>
      </w:r>
      <w:r w:rsidRPr="00404724">
        <w:rPr>
          <w:lang w:val="en-AU"/>
        </w:rPr>
        <w:t xml:space="preserve"> by </w:t>
      </w:r>
      <w:r w:rsidRPr="00404724">
        <w:rPr>
          <w:i/>
          <w:iCs/>
          <w:lang w:val="en-AU"/>
        </w:rPr>
        <w:t xml:space="preserve">travel purpose </w:t>
      </w:r>
      <w:r w:rsidRPr="00404724">
        <w:rPr>
          <w:lang w:val="en-AU"/>
        </w:rPr>
        <w:t xml:space="preserve">based on outputs from above steps and assumptions on VKT on </w:t>
      </w:r>
      <w:r w:rsidR="005E4B70" w:rsidRPr="00404724">
        <w:rPr>
          <w:lang w:val="en-AU"/>
        </w:rPr>
        <w:t>default</w:t>
      </w:r>
      <w:r w:rsidRPr="00404724">
        <w:rPr>
          <w:lang w:val="en-AU"/>
        </w:rPr>
        <w:t xml:space="preserve"> roads</w:t>
      </w:r>
      <w:r w:rsidR="00D92D21" w:rsidRPr="00404724">
        <w:rPr>
          <w:lang w:val="en-AU"/>
        </w:rPr>
        <w:t>.</w:t>
      </w:r>
    </w:p>
    <w:p w14:paraId="39D51A1C" w14:textId="1CF35940" w:rsidR="002A5496" w:rsidRPr="00404724" w:rsidRDefault="002134EA" w:rsidP="002A5496">
      <w:pPr>
        <w:pStyle w:val="ListNumber"/>
        <w:ind w:left="420" w:hanging="420"/>
        <w:rPr>
          <w:rFonts w:ascii="Calibri" w:hAnsi="Calibri" w:cs="Calibri"/>
        </w:rPr>
      </w:pPr>
      <w:r w:rsidRPr="00404724">
        <w:rPr>
          <w:rFonts w:ascii="Calibri" w:hAnsi="Calibri" w:cs="Calibri"/>
        </w:rPr>
        <w:t>This methodology is further outlined below.</w:t>
      </w:r>
    </w:p>
    <w:p w14:paraId="3F5786C7" w14:textId="77777777" w:rsidR="002A5496" w:rsidRPr="00404724" w:rsidRDefault="002A5496" w:rsidP="00EC46ED">
      <w:pPr>
        <w:pStyle w:val="Heading5"/>
      </w:pPr>
      <w:r w:rsidRPr="00404724">
        <w:t>Total VKT projection</w:t>
      </w:r>
    </w:p>
    <w:p w14:paraId="1BDA5BA2" w14:textId="4047E4F2" w:rsidR="002A5496" w:rsidRPr="00404724" w:rsidRDefault="002A5496" w:rsidP="002A5496">
      <w:pPr>
        <w:pStyle w:val="BodyText"/>
      </w:pPr>
      <w:r w:rsidRPr="00404724">
        <w:t>As part of previous NVES work, which involved modelling the effects of a fuel efficiency standard for new cars in Australia,</w:t>
      </w:r>
      <w:r w:rsidR="002134EA" w:rsidRPr="00404724">
        <w:rPr>
          <w:rStyle w:val="FootnoteReference"/>
        </w:rPr>
        <w:footnoteReference w:id="80"/>
      </w:r>
      <w:r w:rsidRPr="00404724">
        <w:t xml:space="preserve"> total passenger and light commercial vehicle VKT in Australia</w:t>
      </w:r>
      <w:r w:rsidR="002134EA" w:rsidRPr="00404724">
        <w:t xml:space="preserve"> were forecasted</w:t>
      </w:r>
      <w:r w:rsidRPr="00404724">
        <w:t>. This forecast was created using a regression model based on real GPD, population and the consumer-price index (CPI) of fuel.</w:t>
      </w:r>
      <w:r w:rsidRPr="00404724">
        <w:rPr>
          <w:rStyle w:val="FootnoteReference"/>
        </w:rPr>
        <w:footnoteReference w:id="81"/>
      </w:r>
      <w:r w:rsidRPr="00404724">
        <w:t xml:space="preserve"> </w:t>
      </w:r>
    </w:p>
    <w:p w14:paraId="22FA1970" w14:textId="3F996DBB" w:rsidR="002A5496" w:rsidRPr="00404724" w:rsidRDefault="002A5496" w:rsidP="002A5496">
      <w:pPr>
        <w:pStyle w:val="BodyText"/>
      </w:pPr>
      <w:r w:rsidRPr="00404724">
        <w:t xml:space="preserve">To acquire VKT forecast for remaining types of vehicles, the regression model used for the NVES modelling </w:t>
      </w:r>
      <w:r w:rsidR="002134EA" w:rsidRPr="00404724">
        <w:t xml:space="preserve">was replicated </w:t>
      </w:r>
      <w:r w:rsidRPr="00404724">
        <w:t>with different combinations of independent variables of real GDP, population and consumer price index (CPI) for fuel, and their natural logs. It was found that the natural log of population most closely fits the data. A summary of the forecasts is shown in</w:t>
      </w:r>
      <w:r w:rsidR="00CF1735" w:rsidRPr="00404724">
        <w:t xml:space="preserve"> </w:t>
      </w:r>
      <w:r w:rsidR="00CF1735" w:rsidRPr="00404724">
        <w:fldChar w:fldCharType="begin"/>
      </w:r>
      <w:r w:rsidR="00CF1735" w:rsidRPr="00404724">
        <w:instrText xml:space="preserve"> REF _Ref205974395 \h </w:instrText>
      </w:r>
      <w:r w:rsidR="008D110A" w:rsidRPr="00404724">
        <w:instrText xml:space="preserve"> \* MERGEFORMAT </w:instrText>
      </w:r>
      <w:r w:rsidR="00CF1735" w:rsidRPr="00404724">
        <w:fldChar w:fldCharType="separate"/>
      </w:r>
      <w:r w:rsidR="00BF489D" w:rsidRPr="00404724">
        <w:t>Table </w:t>
      </w:r>
      <w:r w:rsidR="00BF489D">
        <w:t>14</w:t>
      </w:r>
      <w:r w:rsidR="00CF1735" w:rsidRPr="00404724">
        <w:fldChar w:fldCharType="end"/>
      </w:r>
      <w:r w:rsidRPr="00404724">
        <w:t xml:space="preserve"> below.</w:t>
      </w:r>
    </w:p>
    <w:p w14:paraId="6FAEB161" w14:textId="13EF4B65" w:rsidR="002A5496" w:rsidRPr="00404724" w:rsidRDefault="002A5496" w:rsidP="003979C3">
      <w:pPr>
        <w:pStyle w:val="Tablefigureheading"/>
      </w:pPr>
      <w:bookmarkStart w:id="310" w:name="_Ref205974395"/>
      <w:bookmarkStart w:id="311" w:name="_Toc210040359"/>
      <w:bookmarkStart w:id="312" w:name="_Toc210051895"/>
      <w:r w:rsidRPr="00404724">
        <w:lastRenderedPageBreak/>
        <w:t>Table </w:t>
      </w:r>
      <w:r w:rsidR="00EC39D5">
        <w:fldChar w:fldCharType="begin"/>
      </w:r>
      <w:r w:rsidR="00EC39D5">
        <w:instrText xml:space="preserve"> SEQ Table \* ARABIC </w:instrText>
      </w:r>
      <w:r w:rsidR="00EC39D5">
        <w:fldChar w:fldCharType="separate"/>
      </w:r>
      <w:r w:rsidR="00BF489D">
        <w:rPr>
          <w:noProof/>
        </w:rPr>
        <w:t>14</w:t>
      </w:r>
      <w:r w:rsidR="00EC39D5">
        <w:rPr>
          <w:noProof/>
        </w:rPr>
        <w:fldChar w:fldCharType="end"/>
      </w:r>
      <w:bookmarkEnd w:id="310"/>
      <w:r w:rsidRPr="00404724">
        <w:tab/>
        <w:t>Summary of VKT by vehicle type forecasts</w:t>
      </w:r>
      <w:bookmarkEnd w:id="311"/>
      <w:bookmarkEnd w:id="312"/>
    </w:p>
    <w:tbl>
      <w:tblPr>
        <w:tblStyle w:val="aacTableBasic"/>
        <w:tblW w:w="3869" w:type="pct"/>
        <w:tblLayout w:type="fixed"/>
        <w:tblLook w:val="04A0" w:firstRow="1" w:lastRow="0" w:firstColumn="1" w:lastColumn="0" w:noHBand="0" w:noVBand="1"/>
        <w:tblCaption w:val="Table 14 Summary of VKT by vehicle type forecasts"/>
        <w:tblDescription w:val="Table 14 Summary of VKT by vehicle type forecasts"/>
      </w:tblPr>
      <w:tblGrid>
        <w:gridCol w:w="4254"/>
        <w:gridCol w:w="1252"/>
        <w:gridCol w:w="2127"/>
      </w:tblGrid>
      <w:tr w:rsidR="002A5496" w:rsidRPr="00404724" w14:paraId="56AA78A7" w14:textId="77777777" w:rsidTr="00EC46ED">
        <w:trPr>
          <w:cnfStyle w:val="100000000000" w:firstRow="1" w:lastRow="0" w:firstColumn="0" w:lastColumn="0" w:oddVBand="0" w:evenVBand="0" w:oddHBand="0" w:evenHBand="0" w:firstRowFirstColumn="0" w:firstRowLastColumn="0" w:lastRowFirstColumn="0" w:lastRowLastColumn="0"/>
          <w:cantSplit/>
          <w:tblHeader/>
        </w:trPr>
        <w:tc>
          <w:tcPr>
            <w:tcW w:w="4253" w:type="dxa"/>
          </w:tcPr>
          <w:p w14:paraId="1BD7D252" w14:textId="77777777" w:rsidR="002A5496" w:rsidRPr="00404724" w:rsidRDefault="002A5496" w:rsidP="00005155">
            <w:pPr>
              <w:keepNext/>
              <w:spacing w:before="80"/>
              <w:rPr>
                <w:rFonts w:asciiTheme="minorHAnsi" w:hAnsiTheme="minorHAnsi"/>
                <w:b/>
                <w:bCs/>
                <w:lang w:val="en-AU"/>
              </w:rPr>
            </w:pPr>
            <w:r w:rsidRPr="00404724">
              <w:rPr>
                <w:rFonts w:asciiTheme="minorHAnsi" w:hAnsiTheme="minorHAnsi"/>
                <w:b/>
                <w:bCs/>
                <w:lang w:val="en-AU"/>
              </w:rPr>
              <w:t>Vehicle type</w:t>
            </w:r>
          </w:p>
        </w:tc>
        <w:tc>
          <w:tcPr>
            <w:tcW w:w="1252" w:type="dxa"/>
          </w:tcPr>
          <w:p w14:paraId="41AC65D6" w14:textId="77777777" w:rsidR="002A5496" w:rsidRPr="00404724" w:rsidRDefault="002A5496" w:rsidP="00005155">
            <w:pPr>
              <w:keepNext/>
              <w:spacing w:before="80"/>
              <w:jc w:val="right"/>
              <w:rPr>
                <w:rFonts w:asciiTheme="minorHAnsi" w:hAnsiTheme="minorHAnsi"/>
                <w:b/>
                <w:bCs/>
                <w:lang w:val="en-AU"/>
              </w:rPr>
            </w:pPr>
            <w:r w:rsidRPr="00404724">
              <w:rPr>
                <w:rFonts w:asciiTheme="minorHAnsi" w:hAnsiTheme="minorHAnsi"/>
                <w:b/>
                <w:bCs/>
                <w:lang w:val="en-AU"/>
              </w:rPr>
              <w:t>2025</w:t>
            </w:r>
          </w:p>
        </w:tc>
        <w:tc>
          <w:tcPr>
            <w:tcW w:w="2127" w:type="dxa"/>
          </w:tcPr>
          <w:p w14:paraId="0DCB989D" w14:textId="77777777" w:rsidR="002A5496" w:rsidRPr="00404724" w:rsidRDefault="002A5496" w:rsidP="00005155">
            <w:pPr>
              <w:keepNext/>
              <w:spacing w:before="80"/>
              <w:jc w:val="right"/>
              <w:rPr>
                <w:rFonts w:asciiTheme="minorHAnsi" w:hAnsiTheme="minorHAnsi"/>
                <w:b/>
                <w:bCs/>
                <w:lang w:val="en-AU"/>
              </w:rPr>
            </w:pPr>
            <w:r w:rsidRPr="00404724">
              <w:rPr>
                <w:rFonts w:asciiTheme="minorHAnsi" w:hAnsiTheme="minorHAnsi"/>
                <w:b/>
                <w:bCs/>
                <w:lang w:val="en-AU"/>
              </w:rPr>
              <w:t>2034</w:t>
            </w:r>
          </w:p>
        </w:tc>
      </w:tr>
      <w:tr w:rsidR="002A5496" w:rsidRPr="00404724" w14:paraId="6EF37CE7" w14:textId="77777777" w:rsidTr="00EC46ED">
        <w:trPr>
          <w:cantSplit/>
        </w:trPr>
        <w:tc>
          <w:tcPr>
            <w:tcW w:w="4253" w:type="dxa"/>
          </w:tcPr>
          <w:p w14:paraId="64E392A8" w14:textId="77777777" w:rsidR="002A5496" w:rsidRPr="00404724" w:rsidRDefault="002A5496" w:rsidP="00005155">
            <w:pPr>
              <w:keepNext/>
              <w:spacing w:before="80"/>
              <w:rPr>
                <w:rFonts w:asciiTheme="minorHAnsi" w:hAnsiTheme="minorHAnsi"/>
                <w:lang w:val="en-AU"/>
              </w:rPr>
            </w:pPr>
            <w:r w:rsidRPr="00404724">
              <w:rPr>
                <w:rFonts w:asciiTheme="minorHAnsi" w:hAnsiTheme="minorHAnsi"/>
                <w:lang w:val="en-AU"/>
              </w:rPr>
              <w:t>Passenger vehicles</w:t>
            </w:r>
          </w:p>
        </w:tc>
        <w:tc>
          <w:tcPr>
            <w:tcW w:w="1252" w:type="dxa"/>
          </w:tcPr>
          <w:p w14:paraId="097E17C4" w14:textId="77777777" w:rsidR="002A5496" w:rsidRPr="00404724" w:rsidRDefault="002A5496" w:rsidP="00005155">
            <w:pPr>
              <w:keepNext/>
              <w:spacing w:before="80"/>
              <w:jc w:val="right"/>
              <w:rPr>
                <w:rFonts w:asciiTheme="minorHAnsi" w:hAnsiTheme="minorHAnsi"/>
                <w:lang w:val="en-AU"/>
              </w:rPr>
            </w:pPr>
            <w:r w:rsidRPr="00404724">
              <w:rPr>
                <w:rFonts w:asciiTheme="minorHAnsi" w:hAnsiTheme="minorHAnsi"/>
                <w:lang w:val="en-AU"/>
              </w:rPr>
              <w:t>183.99 billion</w:t>
            </w:r>
          </w:p>
        </w:tc>
        <w:tc>
          <w:tcPr>
            <w:tcW w:w="2127" w:type="dxa"/>
          </w:tcPr>
          <w:p w14:paraId="456280C9" w14:textId="77777777" w:rsidR="002A5496" w:rsidRPr="00404724" w:rsidRDefault="002A5496" w:rsidP="00005155">
            <w:pPr>
              <w:keepNext/>
              <w:spacing w:before="80"/>
              <w:jc w:val="right"/>
              <w:rPr>
                <w:rFonts w:asciiTheme="minorHAnsi" w:hAnsiTheme="minorHAnsi"/>
                <w:lang w:val="en-AU"/>
              </w:rPr>
            </w:pPr>
            <w:r w:rsidRPr="00404724">
              <w:rPr>
                <w:rFonts w:asciiTheme="minorHAnsi" w:hAnsiTheme="minorHAnsi"/>
                <w:lang w:val="en-AU"/>
              </w:rPr>
              <w:t>195.10 billion</w:t>
            </w:r>
          </w:p>
        </w:tc>
      </w:tr>
      <w:tr w:rsidR="002A5496" w:rsidRPr="00404724" w14:paraId="3A27EC62" w14:textId="77777777" w:rsidTr="00EC46ED">
        <w:trPr>
          <w:cantSplit/>
        </w:trPr>
        <w:tc>
          <w:tcPr>
            <w:tcW w:w="4253" w:type="dxa"/>
          </w:tcPr>
          <w:p w14:paraId="0E0B9A9D" w14:textId="77777777" w:rsidR="002A5496" w:rsidRPr="00404724" w:rsidRDefault="002A5496" w:rsidP="00005155">
            <w:pPr>
              <w:keepNext/>
              <w:spacing w:before="80"/>
              <w:rPr>
                <w:rFonts w:asciiTheme="minorHAnsi" w:hAnsiTheme="minorHAnsi"/>
                <w:lang w:val="en-AU"/>
              </w:rPr>
            </w:pPr>
            <w:r w:rsidRPr="00404724">
              <w:rPr>
                <w:rFonts w:asciiTheme="minorHAnsi" w:hAnsiTheme="minorHAnsi"/>
                <w:lang w:val="en-AU"/>
              </w:rPr>
              <w:t>Light commercial vehicles</w:t>
            </w:r>
          </w:p>
        </w:tc>
        <w:tc>
          <w:tcPr>
            <w:tcW w:w="1252" w:type="dxa"/>
          </w:tcPr>
          <w:p w14:paraId="6E3733B4" w14:textId="77777777" w:rsidR="002A5496" w:rsidRPr="00404724" w:rsidRDefault="002A5496" w:rsidP="00005155">
            <w:pPr>
              <w:keepNext/>
              <w:spacing w:before="80"/>
              <w:jc w:val="right"/>
              <w:rPr>
                <w:rFonts w:asciiTheme="minorHAnsi" w:hAnsiTheme="minorHAnsi"/>
                <w:lang w:val="en-AU"/>
              </w:rPr>
            </w:pPr>
            <w:r w:rsidRPr="00404724">
              <w:rPr>
                <w:rFonts w:asciiTheme="minorHAnsi" w:hAnsiTheme="minorHAnsi"/>
                <w:lang w:val="en-AU"/>
              </w:rPr>
              <w:t>59.85 billion</w:t>
            </w:r>
          </w:p>
        </w:tc>
        <w:tc>
          <w:tcPr>
            <w:tcW w:w="2127" w:type="dxa"/>
          </w:tcPr>
          <w:p w14:paraId="56C762D8" w14:textId="77777777" w:rsidR="002A5496" w:rsidRPr="00404724" w:rsidRDefault="002A5496" w:rsidP="00005155">
            <w:pPr>
              <w:keepNext/>
              <w:spacing w:before="80"/>
              <w:jc w:val="right"/>
              <w:rPr>
                <w:rFonts w:asciiTheme="minorHAnsi" w:hAnsiTheme="minorHAnsi"/>
                <w:lang w:val="en-AU"/>
              </w:rPr>
            </w:pPr>
            <w:r w:rsidRPr="00404724">
              <w:rPr>
                <w:rFonts w:asciiTheme="minorHAnsi" w:hAnsiTheme="minorHAnsi"/>
                <w:lang w:val="en-AU"/>
              </w:rPr>
              <w:t>68.48 billion</w:t>
            </w:r>
          </w:p>
        </w:tc>
      </w:tr>
      <w:tr w:rsidR="002A5496" w:rsidRPr="00404724" w14:paraId="7C798E9A" w14:textId="77777777" w:rsidTr="00EC46ED">
        <w:trPr>
          <w:cantSplit/>
        </w:trPr>
        <w:tc>
          <w:tcPr>
            <w:tcW w:w="4253" w:type="dxa"/>
          </w:tcPr>
          <w:p w14:paraId="28A4455E" w14:textId="77777777" w:rsidR="002A5496" w:rsidRPr="00404724" w:rsidRDefault="002A5496" w:rsidP="00005155">
            <w:pPr>
              <w:keepNext/>
              <w:spacing w:before="80"/>
              <w:rPr>
                <w:rFonts w:asciiTheme="minorHAnsi" w:hAnsiTheme="minorHAnsi"/>
                <w:lang w:val="en-AU"/>
              </w:rPr>
            </w:pPr>
            <w:r w:rsidRPr="00404724">
              <w:rPr>
                <w:rFonts w:asciiTheme="minorHAnsi" w:hAnsiTheme="minorHAnsi"/>
                <w:lang w:val="en-AU"/>
              </w:rPr>
              <w:t>Rigid trucks</w:t>
            </w:r>
          </w:p>
        </w:tc>
        <w:tc>
          <w:tcPr>
            <w:tcW w:w="1252" w:type="dxa"/>
          </w:tcPr>
          <w:p w14:paraId="4105F1DA" w14:textId="77777777" w:rsidR="002A5496" w:rsidRPr="00404724" w:rsidRDefault="002A5496" w:rsidP="00005155">
            <w:pPr>
              <w:keepNext/>
              <w:spacing w:before="80"/>
              <w:jc w:val="right"/>
              <w:rPr>
                <w:rFonts w:asciiTheme="minorHAnsi" w:hAnsiTheme="minorHAnsi"/>
                <w:lang w:val="en-AU"/>
              </w:rPr>
            </w:pPr>
            <w:r w:rsidRPr="00404724">
              <w:rPr>
                <w:rFonts w:asciiTheme="minorHAnsi" w:hAnsiTheme="minorHAnsi"/>
                <w:lang w:val="en-AU"/>
              </w:rPr>
              <w:t>12.08 billion</w:t>
            </w:r>
          </w:p>
        </w:tc>
        <w:tc>
          <w:tcPr>
            <w:tcW w:w="2127" w:type="dxa"/>
          </w:tcPr>
          <w:p w14:paraId="1C1C15B5" w14:textId="77777777" w:rsidR="002A5496" w:rsidRPr="00404724" w:rsidRDefault="002A5496" w:rsidP="00005155">
            <w:pPr>
              <w:keepNext/>
              <w:spacing w:before="80"/>
              <w:jc w:val="right"/>
              <w:rPr>
                <w:rFonts w:asciiTheme="minorHAnsi" w:hAnsiTheme="minorHAnsi"/>
                <w:lang w:val="en-AU"/>
              </w:rPr>
            </w:pPr>
            <w:r w:rsidRPr="00404724">
              <w:rPr>
                <w:rFonts w:asciiTheme="minorHAnsi" w:hAnsiTheme="minorHAnsi"/>
                <w:lang w:val="en-AU"/>
              </w:rPr>
              <w:t>13.52 billion</w:t>
            </w:r>
          </w:p>
        </w:tc>
      </w:tr>
      <w:tr w:rsidR="002A5496" w:rsidRPr="00404724" w14:paraId="43D4E589" w14:textId="77777777" w:rsidTr="00EC46ED">
        <w:trPr>
          <w:cantSplit/>
        </w:trPr>
        <w:tc>
          <w:tcPr>
            <w:tcW w:w="4253" w:type="dxa"/>
          </w:tcPr>
          <w:p w14:paraId="5E609F95" w14:textId="77777777" w:rsidR="002A5496" w:rsidRPr="00404724" w:rsidRDefault="002A5496" w:rsidP="00005155">
            <w:pPr>
              <w:keepNext/>
              <w:spacing w:before="80"/>
              <w:rPr>
                <w:rFonts w:asciiTheme="minorHAnsi" w:hAnsiTheme="minorHAnsi"/>
                <w:lang w:val="en-AU"/>
              </w:rPr>
            </w:pPr>
            <w:r w:rsidRPr="00404724">
              <w:rPr>
                <w:rFonts w:asciiTheme="minorHAnsi" w:hAnsiTheme="minorHAnsi"/>
                <w:lang w:val="en-AU"/>
              </w:rPr>
              <w:t>Articulated trucks</w:t>
            </w:r>
          </w:p>
        </w:tc>
        <w:tc>
          <w:tcPr>
            <w:tcW w:w="1252" w:type="dxa"/>
          </w:tcPr>
          <w:p w14:paraId="3BD6F7DD" w14:textId="77777777" w:rsidR="002A5496" w:rsidRPr="00404724" w:rsidRDefault="002A5496" w:rsidP="00005155">
            <w:pPr>
              <w:keepNext/>
              <w:spacing w:before="80"/>
              <w:jc w:val="right"/>
              <w:rPr>
                <w:rFonts w:asciiTheme="minorHAnsi" w:hAnsiTheme="minorHAnsi"/>
                <w:lang w:val="en-AU"/>
              </w:rPr>
            </w:pPr>
            <w:r w:rsidRPr="00404724">
              <w:rPr>
                <w:rFonts w:asciiTheme="minorHAnsi" w:hAnsiTheme="minorHAnsi"/>
                <w:lang w:val="en-AU"/>
              </w:rPr>
              <w:t>9.31 billion</w:t>
            </w:r>
          </w:p>
        </w:tc>
        <w:tc>
          <w:tcPr>
            <w:tcW w:w="2127" w:type="dxa"/>
          </w:tcPr>
          <w:p w14:paraId="40EF9FDE" w14:textId="77777777" w:rsidR="002A5496" w:rsidRPr="00404724" w:rsidRDefault="002A5496" w:rsidP="00005155">
            <w:pPr>
              <w:keepNext/>
              <w:spacing w:before="80"/>
              <w:jc w:val="right"/>
              <w:rPr>
                <w:rFonts w:asciiTheme="minorHAnsi" w:hAnsiTheme="minorHAnsi"/>
                <w:lang w:val="en-AU"/>
              </w:rPr>
            </w:pPr>
            <w:r w:rsidRPr="00404724">
              <w:rPr>
                <w:rFonts w:asciiTheme="minorHAnsi" w:hAnsiTheme="minorHAnsi"/>
                <w:lang w:val="en-AU"/>
              </w:rPr>
              <w:t>10.46 billion</w:t>
            </w:r>
          </w:p>
        </w:tc>
      </w:tr>
      <w:tr w:rsidR="002A5496" w:rsidRPr="00404724" w14:paraId="33E71EAD" w14:textId="77777777" w:rsidTr="00EC46ED">
        <w:trPr>
          <w:cantSplit/>
        </w:trPr>
        <w:tc>
          <w:tcPr>
            <w:tcW w:w="4253" w:type="dxa"/>
          </w:tcPr>
          <w:p w14:paraId="59768319" w14:textId="77777777" w:rsidR="002A5496" w:rsidRPr="00404724" w:rsidRDefault="002A5496" w:rsidP="00005155">
            <w:pPr>
              <w:keepNext/>
              <w:spacing w:before="80"/>
              <w:rPr>
                <w:rFonts w:asciiTheme="minorHAnsi" w:hAnsiTheme="minorHAnsi"/>
                <w:lang w:val="en-AU"/>
              </w:rPr>
            </w:pPr>
            <w:r w:rsidRPr="00404724">
              <w:rPr>
                <w:rFonts w:asciiTheme="minorHAnsi" w:hAnsiTheme="minorHAnsi"/>
                <w:lang w:val="en-AU"/>
              </w:rPr>
              <w:t>Buses</w:t>
            </w:r>
          </w:p>
        </w:tc>
        <w:tc>
          <w:tcPr>
            <w:tcW w:w="1252" w:type="dxa"/>
          </w:tcPr>
          <w:p w14:paraId="3290371E" w14:textId="77777777" w:rsidR="002A5496" w:rsidRPr="00404724" w:rsidRDefault="002A5496" w:rsidP="00005155">
            <w:pPr>
              <w:keepNext/>
              <w:spacing w:before="80"/>
              <w:jc w:val="right"/>
              <w:rPr>
                <w:rFonts w:asciiTheme="minorHAnsi" w:hAnsiTheme="minorHAnsi"/>
                <w:lang w:val="en-AU"/>
              </w:rPr>
            </w:pPr>
            <w:r w:rsidRPr="00404724">
              <w:rPr>
                <w:rFonts w:asciiTheme="minorHAnsi" w:hAnsiTheme="minorHAnsi"/>
                <w:lang w:val="en-AU"/>
              </w:rPr>
              <w:t>2.59 billion</w:t>
            </w:r>
          </w:p>
        </w:tc>
        <w:tc>
          <w:tcPr>
            <w:tcW w:w="2127" w:type="dxa"/>
          </w:tcPr>
          <w:p w14:paraId="619F35FD" w14:textId="77777777" w:rsidR="002A5496" w:rsidRPr="00404724" w:rsidRDefault="002A5496" w:rsidP="00005155">
            <w:pPr>
              <w:keepNext/>
              <w:spacing w:before="80"/>
              <w:jc w:val="right"/>
              <w:rPr>
                <w:rFonts w:asciiTheme="minorHAnsi" w:hAnsiTheme="minorHAnsi"/>
                <w:lang w:val="en-AU"/>
              </w:rPr>
            </w:pPr>
            <w:r w:rsidRPr="00404724">
              <w:rPr>
                <w:rFonts w:asciiTheme="minorHAnsi" w:hAnsiTheme="minorHAnsi"/>
                <w:lang w:val="en-AU"/>
              </w:rPr>
              <w:t>2.85 billion</w:t>
            </w:r>
          </w:p>
        </w:tc>
      </w:tr>
      <w:tr w:rsidR="002A5496" w:rsidRPr="00404724" w14:paraId="603B8545" w14:textId="77777777" w:rsidTr="00EC46ED">
        <w:trPr>
          <w:cantSplit/>
        </w:trPr>
        <w:tc>
          <w:tcPr>
            <w:tcW w:w="4253" w:type="dxa"/>
          </w:tcPr>
          <w:p w14:paraId="44909EAD"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Motorcycles</w:t>
            </w:r>
          </w:p>
        </w:tc>
        <w:tc>
          <w:tcPr>
            <w:tcW w:w="1252" w:type="dxa"/>
          </w:tcPr>
          <w:p w14:paraId="7B2425CA"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2.57 billion</w:t>
            </w:r>
          </w:p>
        </w:tc>
        <w:tc>
          <w:tcPr>
            <w:tcW w:w="2127" w:type="dxa"/>
          </w:tcPr>
          <w:p w14:paraId="34CAB982"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2.82 billion</w:t>
            </w:r>
          </w:p>
        </w:tc>
      </w:tr>
    </w:tbl>
    <w:p w14:paraId="6674881F" w14:textId="77777777" w:rsidR="002A5496" w:rsidRPr="00404724" w:rsidRDefault="002A5496" w:rsidP="00AE4E2F">
      <w:pPr>
        <w:pStyle w:val="Sourcenotes"/>
        <w:rPr>
          <w:lang w:val="en-AU"/>
        </w:rPr>
      </w:pPr>
      <w:r w:rsidRPr="00404724">
        <w:rPr>
          <w:lang w:val="en-AU"/>
        </w:rPr>
        <w:t>Source: ACIL Allen analysis</w:t>
      </w:r>
    </w:p>
    <w:p w14:paraId="1F970839" w14:textId="77777777" w:rsidR="002A5496" w:rsidRPr="00404724" w:rsidRDefault="002A5496" w:rsidP="00EC46ED">
      <w:pPr>
        <w:pStyle w:val="Heading5"/>
      </w:pPr>
      <w:r w:rsidRPr="00404724">
        <w:t>Number of vehicles projection</w:t>
      </w:r>
    </w:p>
    <w:p w14:paraId="002328F6" w14:textId="53E6691A" w:rsidR="002A5496" w:rsidRPr="00404724" w:rsidRDefault="002A5496" w:rsidP="002A5496">
      <w:pPr>
        <w:pStyle w:val="BodyText"/>
      </w:pPr>
      <w:r w:rsidRPr="00404724">
        <w:t>Using the total VKT projection developed as described above, it is possible to derive projection of the number of vehicles for the assessment period using assumptions on vehicle ownership per capita for each vehicle type.</w:t>
      </w:r>
      <w:r w:rsidR="00F55894" w:rsidRPr="00404724">
        <w:t xml:space="preserve"> For private vehicles, studies have shown that private vehicle ownership per capita is different by age group. Younger people are less likely to own a private vehicle in modern day compared to older generations.</w:t>
      </w:r>
      <w:r w:rsidR="00F55894" w:rsidRPr="00404724">
        <w:rPr>
          <w:rStyle w:val="FootnoteReference"/>
        </w:rPr>
        <w:footnoteReference w:id="82"/>
      </w:r>
      <w:r w:rsidR="00F55894" w:rsidRPr="00404724">
        <w:t xml:space="preserve"> Non-private vehicles</w:t>
      </w:r>
      <w:r w:rsidRPr="00404724">
        <w:t xml:space="preserve">, such as trucks and buses, are typically driven by </w:t>
      </w:r>
      <w:r w:rsidR="00476FC9" w:rsidRPr="00404724">
        <w:t xml:space="preserve">different </w:t>
      </w:r>
      <w:r w:rsidRPr="00404724">
        <w:t>factors such as road freight demand and public transport demand and investments. It is unlikely that any seismic change in vehicle ownership patterns due to demographics would occur during the assessment period</w:t>
      </w:r>
      <w:r w:rsidR="0022623C" w:rsidRPr="00404724">
        <w:t>.</w:t>
      </w:r>
      <w:r w:rsidRPr="00404724">
        <w:t xml:space="preserve"> Therefore, it is reasonable to assume little to no change in the number of vehicle per capita. This analysis assumes that vehicle ownership per capita remains constant to 2024 (see</w:t>
      </w:r>
      <w:r w:rsidR="00CF1735" w:rsidRPr="00404724">
        <w:t xml:space="preserve"> </w:t>
      </w:r>
      <w:r w:rsidR="00CF1735" w:rsidRPr="00404724">
        <w:fldChar w:fldCharType="begin"/>
      </w:r>
      <w:r w:rsidR="00CF1735" w:rsidRPr="00404724">
        <w:instrText xml:space="preserve"> REF _Ref208396636 \h </w:instrText>
      </w:r>
      <w:r w:rsidR="00CF1735" w:rsidRPr="00404724">
        <w:fldChar w:fldCharType="separate"/>
      </w:r>
      <w:r w:rsidR="00BF489D" w:rsidRPr="00404724">
        <w:t>Table </w:t>
      </w:r>
      <w:r w:rsidR="00BF489D">
        <w:rPr>
          <w:noProof/>
        </w:rPr>
        <w:t>15</w:t>
      </w:r>
      <w:r w:rsidR="00CF1735" w:rsidRPr="00404724">
        <w:fldChar w:fldCharType="end"/>
      </w:r>
      <w:r w:rsidRPr="00404724">
        <w:t>), and the increase in number of vehicles is driven solely by the growth in population.</w:t>
      </w:r>
    </w:p>
    <w:p w14:paraId="5FE705F6" w14:textId="59524805" w:rsidR="002A5496" w:rsidRPr="00404724" w:rsidRDefault="002A5496" w:rsidP="003979C3">
      <w:pPr>
        <w:pStyle w:val="Tablefigureheading"/>
      </w:pPr>
      <w:bookmarkStart w:id="313" w:name="_Ref208396636"/>
      <w:bookmarkStart w:id="314" w:name="_Toc210040360"/>
      <w:bookmarkStart w:id="315" w:name="_Toc210051896"/>
      <w:r w:rsidRPr="00404724">
        <w:t>Table </w:t>
      </w:r>
      <w:r w:rsidR="00EC39D5">
        <w:fldChar w:fldCharType="begin"/>
      </w:r>
      <w:r w:rsidR="00EC39D5">
        <w:instrText xml:space="preserve"> SEQ Table \* ARABIC </w:instrText>
      </w:r>
      <w:r w:rsidR="00EC39D5">
        <w:fldChar w:fldCharType="separate"/>
      </w:r>
      <w:r w:rsidR="00BF489D">
        <w:rPr>
          <w:noProof/>
        </w:rPr>
        <w:t>15</w:t>
      </w:r>
      <w:r w:rsidR="00EC39D5">
        <w:rPr>
          <w:noProof/>
        </w:rPr>
        <w:fldChar w:fldCharType="end"/>
      </w:r>
      <w:bookmarkEnd w:id="313"/>
      <w:r w:rsidRPr="00404724">
        <w:tab/>
        <w:t>Number of vehicle per capita</w:t>
      </w:r>
      <w:bookmarkEnd w:id="314"/>
      <w:bookmarkEnd w:id="315"/>
    </w:p>
    <w:tbl>
      <w:tblPr>
        <w:tblStyle w:val="aacTableBasic"/>
        <w:tblW w:w="5000" w:type="pct"/>
        <w:tblLayout w:type="fixed"/>
        <w:tblLook w:val="04A0" w:firstRow="1" w:lastRow="0" w:firstColumn="1" w:lastColumn="0" w:noHBand="0" w:noVBand="1"/>
        <w:tblCaption w:val="Table 15 Number of vehicle per capita"/>
        <w:tblDescription w:val="Table 15 Number of vehicle per capita"/>
      </w:tblPr>
      <w:tblGrid>
        <w:gridCol w:w="4932"/>
        <w:gridCol w:w="4932"/>
      </w:tblGrid>
      <w:tr w:rsidR="002A5496" w:rsidRPr="00404724" w14:paraId="1E2A6BE5" w14:textId="77777777" w:rsidTr="00BB5FCD">
        <w:trPr>
          <w:cnfStyle w:val="100000000000" w:firstRow="1" w:lastRow="0" w:firstColumn="0" w:lastColumn="0" w:oddVBand="0" w:evenVBand="0" w:oddHBand="0" w:evenHBand="0" w:firstRowFirstColumn="0" w:firstRowLastColumn="0" w:lastRowFirstColumn="0" w:lastRowLastColumn="0"/>
          <w:cantSplit/>
          <w:tblHeader/>
        </w:trPr>
        <w:tc>
          <w:tcPr>
            <w:tcW w:w="4333" w:type="dxa"/>
          </w:tcPr>
          <w:p w14:paraId="3CDC88BC" w14:textId="77777777" w:rsidR="002A5496" w:rsidRPr="00404724" w:rsidRDefault="002A5496" w:rsidP="00A115DA">
            <w:pPr>
              <w:spacing w:before="20" w:after="20"/>
              <w:rPr>
                <w:rFonts w:asciiTheme="minorHAnsi" w:hAnsiTheme="minorHAnsi"/>
                <w:b/>
                <w:bCs/>
                <w:lang w:val="en-AU"/>
              </w:rPr>
            </w:pPr>
            <w:r w:rsidRPr="00404724">
              <w:rPr>
                <w:rFonts w:asciiTheme="minorHAnsi" w:hAnsiTheme="minorHAnsi"/>
                <w:b/>
                <w:bCs/>
                <w:lang w:val="en-AU"/>
              </w:rPr>
              <w:t>Vehicle type</w:t>
            </w:r>
          </w:p>
        </w:tc>
        <w:tc>
          <w:tcPr>
            <w:tcW w:w="4333" w:type="dxa"/>
          </w:tcPr>
          <w:p w14:paraId="73765867" w14:textId="77777777" w:rsidR="002A5496" w:rsidRPr="00404724" w:rsidRDefault="002A5496" w:rsidP="00A115DA">
            <w:pPr>
              <w:spacing w:before="20" w:after="20"/>
              <w:jc w:val="center"/>
              <w:rPr>
                <w:rFonts w:asciiTheme="minorHAnsi" w:hAnsiTheme="minorHAnsi"/>
                <w:b/>
                <w:bCs/>
                <w:lang w:val="en-AU"/>
              </w:rPr>
            </w:pPr>
            <w:r w:rsidRPr="00404724">
              <w:rPr>
                <w:rFonts w:asciiTheme="minorHAnsi" w:hAnsiTheme="minorHAnsi"/>
                <w:b/>
                <w:bCs/>
                <w:lang w:val="en-AU"/>
              </w:rPr>
              <w:t>Vehicle per capita (2024)</w:t>
            </w:r>
          </w:p>
        </w:tc>
      </w:tr>
      <w:tr w:rsidR="002A5496" w:rsidRPr="00404724" w14:paraId="26005544" w14:textId="77777777" w:rsidTr="00BB5FCD">
        <w:trPr>
          <w:cantSplit/>
        </w:trPr>
        <w:tc>
          <w:tcPr>
            <w:tcW w:w="4333" w:type="dxa"/>
          </w:tcPr>
          <w:p w14:paraId="5C79E910" w14:textId="77777777" w:rsidR="002A5496" w:rsidRPr="00404724" w:rsidRDefault="002A5496" w:rsidP="00A115DA">
            <w:pPr>
              <w:spacing w:before="20" w:after="20"/>
              <w:rPr>
                <w:rFonts w:asciiTheme="minorHAnsi" w:hAnsiTheme="minorHAnsi"/>
                <w:lang w:val="en-AU"/>
              </w:rPr>
            </w:pPr>
            <w:r w:rsidRPr="00404724">
              <w:rPr>
                <w:rFonts w:asciiTheme="minorHAnsi" w:hAnsiTheme="minorHAnsi"/>
                <w:lang w:val="en-AU"/>
              </w:rPr>
              <w:t>Passenger vehicles</w:t>
            </w:r>
          </w:p>
        </w:tc>
        <w:tc>
          <w:tcPr>
            <w:tcW w:w="4333" w:type="dxa"/>
          </w:tcPr>
          <w:p w14:paraId="4BEEDF7B" w14:textId="77777777" w:rsidR="002A5496" w:rsidRPr="00404724" w:rsidRDefault="002A5496" w:rsidP="00A115DA">
            <w:pPr>
              <w:spacing w:before="20" w:after="20"/>
              <w:jc w:val="center"/>
              <w:rPr>
                <w:rFonts w:asciiTheme="minorHAnsi" w:hAnsiTheme="minorHAnsi"/>
                <w:lang w:val="en-AU"/>
              </w:rPr>
            </w:pPr>
            <w:r w:rsidRPr="00404724">
              <w:rPr>
                <w:rFonts w:asciiTheme="minorHAnsi" w:hAnsiTheme="minorHAnsi"/>
                <w:lang w:val="en-AU"/>
              </w:rPr>
              <w:t>0.5773</w:t>
            </w:r>
          </w:p>
        </w:tc>
      </w:tr>
      <w:tr w:rsidR="002A5496" w:rsidRPr="00404724" w14:paraId="03621FA8" w14:textId="77777777" w:rsidTr="00BB5FCD">
        <w:trPr>
          <w:cantSplit/>
        </w:trPr>
        <w:tc>
          <w:tcPr>
            <w:tcW w:w="4333" w:type="dxa"/>
          </w:tcPr>
          <w:p w14:paraId="75D3D489" w14:textId="77777777" w:rsidR="002A5496" w:rsidRPr="00404724" w:rsidRDefault="002A5496" w:rsidP="00A115DA">
            <w:pPr>
              <w:spacing w:before="20" w:after="20"/>
              <w:rPr>
                <w:rFonts w:asciiTheme="minorHAnsi" w:hAnsiTheme="minorHAnsi"/>
                <w:lang w:val="en-AU"/>
              </w:rPr>
            </w:pPr>
            <w:r w:rsidRPr="00404724">
              <w:rPr>
                <w:rFonts w:asciiTheme="minorHAnsi" w:hAnsiTheme="minorHAnsi"/>
                <w:lang w:val="en-AU"/>
              </w:rPr>
              <w:t>Light commercial vehicles</w:t>
            </w:r>
          </w:p>
        </w:tc>
        <w:tc>
          <w:tcPr>
            <w:tcW w:w="4333" w:type="dxa"/>
          </w:tcPr>
          <w:p w14:paraId="5A8D8CDF" w14:textId="77777777" w:rsidR="002A5496" w:rsidRPr="00404724" w:rsidRDefault="002A5496" w:rsidP="00A115DA">
            <w:pPr>
              <w:spacing w:before="20" w:after="20"/>
              <w:jc w:val="center"/>
              <w:rPr>
                <w:rFonts w:asciiTheme="minorHAnsi" w:hAnsiTheme="minorHAnsi"/>
                <w:lang w:val="en-AU"/>
              </w:rPr>
            </w:pPr>
            <w:r w:rsidRPr="00404724">
              <w:rPr>
                <w:rFonts w:asciiTheme="minorHAnsi" w:hAnsiTheme="minorHAnsi"/>
                <w:lang w:val="en-AU"/>
              </w:rPr>
              <w:t>0.1499</w:t>
            </w:r>
          </w:p>
        </w:tc>
      </w:tr>
      <w:tr w:rsidR="002A5496" w:rsidRPr="00404724" w14:paraId="27AB2C9E" w14:textId="77777777" w:rsidTr="00BB5FCD">
        <w:trPr>
          <w:cantSplit/>
        </w:trPr>
        <w:tc>
          <w:tcPr>
            <w:tcW w:w="4333" w:type="dxa"/>
          </w:tcPr>
          <w:p w14:paraId="66651EEF" w14:textId="77777777" w:rsidR="002A5496" w:rsidRPr="00404724" w:rsidRDefault="002A5496" w:rsidP="00A115DA">
            <w:pPr>
              <w:spacing w:before="20" w:after="20"/>
              <w:rPr>
                <w:rFonts w:asciiTheme="minorHAnsi" w:hAnsiTheme="minorHAnsi"/>
                <w:lang w:val="en-AU"/>
              </w:rPr>
            </w:pPr>
            <w:r w:rsidRPr="00404724">
              <w:rPr>
                <w:rFonts w:asciiTheme="minorHAnsi" w:hAnsiTheme="minorHAnsi"/>
                <w:lang w:val="en-AU"/>
              </w:rPr>
              <w:t>Rigid trucks</w:t>
            </w:r>
          </w:p>
        </w:tc>
        <w:tc>
          <w:tcPr>
            <w:tcW w:w="4333" w:type="dxa"/>
          </w:tcPr>
          <w:p w14:paraId="5060ABC9" w14:textId="77777777" w:rsidR="002A5496" w:rsidRPr="00404724" w:rsidRDefault="002A5496" w:rsidP="00A115DA">
            <w:pPr>
              <w:spacing w:before="20" w:after="20"/>
              <w:jc w:val="center"/>
              <w:rPr>
                <w:rFonts w:asciiTheme="minorHAnsi" w:hAnsiTheme="minorHAnsi"/>
                <w:lang w:val="en-AU"/>
              </w:rPr>
            </w:pPr>
            <w:r w:rsidRPr="00404724">
              <w:rPr>
                <w:rFonts w:asciiTheme="minorHAnsi" w:hAnsiTheme="minorHAnsi"/>
                <w:lang w:val="en-AU"/>
              </w:rPr>
              <w:t>0.0232</w:t>
            </w:r>
          </w:p>
        </w:tc>
      </w:tr>
      <w:tr w:rsidR="002A5496" w:rsidRPr="00404724" w14:paraId="530F5B36" w14:textId="77777777" w:rsidTr="00BB5FCD">
        <w:trPr>
          <w:cantSplit/>
        </w:trPr>
        <w:tc>
          <w:tcPr>
            <w:tcW w:w="4333" w:type="dxa"/>
          </w:tcPr>
          <w:p w14:paraId="6CDB60C5" w14:textId="77777777" w:rsidR="002A5496" w:rsidRPr="00404724" w:rsidRDefault="002A5496" w:rsidP="00A115DA">
            <w:pPr>
              <w:spacing w:before="20" w:after="20"/>
              <w:rPr>
                <w:rFonts w:asciiTheme="minorHAnsi" w:hAnsiTheme="minorHAnsi"/>
                <w:lang w:val="en-AU"/>
              </w:rPr>
            </w:pPr>
            <w:r w:rsidRPr="00404724">
              <w:rPr>
                <w:rFonts w:asciiTheme="minorHAnsi" w:hAnsiTheme="minorHAnsi"/>
                <w:lang w:val="en-AU"/>
              </w:rPr>
              <w:t>Articulated trucks</w:t>
            </w:r>
          </w:p>
        </w:tc>
        <w:tc>
          <w:tcPr>
            <w:tcW w:w="4333" w:type="dxa"/>
          </w:tcPr>
          <w:p w14:paraId="371C4853" w14:textId="77777777" w:rsidR="002A5496" w:rsidRPr="00404724" w:rsidRDefault="002A5496" w:rsidP="00A115DA">
            <w:pPr>
              <w:spacing w:before="20" w:after="20"/>
              <w:jc w:val="center"/>
              <w:rPr>
                <w:rFonts w:asciiTheme="minorHAnsi" w:hAnsiTheme="minorHAnsi"/>
                <w:lang w:val="en-AU"/>
              </w:rPr>
            </w:pPr>
            <w:r w:rsidRPr="00404724">
              <w:rPr>
                <w:rFonts w:asciiTheme="minorHAnsi" w:hAnsiTheme="minorHAnsi"/>
                <w:lang w:val="en-AU"/>
              </w:rPr>
              <w:t>0.0046</w:t>
            </w:r>
          </w:p>
        </w:tc>
      </w:tr>
      <w:tr w:rsidR="002A5496" w:rsidRPr="00404724" w14:paraId="7843A7EB" w14:textId="77777777" w:rsidTr="00BB5FCD">
        <w:trPr>
          <w:cantSplit/>
        </w:trPr>
        <w:tc>
          <w:tcPr>
            <w:tcW w:w="4333" w:type="dxa"/>
          </w:tcPr>
          <w:p w14:paraId="0F2B1643" w14:textId="77777777" w:rsidR="002A5496" w:rsidRPr="00404724" w:rsidRDefault="002A5496" w:rsidP="00A115DA">
            <w:pPr>
              <w:spacing w:before="20" w:after="20"/>
              <w:rPr>
                <w:rFonts w:asciiTheme="minorHAnsi" w:hAnsiTheme="minorHAnsi"/>
                <w:lang w:val="en-AU"/>
              </w:rPr>
            </w:pPr>
            <w:r w:rsidRPr="00404724">
              <w:rPr>
                <w:rFonts w:asciiTheme="minorHAnsi" w:hAnsiTheme="minorHAnsi"/>
                <w:lang w:val="en-AU"/>
              </w:rPr>
              <w:t>Buses</w:t>
            </w:r>
          </w:p>
        </w:tc>
        <w:tc>
          <w:tcPr>
            <w:tcW w:w="4333" w:type="dxa"/>
          </w:tcPr>
          <w:p w14:paraId="0301D48C" w14:textId="77777777" w:rsidR="002A5496" w:rsidRPr="00404724" w:rsidRDefault="002A5496" w:rsidP="00A115DA">
            <w:pPr>
              <w:spacing w:before="20" w:after="20"/>
              <w:jc w:val="center"/>
              <w:rPr>
                <w:rFonts w:asciiTheme="minorHAnsi" w:hAnsiTheme="minorHAnsi"/>
                <w:lang w:val="en-AU"/>
              </w:rPr>
            </w:pPr>
            <w:r w:rsidRPr="00404724">
              <w:rPr>
                <w:rFonts w:asciiTheme="minorHAnsi" w:hAnsiTheme="minorHAnsi"/>
                <w:lang w:val="en-AU"/>
              </w:rPr>
              <w:t>0.0037</w:t>
            </w:r>
          </w:p>
        </w:tc>
      </w:tr>
      <w:tr w:rsidR="002A5496" w:rsidRPr="00404724" w14:paraId="50B7D364" w14:textId="77777777" w:rsidTr="00BB5FCD">
        <w:trPr>
          <w:cantSplit/>
        </w:trPr>
        <w:tc>
          <w:tcPr>
            <w:tcW w:w="4333" w:type="dxa"/>
          </w:tcPr>
          <w:p w14:paraId="568DD0E4" w14:textId="77777777" w:rsidR="002A5496" w:rsidRPr="00404724" w:rsidRDefault="002A5496" w:rsidP="00A115DA">
            <w:pPr>
              <w:spacing w:before="20" w:after="20"/>
              <w:rPr>
                <w:rFonts w:asciiTheme="minorHAnsi" w:hAnsiTheme="minorHAnsi"/>
                <w:lang w:val="en-AU"/>
              </w:rPr>
            </w:pPr>
            <w:r w:rsidRPr="00404724">
              <w:rPr>
                <w:rFonts w:asciiTheme="minorHAnsi" w:hAnsiTheme="minorHAnsi"/>
                <w:lang w:val="en-AU"/>
              </w:rPr>
              <w:t>Motorcycles</w:t>
            </w:r>
          </w:p>
        </w:tc>
        <w:tc>
          <w:tcPr>
            <w:tcW w:w="4333" w:type="dxa"/>
          </w:tcPr>
          <w:p w14:paraId="1993A89A" w14:textId="77777777" w:rsidR="002A5496" w:rsidRPr="00404724" w:rsidRDefault="002A5496" w:rsidP="00A115DA">
            <w:pPr>
              <w:spacing w:before="20" w:after="20"/>
              <w:jc w:val="center"/>
              <w:rPr>
                <w:rFonts w:asciiTheme="minorHAnsi" w:hAnsiTheme="minorHAnsi"/>
                <w:lang w:val="en-AU"/>
              </w:rPr>
            </w:pPr>
            <w:r w:rsidRPr="00404724">
              <w:rPr>
                <w:rFonts w:asciiTheme="minorHAnsi" w:hAnsiTheme="minorHAnsi"/>
                <w:lang w:val="en-AU"/>
              </w:rPr>
              <w:t>0.0357</w:t>
            </w:r>
          </w:p>
        </w:tc>
      </w:tr>
    </w:tbl>
    <w:p w14:paraId="37358D0E" w14:textId="77777777" w:rsidR="002A5496" w:rsidRPr="00404724" w:rsidRDefault="002A5496" w:rsidP="00AE4E2F">
      <w:pPr>
        <w:pStyle w:val="Sourcenotes"/>
        <w:rPr>
          <w:lang w:val="en-AU"/>
        </w:rPr>
      </w:pPr>
      <w:r w:rsidRPr="00404724">
        <w:rPr>
          <w:lang w:val="en-AU"/>
        </w:rPr>
        <w:t>Source: ACIL Allen analysis based on BITRE and ABS</w:t>
      </w:r>
    </w:p>
    <w:p w14:paraId="1C7110E1" w14:textId="3D1F729E" w:rsidR="002A5496" w:rsidRPr="00404724" w:rsidRDefault="002A5496" w:rsidP="002A5496">
      <w:pPr>
        <w:pStyle w:val="BodyText"/>
      </w:pPr>
      <w:r w:rsidRPr="00404724">
        <w:t xml:space="preserve">Based on the above assumptions and population projection by remoteness region, a forecast of number of </w:t>
      </w:r>
      <w:r w:rsidR="00C94374" w:rsidRPr="00404724">
        <w:t>vehicle-by-vehicle</w:t>
      </w:r>
      <w:r w:rsidRPr="00404724">
        <w:t xml:space="preserve"> type</w:t>
      </w:r>
      <w:r w:rsidR="00476FC9" w:rsidRPr="00404724">
        <w:t xml:space="preserve"> was developed</w:t>
      </w:r>
      <w:r w:rsidRPr="00404724">
        <w:t>. The 2034 projection is shown in</w:t>
      </w:r>
      <w:r w:rsidR="00CF1735" w:rsidRPr="00404724">
        <w:t xml:space="preserve"> </w:t>
      </w:r>
      <w:r w:rsidR="00CF1735" w:rsidRPr="00404724">
        <w:fldChar w:fldCharType="begin"/>
      </w:r>
      <w:r w:rsidR="00CF1735" w:rsidRPr="00404724">
        <w:instrText xml:space="preserve"> REF _Ref208396746 \h </w:instrText>
      </w:r>
      <w:r w:rsidR="00CF1735" w:rsidRPr="00404724">
        <w:fldChar w:fldCharType="separate"/>
      </w:r>
      <w:r w:rsidR="00BF489D" w:rsidRPr="00404724">
        <w:t>Table </w:t>
      </w:r>
      <w:r w:rsidR="00BF489D">
        <w:rPr>
          <w:noProof/>
        </w:rPr>
        <w:t>16</w:t>
      </w:r>
      <w:r w:rsidR="00CF1735" w:rsidRPr="00404724">
        <w:fldChar w:fldCharType="end"/>
      </w:r>
      <w:r w:rsidRPr="00404724">
        <w:t xml:space="preserve"> below.</w:t>
      </w:r>
    </w:p>
    <w:p w14:paraId="38A14375" w14:textId="58A06811" w:rsidR="002A5496" w:rsidRPr="00404724" w:rsidRDefault="002A5496" w:rsidP="003979C3">
      <w:pPr>
        <w:pStyle w:val="Tablefigureheading"/>
      </w:pPr>
      <w:bookmarkStart w:id="316" w:name="_Ref208396746"/>
      <w:bookmarkStart w:id="317" w:name="_Toc210040361"/>
      <w:bookmarkStart w:id="318" w:name="_Toc210051897"/>
      <w:r w:rsidRPr="00404724">
        <w:t>Table </w:t>
      </w:r>
      <w:r w:rsidR="00EC39D5">
        <w:fldChar w:fldCharType="begin"/>
      </w:r>
      <w:r w:rsidR="00EC39D5">
        <w:instrText xml:space="preserve"> SEQ Table \* ARABIC </w:instrText>
      </w:r>
      <w:r w:rsidR="00EC39D5">
        <w:fldChar w:fldCharType="separate"/>
      </w:r>
      <w:r w:rsidR="00BF489D">
        <w:rPr>
          <w:noProof/>
        </w:rPr>
        <w:t>16</w:t>
      </w:r>
      <w:r w:rsidR="00EC39D5">
        <w:rPr>
          <w:noProof/>
        </w:rPr>
        <w:fldChar w:fldCharType="end"/>
      </w:r>
      <w:bookmarkEnd w:id="316"/>
      <w:r w:rsidRPr="00404724">
        <w:tab/>
        <w:t>Summary of number of vehicles forecasts, 2034</w:t>
      </w:r>
      <w:bookmarkEnd w:id="317"/>
      <w:bookmarkEnd w:id="318"/>
    </w:p>
    <w:tbl>
      <w:tblPr>
        <w:tblStyle w:val="aacTableBasic"/>
        <w:tblW w:w="5000" w:type="pct"/>
        <w:tblLayout w:type="fixed"/>
        <w:tblLook w:val="04A0" w:firstRow="1" w:lastRow="0" w:firstColumn="1" w:lastColumn="0" w:noHBand="0" w:noVBand="1"/>
        <w:tblCaption w:val="Table 16 Summary of number of vehicles forecasts, 2034"/>
        <w:tblDescription w:val="Table 16 Summary of number of vehicles forecasts, 2034"/>
      </w:tblPr>
      <w:tblGrid>
        <w:gridCol w:w="2581"/>
        <w:gridCol w:w="1456"/>
        <w:gridCol w:w="1457"/>
        <w:gridCol w:w="1456"/>
        <w:gridCol w:w="1457"/>
        <w:gridCol w:w="1457"/>
      </w:tblGrid>
      <w:tr w:rsidR="002A5496" w:rsidRPr="00404724" w14:paraId="7244EFDD" w14:textId="77777777" w:rsidTr="00BB5FCD">
        <w:trPr>
          <w:cnfStyle w:val="100000000000" w:firstRow="1" w:lastRow="0" w:firstColumn="0" w:lastColumn="0" w:oddVBand="0" w:evenVBand="0" w:oddHBand="0" w:evenHBand="0" w:firstRowFirstColumn="0" w:firstRowLastColumn="0" w:lastRowFirstColumn="0" w:lastRowLastColumn="0"/>
          <w:cantSplit/>
          <w:tblHeader/>
        </w:trPr>
        <w:tc>
          <w:tcPr>
            <w:tcW w:w="2268" w:type="dxa"/>
          </w:tcPr>
          <w:p w14:paraId="1DA5B06E" w14:textId="77777777" w:rsidR="002A5496" w:rsidRPr="00404724" w:rsidRDefault="002A5496" w:rsidP="00A115DA">
            <w:pPr>
              <w:spacing w:before="20" w:after="20"/>
              <w:rPr>
                <w:rFonts w:asciiTheme="minorHAnsi" w:hAnsiTheme="minorHAnsi"/>
                <w:lang w:val="en-AU"/>
              </w:rPr>
            </w:pPr>
            <w:r w:rsidRPr="00404724">
              <w:rPr>
                <w:rFonts w:asciiTheme="minorHAnsi" w:hAnsiTheme="minorHAnsi"/>
                <w:lang w:val="en-AU"/>
              </w:rPr>
              <w:t>Vehicle type</w:t>
            </w:r>
          </w:p>
        </w:tc>
        <w:tc>
          <w:tcPr>
            <w:tcW w:w="1279" w:type="dxa"/>
          </w:tcPr>
          <w:p w14:paraId="786E2607" w14:textId="77777777" w:rsidR="002A5496" w:rsidRPr="00404724" w:rsidRDefault="002A5496" w:rsidP="00A115DA">
            <w:pPr>
              <w:spacing w:before="20" w:after="20"/>
              <w:jc w:val="center"/>
              <w:rPr>
                <w:rFonts w:asciiTheme="minorHAnsi" w:hAnsiTheme="minorHAnsi"/>
                <w:lang w:val="en-AU"/>
              </w:rPr>
            </w:pPr>
            <w:r w:rsidRPr="00404724">
              <w:rPr>
                <w:rFonts w:asciiTheme="minorHAnsi" w:hAnsiTheme="minorHAnsi"/>
                <w:lang w:val="en-AU"/>
              </w:rPr>
              <w:t>Major Cities</w:t>
            </w:r>
          </w:p>
        </w:tc>
        <w:tc>
          <w:tcPr>
            <w:tcW w:w="1280" w:type="dxa"/>
          </w:tcPr>
          <w:p w14:paraId="34B5D1FB" w14:textId="77777777" w:rsidR="002A5496" w:rsidRPr="00404724" w:rsidRDefault="002A5496" w:rsidP="00A115DA">
            <w:pPr>
              <w:spacing w:before="20" w:after="20"/>
              <w:jc w:val="center"/>
              <w:rPr>
                <w:rFonts w:asciiTheme="minorHAnsi" w:hAnsiTheme="minorHAnsi"/>
                <w:lang w:val="en-AU"/>
              </w:rPr>
            </w:pPr>
            <w:r w:rsidRPr="00404724">
              <w:rPr>
                <w:rFonts w:asciiTheme="minorHAnsi" w:hAnsiTheme="minorHAnsi"/>
                <w:lang w:val="en-AU"/>
              </w:rPr>
              <w:t>Inner Regional</w:t>
            </w:r>
          </w:p>
        </w:tc>
        <w:tc>
          <w:tcPr>
            <w:tcW w:w="1279" w:type="dxa"/>
          </w:tcPr>
          <w:p w14:paraId="3E455257" w14:textId="77777777" w:rsidR="002A5496" w:rsidRPr="00404724" w:rsidRDefault="002A5496" w:rsidP="00A115DA">
            <w:pPr>
              <w:spacing w:before="20" w:after="20"/>
              <w:jc w:val="center"/>
              <w:rPr>
                <w:rFonts w:asciiTheme="minorHAnsi" w:hAnsiTheme="minorHAnsi"/>
                <w:lang w:val="en-AU"/>
              </w:rPr>
            </w:pPr>
            <w:r w:rsidRPr="00404724">
              <w:rPr>
                <w:rFonts w:asciiTheme="minorHAnsi" w:hAnsiTheme="minorHAnsi"/>
                <w:lang w:val="en-AU"/>
              </w:rPr>
              <w:t>Outer Regional</w:t>
            </w:r>
          </w:p>
        </w:tc>
        <w:tc>
          <w:tcPr>
            <w:tcW w:w="1280" w:type="dxa"/>
          </w:tcPr>
          <w:p w14:paraId="0474AA60" w14:textId="77777777" w:rsidR="002A5496" w:rsidRPr="00404724" w:rsidRDefault="002A5496" w:rsidP="00A115DA">
            <w:pPr>
              <w:spacing w:before="20" w:after="20"/>
              <w:jc w:val="center"/>
              <w:rPr>
                <w:rFonts w:asciiTheme="minorHAnsi" w:hAnsiTheme="minorHAnsi"/>
                <w:lang w:val="en-AU"/>
              </w:rPr>
            </w:pPr>
            <w:r w:rsidRPr="00404724">
              <w:rPr>
                <w:rFonts w:asciiTheme="minorHAnsi" w:hAnsiTheme="minorHAnsi"/>
                <w:lang w:val="en-AU"/>
              </w:rPr>
              <w:t>Remote</w:t>
            </w:r>
          </w:p>
        </w:tc>
        <w:tc>
          <w:tcPr>
            <w:tcW w:w="1280" w:type="dxa"/>
          </w:tcPr>
          <w:p w14:paraId="0AB8E564" w14:textId="77777777" w:rsidR="002A5496" w:rsidRPr="00404724" w:rsidRDefault="002A5496" w:rsidP="00A115DA">
            <w:pPr>
              <w:spacing w:before="20" w:after="20"/>
              <w:jc w:val="center"/>
              <w:rPr>
                <w:rFonts w:asciiTheme="minorHAnsi" w:hAnsiTheme="minorHAnsi"/>
                <w:lang w:val="en-AU"/>
              </w:rPr>
            </w:pPr>
            <w:r w:rsidRPr="00404724">
              <w:rPr>
                <w:rFonts w:asciiTheme="minorHAnsi" w:hAnsiTheme="minorHAnsi"/>
                <w:lang w:val="en-AU"/>
              </w:rPr>
              <w:t>Very Remote</w:t>
            </w:r>
          </w:p>
        </w:tc>
      </w:tr>
      <w:tr w:rsidR="002A5496" w:rsidRPr="00404724" w14:paraId="17AB38C2" w14:textId="77777777" w:rsidTr="00BB5FCD">
        <w:trPr>
          <w:cantSplit/>
        </w:trPr>
        <w:tc>
          <w:tcPr>
            <w:tcW w:w="2268" w:type="dxa"/>
          </w:tcPr>
          <w:p w14:paraId="59B2D683" w14:textId="77777777" w:rsidR="002A5496" w:rsidRPr="00404724" w:rsidRDefault="002A5496" w:rsidP="00A115DA">
            <w:pPr>
              <w:spacing w:before="20" w:after="20"/>
              <w:rPr>
                <w:rFonts w:asciiTheme="minorHAnsi" w:hAnsiTheme="minorHAnsi"/>
                <w:lang w:val="en-AU"/>
              </w:rPr>
            </w:pPr>
            <w:r w:rsidRPr="00404724">
              <w:rPr>
                <w:rFonts w:asciiTheme="minorHAnsi" w:hAnsiTheme="minorHAnsi"/>
                <w:lang w:val="en-AU"/>
              </w:rPr>
              <w:t>Passenger vehicles</w:t>
            </w:r>
          </w:p>
        </w:tc>
        <w:tc>
          <w:tcPr>
            <w:tcW w:w="1279" w:type="dxa"/>
          </w:tcPr>
          <w:p w14:paraId="3CDC48B7" w14:textId="77777777" w:rsidR="002A5496" w:rsidRPr="00404724" w:rsidRDefault="002A5496" w:rsidP="00A115DA">
            <w:pPr>
              <w:spacing w:before="20" w:after="20"/>
              <w:jc w:val="right"/>
              <w:rPr>
                <w:rFonts w:asciiTheme="minorHAnsi" w:hAnsiTheme="minorHAnsi"/>
                <w:lang w:val="en-AU"/>
              </w:rPr>
            </w:pPr>
            <w:r w:rsidRPr="00404724">
              <w:rPr>
                <w:rFonts w:asciiTheme="minorHAnsi" w:hAnsiTheme="minorHAnsi"/>
                <w:lang w:val="en-AU"/>
              </w:rPr>
              <w:t>13,020,196</w:t>
            </w:r>
          </w:p>
        </w:tc>
        <w:tc>
          <w:tcPr>
            <w:tcW w:w="1280" w:type="dxa"/>
          </w:tcPr>
          <w:p w14:paraId="69DE6840" w14:textId="77777777" w:rsidR="002A5496" w:rsidRPr="00404724" w:rsidRDefault="002A5496" w:rsidP="00A115DA">
            <w:pPr>
              <w:spacing w:before="20" w:after="20"/>
              <w:jc w:val="right"/>
              <w:rPr>
                <w:rFonts w:asciiTheme="minorHAnsi" w:hAnsiTheme="minorHAnsi"/>
                <w:lang w:val="en-AU"/>
              </w:rPr>
            </w:pPr>
            <w:r w:rsidRPr="00404724">
              <w:rPr>
                <w:rFonts w:asciiTheme="minorHAnsi" w:hAnsiTheme="minorHAnsi"/>
                <w:lang w:val="en-AU"/>
              </w:rPr>
              <w:t>3,103,027</w:t>
            </w:r>
          </w:p>
        </w:tc>
        <w:tc>
          <w:tcPr>
            <w:tcW w:w="1279" w:type="dxa"/>
          </w:tcPr>
          <w:p w14:paraId="14523BF0" w14:textId="77777777" w:rsidR="002A5496" w:rsidRPr="00404724" w:rsidRDefault="002A5496" w:rsidP="00A115DA">
            <w:pPr>
              <w:spacing w:before="20" w:after="20"/>
              <w:jc w:val="right"/>
              <w:rPr>
                <w:rFonts w:asciiTheme="minorHAnsi" w:hAnsiTheme="minorHAnsi"/>
                <w:lang w:val="en-AU"/>
              </w:rPr>
            </w:pPr>
            <w:r w:rsidRPr="00404724">
              <w:rPr>
                <w:rFonts w:asciiTheme="minorHAnsi" w:hAnsiTheme="minorHAnsi"/>
                <w:lang w:val="en-AU"/>
              </w:rPr>
              <w:t>1,364,257</w:t>
            </w:r>
          </w:p>
        </w:tc>
        <w:tc>
          <w:tcPr>
            <w:tcW w:w="1280" w:type="dxa"/>
          </w:tcPr>
          <w:p w14:paraId="31D2341D" w14:textId="77777777" w:rsidR="002A5496" w:rsidRPr="00404724" w:rsidRDefault="002A5496" w:rsidP="00A115DA">
            <w:pPr>
              <w:spacing w:before="20" w:after="20"/>
              <w:jc w:val="right"/>
              <w:rPr>
                <w:rFonts w:asciiTheme="minorHAnsi" w:hAnsiTheme="minorHAnsi"/>
                <w:lang w:val="en-AU"/>
              </w:rPr>
            </w:pPr>
            <w:r w:rsidRPr="00404724">
              <w:rPr>
                <w:rFonts w:asciiTheme="minorHAnsi" w:hAnsiTheme="minorHAnsi"/>
                <w:lang w:val="en-AU"/>
              </w:rPr>
              <w:t>175,095</w:t>
            </w:r>
          </w:p>
        </w:tc>
        <w:tc>
          <w:tcPr>
            <w:tcW w:w="1280" w:type="dxa"/>
          </w:tcPr>
          <w:p w14:paraId="682612C7" w14:textId="77777777" w:rsidR="002A5496" w:rsidRPr="00404724" w:rsidRDefault="002A5496" w:rsidP="00A115DA">
            <w:pPr>
              <w:spacing w:before="20" w:after="20"/>
              <w:jc w:val="right"/>
              <w:rPr>
                <w:rFonts w:asciiTheme="minorHAnsi" w:hAnsiTheme="minorHAnsi"/>
                <w:lang w:val="en-AU"/>
              </w:rPr>
            </w:pPr>
            <w:r w:rsidRPr="00404724">
              <w:rPr>
                <w:rFonts w:asciiTheme="minorHAnsi" w:hAnsiTheme="minorHAnsi"/>
                <w:lang w:val="en-AU"/>
              </w:rPr>
              <w:t>105,314</w:t>
            </w:r>
          </w:p>
        </w:tc>
      </w:tr>
      <w:tr w:rsidR="002A5496" w:rsidRPr="00404724" w14:paraId="6A2110B4" w14:textId="77777777" w:rsidTr="00BB5FCD">
        <w:trPr>
          <w:cantSplit/>
        </w:trPr>
        <w:tc>
          <w:tcPr>
            <w:tcW w:w="2268" w:type="dxa"/>
          </w:tcPr>
          <w:p w14:paraId="1EAD2380" w14:textId="77777777" w:rsidR="002A5496" w:rsidRPr="00404724" w:rsidRDefault="002A5496" w:rsidP="00A115DA">
            <w:pPr>
              <w:spacing w:before="20" w:after="20"/>
              <w:rPr>
                <w:rFonts w:asciiTheme="minorHAnsi" w:hAnsiTheme="minorHAnsi"/>
                <w:lang w:val="en-AU"/>
              </w:rPr>
            </w:pPr>
            <w:r w:rsidRPr="00404724">
              <w:rPr>
                <w:rFonts w:asciiTheme="minorHAnsi" w:hAnsiTheme="minorHAnsi"/>
                <w:lang w:val="en-AU"/>
              </w:rPr>
              <w:t>Light commercial vehicles</w:t>
            </w:r>
          </w:p>
        </w:tc>
        <w:tc>
          <w:tcPr>
            <w:tcW w:w="1279" w:type="dxa"/>
          </w:tcPr>
          <w:p w14:paraId="7337A1BD" w14:textId="77777777" w:rsidR="002A5496" w:rsidRPr="00404724" w:rsidRDefault="002A5496" w:rsidP="00A115DA">
            <w:pPr>
              <w:spacing w:before="20" w:after="20"/>
              <w:jc w:val="right"/>
              <w:rPr>
                <w:rFonts w:asciiTheme="minorHAnsi" w:hAnsiTheme="minorHAnsi"/>
                <w:lang w:val="en-AU"/>
              </w:rPr>
            </w:pPr>
            <w:r w:rsidRPr="00404724">
              <w:rPr>
                <w:rFonts w:asciiTheme="minorHAnsi" w:hAnsiTheme="minorHAnsi"/>
                <w:lang w:val="en-AU"/>
              </w:rPr>
              <w:t>3,380,610</w:t>
            </w:r>
          </w:p>
        </w:tc>
        <w:tc>
          <w:tcPr>
            <w:tcW w:w="1280" w:type="dxa"/>
          </w:tcPr>
          <w:p w14:paraId="3844D15D" w14:textId="77777777" w:rsidR="002A5496" w:rsidRPr="00404724" w:rsidRDefault="002A5496" w:rsidP="00A115DA">
            <w:pPr>
              <w:spacing w:before="20" w:after="20"/>
              <w:jc w:val="right"/>
              <w:rPr>
                <w:rFonts w:asciiTheme="minorHAnsi" w:hAnsiTheme="minorHAnsi"/>
                <w:lang w:val="en-AU"/>
              </w:rPr>
            </w:pPr>
            <w:r w:rsidRPr="00404724">
              <w:rPr>
                <w:rFonts w:asciiTheme="minorHAnsi" w:hAnsiTheme="minorHAnsi"/>
                <w:lang w:val="en-AU"/>
              </w:rPr>
              <w:t>805,681</w:t>
            </w:r>
          </w:p>
        </w:tc>
        <w:tc>
          <w:tcPr>
            <w:tcW w:w="1279" w:type="dxa"/>
          </w:tcPr>
          <w:p w14:paraId="4320A072" w14:textId="77777777" w:rsidR="002A5496" w:rsidRPr="00404724" w:rsidRDefault="002A5496" w:rsidP="00A115DA">
            <w:pPr>
              <w:spacing w:before="20" w:after="20"/>
              <w:jc w:val="right"/>
              <w:rPr>
                <w:rFonts w:asciiTheme="minorHAnsi" w:hAnsiTheme="minorHAnsi"/>
                <w:lang w:val="en-AU"/>
              </w:rPr>
            </w:pPr>
            <w:r w:rsidRPr="00404724">
              <w:rPr>
                <w:rFonts w:asciiTheme="minorHAnsi" w:hAnsiTheme="minorHAnsi"/>
                <w:lang w:val="en-AU"/>
              </w:rPr>
              <w:t>354,220</w:t>
            </w:r>
          </w:p>
        </w:tc>
        <w:tc>
          <w:tcPr>
            <w:tcW w:w="1280" w:type="dxa"/>
          </w:tcPr>
          <w:p w14:paraId="55B81014" w14:textId="77777777" w:rsidR="002A5496" w:rsidRPr="00404724" w:rsidRDefault="002A5496" w:rsidP="00A115DA">
            <w:pPr>
              <w:spacing w:before="20" w:after="20"/>
              <w:jc w:val="right"/>
              <w:rPr>
                <w:rFonts w:asciiTheme="minorHAnsi" w:hAnsiTheme="minorHAnsi"/>
                <w:lang w:val="en-AU"/>
              </w:rPr>
            </w:pPr>
            <w:r w:rsidRPr="00404724">
              <w:rPr>
                <w:rFonts w:asciiTheme="minorHAnsi" w:hAnsiTheme="minorHAnsi"/>
                <w:lang w:val="en-AU"/>
              </w:rPr>
              <w:t>45,462</w:t>
            </w:r>
          </w:p>
        </w:tc>
        <w:tc>
          <w:tcPr>
            <w:tcW w:w="1280" w:type="dxa"/>
          </w:tcPr>
          <w:p w14:paraId="114DA0DE" w14:textId="77777777" w:rsidR="002A5496" w:rsidRPr="00404724" w:rsidRDefault="002A5496" w:rsidP="00A115DA">
            <w:pPr>
              <w:spacing w:before="20" w:after="20"/>
              <w:jc w:val="right"/>
              <w:rPr>
                <w:rFonts w:asciiTheme="minorHAnsi" w:hAnsiTheme="minorHAnsi"/>
                <w:lang w:val="en-AU"/>
              </w:rPr>
            </w:pPr>
            <w:r w:rsidRPr="00404724">
              <w:rPr>
                <w:rFonts w:asciiTheme="minorHAnsi" w:hAnsiTheme="minorHAnsi"/>
                <w:lang w:val="en-AU"/>
              </w:rPr>
              <w:t>27,344</w:t>
            </w:r>
          </w:p>
        </w:tc>
      </w:tr>
      <w:tr w:rsidR="002A5496" w:rsidRPr="00404724" w14:paraId="6E0928CA" w14:textId="77777777" w:rsidTr="00BB5FCD">
        <w:trPr>
          <w:cantSplit/>
        </w:trPr>
        <w:tc>
          <w:tcPr>
            <w:tcW w:w="2268" w:type="dxa"/>
          </w:tcPr>
          <w:p w14:paraId="118AC21A" w14:textId="77777777" w:rsidR="002A5496" w:rsidRPr="00404724" w:rsidRDefault="002A5496" w:rsidP="00A115DA">
            <w:pPr>
              <w:spacing w:before="20" w:after="20"/>
              <w:rPr>
                <w:rFonts w:asciiTheme="minorHAnsi" w:hAnsiTheme="minorHAnsi"/>
                <w:lang w:val="en-AU"/>
              </w:rPr>
            </w:pPr>
            <w:r w:rsidRPr="00404724">
              <w:rPr>
                <w:rFonts w:asciiTheme="minorHAnsi" w:hAnsiTheme="minorHAnsi"/>
                <w:lang w:val="en-AU"/>
              </w:rPr>
              <w:t>Rigid trucks</w:t>
            </w:r>
          </w:p>
        </w:tc>
        <w:tc>
          <w:tcPr>
            <w:tcW w:w="1279" w:type="dxa"/>
          </w:tcPr>
          <w:p w14:paraId="13452AD4" w14:textId="77777777" w:rsidR="002A5496" w:rsidRPr="00404724" w:rsidRDefault="002A5496" w:rsidP="00A115DA">
            <w:pPr>
              <w:spacing w:before="20" w:after="20"/>
              <w:jc w:val="right"/>
              <w:rPr>
                <w:rFonts w:asciiTheme="minorHAnsi" w:hAnsiTheme="minorHAnsi"/>
                <w:lang w:val="en-AU"/>
              </w:rPr>
            </w:pPr>
            <w:r w:rsidRPr="00404724">
              <w:rPr>
                <w:rFonts w:asciiTheme="minorHAnsi" w:hAnsiTheme="minorHAnsi"/>
                <w:lang w:val="en-AU"/>
              </w:rPr>
              <w:t>522,466</w:t>
            </w:r>
          </w:p>
        </w:tc>
        <w:tc>
          <w:tcPr>
            <w:tcW w:w="1280" w:type="dxa"/>
          </w:tcPr>
          <w:p w14:paraId="5F88B026" w14:textId="77777777" w:rsidR="002A5496" w:rsidRPr="00404724" w:rsidRDefault="002A5496" w:rsidP="00A115DA">
            <w:pPr>
              <w:spacing w:before="20" w:after="20"/>
              <w:jc w:val="right"/>
              <w:rPr>
                <w:rFonts w:asciiTheme="minorHAnsi" w:hAnsiTheme="minorHAnsi"/>
                <w:lang w:val="en-AU"/>
              </w:rPr>
            </w:pPr>
            <w:r w:rsidRPr="00404724">
              <w:rPr>
                <w:rFonts w:asciiTheme="minorHAnsi" w:hAnsiTheme="minorHAnsi"/>
                <w:lang w:val="en-AU"/>
              </w:rPr>
              <w:t>124,516</w:t>
            </w:r>
          </w:p>
        </w:tc>
        <w:tc>
          <w:tcPr>
            <w:tcW w:w="1279" w:type="dxa"/>
          </w:tcPr>
          <w:p w14:paraId="19DA974B" w14:textId="77777777" w:rsidR="002A5496" w:rsidRPr="00404724" w:rsidRDefault="002A5496" w:rsidP="00A115DA">
            <w:pPr>
              <w:spacing w:before="20" w:after="20"/>
              <w:jc w:val="right"/>
              <w:rPr>
                <w:rFonts w:asciiTheme="minorHAnsi" w:hAnsiTheme="minorHAnsi"/>
                <w:lang w:val="en-AU"/>
              </w:rPr>
            </w:pPr>
            <w:r w:rsidRPr="00404724">
              <w:rPr>
                <w:rFonts w:asciiTheme="minorHAnsi" w:hAnsiTheme="minorHAnsi"/>
                <w:lang w:val="en-AU"/>
              </w:rPr>
              <w:t>54,744</w:t>
            </w:r>
          </w:p>
        </w:tc>
        <w:tc>
          <w:tcPr>
            <w:tcW w:w="1280" w:type="dxa"/>
          </w:tcPr>
          <w:p w14:paraId="71EAEAE4" w14:textId="77777777" w:rsidR="002A5496" w:rsidRPr="00404724" w:rsidRDefault="002A5496" w:rsidP="00A115DA">
            <w:pPr>
              <w:spacing w:before="20" w:after="20"/>
              <w:jc w:val="right"/>
              <w:rPr>
                <w:rFonts w:asciiTheme="minorHAnsi" w:hAnsiTheme="minorHAnsi"/>
                <w:lang w:val="en-AU"/>
              </w:rPr>
            </w:pPr>
            <w:r w:rsidRPr="00404724">
              <w:rPr>
                <w:rFonts w:asciiTheme="minorHAnsi" w:hAnsiTheme="minorHAnsi"/>
                <w:lang w:val="en-AU"/>
              </w:rPr>
              <w:t>7,026</w:t>
            </w:r>
          </w:p>
        </w:tc>
        <w:tc>
          <w:tcPr>
            <w:tcW w:w="1280" w:type="dxa"/>
          </w:tcPr>
          <w:p w14:paraId="5C421414" w14:textId="77777777" w:rsidR="002A5496" w:rsidRPr="00404724" w:rsidRDefault="002A5496" w:rsidP="00A115DA">
            <w:pPr>
              <w:spacing w:before="20" w:after="20"/>
              <w:jc w:val="right"/>
              <w:rPr>
                <w:rFonts w:asciiTheme="minorHAnsi" w:hAnsiTheme="minorHAnsi"/>
                <w:lang w:val="en-AU"/>
              </w:rPr>
            </w:pPr>
            <w:r w:rsidRPr="00404724">
              <w:rPr>
                <w:rFonts w:asciiTheme="minorHAnsi" w:hAnsiTheme="minorHAnsi"/>
                <w:lang w:val="en-AU"/>
              </w:rPr>
              <w:t>4,226</w:t>
            </w:r>
          </w:p>
        </w:tc>
      </w:tr>
      <w:tr w:rsidR="002A5496" w:rsidRPr="00404724" w14:paraId="6625A2CE" w14:textId="77777777" w:rsidTr="00BB5FCD">
        <w:trPr>
          <w:cantSplit/>
        </w:trPr>
        <w:tc>
          <w:tcPr>
            <w:tcW w:w="2268" w:type="dxa"/>
          </w:tcPr>
          <w:p w14:paraId="706ED24E" w14:textId="77777777" w:rsidR="002A5496" w:rsidRPr="00404724" w:rsidRDefault="002A5496" w:rsidP="00A115DA">
            <w:pPr>
              <w:spacing w:before="20" w:after="20"/>
              <w:rPr>
                <w:rFonts w:asciiTheme="minorHAnsi" w:hAnsiTheme="minorHAnsi"/>
                <w:lang w:val="en-AU"/>
              </w:rPr>
            </w:pPr>
            <w:r w:rsidRPr="00404724">
              <w:rPr>
                <w:rFonts w:asciiTheme="minorHAnsi" w:hAnsiTheme="minorHAnsi"/>
                <w:lang w:val="en-AU"/>
              </w:rPr>
              <w:t>Articulated trucks</w:t>
            </w:r>
          </w:p>
        </w:tc>
        <w:tc>
          <w:tcPr>
            <w:tcW w:w="1279" w:type="dxa"/>
          </w:tcPr>
          <w:p w14:paraId="6686DD2A" w14:textId="77777777" w:rsidR="002A5496" w:rsidRPr="00404724" w:rsidRDefault="002A5496" w:rsidP="00A115DA">
            <w:pPr>
              <w:spacing w:before="20" w:after="20"/>
              <w:jc w:val="right"/>
              <w:rPr>
                <w:rFonts w:asciiTheme="minorHAnsi" w:hAnsiTheme="minorHAnsi"/>
                <w:lang w:val="en-AU"/>
              </w:rPr>
            </w:pPr>
            <w:r w:rsidRPr="00404724">
              <w:rPr>
                <w:rFonts w:asciiTheme="minorHAnsi" w:hAnsiTheme="minorHAnsi"/>
                <w:lang w:val="en-AU"/>
              </w:rPr>
              <w:t>103,081</w:t>
            </w:r>
          </w:p>
        </w:tc>
        <w:tc>
          <w:tcPr>
            <w:tcW w:w="1280" w:type="dxa"/>
          </w:tcPr>
          <w:p w14:paraId="5EDF8493" w14:textId="77777777" w:rsidR="002A5496" w:rsidRPr="00404724" w:rsidRDefault="002A5496" w:rsidP="00A115DA">
            <w:pPr>
              <w:spacing w:before="20" w:after="20"/>
              <w:jc w:val="right"/>
              <w:rPr>
                <w:rFonts w:asciiTheme="minorHAnsi" w:hAnsiTheme="minorHAnsi"/>
                <w:lang w:val="en-AU"/>
              </w:rPr>
            </w:pPr>
            <w:r w:rsidRPr="00404724">
              <w:rPr>
                <w:rFonts w:asciiTheme="minorHAnsi" w:hAnsiTheme="minorHAnsi"/>
                <w:lang w:val="en-AU"/>
              </w:rPr>
              <w:t>24,567</w:t>
            </w:r>
          </w:p>
        </w:tc>
        <w:tc>
          <w:tcPr>
            <w:tcW w:w="1279" w:type="dxa"/>
          </w:tcPr>
          <w:p w14:paraId="3FEDDFF5" w14:textId="77777777" w:rsidR="002A5496" w:rsidRPr="00404724" w:rsidRDefault="002A5496" w:rsidP="00A115DA">
            <w:pPr>
              <w:spacing w:before="20" w:after="20"/>
              <w:jc w:val="right"/>
              <w:rPr>
                <w:rFonts w:asciiTheme="minorHAnsi" w:hAnsiTheme="minorHAnsi"/>
                <w:lang w:val="en-AU"/>
              </w:rPr>
            </w:pPr>
            <w:r w:rsidRPr="00404724">
              <w:rPr>
                <w:rFonts w:asciiTheme="minorHAnsi" w:hAnsiTheme="minorHAnsi"/>
                <w:lang w:val="en-AU"/>
              </w:rPr>
              <w:t>10,801</w:t>
            </w:r>
          </w:p>
        </w:tc>
        <w:tc>
          <w:tcPr>
            <w:tcW w:w="1280" w:type="dxa"/>
          </w:tcPr>
          <w:p w14:paraId="23B58AB4" w14:textId="77777777" w:rsidR="002A5496" w:rsidRPr="00404724" w:rsidRDefault="002A5496" w:rsidP="00A115DA">
            <w:pPr>
              <w:spacing w:before="20" w:after="20"/>
              <w:jc w:val="right"/>
              <w:rPr>
                <w:rFonts w:asciiTheme="minorHAnsi" w:hAnsiTheme="minorHAnsi"/>
                <w:lang w:val="en-AU"/>
              </w:rPr>
            </w:pPr>
            <w:r w:rsidRPr="00404724">
              <w:rPr>
                <w:rFonts w:asciiTheme="minorHAnsi" w:hAnsiTheme="minorHAnsi"/>
                <w:lang w:val="en-AU"/>
              </w:rPr>
              <w:t>1,386</w:t>
            </w:r>
          </w:p>
        </w:tc>
        <w:tc>
          <w:tcPr>
            <w:tcW w:w="1280" w:type="dxa"/>
          </w:tcPr>
          <w:p w14:paraId="0696E6EC" w14:textId="77777777" w:rsidR="002A5496" w:rsidRPr="00404724" w:rsidRDefault="002A5496" w:rsidP="00A115DA">
            <w:pPr>
              <w:spacing w:before="20" w:after="20"/>
              <w:jc w:val="right"/>
              <w:rPr>
                <w:rFonts w:asciiTheme="minorHAnsi" w:hAnsiTheme="minorHAnsi"/>
                <w:lang w:val="en-AU"/>
              </w:rPr>
            </w:pPr>
            <w:r w:rsidRPr="00404724">
              <w:rPr>
                <w:rFonts w:asciiTheme="minorHAnsi" w:hAnsiTheme="minorHAnsi"/>
                <w:lang w:val="en-AU"/>
              </w:rPr>
              <w:t>834</w:t>
            </w:r>
          </w:p>
        </w:tc>
      </w:tr>
      <w:tr w:rsidR="002A5496" w:rsidRPr="00404724" w14:paraId="2B1E12E3" w14:textId="77777777" w:rsidTr="00BB5FCD">
        <w:trPr>
          <w:cantSplit/>
        </w:trPr>
        <w:tc>
          <w:tcPr>
            <w:tcW w:w="2268" w:type="dxa"/>
          </w:tcPr>
          <w:p w14:paraId="4CE3A615" w14:textId="77777777" w:rsidR="002A5496" w:rsidRPr="00404724" w:rsidRDefault="002A5496" w:rsidP="00A115DA">
            <w:pPr>
              <w:spacing w:before="20" w:after="20"/>
              <w:rPr>
                <w:rFonts w:asciiTheme="minorHAnsi" w:hAnsiTheme="minorHAnsi"/>
                <w:lang w:val="en-AU"/>
              </w:rPr>
            </w:pPr>
            <w:r w:rsidRPr="00404724">
              <w:rPr>
                <w:rFonts w:asciiTheme="minorHAnsi" w:hAnsiTheme="minorHAnsi"/>
                <w:lang w:val="en-AU"/>
              </w:rPr>
              <w:t>Buses</w:t>
            </w:r>
          </w:p>
        </w:tc>
        <w:tc>
          <w:tcPr>
            <w:tcW w:w="1279" w:type="dxa"/>
          </w:tcPr>
          <w:p w14:paraId="54674706" w14:textId="77777777" w:rsidR="002A5496" w:rsidRPr="00404724" w:rsidRDefault="002A5496" w:rsidP="00A115DA">
            <w:pPr>
              <w:spacing w:before="20" w:after="20"/>
              <w:jc w:val="right"/>
              <w:rPr>
                <w:rFonts w:asciiTheme="minorHAnsi" w:hAnsiTheme="minorHAnsi"/>
                <w:lang w:val="en-AU"/>
              </w:rPr>
            </w:pPr>
            <w:r w:rsidRPr="00404724">
              <w:rPr>
                <w:rFonts w:asciiTheme="minorHAnsi" w:hAnsiTheme="minorHAnsi"/>
                <w:lang w:val="en-AU"/>
              </w:rPr>
              <w:t>82,913</w:t>
            </w:r>
          </w:p>
        </w:tc>
        <w:tc>
          <w:tcPr>
            <w:tcW w:w="1280" w:type="dxa"/>
          </w:tcPr>
          <w:p w14:paraId="191C9164" w14:textId="77777777" w:rsidR="002A5496" w:rsidRPr="00404724" w:rsidRDefault="002A5496" w:rsidP="00A115DA">
            <w:pPr>
              <w:spacing w:before="20" w:after="20"/>
              <w:jc w:val="right"/>
              <w:rPr>
                <w:rFonts w:asciiTheme="minorHAnsi" w:hAnsiTheme="minorHAnsi"/>
                <w:lang w:val="en-AU"/>
              </w:rPr>
            </w:pPr>
            <w:r w:rsidRPr="00404724">
              <w:rPr>
                <w:rFonts w:asciiTheme="minorHAnsi" w:hAnsiTheme="minorHAnsi"/>
                <w:lang w:val="en-AU"/>
              </w:rPr>
              <w:t>19,760</w:t>
            </w:r>
          </w:p>
        </w:tc>
        <w:tc>
          <w:tcPr>
            <w:tcW w:w="1279" w:type="dxa"/>
          </w:tcPr>
          <w:p w14:paraId="7802657E" w14:textId="77777777" w:rsidR="002A5496" w:rsidRPr="00404724" w:rsidRDefault="002A5496" w:rsidP="00A115DA">
            <w:pPr>
              <w:spacing w:before="20" w:after="20"/>
              <w:jc w:val="right"/>
              <w:rPr>
                <w:rFonts w:asciiTheme="minorHAnsi" w:hAnsiTheme="minorHAnsi"/>
                <w:lang w:val="en-AU"/>
              </w:rPr>
            </w:pPr>
            <w:r w:rsidRPr="00404724">
              <w:rPr>
                <w:rFonts w:asciiTheme="minorHAnsi" w:hAnsiTheme="minorHAnsi"/>
                <w:lang w:val="en-AU"/>
              </w:rPr>
              <w:t>8,688</w:t>
            </w:r>
          </w:p>
        </w:tc>
        <w:tc>
          <w:tcPr>
            <w:tcW w:w="1280" w:type="dxa"/>
          </w:tcPr>
          <w:p w14:paraId="0EFC8D82" w14:textId="77777777" w:rsidR="002A5496" w:rsidRPr="00404724" w:rsidRDefault="002A5496" w:rsidP="00A115DA">
            <w:pPr>
              <w:spacing w:before="20" w:after="20"/>
              <w:jc w:val="right"/>
              <w:rPr>
                <w:rFonts w:asciiTheme="minorHAnsi" w:hAnsiTheme="minorHAnsi"/>
                <w:lang w:val="en-AU"/>
              </w:rPr>
            </w:pPr>
            <w:r w:rsidRPr="00404724">
              <w:rPr>
                <w:rFonts w:asciiTheme="minorHAnsi" w:hAnsiTheme="minorHAnsi"/>
                <w:lang w:val="en-AU"/>
              </w:rPr>
              <w:t>1,115</w:t>
            </w:r>
          </w:p>
        </w:tc>
        <w:tc>
          <w:tcPr>
            <w:tcW w:w="1280" w:type="dxa"/>
          </w:tcPr>
          <w:p w14:paraId="09CD7C16" w14:textId="77777777" w:rsidR="002A5496" w:rsidRPr="00404724" w:rsidRDefault="002A5496" w:rsidP="00A115DA">
            <w:pPr>
              <w:spacing w:before="20" w:after="20"/>
              <w:jc w:val="right"/>
              <w:rPr>
                <w:rFonts w:asciiTheme="minorHAnsi" w:hAnsiTheme="minorHAnsi"/>
                <w:lang w:val="en-AU"/>
              </w:rPr>
            </w:pPr>
            <w:r w:rsidRPr="00404724">
              <w:rPr>
                <w:rFonts w:asciiTheme="minorHAnsi" w:hAnsiTheme="minorHAnsi"/>
                <w:lang w:val="en-AU"/>
              </w:rPr>
              <w:t>671</w:t>
            </w:r>
          </w:p>
        </w:tc>
      </w:tr>
      <w:tr w:rsidR="002A5496" w:rsidRPr="00404724" w14:paraId="25B8D1DA" w14:textId="77777777" w:rsidTr="00BB5FCD">
        <w:trPr>
          <w:cantSplit/>
        </w:trPr>
        <w:tc>
          <w:tcPr>
            <w:tcW w:w="2268" w:type="dxa"/>
          </w:tcPr>
          <w:p w14:paraId="3BC75F77" w14:textId="77777777" w:rsidR="002A5496" w:rsidRPr="00404724" w:rsidRDefault="002A5496" w:rsidP="00A115DA">
            <w:pPr>
              <w:spacing w:before="20" w:after="20"/>
              <w:rPr>
                <w:rFonts w:asciiTheme="minorHAnsi" w:hAnsiTheme="minorHAnsi"/>
                <w:lang w:val="en-AU"/>
              </w:rPr>
            </w:pPr>
            <w:r w:rsidRPr="00404724">
              <w:rPr>
                <w:rFonts w:asciiTheme="minorHAnsi" w:hAnsiTheme="minorHAnsi"/>
                <w:lang w:val="en-AU"/>
              </w:rPr>
              <w:t>Motorcycles</w:t>
            </w:r>
          </w:p>
        </w:tc>
        <w:tc>
          <w:tcPr>
            <w:tcW w:w="1279" w:type="dxa"/>
          </w:tcPr>
          <w:p w14:paraId="6AA61944" w14:textId="77777777" w:rsidR="002A5496" w:rsidRPr="00404724" w:rsidRDefault="002A5496" w:rsidP="00A115DA">
            <w:pPr>
              <w:spacing w:before="20" w:after="20"/>
              <w:jc w:val="right"/>
              <w:rPr>
                <w:rFonts w:asciiTheme="minorHAnsi" w:hAnsiTheme="minorHAnsi"/>
                <w:lang w:val="en-AU"/>
              </w:rPr>
            </w:pPr>
            <w:r w:rsidRPr="00404724">
              <w:rPr>
                <w:rFonts w:asciiTheme="minorHAnsi" w:hAnsiTheme="minorHAnsi"/>
                <w:lang w:val="en-AU"/>
              </w:rPr>
              <w:t>804,677</w:t>
            </w:r>
          </w:p>
        </w:tc>
        <w:tc>
          <w:tcPr>
            <w:tcW w:w="1280" w:type="dxa"/>
          </w:tcPr>
          <w:p w14:paraId="01243906" w14:textId="77777777" w:rsidR="002A5496" w:rsidRPr="00404724" w:rsidRDefault="002A5496" w:rsidP="00A115DA">
            <w:pPr>
              <w:spacing w:before="20" w:after="20"/>
              <w:jc w:val="right"/>
              <w:rPr>
                <w:rFonts w:asciiTheme="minorHAnsi" w:hAnsiTheme="minorHAnsi"/>
                <w:lang w:val="en-AU"/>
              </w:rPr>
            </w:pPr>
            <w:r w:rsidRPr="00404724">
              <w:rPr>
                <w:rFonts w:asciiTheme="minorHAnsi" w:hAnsiTheme="minorHAnsi"/>
                <w:lang w:val="en-AU"/>
              </w:rPr>
              <w:t>191,774</w:t>
            </w:r>
          </w:p>
        </w:tc>
        <w:tc>
          <w:tcPr>
            <w:tcW w:w="1279" w:type="dxa"/>
          </w:tcPr>
          <w:p w14:paraId="65AC3D32" w14:textId="77777777" w:rsidR="002A5496" w:rsidRPr="00404724" w:rsidRDefault="002A5496" w:rsidP="00A115DA">
            <w:pPr>
              <w:spacing w:before="20" w:after="20"/>
              <w:jc w:val="right"/>
              <w:rPr>
                <w:rFonts w:asciiTheme="minorHAnsi" w:hAnsiTheme="minorHAnsi"/>
                <w:lang w:val="en-AU"/>
              </w:rPr>
            </w:pPr>
            <w:r w:rsidRPr="00404724">
              <w:rPr>
                <w:rFonts w:asciiTheme="minorHAnsi" w:hAnsiTheme="minorHAnsi"/>
                <w:lang w:val="en-AU"/>
              </w:rPr>
              <w:t>84,314</w:t>
            </w:r>
          </w:p>
        </w:tc>
        <w:tc>
          <w:tcPr>
            <w:tcW w:w="1280" w:type="dxa"/>
          </w:tcPr>
          <w:p w14:paraId="1BB492D7" w14:textId="77777777" w:rsidR="002A5496" w:rsidRPr="00404724" w:rsidRDefault="002A5496" w:rsidP="00A115DA">
            <w:pPr>
              <w:spacing w:before="20" w:after="20"/>
              <w:jc w:val="right"/>
              <w:rPr>
                <w:rFonts w:asciiTheme="minorHAnsi" w:hAnsiTheme="minorHAnsi"/>
                <w:lang w:val="en-AU"/>
              </w:rPr>
            </w:pPr>
            <w:r w:rsidRPr="00404724">
              <w:rPr>
                <w:rFonts w:asciiTheme="minorHAnsi" w:hAnsiTheme="minorHAnsi"/>
                <w:lang w:val="en-AU"/>
              </w:rPr>
              <w:t>10,821</w:t>
            </w:r>
          </w:p>
        </w:tc>
        <w:tc>
          <w:tcPr>
            <w:tcW w:w="1280" w:type="dxa"/>
          </w:tcPr>
          <w:p w14:paraId="797201B7" w14:textId="77777777" w:rsidR="002A5496" w:rsidRPr="00404724" w:rsidRDefault="002A5496" w:rsidP="00A115DA">
            <w:pPr>
              <w:spacing w:before="20" w:after="20"/>
              <w:jc w:val="right"/>
              <w:rPr>
                <w:rFonts w:asciiTheme="minorHAnsi" w:hAnsiTheme="minorHAnsi"/>
                <w:lang w:val="en-AU"/>
              </w:rPr>
            </w:pPr>
            <w:r w:rsidRPr="00404724">
              <w:rPr>
                <w:rFonts w:asciiTheme="minorHAnsi" w:hAnsiTheme="minorHAnsi"/>
                <w:lang w:val="en-AU"/>
              </w:rPr>
              <w:t>6,509</w:t>
            </w:r>
          </w:p>
        </w:tc>
      </w:tr>
    </w:tbl>
    <w:p w14:paraId="3E576226" w14:textId="77777777" w:rsidR="002A5496" w:rsidRPr="00404724" w:rsidRDefault="002A5496" w:rsidP="00AE4E2F">
      <w:pPr>
        <w:pStyle w:val="Sourcenotes"/>
        <w:rPr>
          <w:lang w:val="en-AU"/>
        </w:rPr>
      </w:pPr>
      <w:r w:rsidRPr="00404724">
        <w:rPr>
          <w:lang w:val="en-AU"/>
        </w:rPr>
        <w:t>Source: ACIL Allen analysis</w:t>
      </w:r>
    </w:p>
    <w:p w14:paraId="395D305C" w14:textId="77777777" w:rsidR="002A5496" w:rsidRPr="00404724" w:rsidRDefault="002A5496" w:rsidP="004F36C3">
      <w:pPr>
        <w:pStyle w:val="Heading5"/>
      </w:pPr>
      <w:r w:rsidRPr="00404724">
        <w:lastRenderedPageBreak/>
        <w:t>Average annual VKT</w:t>
      </w:r>
    </w:p>
    <w:p w14:paraId="6D1829AB" w14:textId="0144D39E" w:rsidR="00F55894" w:rsidRPr="00404724" w:rsidRDefault="00F55894" w:rsidP="00D97244">
      <w:r w:rsidRPr="00404724">
        <w:t>Based on the above outputs, a projection of average VKT by vehicle type for each year of the assessment period could be developed. A summary of this projection is shown in</w:t>
      </w:r>
      <w:r w:rsidR="00CF1735" w:rsidRPr="00404724">
        <w:t xml:space="preserve"> </w:t>
      </w:r>
      <w:r w:rsidR="00CF1735" w:rsidRPr="00404724">
        <w:fldChar w:fldCharType="begin"/>
      </w:r>
      <w:r w:rsidR="00CF1735" w:rsidRPr="00404724">
        <w:instrText xml:space="preserve"> REF _Ref208397738 \h </w:instrText>
      </w:r>
      <w:r w:rsidR="00D97244" w:rsidRPr="00404724">
        <w:instrText xml:space="preserve"> \* MERGEFORMAT </w:instrText>
      </w:r>
      <w:r w:rsidR="00CF1735" w:rsidRPr="00404724">
        <w:fldChar w:fldCharType="separate"/>
      </w:r>
      <w:r w:rsidR="00BF489D" w:rsidRPr="00404724">
        <w:t>Table </w:t>
      </w:r>
      <w:r w:rsidR="00BF489D">
        <w:t>17</w:t>
      </w:r>
      <w:r w:rsidR="00CF1735" w:rsidRPr="00404724">
        <w:fldChar w:fldCharType="end"/>
      </w:r>
      <w:r w:rsidRPr="00404724">
        <w:t xml:space="preserve"> below. It shows a slight decrease in average VKT for most vehicle types except for light commercial vehicles. This aligns with historical data on the estimated car kilometres travelled per capita </w:t>
      </w:r>
      <w:r w:rsidR="00B00B9D" w:rsidRPr="00404724">
        <w:t xml:space="preserve">that </w:t>
      </w:r>
      <w:r w:rsidRPr="00404724">
        <w:t>has been decreasing since 2006, suggesting that on average, Australian are driving less.</w:t>
      </w:r>
      <w:r w:rsidRPr="00404724">
        <w:rPr>
          <w:rStyle w:val="FootnoteReference"/>
        </w:rPr>
        <w:footnoteReference w:id="83"/>
      </w:r>
      <w:r w:rsidRPr="00404724">
        <w:t xml:space="preserve"> </w:t>
      </w:r>
      <w:r w:rsidR="00377B5A" w:rsidRPr="00404724">
        <w:t xml:space="preserve">This </w:t>
      </w:r>
      <w:r w:rsidRPr="00404724">
        <w:t>analysis estimated the average VKT per annum for all vehicle types decreased by 3% between 2013-14 and 2019-20.</w:t>
      </w:r>
      <w:r w:rsidRPr="00404724">
        <w:rPr>
          <w:rStyle w:val="FootnoteReference"/>
        </w:rPr>
        <w:footnoteReference w:id="84"/>
      </w:r>
    </w:p>
    <w:p w14:paraId="0D3212CB" w14:textId="46918E66" w:rsidR="002A5496" w:rsidRPr="00404724" w:rsidRDefault="002A5496" w:rsidP="003979C3">
      <w:pPr>
        <w:pStyle w:val="Tablefigureheading"/>
      </w:pPr>
      <w:bookmarkStart w:id="319" w:name="_Ref208397738"/>
      <w:bookmarkStart w:id="320" w:name="_Toc210040362"/>
      <w:bookmarkStart w:id="321" w:name="_Toc210051898"/>
      <w:r w:rsidRPr="00404724">
        <w:t>Table </w:t>
      </w:r>
      <w:r w:rsidR="00EC39D5">
        <w:fldChar w:fldCharType="begin"/>
      </w:r>
      <w:r w:rsidR="00EC39D5">
        <w:instrText xml:space="preserve"> SEQ Table \* ARABIC </w:instrText>
      </w:r>
      <w:r w:rsidR="00EC39D5">
        <w:fldChar w:fldCharType="separate"/>
      </w:r>
      <w:r w:rsidR="00BF489D">
        <w:rPr>
          <w:noProof/>
        </w:rPr>
        <w:t>17</w:t>
      </w:r>
      <w:r w:rsidR="00EC39D5">
        <w:rPr>
          <w:noProof/>
        </w:rPr>
        <w:fldChar w:fldCharType="end"/>
      </w:r>
      <w:bookmarkEnd w:id="319"/>
      <w:r w:rsidRPr="00404724">
        <w:tab/>
        <w:t>Average VKT per vehicle per year by vehicle type</w:t>
      </w:r>
      <w:r w:rsidR="00E85B60">
        <w:t xml:space="preserve"> (km)</w:t>
      </w:r>
      <w:bookmarkEnd w:id="320"/>
      <w:bookmarkEnd w:id="321"/>
    </w:p>
    <w:tbl>
      <w:tblPr>
        <w:tblStyle w:val="aacTableBasic"/>
        <w:tblW w:w="5000" w:type="pct"/>
        <w:tblLayout w:type="fixed"/>
        <w:tblLook w:val="04A0" w:firstRow="1" w:lastRow="0" w:firstColumn="1" w:lastColumn="0" w:noHBand="0" w:noVBand="1"/>
        <w:tblCaption w:val="Table 17 Average VKT per vehicle per year by vehicle type (km)"/>
        <w:tblDescription w:val="Table 17 Average VKT per vehicle per year by vehicle type (km)"/>
      </w:tblPr>
      <w:tblGrid>
        <w:gridCol w:w="4374"/>
        <w:gridCol w:w="2745"/>
        <w:gridCol w:w="2745"/>
      </w:tblGrid>
      <w:tr w:rsidR="002A5496" w:rsidRPr="00404724" w14:paraId="3FD21B72" w14:textId="77777777" w:rsidTr="00BB5FCD">
        <w:trPr>
          <w:cnfStyle w:val="100000000000" w:firstRow="1" w:lastRow="0" w:firstColumn="0" w:lastColumn="0" w:oddVBand="0" w:evenVBand="0" w:oddHBand="0" w:evenHBand="0" w:firstRowFirstColumn="0" w:firstRowLastColumn="0" w:lastRowFirstColumn="0" w:lastRowLastColumn="0"/>
          <w:cantSplit/>
          <w:trHeight w:val="330"/>
          <w:tblHeader/>
        </w:trPr>
        <w:tc>
          <w:tcPr>
            <w:tcW w:w="3842" w:type="dxa"/>
            <w:noWrap/>
            <w:hideMark/>
          </w:tcPr>
          <w:p w14:paraId="5507ACD1" w14:textId="77777777" w:rsidR="002A5496" w:rsidRPr="00404724" w:rsidRDefault="002A5496" w:rsidP="00793950">
            <w:pPr>
              <w:spacing w:before="80"/>
              <w:rPr>
                <w:rFonts w:asciiTheme="minorHAnsi" w:hAnsiTheme="minorHAnsi"/>
                <w:b/>
                <w:bCs/>
                <w:lang w:val="en-AU"/>
              </w:rPr>
            </w:pPr>
            <w:r w:rsidRPr="00404724">
              <w:rPr>
                <w:rFonts w:asciiTheme="minorHAnsi" w:hAnsiTheme="minorHAnsi"/>
                <w:b/>
                <w:bCs/>
                <w:lang w:val="en-AU"/>
              </w:rPr>
              <w:t>Vehicle type</w:t>
            </w:r>
          </w:p>
        </w:tc>
        <w:tc>
          <w:tcPr>
            <w:tcW w:w="2412" w:type="dxa"/>
          </w:tcPr>
          <w:p w14:paraId="227DBB2C" w14:textId="77777777" w:rsidR="002A5496" w:rsidRPr="00404724" w:rsidRDefault="002A5496" w:rsidP="004F36C3">
            <w:pPr>
              <w:spacing w:before="80"/>
              <w:jc w:val="right"/>
              <w:rPr>
                <w:rFonts w:asciiTheme="minorHAnsi" w:hAnsiTheme="minorHAnsi"/>
                <w:b/>
                <w:bCs/>
                <w:lang w:val="en-AU"/>
              </w:rPr>
            </w:pPr>
            <w:r w:rsidRPr="00404724">
              <w:rPr>
                <w:rFonts w:asciiTheme="minorHAnsi" w:hAnsiTheme="minorHAnsi"/>
                <w:b/>
                <w:bCs/>
                <w:lang w:val="en-AU"/>
              </w:rPr>
              <w:t>2025</w:t>
            </w:r>
          </w:p>
        </w:tc>
        <w:tc>
          <w:tcPr>
            <w:tcW w:w="2412" w:type="dxa"/>
            <w:noWrap/>
            <w:vAlign w:val="center"/>
          </w:tcPr>
          <w:p w14:paraId="4C825A61" w14:textId="77777777" w:rsidR="002A5496" w:rsidRPr="00404724" w:rsidRDefault="002A5496" w:rsidP="004F36C3">
            <w:pPr>
              <w:spacing w:before="80"/>
              <w:jc w:val="right"/>
              <w:rPr>
                <w:rFonts w:asciiTheme="minorHAnsi" w:hAnsiTheme="minorHAnsi"/>
                <w:b/>
                <w:bCs/>
                <w:lang w:val="en-AU"/>
              </w:rPr>
            </w:pPr>
            <w:r w:rsidRPr="00404724">
              <w:rPr>
                <w:rFonts w:asciiTheme="minorHAnsi" w:hAnsiTheme="minorHAnsi"/>
                <w:b/>
                <w:bCs/>
                <w:lang w:val="en-AU"/>
              </w:rPr>
              <w:t>2035</w:t>
            </w:r>
          </w:p>
        </w:tc>
      </w:tr>
      <w:tr w:rsidR="002A5496" w:rsidRPr="00404724" w14:paraId="013FD223" w14:textId="77777777" w:rsidTr="00BB5FCD">
        <w:trPr>
          <w:cantSplit/>
          <w:trHeight w:val="330"/>
        </w:trPr>
        <w:tc>
          <w:tcPr>
            <w:tcW w:w="3842" w:type="dxa"/>
            <w:noWrap/>
            <w:hideMark/>
          </w:tcPr>
          <w:p w14:paraId="7A73C6F1" w14:textId="77777777" w:rsidR="002A5496" w:rsidRPr="00404724" w:rsidRDefault="002A5496" w:rsidP="00793950">
            <w:pPr>
              <w:spacing w:before="80"/>
              <w:rPr>
                <w:rFonts w:asciiTheme="minorHAnsi" w:hAnsiTheme="minorHAnsi"/>
                <w:color w:val="000000" w:themeColor="text1"/>
                <w:lang w:val="en-AU"/>
              </w:rPr>
            </w:pPr>
            <w:r w:rsidRPr="00404724">
              <w:rPr>
                <w:rFonts w:asciiTheme="minorHAnsi" w:hAnsiTheme="minorHAnsi"/>
                <w:color w:val="000000" w:themeColor="text1"/>
                <w:lang w:val="en-AU"/>
              </w:rPr>
              <w:t>Passenger vehicles</w:t>
            </w:r>
          </w:p>
        </w:tc>
        <w:tc>
          <w:tcPr>
            <w:tcW w:w="2412" w:type="dxa"/>
          </w:tcPr>
          <w:p w14:paraId="46A40649" w14:textId="6EC069D5" w:rsidR="002A5496" w:rsidRPr="00404724" w:rsidRDefault="002A5496" w:rsidP="00E85B60">
            <w:pPr>
              <w:spacing w:before="80"/>
              <w:jc w:val="right"/>
              <w:rPr>
                <w:rFonts w:asciiTheme="minorHAnsi" w:hAnsiTheme="minorHAnsi"/>
                <w:color w:val="FFFFFF" w:themeColor="background1"/>
                <w:lang w:val="en-AU"/>
              </w:rPr>
            </w:pPr>
            <w:r w:rsidRPr="00404724">
              <w:rPr>
                <w:rFonts w:asciiTheme="minorHAnsi" w:hAnsiTheme="minorHAnsi"/>
                <w:lang w:val="en-AU"/>
              </w:rPr>
              <w:t>11,409</w:t>
            </w:r>
          </w:p>
        </w:tc>
        <w:tc>
          <w:tcPr>
            <w:tcW w:w="2412" w:type="dxa"/>
            <w:noWrap/>
          </w:tcPr>
          <w:p w14:paraId="1D91E661" w14:textId="66A90291" w:rsidR="002A5496" w:rsidRPr="00404724" w:rsidRDefault="002A5496" w:rsidP="00E85B60">
            <w:pPr>
              <w:spacing w:before="80"/>
              <w:jc w:val="right"/>
              <w:rPr>
                <w:rFonts w:asciiTheme="minorHAnsi" w:hAnsiTheme="minorHAnsi"/>
                <w:color w:val="FFFFFF" w:themeColor="background1"/>
                <w:lang w:val="en-AU"/>
              </w:rPr>
            </w:pPr>
            <w:r w:rsidRPr="00404724">
              <w:rPr>
                <w:rFonts w:asciiTheme="minorHAnsi" w:hAnsiTheme="minorHAnsi"/>
                <w:lang w:val="en-AU"/>
              </w:rPr>
              <w:t>10,764</w:t>
            </w:r>
          </w:p>
        </w:tc>
      </w:tr>
      <w:tr w:rsidR="002A5496" w:rsidRPr="00404724" w14:paraId="3C44F4D1" w14:textId="77777777" w:rsidTr="00BB5FCD">
        <w:trPr>
          <w:cantSplit/>
          <w:trHeight w:val="330"/>
        </w:trPr>
        <w:tc>
          <w:tcPr>
            <w:tcW w:w="3842" w:type="dxa"/>
            <w:noWrap/>
            <w:hideMark/>
          </w:tcPr>
          <w:p w14:paraId="086D335A" w14:textId="77777777" w:rsidR="002A5496" w:rsidRPr="00404724" w:rsidRDefault="002A5496" w:rsidP="00793950">
            <w:pPr>
              <w:spacing w:before="80"/>
              <w:rPr>
                <w:rFonts w:asciiTheme="minorHAnsi" w:hAnsiTheme="minorHAnsi"/>
                <w:color w:val="000000" w:themeColor="text1"/>
                <w:lang w:val="en-AU"/>
              </w:rPr>
            </w:pPr>
            <w:r w:rsidRPr="00404724">
              <w:rPr>
                <w:rFonts w:asciiTheme="minorHAnsi" w:hAnsiTheme="minorHAnsi"/>
                <w:color w:val="000000" w:themeColor="text1"/>
                <w:lang w:val="en-AU"/>
              </w:rPr>
              <w:t>Light commercial vehicles</w:t>
            </w:r>
          </w:p>
        </w:tc>
        <w:tc>
          <w:tcPr>
            <w:tcW w:w="2412" w:type="dxa"/>
          </w:tcPr>
          <w:p w14:paraId="6057C4BC" w14:textId="7CD46DFB" w:rsidR="002A5496" w:rsidRPr="00404724" w:rsidRDefault="002A5496" w:rsidP="00E85B60">
            <w:pPr>
              <w:spacing w:before="80"/>
              <w:jc w:val="right"/>
              <w:rPr>
                <w:rFonts w:asciiTheme="minorHAnsi" w:hAnsiTheme="minorHAnsi"/>
                <w:color w:val="FFFFFF" w:themeColor="background1"/>
                <w:lang w:val="en-AU"/>
              </w:rPr>
            </w:pPr>
            <w:r w:rsidRPr="00404724">
              <w:rPr>
                <w:rFonts w:asciiTheme="minorHAnsi" w:hAnsiTheme="minorHAnsi"/>
                <w:lang w:val="en-AU"/>
              </w:rPr>
              <w:t>14,585</w:t>
            </w:r>
          </w:p>
        </w:tc>
        <w:tc>
          <w:tcPr>
            <w:tcW w:w="2412" w:type="dxa"/>
            <w:noWrap/>
          </w:tcPr>
          <w:p w14:paraId="222338C0" w14:textId="7C8C394E" w:rsidR="002A5496" w:rsidRPr="00404724" w:rsidRDefault="002A5496" w:rsidP="00E85B60">
            <w:pPr>
              <w:spacing w:before="80"/>
              <w:jc w:val="right"/>
              <w:rPr>
                <w:rFonts w:asciiTheme="minorHAnsi" w:hAnsiTheme="minorHAnsi"/>
                <w:color w:val="FFFFFF" w:themeColor="background1"/>
                <w:lang w:val="en-AU"/>
              </w:rPr>
            </w:pPr>
            <w:r w:rsidRPr="00404724">
              <w:rPr>
                <w:rFonts w:asciiTheme="minorHAnsi" w:hAnsiTheme="minorHAnsi"/>
                <w:lang w:val="en-AU"/>
              </w:rPr>
              <w:t>14,844</w:t>
            </w:r>
          </w:p>
        </w:tc>
      </w:tr>
      <w:tr w:rsidR="002A5496" w:rsidRPr="00404724" w14:paraId="05611154" w14:textId="77777777" w:rsidTr="00BB5FCD">
        <w:trPr>
          <w:cantSplit/>
          <w:trHeight w:val="330"/>
        </w:trPr>
        <w:tc>
          <w:tcPr>
            <w:tcW w:w="3842" w:type="dxa"/>
            <w:noWrap/>
            <w:hideMark/>
          </w:tcPr>
          <w:p w14:paraId="3C70D250" w14:textId="77777777" w:rsidR="002A5496" w:rsidRPr="00404724" w:rsidRDefault="002A5496" w:rsidP="00793950">
            <w:pPr>
              <w:spacing w:before="80"/>
              <w:rPr>
                <w:rFonts w:asciiTheme="minorHAnsi" w:hAnsiTheme="minorHAnsi"/>
                <w:color w:val="000000" w:themeColor="text1"/>
                <w:lang w:val="en-AU"/>
              </w:rPr>
            </w:pPr>
            <w:r w:rsidRPr="00404724">
              <w:rPr>
                <w:rFonts w:asciiTheme="minorHAnsi" w:hAnsiTheme="minorHAnsi"/>
                <w:color w:val="000000" w:themeColor="text1"/>
                <w:lang w:val="en-AU"/>
              </w:rPr>
              <w:t>Rigid trucks</w:t>
            </w:r>
          </w:p>
        </w:tc>
        <w:tc>
          <w:tcPr>
            <w:tcW w:w="2412" w:type="dxa"/>
          </w:tcPr>
          <w:p w14:paraId="4F411F7A" w14:textId="2A7F60BF" w:rsidR="002A5496" w:rsidRPr="00404724" w:rsidRDefault="002A5496" w:rsidP="00E85B60">
            <w:pPr>
              <w:spacing w:before="80"/>
              <w:jc w:val="right"/>
              <w:rPr>
                <w:rFonts w:asciiTheme="minorHAnsi" w:hAnsiTheme="minorHAnsi"/>
                <w:color w:val="FFFFFF" w:themeColor="background1"/>
                <w:lang w:val="en-AU"/>
              </w:rPr>
            </w:pPr>
            <w:r w:rsidRPr="00404724">
              <w:rPr>
                <w:rFonts w:asciiTheme="minorHAnsi" w:hAnsiTheme="minorHAnsi"/>
                <w:lang w:val="en-AU"/>
              </w:rPr>
              <w:t>19,437</w:t>
            </w:r>
          </w:p>
        </w:tc>
        <w:tc>
          <w:tcPr>
            <w:tcW w:w="2412" w:type="dxa"/>
            <w:noWrap/>
          </w:tcPr>
          <w:p w14:paraId="1061720D" w14:textId="73AF3927" w:rsidR="002A5496" w:rsidRPr="00404724" w:rsidRDefault="002A5496" w:rsidP="00E85B60">
            <w:pPr>
              <w:spacing w:before="80"/>
              <w:jc w:val="right"/>
              <w:rPr>
                <w:rFonts w:asciiTheme="minorHAnsi" w:hAnsiTheme="minorHAnsi"/>
                <w:color w:val="FFFFFF" w:themeColor="background1"/>
                <w:lang w:val="en-AU"/>
              </w:rPr>
            </w:pPr>
            <w:r w:rsidRPr="00404724">
              <w:rPr>
                <w:rFonts w:asciiTheme="minorHAnsi" w:hAnsiTheme="minorHAnsi"/>
                <w:lang w:val="en-AU"/>
              </w:rPr>
              <w:t>19,355</w:t>
            </w:r>
          </w:p>
        </w:tc>
      </w:tr>
      <w:tr w:rsidR="002A5496" w:rsidRPr="00404724" w14:paraId="5D63ABDE" w14:textId="77777777" w:rsidTr="00BB5FCD">
        <w:trPr>
          <w:cantSplit/>
          <w:trHeight w:val="330"/>
        </w:trPr>
        <w:tc>
          <w:tcPr>
            <w:tcW w:w="3842" w:type="dxa"/>
            <w:noWrap/>
            <w:hideMark/>
          </w:tcPr>
          <w:p w14:paraId="77E26442" w14:textId="77777777" w:rsidR="002A5496" w:rsidRPr="00404724" w:rsidRDefault="002A5496" w:rsidP="00793950">
            <w:pPr>
              <w:spacing w:before="80"/>
              <w:rPr>
                <w:rFonts w:asciiTheme="minorHAnsi" w:hAnsiTheme="minorHAnsi"/>
                <w:color w:val="000000" w:themeColor="text1"/>
                <w:lang w:val="en-AU"/>
              </w:rPr>
            </w:pPr>
            <w:r w:rsidRPr="00404724">
              <w:rPr>
                <w:rFonts w:asciiTheme="minorHAnsi" w:hAnsiTheme="minorHAnsi"/>
                <w:color w:val="000000" w:themeColor="text1"/>
                <w:lang w:val="en-AU"/>
              </w:rPr>
              <w:t>Articulated trucks</w:t>
            </w:r>
          </w:p>
        </w:tc>
        <w:tc>
          <w:tcPr>
            <w:tcW w:w="2412" w:type="dxa"/>
          </w:tcPr>
          <w:p w14:paraId="432D2047" w14:textId="24308F18" w:rsidR="002A5496" w:rsidRPr="00404724" w:rsidRDefault="002A5496" w:rsidP="00E85B60">
            <w:pPr>
              <w:spacing w:before="80"/>
              <w:jc w:val="right"/>
              <w:rPr>
                <w:rFonts w:asciiTheme="minorHAnsi" w:hAnsiTheme="minorHAnsi"/>
                <w:color w:val="FFFFFF" w:themeColor="background1"/>
                <w:lang w:val="en-AU"/>
              </w:rPr>
            </w:pPr>
            <w:r w:rsidRPr="00404724">
              <w:rPr>
                <w:rFonts w:asciiTheme="minorHAnsi" w:hAnsiTheme="minorHAnsi"/>
                <w:lang w:val="en-AU"/>
              </w:rPr>
              <w:t>75,925</w:t>
            </w:r>
          </w:p>
        </w:tc>
        <w:tc>
          <w:tcPr>
            <w:tcW w:w="2412" w:type="dxa"/>
            <w:noWrap/>
          </w:tcPr>
          <w:p w14:paraId="353C17A4" w14:textId="75EE645B" w:rsidR="002A5496" w:rsidRPr="00404724" w:rsidRDefault="002A5496" w:rsidP="00E85B60">
            <w:pPr>
              <w:spacing w:before="80"/>
              <w:jc w:val="right"/>
              <w:rPr>
                <w:rFonts w:asciiTheme="minorHAnsi" w:hAnsiTheme="minorHAnsi"/>
                <w:color w:val="FFFFFF" w:themeColor="background1"/>
                <w:lang w:val="en-AU"/>
              </w:rPr>
            </w:pPr>
            <w:r w:rsidRPr="00404724">
              <w:rPr>
                <w:rFonts w:asciiTheme="minorHAnsi" w:hAnsiTheme="minorHAnsi"/>
                <w:lang w:val="en-AU"/>
              </w:rPr>
              <w:t>75,882</w:t>
            </w:r>
          </w:p>
        </w:tc>
      </w:tr>
      <w:tr w:rsidR="002A5496" w:rsidRPr="00404724" w14:paraId="71ED7377" w14:textId="77777777" w:rsidTr="00BB5FCD">
        <w:trPr>
          <w:cantSplit/>
          <w:trHeight w:val="330"/>
        </w:trPr>
        <w:tc>
          <w:tcPr>
            <w:tcW w:w="3842" w:type="dxa"/>
            <w:noWrap/>
            <w:hideMark/>
          </w:tcPr>
          <w:p w14:paraId="53C553D1" w14:textId="77777777" w:rsidR="002A5496" w:rsidRPr="00404724" w:rsidRDefault="002A5496" w:rsidP="00793950">
            <w:pPr>
              <w:spacing w:before="80"/>
              <w:rPr>
                <w:rFonts w:asciiTheme="minorHAnsi" w:hAnsiTheme="minorHAnsi"/>
                <w:color w:val="000000" w:themeColor="text1"/>
                <w:lang w:val="en-AU"/>
              </w:rPr>
            </w:pPr>
            <w:r w:rsidRPr="00404724">
              <w:rPr>
                <w:rFonts w:asciiTheme="minorHAnsi" w:hAnsiTheme="minorHAnsi"/>
                <w:color w:val="000000" w:themeColor="text1"/>
                <w:lang w:val="en-AU"/>
              </w:rPr>
              <w:t>Buses</w:t>
            </w:r>
          </w:p>
        </w:tc>
        <w:tc>
          <w:tcPr>
            <w:tcW w:w="2412" w:type="dxa"/>
          </w:tcPr>
          <w:p w14:paraId="542D4F8B" w14:textId="558CF2B0" w:rsidR="002A5496" w:rsidRPr="00404724" w:rsidRDefault="002A5496" w:rsidP="00E85B60">
            <w:pPr>
              <w:spacing w:before="80"/>
              <w:jc w:val="right"/>
              <w:rPr>
                <w:rFonts w:asciiTheme="minorHAnsi" w:hAnsiTheme="minorHAnsi"/>
                <w:color w:val="FFFFFF" w:themeColor="background1"/>
                <w:lang w:val="en-AU"/>
              </w:rPr>
            </w:pPr>
            <w:r w:rsidRPr="00404724">
              <w:rPr>
                <w:rFonts w:asciiTheme="minorHAnsi" w:hAnsiTheme="minorHAnsi"/>
                <w:lang w:val="en-AU"/>
              </w:rPr>
              <w:t>26,082</w:t>
            </w:r>
          </w:p>
        </w:tc>
        <w:tc>
          <w:tcPr>
            <w:tcW w:w="2412" w:type="dxa"/>
            <w:noWrap/>
          </w:tcPr>
          <w:p w14:paraId="6951606F" w14:textId="1B473F0E" w:rsidR="002A5496" w:rsidRPr="00404724" w:rsidRDefault="002A5496" w:rsidP="00E85B60">
            <w:pPr>
              <w:spacing w:before="80"/>
              <w:jc w:val="right"/>
              <w:rPr>
                <w:rFonts w:asciiTheme="minorHAnsi" w:hAnsiTheme="minorHAnsi"/>
                <w:color w:val="FFFFFF" w:themeColor="background1"/>
                <w:lang w:val="en-AU"/>
              </w:rPr>
            </w:pPr>
            <w:r w:rsidRPr="00404724">
              <w:rPr>
                <w:rFonts w:asciiTheme="minorHAnsi" w:hAnsiTheme="minorHAnsi"/>
                <w:lang w:val="en-AU"/>
              </w:rPr>
              <w:t>25,452</w:t>
            </w:r>
          </w:p>
        </w:tc>
      </w:tr>
      <w:tr w:rsidR="002A5496" w:rsidRPr="00404724" w14:paraId="291D80A3" w14:textId="77777777" w:rsidTr="00BB5FCD">
        <w:trPr>
          <w:cantSplit/>
          <w:trHeight w:val="330"/>
        </w:trPr>
        <w:tc>
          <w:tcPr>
            <w:tcW w:w="3842" w:type="dxa"/>
            <w:noWrap/>
            <w:hideMark/>
          </w:tcPr>
          <w:p w14:paraId="3D7380B6" w14:textId="77777777" w:rsidR="002A5496" w:rsidRPr="00404724" w:rsidRDefault="002A5496" w:rsidP="00793950">
            <w:pPr>
              <w:spacing w:before="80"/>
              <w:rPr>
                <w:rFonts w:asciiTheme="minorHAnsi" w:hAnsiTheme="minorHAnsi"/>
                <w:color w:val="000000" w:themeColor="text1"/>
                <w:lang w:val="en-AU"/>
              </w:rPr>
            </w:pPr>
            <w:r w:rsidRPr="00404724">
              <w:rPr>
                <w:rFonts w:asciiTheme="minorHAnsi" w:hAnsiTheme="minorHAnsi"/>
                <w:color w:val="000000" w:themeColor="text1"/>
                <w:lang w:val="en-AU"/>
              </w:rPr>
              <w:t>Motorcycles</w:t>
            </w:r>
          </w:p>
        </w:tc>
        <w:tc>
          <w:tcPr>
            <w:tcW w:w="2412" w:type="dxa"/>
          </w:tcPr>
          <w:p w14:paraId="131D8FED" w14:textId="174AABE5" w:rsidR="002A5496" w:rsidRPr="00404724" w:rsidRDefault="002A5496" w:rsidP="00E85B60">
            <w:pPr>
              <w:spacing w:before="80"/>
              <w:jc w:val="right"/>
              <w:rPr>
                <w:rFonts w:asciiTheme="minorHAnsi" w:hAnsiTheme="minorHAnsi"/>
                <w:color w:val="FFFFFF" w:themeColor="background1"/>
                <w:lang w:val="en-AU"/>
              </w:rPr>
            </w:pPr>
            <w:r w:rsidRPr="00404724">
              <w:rPr>
                <w:rFonts w:asciiTheme="minorHAnsi" w:hAnsiTheme="minorHAnsi"/>
                <w:lang w:val="en-AU"/>
              </w:rPr>
              <w:t>2,753</w:t>
            </w:r>
          </w:p>
        </w:tc>
        <w:tc>
          <w:tcPr>
            <w:tcW w:w="2412" w:type="dxa"/>
            <w:noWrap/>
          </w:tcPr>
          <w:p w14:paraId="70272759" w14:textId="26B11F53" w:rsidR="002A5496" w:rsidRPr="00404724" w:rsidRDefault="002A5496" w:rsidP="00E85B60">
            <w:pPr>
              <w:spacing w:before="80"/>
              <w:jc w:val="right"/>
              <w:rPr>
                <w:rFonts w:asciiTheme="minorHAnsi" w:hAnsiTheme="minorHAnsi"/>
                <w:color w:val="FFFFFF" w:themeColor="background1"/>
                <w:lang w:val="en-AU"/>
              </w:rPr>
            </w:pPr>
            <w:r w:rsidRPr="00404724">
              <w:rPr>
                <w:rFonts w:asciiTheme="minorHAnsi" w:hAnsiTheme="minorHAnsi"/>
                <w:lang w:val="en-AU"/>
              </w:rPr>
              <w:t>2,698</w:t>
            </w:r>
          </w:p>
        </w:tc>
      </w:tr>
    </w:tbl>
    <w:p w14:paraId="6BDCB811" w14:textId="77777777" w:rsidR="002A5496" w:rsidRPr="00404724" w:rsidRDefault="002A5496" w:rsidP="00AE4E2F">
      <w:pPr>
        <w:pStyle w:val="Sourcenotes"/>
        <w:rPr>
          <w:lang w:val="en-AU"/>
        </w:rPr>
      </w:pPr>
      <w:r w:rsidRPr="00404724">
        <w:rPr>
          <w:lang w:val="en-AU"/>
        </w:rPr>
        <w:t>Source: ACIL Allen</w:t>
      </w:r>
    </w:p>
    <w:p w14:paraId="5BDE3E71" w14:textId="77777777" w:rsidR="00F55894" w:rsidRPr="00404724" w:rsidRDefault="00F55894" w:rsidP="00D97244">
      <w:r w:rsidRPr="00404724">
        <w:t>People who live in more remote regions typically drive more compared to people that live in large metropolitan areas, typically due to the larger geographical spread of destinations. In Australia, the Northern Territory, which has a high proportion of very remote areas, had the highest average kilometres travelled per passenger vehicle in 2020 and 2018 compared to other states and territories.</w:t>
      </w:r>
      <w:r w:rsidRPr="00404724">
        <w:rPr>
          <w:rStyle w:val="FootnoteReference"/>
        </w:rPr>
        <w:footnoteReference w:id="85"/>
      </w:r>
      <w:r w:rsidRPr="00404724">
        <w:rPr>
          <w:vertAlign w:val="superscript"/>
        </w:rPr>
        <w:t>,</w:t>
      </w:r>
      <w:r w:rsidRPr="00404724">
        <w:rPr>
          <w:rStyle w:val="FootnoteReference"/>
        </w:rPr>
        <w:footnoteReference w:id="86"/>
      </w:r>
      <w:r w:rsidRPr="00404724">
        <w:rPr>
          <w:vertAlign w:val="superscript"/>
        </w:rPr>
        <w:t>,</w:t>
      </w:r>
      <w:r w:rsidRPr="00404724">
        <w:rPr>
          <w:rStyle w:val="FootnoteReference"/>
        </w:rPr>
        <w:footnoteReference w:id="87"/>
      </w:r>
      <w:r w:rsidRPr="00404724">
        <w:t xml:space="preserve"> There is also a higher level of car dependence in regional and remote areas due to the lack of viable alternative transport methods available in more remote areas, such as alternative public transport options like trains or active transport like cycling.</w:t>
      </w:r>
      <w:r w:rsidRPr="00404724">
        <w:rPr>
          <w:rStyle w:val="FootnoteReference"/>
        </w:rPr>
        <w:footnoteReference w:id="88"/>
      </w:r>
      <w:r w:rsidRPr="00404724">
        <w:t xml:space="preserve"> </w:t>
      </w:r>
    </w:p>
    <w:p w14:paraId="279172E3" w14:textId="40FDDB14" w:rsidR="002A5496" w:rsidRPr="00404724" w:rsidRDefault="002A5496" w:rsidP="00D97244">
      <w:r w:rsidRPr="00404724">
        <w:t>To derive the VKT distribution by region, total VKT for each remoteness region based on assumed ratios of distance travelled by region for each vehicle type</w:t>
      </w:r>
      <w:r w:rsidR="00476FC9" w:rsidRPr="00404724">
        <w:t xml:space="preserve"> was calculated</w:t>
      </w:r>
      <w:r w:rsidRPr="00404724">
        <w:t>. The assumed ratios for each vehicle type are shown in</w:t>
      </w:r>
      <w:r w:rsidR="00CF1735" w:rsidRPr="00404724">
        <w:t xml:space="preserve"> </w:t>
      </w:r>
      <w:r w:rsidR="00CF1735" w:rsidRPr="00404724">
        <w:fldChar w:fldCharType="begin"/>
      </w:r>
      <w:r w:rsidR="00CF1735" w:rsidRPr="00404724">
        <w:instrText xml:space="preserve"> REF _Ref206079837 \h </w:instrText>
      </w:r>
      <w:r w:rsidR="00D97244" w:rsidRPr="00404724">
        <w:instrText xml:space="preserve"> \* MERGEFORMAT </w:instrText>
      </w:r>
      <w:r w:rsidR="00CF1735" w:rsidRPr="00404724">
        <w:fldChar w:fldCharType="separate"/>
      </w:r>
      <w:r w:rsidR="00BF489D" w:rsidRPr="00404724">
        <w:t>Table </w:t>
      </w:r>
      <w:r w:rsidR="00BF489D">
        <w:t>18</w:t>
      </w:r>
      <w:r w:rsidR="00CF1735" w:rsidRPr="00404724">
        <w:fldChar w:fldCharType="end"/>
      </w:r>
      <w:r w:rsidRPr="00404724">
        <w:t xml:space="preserve"> below. </w:t>
      </w:r>
    </w:p>
    <w:p w14:paraId="11F12611" w14:textId="145F8C5F" w:rsidR="002A5496" w:rsidRPr="00404724" w:rsidRDefault="002A5496" w:rsidP="003979C3">
      <w:pPr>
        <w:pStyle w:val="Tablefigureheading"/>
      </w:pPr>
      <w:bookmarkStart w:id="322" w:name="_Ref206079837"/>
      <w:bookmarkStart w:id="323" w:name="_Toc210040363"/>
      <w:bookmarkStart w:id="324" w:name="_Toc210051899"/>
      <w:r w:rsidRPr="00404724">
        <w:t>Table </w:t>
      </w:r>
      <w:r w:rsidR="00EC39D5">
        <w:fldChar w:fldCharType="begin"/>
      </w:r>
      <w:r w:rsidR="00EC39D5">
        <w:instrText xml:space="preserve"> SEQ Table \* ARABIC </w:instrText>
      </w:r>
      <w:r w:rsidR="00EC39D5">
        <w:fldChar w:fldCharType="separate"/>
      </w:r>
      <w:r w:rsidR="00BF489D">
        <w:rPr>
          <w:noProof/>
        </w:rPr>
        <w:t>18</w:t>
      </w:r>
      <w:r w:rsidR="00EC39D5">
        <w:rPr>
          <w:noProof/>
        </w:rPr>
        <w:fldChar w:fldCharType="end"/>
      </w:r>
      <w:bookmarkEnd w:id="322"/>
      <w:r w:rsidRPr="00404724">
        <w:tab/>
        <w:t>Ratio of distance travelled by remoteness region</w:t>
      </w:r>
      <w:bookmarkEnd w:id="323"/>
      <w:bookmarkEnd w:id="324"/>
    </w:p>
    <w:tbl>
      <w:tblPr>
        <w:tblStyle w:val="aacTableBasic"/>
        <w:tblW w:w="5000" w:type="pct"/>
        <w:tblLayout w:type="fixed"/>
        <w:tblLook w:val="04A0" w:firstRow="1" w:lastRow="0" w:firstColumn="1" w:lastColumn="0" w:noHBand="0" w:noVBand="1"/>
        <w:tblCaption w:val="Table 18 Ratio of distance travelled by remoteness region"/>
        <w:tblDescription w:val="Table 18 Ratio of distance travelled by remoteness region"/>
      </w:tblPr>
      <w:tblGrid>
        <w:gridCol w:w="2581"/>
        <w:gridCol w:w="1456"/>
        <w:gridCol w:w="1457"/>
        <w:gridCol w:w="1456"/>
        <w:gridCol w:w="1457"/>
        <w:gridCol w:w="1457"/>
      </w:tblGrid>
      <w:tr w:rsidR="002A5496" w:rsidRPr="00404724" w14:paraId="6E0F7BF2" w14:textId="77777777" w:rsidTr="00BB5FCD">
        <w:trPr>
          <w:cnfStyle w:val="100000000000" w:firstRow="1" w:lastRow="0" w:firstColumn="0" w:lastColumn="0" w:oddVBand="0" w:evenVBand="0" w:oddHBand="0" w:evenHBand="0" w:firstRowFirstColumn="0" w:firstRowLastColumn="0" w:lastRowFirstColumn="0" w:lastRowLastColumn="0"/>
          <w:cantSplit/>
          <w:tblHeader/>
        </w:trPr>
        <w:tc>
          <w:tcPr>
            <w:tcW w:w="2268" w:type="dxa"/>
          </w:tcPr>
          <w:p w14:paraId="6B4E051B" w14:textId="77777777" w:rsidR="002A5496" w:rsidRPr="00404724" w:rsidRDefault="002A5496" w:rsidP="00793950">
            <w:pPr>
              <w:spacing w:before="80"/>
              <w:rPr>
                <w:rFonts w:asciiTheme="minorHAnsi" w:hAnsiTheme="minorHAnsi"/>
                <w:lang w:val="en-AU"/>
              </w:rPr>
            </w:pPr>
          </w:p>
        </w:tc>
        <w:tc>
          <w:tcPr>
            <w:tcW w:w="1279" w:type="dxa"/>
          </w:tcPr>
          <w:p w14:paraId="2B26E016" w14:textId="77777777" w:rsidR="002A5496" w:rsidRPr="00404724" w:rsidRDefault="002A5496" w:rsidP="00E85B60">
            <w:pPr>
              <w:spacing w:before="80"/>
              <w:jc w:val="center"/>
              <w:rPr>
                <w:rFonts w:asciiTheme="minorHAnsi" w:hAnsiTheme="minorHAnsi"/>
                <w:lang w:val="en-AU"/>
              </w:rPr>
            </w:pPr>
            <w:r w:rsidRPr="00404724">
              <w:rPr>
                <w:rFonts w:asciiTheme="minorHAnsi" w:hAnsiTheme="minorHAnsi"/>
                <w:lang w:val="en-AU"/>
              </w:rPr>
              <w:t>Major Cities</w:t>
            </w:r>
          </w:p>
        </w:tc>
        <w:tc>
          <w:tcPr>
            <w:tcW w:w="1280" w:type="dxa"/>
          </w:tcPr>
          <w:p w14:paraId="0D6F6876" w14:textId="77777777" w:rsidR="002A5496" w:rsidRPr="00404724" w:rsidRDefault="002A5496" w:rsidP="00E85B60">
            <w:pPr>
              <w:spacing w:before="80"/>
              <w:jc w:val="center"/>
              <w:rPr>
                <w:rFonts w:asciiTheme="minorHAnsi" w:hAnsiTheme="minorHAnsi"/>
                <w:lang w:val="en-AU"/>
              </w:rPr>
            </w:pPr>
            <w:r w:rsidRPr="00404724">
              <w:rPr>
                <w:rFonts w:asciiTheme="minorHAnsi" w:hAnsiTheme="minorHAnsi"/>
                <w:lang w:val="en-AU"/>
              </w:rPr>
              <w:t>Inner Regional</w:t>
            </w:r>
          </w:p>
        </w:tc>
        <w:tc>
          <w:tcPr>
            <w:tcW w:w="1279" w:type="dxa"/>
          </w:tcPr>
          <w:p w14:paraId="060740C0" w14:textId="77777777" w:rsidR="002A5496" w:rsidRPr="00404724" w:rsidRDefault="002A5496" w:rsidP="00E85B60">
            <w:pPr>
              <w:spacing w:before="80"/>
              <w:jc w:val="center"/>
              <w:rPr>
                <w:rFonts w:asciiTheme="minorHAnsi" w:hAnsiTheme="minorHAnsi"/>
                <w:lang w:val="en-AU"/>
              </w:rPr>
            </w:pPr>
            <w:r w:rsidRPr="00404724">
              <w:rPr>
                <w:rFonts w:asciiTheme="minorHAnsi" w:hAnsiTheme="minorHAnsi"/>
                <w:lang w:val="en-AU"/>
              </w:rPr>
              <w:t>Outer Regional</w:t>
            </w:r>
          </w:p>
        </w:tc>
        <w:tc>
          <w:tcPr>
            <w:tcW w:w="1280" w:type="dxa"/>
          </w:tcPr>
          <w:p w14:paraId="5F4BBCF8" w14:textId="77777777" w:rsidR="002A5496" w:rsidRPr="00404724" w:rsidRDefault="002A5496" w:rsidP="00E85B60">
            <w:pPr>
              <w:spacing w:before="80"/>
              <w:jc w:val="center"/>
              <w:rPr>
                <w:rFonts w:asciiTheme="minorHAnsi" w:hAnsiTheme="minorHAnsi"/>
                <w:lang w:val="en-AU"/>
              </w:rPr>
            </w:pPr>
            <w:r w:rsidRPr="00404724">
              <w:rPr>
                <w:rFonts w:asciiTheme="minorHAnsi" w:hAnsiTheme="minorHAnsi"/>
                <w:lang w:val="en-AU"/>
              </w:rPr>
              <w:t>Remote</w:t>
            </w:r>
          </w:p>
        </w:tc>
        <w:tc>
          <w:tcPr>
            <w:tcW w:w="1280" w:type="dxa"/>
          </w:tcPr>
          <w:p w14:paraId="779D7146" w14:textId="77777777" w:rsidR="002A5496" w:rsidRPr="00404724" w:rsidRDefault="002A5496" w:rsidP="00E85B60">
            <w:pPr>
              <w:spacing w:before="80"/>
              <w:jc w:val="center"/>
              <w:rPr>
                <w:rFonts w:asciiTheme="minorHAnsi" w:hAnsiTheme="minorHAnsi"/>
                <w:lang w:val="en-AU"/>
              </w:rPr>
            </w:pPr>
            <w:r w:rsidRPr="00404724">
              <w:rPr>
                <w:rFonts w:asciiTheme="minorHAnsi" w:hAnsiTheme="minorHAnsi"/>
                <w:lang w:val="en-AU"/>
              </w:rPr>
              <w:t>Very Remote</w:t>
            </w:r>
          </w:p>
        </w:tc>
      </w:tr>
      <w:tr w:rsidR="002A5496" w:rsidRPr="00404724" w14:paraId="3B7928D4" w14:textId="77777777" w:rsidTr="00BB5FCD">
        <w:trPr>
          <w:cantSplit/>
        </w:trPr>
        <w:tc>
          <w:tcPr>
            <w:tcW w:w="2268" w:type="dxa"/>
          </w:tcPr>
          <w:p w14:paraId="6312D3F2"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Ratio</w:t>
            </w:r>
          </w:p>
        </w:tc>
        <w:tc>
          <w:tcPr>
            <w:tcW w:w="1279" w:type="dxa"/>
          </w:tcPr>
          <w:p w14:paraId="6459CD71" w14:textId="77777777" w:rsidR="002A5496" w:rsidRPr="00404724" w:rsidRDefault="002A5496" w:rsidP="00E85B60">
            <w:pPr>
              <w:spacing w:before="80"/>
              <w:jc w:val="center"/>
              <w:rPr>
                <w:rFonts w:asciiTheme="minorHAnsi" w:hAnsiTheme="minorHAnsi"/>
                <w:lang w:val="en-AU"/>
              </w:rPr>
            </w:pPr>
            <w:r w:rsidRPr="00404724">
              <w:rPr>
                <w:rFonts w:asciiTheme="minorHAnsi" w:hAnsiTheme="minorHAnsi"/>
                <w:lang w:val="en-AU"/>
              </w:rPr>
              <w:t>1</w:t>
            </w:r>
          </w:p>
        </w:tc>
        <w:tc>
          <w:tcPr>
            <w:tcW w:w="1280" w:type="dxa"/>
          </w:tcPr>
          <w:p w14:paraId="642B62C8" w14:textId="77777777" w:rsidR="002A5496" w:rsidRPr="00404724" w:rsidRDefault="002A5496" w:rsidP="00E85B60">
            <w:pPr>
              <w:spacing w:before="80"/>
              <w:jc w:val="center"/>
              <w:rPr>
                <w:rFonts w:asciiTheme="minorHAnsi" w:hAnsiTheme="minorHAnsi"/>
                <w:lang w:val="en-AU"/>
              </w:rPr>
            </w:pPr>
            <w:r w:rsidRPr="00404724">
              <w:rPr>
                <w:rFonts w:asciiTheme="minorHAnsi" w:hAnsiTheme="minorHAnsi"/>
                <w:lang w:val="en-AU"/>
              </w:rPr>
              <w:t>1.05</w:t>
            </w:r>
          </w:p>
        </w:tc>
        <w:tc>
          <w:tcPr>
            <w:tcW w:w="1279" w:type="dxa"/>
          </w:tcPr>
          <w:p w14:paraId="6F7980B9" w14:textId="77777777" w:rsidR="002A5496" w:rsidRPr="00404724" w:rsidRDefault="002A5496" w:rsidP="00E85B60">
            <w:pPr>
              <w:spacing w:before="80"/>
              <w:jc w:val="center"/>
              <w:rPr>
                <w:rFonts w:asciiTheme="minorHAnsi" w:hAnsiTheme="minorHAnsi"/>
                <w:lang w:val="en-AU"/>
              </w:rPr>
            </w:pPr>
            <w:r w:rsidRPr="00404724">
              <w:rPr>
                <w:rFonts w:asciiTheme="minorHAnsi" w:hAnsiTheme="minorHAnsi"/>
                <w:lang w:val="en-AU"/>
              </w:rPr>
              <w:t>1.1</w:t>
            </w:r>
          </w:p>
        </w:tc>
        <w:tc>
          <w:tcPr>
            <w:tcW w:w="1280" w:type="dxa"/>
          </w:tcPr>
          <w:p w14:paraId="234C32E5" w14:textId="77777777" w:rsidR="002A5496" w:rsidRPr="00404724" w:rsidRDefault="002A5496" w:rsidP="00E85B60">
            <w:pPr>
              <w:spacing w:before="80"/>
              <w:jc w:val="center"/>
              <w:rPr>
                <w:rFonts w:asciiTheme="minorHAnsi" w:hAnsiTheme="minorHAnsi"/>
                <w:lang w:val="en-AU"/>
              </w:rPr>
            </w:pPr>
            <w:r w:rsidRPr="00404724">
              <w:rPr>
                <w:rFonts w:asciiTheme="minorHAnsi" w:hAnsiTheme="minorHAnsi"/>
                <w:lang w:val="en-AU"/>
              </w:rPr>
              <w:t>1.2</w:t>
            </w:r>
          </w:p>
        </w:tc>
        <w:tc>
          <w:tcPr>
            <w:tcW w:w="1280" w:type="dxa"/>
          </w:tcPr>
          <w:p w14:paraId="3D492E11" w14:textId="77777777" w:rsidR="002A5496" w:rsidRPr="00404724" w:rsidRDefault="002A5496" w:rsidP="00E85B60">
            <w:pPr>
              <w:spacing w:before="80"/>
              <w:jc w:val="center"/>
              <w:rPr>
                <w:rFonts w:asciiTheme="minorHAnsi" w:hAnsiTheme="minorHAnsi"/>
                <w:lang w:val="en-AU"/>
              </w:rPr>
            </w:pPr>
            <w:r w:rsidRPr="00404724">
              <w:rPr>
                <w:rFonts w:asciiTheme="minorHAnsi" w:hAnsiTheme="minorHAnsi"/>
                <w:lang w:val="en-AU"/>
              </w:rPr>
              <w:t>1.3</w:t>
            </w:r>
          </w:p>
        </w:tc>
      </w:tr>
    </w:tbl>
    <w:p w14:paraId="32202103" w14:textId="77777777" w:rsidR="002A5496" w:rsidRPr="00404724" w:rsidRDefault="002A5496" w:rsidP="00AE4E2F">
      <w:pPr>
        <w:pStyle w:val="Sourcenotes"/>
        <w:rPr>
          <w:lang w:val="en-AU"/>
        </w:rPr>
      </w:pPr>
      <w:r w:rsidRPr="00404724">
        <w:rPr>
          <w:lang w:val="en-AU"/>
        </w:rPr>
        <w:t>Source: ACIL Allen</w:t>
      </w:r>
    </w:p>
    <w:p w14:paraId="159F3B52" w14:textId="77777777" w:rsidR="002A5496" w:rsidRPr="00404724" w:rsidRDefault="002A5496" w:rsidP="004F36C3">
      <w:pPr>
        <w:pStyle w:val="Heading5"/>
      </w:pPr>
      <w:r w:rsidRPr="00404724">
        <w:lastRenderedPageBreak/>
        <w:t>VKT by trip purpose</w:t>
      </w:r>
    </w:p>
    <w:p w14:paraId="18B37A5B" w14:textId="2FD315D5" w:rsidR="002A5496" w:rsidRPr="00404724" w:rsidRDefault="002A5496" w:rsidP="00D97244">
      <w:r w:rsidRPr="00404724">
        <w:t>To understand the travel time and logistics costs resulting from speed limit reductions, it is necessary to understand the composition of trips drivers take. The latest ABS Survey of Motor Vehicle Use provides the VKT by type of vehicle and by use, as summarised in</w:t>
      </w:r>
      <w:r w:rsidR="00CF1735" w:rsidRPr="00404724">
        <w:t xml:space="preserve"> </w:t>
      </w:r>
      <w:r w:rsidR="00CF1735" w:rsidRPr="00404724">
        <w:fldChar w:fldCharType="begin"/>
      </w:r>
      <w:r w:rsidR="00CF1735" w:rsidRPr="00404724">
        <w:instrText xml:space="preserve"> REF _Ref205985833 \h </w:instrText>
      </w:r>
      <w:r w:rsidR="00D97244" w:rsidRPr="00404724">
        <w:instrText xml:space="preserve"> \* MERGEFORMAT </w:instrText>
      </w:r>
      <w:r w:rsidR="00CF1735" w:rsidRPr="00404724">
        <w:fldChar w:fldCharType="separate"/>
      </w:r>
      <w:r w:rsidR="00BF489D" w:rsidRPr="00404724">
        <w:t>Table </w:t>
      </w:r>
      <w:r w:rsidR="00BF489D">
        <w:t>19</w:t>
      </w:r>
      <w:r w:rsidR="00CF1735" w:rsidRPr="00404724">
        <w:fldChar w:fldCharType="end"/>
      </w:r>
      <w:r w:rsidRPr="00404724">
        <w:t xml:space="preserve"> below. </w:t>
      </w:r>
    </w:p>
    <w:p w14:paraId="3869A610" w14:textId="0C46B82E" w:rsidR="002A5496" w:rsidRPr="00404724" w:rsidRDefault="002A5496" w:rsidP="00D97244">
      <w:r w:rsidRPr="00404724">
        <w:t>The modelling for the RIA assumes that the composition of VKT by purpose remains constant in the future and that there are no changes in composition induced by the proposed default speed limit reduction.</w:t>
      </w:r>
    </w:p>
    <w:p w14:paraId="481485B5" w14:textId="5B2D691A" w:rsidR="002A5496" w:rsidRPr="00404724" w:rsidRDefault="002A5496" w:rsidP="00D97244">
      <w:r w:rsidRPr="00404724">
        <w:t xml:space="preserve">For light commercial vehicles, rigid trucks, and articulated trucks, business use is divided between laden and unladen. The difference in the time cost of laden and unladen business use is dependent on how optimised the schedule is. </w:t>
      </w:r>
      <w:r w:rsidR="00E55439" w:rsidRPr="00404724">
        <w:t>It is</w:t>
      </w:r>
      <w:r w:rsidRPr="00404724">
        <w:t xml:space="preserve"> assume</w:t>
      </w:r>
      <w:r w:rsidR="00E55439" w:rsidRPr="00404724">
        <w:t>d</w:t>
      </w:r>
      <w:r w:rsidRPr="00404724">
        <w:t xml:space="preserve"> that all freight businesses conduct their travel on an optimised schedule, presenting a higher estimate of freight time cost.</w:t>
      </w:r>
    </w:p>
    <w:p w14:paraId="565A5F0C" w14:textId="3ADC2777" w:rsidR="002A5496" w:rsidRPr="00404724" w:rsidRDefault="002A5496" w:rsidP="003979C3">
      <w:pPr>
        <w:pStyle w:val="Tablefigureheading"/>
      </w:pPr>
      <w:bookmarkStart w:id="325" w:name="_Ref205985833"/>
      <w:bookmarkStart w:id="326" w:name="_Toc210040364"/>
      <w:bookmarkStart w:id="327" w:name="_Toc210051900"/>
      <w:r w:rsidRPr="00404724">
        <w:t>Table </w:t>
      </w:r>
      <w:r w:rsidR="00EC39D5">
        <w:fldChar w:fldCharType="begin"/>
      </w:r>
      <w:r w:rsidR="00EC39D5">
        <w:instrText xml:space="preserve"> SEQ Table \* ARABIC </w:instrText>
      </w:r>
      <w:r w:rsidR="00EC39D5">
        <w:fldChar w:fldCharType="separate"/>
      </w:r>
      <w:r w:rsidR="00BF489D">
        <w:rPr>
          <w:noProof/>
        </w:rPr>
        <w:t>19</w:t>
      </w:r>
      <w:r w:rsidR="00EC39D5">
        <w:rPr>
          <w:noProof/>
        </w:rPr>
        <w:fldChar w:fldCharType="end"/>
      </w:r>
      <w:bookmarkEnd w:id="325"/>
      <w:r w:rsidRPr="00404724">
        <w:tab/>
        <w:t>Proportion of VKT by vehicle type by purpose, 2019-20 financial year</w:t>
      </w:r>
      <w:bookmarkEnd w:id="326"/>
      <w:bookmarkEnd w:id="327"/>
    </w:p>
    <w:tbl>
      <w:tblPr>
        <w:tblStyle w:val="aacTableBasic"/>
        <w:tblW w:w="5000" w:type="pct"/>
        <w:tblLayout w:type="fixed"/>
        <w:tblLook w:val="04A0" w:firstRow="1" w:lastRow="0" w:firstColumn="1" w:lastColumn="0" w:noHBand="0" w:noVBand="1"/>
        <w:tblCaption w:val="Table 19 Proportion of VKT by vehicle type by purpose, 2019-20 financial year"/>
        <w:tblDescription w:val="Table 19 Proportion of VKT by vehicle type by purpose, 2019-20 financial year"/>
      </w:tblPr>
      <w:tblGrid>
        <w:gridCol w:w="2463"/>
        <w:gridCol w:w="2467"/>
        <w:gridCol w:w="2467"/>
        <w:gridCol w:w="2467"/>
      </w:tblGrid>
      <w:tr w:rsidR="002A5496" w:rsidRPr="00404724" w14:paraId="1E17FD2F" w14:textId="77777777" w:rsidTr="00BB5FCD">
        <w:trPr>
          <w:cnfStyle w:val="100000000000" w:firstRow="1" w:lastRow="0" w:firstColumn="0" w:lastColumn="0" w:oddVBand="0" w:evenVBand="0" w:oddHBand="0" w:evenHBand="0" w:firstRowFirstColumn="0" w:firstRowLastColumn="0" w:lastRowFirstColumn="0" w:lastRowLastColumn="0"/>
          <w:cantSplit/>
          <w:tblHeader/>
        </w:trPr>
        <w:tc>
          <w:tcPr>
            <w:tcW w:w="2165" w:type="dxa"/>
          </w:tcPr>
          <w:p w14:paraId="63FD3795" w14:textId="483CFA4F" w:rsidR="002A5496" w:rsidRPr="00404724" w:rsidRDefault="00793950" w:rsidP="00793950">
            <w:pPr>
              <w:spacing w:before="80"/>
              <w:rPr>
                <w:rFonts w:asciiTheme="minorHAnsi" w:hAnsiTheme="minorHAnsi"/>
                <w:b/>
                <w:bCs/>
                <w:lang w:val="en-AU"/>
              </w:rPr>
            </w:pPr>
            <w:r w:rsidRPr="00404724">
              <w:rPr>
                <w:rFonts w:asciiTheme="minorHAnsi" w:hAnsiTheme="minorHAnsi"/>
                <w:b/>
                <w:bCs/>
                <w:lang w:val="en-AU"/>
              </w:rPr>
              <w:t>Vehicle type</w:t>
            </w:r>
          </w:p>
        </w:tc>
        <w:tc>
          <w:tcPr>
            <w:tcW w:w="2167" w:type="dxa"/>
          </w:tcPr>
          <w:p w14:paraId="044A425F" w14:textId="77777777" w:rsidR="002A5496" w:rsidRPr="00404724" w:rsidRDefault="002A5496" w:rsidP="00E85B60">
            <w:pPr>
              <w:spacing w:before="80"/>
              <w:jc w:val="center"/>
              <w:rPr>
                <w:rFonts w:asciiTheme="minorHAnsi" w:hAnsiTheme="minorHAnsi"/>
                <w:b/>
                <w:bCs/>
                <w:lang w:val="en-AU"/>
              </w:rPr>
            </w:pPr>
            <w:r w:rsidRPr="00404724">
              <w:rPr>
                <w:rFonts w:asciiTheme="minorHAnsi" w:hAnsiTheme="minorHAnsi"/>
                <w:b/>
                <w:bCs/>
                <w:lang w:val="en-AU"/>
              </w:rPr>
              <w:t>All business use</w:t>
            </w:r>
          </w:p>
        </w:tc>
        <w:tc>
          <w:tcPr>
            <w:tcW w:w="2167" w:type="dxa"/>
          </w:tcPr>
          <w:p w14:paraId="2FE0F7ED" w14:textId="77777777" w:rsidR="002A5496" w:rsidRPr="00404724" w:rsidRDefault="002A5496" w:rsidP="00E85B60">
            <w:pPr>
              <w:spacing w:before="80"/>
              <w:jc w:val="center"/>
              <w:rPr>
                <w:rFonts w:asciiTheme="minorHAnsi" w:hAnsiTheme="minorHAnsi"/>
                <w:b/>
                <w:bCs/>
                <w:lang w:val="en-AU"/>
              </w:rPr>
            </w:pPr>
            <w:r w:rsidRPr="00404724">
              <w:rPr>
                <w:rFonts w:asciiTheme="minorHAnsi" w:hAnsiTheme="minorHAnsi"/>
                <w:b/>
                <w:bCs/>
                <w:lang w:val="en-AU"/>
              </w:rPr>
              <w:t>To and from work</w:t>
            </w:r>
          </w:p>
        </w:tc>
        <w:tc>
          <w:tcPr>
            <w:tcW w:w="2167" w:type="dxa"/>
          </w:tcPr>
          <w:p w14:paraId="64940887" w14:textId="77777777" w:rsidR="002A5496" w:rsidRPr="00404724" w:rsidRDefault="002A5496" w:rsidP="00E85B60">
            <w:pPr>
              <w:spacing w:before="80"/>
              <w:jc w:val="center"/>
              <w:rPr>
                <w:rFonts w:asciiTheme="minorHAnsi" w:hAnsiTheme="minorHAnsi"/>
                <w:b/>
                <w:bCs/>
                <w:lang w:val="en-AU"/>
              </w:rPr>
            </w:pPr>
            <w:r w:rsidRPr="00404724">
              <w:rPr>
                <w:rFonts w:asciiTheme="minorHAnsi" w:hAnsiTheme="minorHAnsi"/>
                <w:b/>
                <w:bCs/>
                <w:lang w:val="en-AU"/>
              </w:rPr>
              <w:t>Personal and other</w:t>
            </w:r>
          </w:p>
        </w:tc>
      </w:tr>
      <w:tr w:rsidR="002A5496" w:rsidRPr="00404724" w14:paraId="3C7C15DC" w14:textId="77777777" w:rsidTr="00BB5FCD">
        <w:trPr>
          <w:cantSplit/>
        </w:trPr>
        <w:tc>
          <w:tcPr>
            <w:tcW w:w="2165" w:type="dxa"/>
          </w:tcPr>
          <w:p w14:paraId="1958BB42"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Passenger vehicles</w:t>
            </w:r>
          </w:p>
        </w:tc>
        <w:tc>
          <w:tcPr>
            <w:tcW w:w="2167" w:type="dxa"/>
          </w:tcPr>
          <w:p w14:paraId="7C149BE1"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19%</w:t>
            </w:r>
          </w:p>
        </w:tc>
        <w:tc>
          <w:tcPr>
            <w:tcW w:w="2167" w:type="dxa"/>
          </w:tcPr>
          <w:p w14:paraId="3DACFCD3"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27%</w:t>
            </w:r>
          </w:p>
        </w:tc>
        <w:tc>
          <w:tcPr>
            <w:tcW w:w="2167" w:type="dxa"/>
          </w:tcPr>
          <w:p w14:paraId="306C0EAF"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54%</w:t>
            </w:r>
          </w:p>
        </w:tc>
      </w:tr>
      <w:tr w:rsidR="002A5496" w:rsidRPr="00404724" w14:paraId="4A81ED8E" w14:textId="77777777" w:rsidTr="00BB5FCD">
        <w:trPr>
          <w:cantSplit/>
        </w:trPr>
        <w:tc>
          <w:tcPr>
            <w:tcW w:w="2165" w:type="dxa"/>
          </w:tcPr>
          <w:p w14:paraId="7F5F5AEE"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Light commercial vehicles</w:t>
            </w:r>
          </w:p>
        </w:tc>
        <w:tc>
          <w:tcPr>
            <w:tcW w:w="2167" w:type="dxa"/>
          </w:tcPr>
          <w:p w14:paraId="08305DA4"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61%</w:t>
            </w:r>
          </w:p>
        </w:tc>
        <w:tc>
          <w:tcPr>
            <w:tcW w:w="2167" w:type="dxa"/>
          </w:tcPr>
          <w:p w14:paraId="428515C0"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15%</w:t>
            </w:r>
          </w:p>
        </w:tc>
        <w:tc>
          <w:tcPr>
            <w:tcW w:w="2167" w:type="dxa"/>
          </w:tcPr>
          <w:p w14:paraId="06A030EF"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24%</w:t>
            </w:r>
          </w:p>
        </w:tc>
      </w:tr>
      <w:tr w:rsidR="002A5496" w:rsidRPr="00404724" w14:paraId="5ABC9099" w14:textId="77777777" w:rsidTr="00BB5FCD">
        <w:trPr>
          <w:cantSplit/>
        </w:trPr>
        <w:tc>
          <w:tcPr>
            <w:tcW w:w="2165" w:type="dxa"/>
          </w:tcPr>
          <w:p w14:paraId="75834B48"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Rigid trucks</w:t>
            </w:r>
          </w:p>
        </w:tc>
        <w:tc>
          <w:tcPr>
            <w:tcW w:w="2167" w:type="dxa"/>
          </w:tcPr>
          <w:p w14:paraId="48EBFC2C"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97%</w:t>
            </w:r>
          </w:p>
        </w:tc>
        <w:tc>
          <w:tcPr>
            <w:tcW w:w="2167" w:type="dxa"/>
          </w:tcPr>
          <w:p w14:paraId="2035F6EF"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2%</w:t>
            </w:r>
          </w:p>
        </w:tc>
        <w:tc>
          <w:tcPr>
            <w:tcW w:w="2167" w:type="dxa"/>
          </w:tcPr>
          <w:p w14:paraId="514EE539"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1%</w:t>
            </w:r>
          </w:p>
        </w:tc>
      </w:tr>
      <w:tr w:rsidR="002A5496" w:rsidRPr="00404724" w14:paraId="628FF7CA" w14:textId="77777777" w:rsidTr="00BB5FCD">
        <w:trPr>
          <w:cantSplit/>
        </w:trPr>
        <w:tc>
          <w:tcPr>
            <w:tcW w:w="2165" w:type="dxa"/>
          </w:tcPr>
          <w:p w14:paraId="0F043612"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Articulated trucks</w:t>
            </w:r>
          </w:p>
        </w:tc>
        <w:tc>
          <w:tcPr>
            <w:tcW w:w="2167" w:type="dxa"/>
          </w:tcPr>
          <w:p w14:paraId="2F9B0703"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100%</w:t>
            </w:r>
          </w:p>
        </w:tc>
        <w:tc>
          <w:tcPr>
            <w:tcW w:w="2167" w:type="dxa"/>
          </w:tcPr>
          <w:p w14:paraId="6968D9F3"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0%</w:t>
            </w:r>
          </w:p>
        </w:tc>
        <w:tc>
          <w:tcPr>
            <w:tcW w:w="2167" w:type="dxa"/>
          </w:tcPr>
          <w:p w14:paraId="767E33A3"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0%</w:t>
            </w:r>
          </w:p>
        </w:tc>
      </w:tr>
      <w:tr w:rsidR="002A5496" w:rsidRPr="00404724" w14:paraId="59D392DA" w14:textId="77777777" w:rsidTr="00BB5FCD">
        <w:trPr>
          <w:cantSplit/>
        </w:trPr>
        <w:tc>
          <w:tcPr>
            <w:tcW w:w="2165" w:type="dxa"/>
          </w:tcPr>
          <w:p w14:paraId="4821D8B9"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Motorcycles</w:t>
            </w:r>
          </w:p>
        </w:tc>
        <w:tc>
          <w:tcPr>
            <w:tcW w:w="2167" w:type="dxa"/>
          </w:tcPr>
          <w:p w14:paraId="558410F7"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9%</w:t>
            </w:r>
          </w:p>
        </w:tc>
        <w:tc>
          <w:tcPr>
            <w:tcW w:w="2167" w:type="dxa"/>
          </w:tcPr>
          <w:p w14:paraId="468BB2D0"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32%</w:t>
            </w:r>
          </w:p>
        </w:tc>
        <w:tc>
          <w:tcPr>
            <w:tcW w:w="2167" w:type="dxa"/>
          </w:tcPr>
          <w:p w14:paraId="7857C2A8"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59%</w:t>
            </w:r>
          </w:p>
        </w:tc>
      </w:tr>
      <w:tr w:rsidR="002A5496" w:rsidRPr="00404724" w14:paraId="75DF985E" w14:textId="77777777" w:rsidTr="00BB5FCD">
        <w:trPr>
          <w:cantSplit/>
        </w:trPr>
        <w:tc>
          <w:tcPr>
            <w:tcW w:w="2165" w:type="dxa"/>
          </w:tcPr>
          <w:p w14:paraId="24B59DB9"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Buses</w:t>
            </w:r>
          </w:p>
        </w:tc>
        <w:tc>
          <w:tcPr>
            <w:tcW w:w="2167" w:type="dxa"/>
          </w:tcPr>
          <w:p w14:paraId="66708497"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96%</w:t>
            </w:r>
          </w:p>
        </w:tc>
        <w:tc>
          <w:tcPr>
            <w:tcW w:w="2167" w:type="dxa"/>
          </w:tcPr>
          <w:p w14:paraId="059B9284"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1%</w:t>
            </w:r>
          </w:p>
        </w:tc>
        <w:tc>
          <w:tcPr>
            <w:tcW w:w="2167" w:type="dxa"/>
          </w:tcPr>
          <w:p w14:paraId="3C507685"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3%</w:t>
            </w:r>
          </w:p>
        </w:tc>
      </w:tr>
    </w:tbl>
    <w:p w14:paraId="1DE53600" w14:textId="77777777" w:rsidR="002A5496" w:rsidRPr="00404724" w:rsidRDefault="002A5496" w:rsidP="00AE4E2F">
      <w:pPr>
        <w:pStyle w:val="Sourcenotes"/>
        <w:rPr>
          <w:lang w:val="en-AU"/>
        </w:rPr>
      </w:pPr>
      <w:r w:rsidRPr="00404724">
        <w:rPr>
          <w:lang w:val="en-AU"/>
        </w:rPr>
        <w:t>Source: ACIL Allen analysis, based on ABS, Survey of Motor Vehicle Use 2020</w:t>
      </w:r>
    </w:p>
    <w:p w14:paraId="7D556E8B" w14:textId="3F267571" w:rsidR="002A5496" w:rsidRPr="00404724" w:rsidRDefault="002A5496" w:rsidP="002A5496">
      <w:pPr>
        <w:pStyle w:val="BodyText"/>
      </w:pPr>
      <w:r w:rsidRPr="00404724">
        <w:t>This travel purpose split</w:t>
      </w:r>
      <w:r w:rsidR="007B458D" w:rsidRPr="00404724">
        <w:t xml:space="preserve"> </w:t>
      </w:r>
      <w:r w:rsidRPr="00404724">
        <w:t>is different from available estimates for travel time costs (such as the ATAP</w:t>
      </w:r>
      <w:r w:rsidR="00377B5A" w:rsidRPr="00404724">
        <w:t xml:space="preserve"> guidelines</w:t>
      </w:r>
      <w:r w:rsidRPr="00404724">
        <w:t xml:space="preserve"> that is used for this analysis that split travel time costs by </w:t>
      </w:r>
      <w:r w:rsidRPr="00404724">
        <w:rPr>
          <w:i/>
          <w:iCs/>
        </w:rPr>
        <w:t>Personal travel</w:t>
      </w:r>
      <w:r w:rsidRPr="00404724">
        <w:t xml:space="preserve">, </w:t>
      </w:r>
      <w:r w:rsidRPr="00404724">
        <w:rPr>
          <w:i/>
          <w:iCs/>
        </w:rPr>
        <w:t>Business</w:t>
      </w:r>
      <w:r w:rsidRPr="00404724">
        <w:t xml:space="preserve">, and </w:t>
      </w:r>
      <w:r w:rsidRPr="00404724">
        <w:rPr>
          <w:i/>
          <w:iCs/>
        </w:rPr>
        <w:t>Freight</w:t>
      </w:r>
      <w:r w:rsidR="0022623C" w:rsidRPr="00404724">
        <w:rPr>
          <w:i/>
          <w:iCs/>
        </w:rPr>
        <w:t>)</w:t>
      </w:r>
      <w:r w:rsidRPr="00404724">
        <w:t xml:space="preserve">. To align these sources of estimates, </w:t>
      </w:r>
      <w:r w:rsidRPr="00404724">
        <w:rPr>
          <w:i/>
          <w:iCs/>
        </w:rPr>
        <w:t>To and from work</w:t>
      </w:r>
      <w:r w:rsidRPr="00404724">
        <w:t xml:space="preserve"> and </w:t>
      </w:r>
      <w:r w:rsidRPr="00404724">
        <w:rPr>
          <w:i/>
          <w:iCs/>
        </w:rPr>
        <w:t xml:space="preserve">Personal and other </w:t>
      </w:r>
      <w:r w:rsidRPr="00404724">
        <w:t xml:space="preserve">travel both have a similar time cost to </w:t>
      </w:r>
      <w:r w:rsidRPr="00404724">
        <w:rPr>
          <w:i/>
          <w:iCs/>
        </w:rPr>
        <w:t>Business</w:t>
      </w:r>
      <w:r w:rsidRPr="00404724">
        <w:t xml:space="preserve"> under the ATAP estimates. And that </w:t>
      </w:r>
      <w:r w:rsidRPr="00404724">
        <w:rPr>
          <w:i/>
          <w:iCs/>
        </w:rPr>
        <w:t xml:space="preserve">All business use </w:t>
      </w:r>
      <w:r w:rsidRPr="00404724">
        <w:t>has the following distribution based on vehicle type:</w:t>
      </w:r>
    </w:p>
    <w:p w14:paraId="517ED4D0" w14:textId="751FDB17" w:rsidR="002A5496" w:rsidRPr="00404724" w:rsidRDefault="00E90C25" w:rsidP="00485648">
      <w:pPr>
        <w:pStyle w:val="Listparagraphbullets"/>
      </w:pPr>
      <w:r w:rsidRPr="00404724">
        <w:t xml:space="preserve">for </w:t>
      </w:r>
      <w:r w:rsidR="002A5496" w:rsidRPr="00404724">
        <w:t xml:space="preserve">Articulated trucks and Rigid trucks, </w:t>
      </w:r>
      <w:r w:rsidR="002A5496" w:rsidRPr="00404724">
        <w:rPr>
          <w:i/>
          <w:iCs/>
        </w:rPr>
        <w:t>All business use</w:t>
      </w:r>
      <w:r w:rsidR="002A5496" w:rsidRPr="00404724">
        <w:t xml:space="preserve"> is assumed to have a similar time cost to </w:t>
      </w:r>
      <w:r w:rsidR="002A5496" w:rsidRPr="00404724">
        <w:rPr>
          <w:i/>
          <w:iCs/>
        </w:rPr>
        <w:t>Freight</w:t>
      </w:r>
      <w:r w:rsidR="002A5496" w:rsidRPr="00404724">
        <w:t xml:space="preserve"> </w:t>
      </w:r>
    </w:p>
    <w:p w14:paraId="09B71565" w14:textId="62250155" w:rsidR="002A5496" w:rsidRPr="00404724" w:rsidRDefault="00E90C25" w:rsidP="00485648">
      <w:pPr>
        <w:pStyle w:val="Listparagraphbullets"/>
      </w:pPr>
      <w:r w:rsidRPr="00404724">
        <w:t xml:space="preserve">for </w:t>
      </w:r>
      <w:r w:rsidR="002A5496" w:rsidRPr="00404724">
        <w:t xml:space="preserve">passenger vehicles, LCVs, buses, and motorcycles, </w:t>
      </w:r>
      <w:r w:rsidR="002A5496" w:rsidRPr="00404724">
        <w:rPr>
          <w:i/>
          <w:iCs/>
        </w:rPr>
        <w:t>All business use</w:t>
      </w:r>
      <w:r w:rsidR="002A5496" w:rsidRPr="00404724">
        <w:t xml:space="preserve"> is assumed to have a similar time cost to </w:t>
      </w:r>
      <w:r w:rsidR="002A5496" w:rsidRPr="00404724">
        <w:rPr>
          <w:i/>
          <w:iCs/>
        </w:rPr>
        <w:t>B</w:t>
      </w:r>
      <w:r w:rsidRPr="00404724">
        <w:rPr>
          <w:i/>
          <w:iCs/>
        </w:rPr>
        <w:t>11</w:t>
      </w:r>
      <w:r w:rsidR="002A5496" w:rsidRPr="00404724">
        <w:rPr>
          <w:i/>
          <w:iCs/>
        </w:rPr>
        <w:t>usiness</w:t>
      </w:r>
      <w:r w:rsidRPr="00404724">
        <w:t>.</w:t>
      </w:r>
    </w:p>
    <w:p w14:paraId="4FBC7166" w14:textId="0028AFDA" w:rsidR="002A5496" w:rsidRPr="00404724" w:rsidRDefault="002A5496" w:rsidP="002A5496">
      <w:pPr>
        <w:pStyle w:val="BodyText"/>
      </w:pPr>
      <w:r w:rsidRPr="00404724">
        <w:t>The realigned estimates are shown in</w:t>
      </w:r>
      <w:r w:rsidR="00CF1735" w:rsidRPr="00404724">
        <w:t xml:space="preserve"> </w:t>
      </w:r>
      <w:r w:rsidR="00CF1735" w:rsidRPr="00404724">
        <w:fldChar w:fldCharType="begin"/>
      </w:r>
      <w:r w:rsidR="00CF1735" w:rsidRPr="00404724">
        <w:instrText xml:space="preserve"> REF _Ref208398815 \h </w:instrText>
      </w:r>
      <w:r w:rsidR="00CF1735" w:rsidRPr="00404724">
        <w:fldChar w:fldCharType="separate"/>
      </w:r>
      <w:r w:rsidR="00BF489D" w:rsidRPr="00404724">
        <w:t>Table </w:t>
      </w:r>
      <w:r w:rsidR="00BF489D">
        <w:rPr>
          <w:noProof/>
        </w:rPr>
        <w:t>20</w:t>
      </w:r>
      <w:r w:rsidR="00CF1735" w:rsidRPr="00404724">
        <w:fldChar w:fldCharType="end"/>
      </w:r>
      <w:r w:rsidRPr="00404724">
        <w:t>. It is assumed that this distribution of VKT by purpose remains unchanged during the assessment period, as it is unlikely that there would be any significant changes in travel behaviour during this period.</w:t>
      </w:r>
    </w:p>
    <w:p w14:paraId="0B572841" w14:textId="0905A9AA" w:rsidR="002A5496" w:rsidRPr="00404724" w:rsidRDefault="002A5496" w:rsidP="003979C3">
      <w:pPr>
        <w:pStyle w:val="Tablefigureheading"/>
      </w:pPr>
      <w:bookmarkStart w:id="328" w:name="_Ref208398815"/>
      <w:bookmarkStart w:id="329" w:name="_Toc210040365"/>
      <w:bookmarkStart w:id="330" w:name="_Toc210051901"/>
      <w:r w:rsidRPr="00404724">
        <w:t>Table </w:t>
      </w:r>
      <w:r w:rsidR="00EC39D5">
        <w:fldChar w:fldCharType="begin"/>
      </w:r>
      <w:r w:rsidR="00EC39D5">
        <w:instrText xml:space="preserve"> SEQ Table \* ARABIC </w:instrText>
      </w:r>
      <w:r w:rsidR="00EC39D5">
        <w:fldChar w:fldCharType="separate"/>
      </w:r>
      <w:r w:rsidR="00BF489D">
        <w:rPr>
          <w:noProof/>
        </w:rPr>
        <w:t>20</w:t>
      </w:r>
      <w:r w:rsidR="00EC39D5">
        <w:rPr>
          <w:noProof/>
        </w:rPr>
        <w:fldChar w:fldCharType="end"/>
      </w:r>
      <w:bookmarkEnd w:id="328"/>
      <w:r w:rsidRPr="00404724">
        <w:tab/>
        <w:t>Adjusted proportion of VKT by vehicle type by purpose</w:t>
      </w:r>
      <w:bookmarkEnd w:id="329"/>
      <w:bookmarkEnd w:id="330"/>
    </w:p>
    <w:tbl>
      <w:tblPr>
        <w:tblStyle w:val="aacTableBasic"/>
        <w:tblW w:w="5000" w:type="pct"/>
        <w:tblLayout w:type="fixed"/>
        <w:tblLook w:val="04A0" w:firstRow="1" w:lastRow="0" w:firstColumn="1" w:lastColumn="0" w:noHBand="0" w:noVBand="1"/>
        <w:tblCaption w:val="Table 20 Adjusted proportion of VKT by vehicle type by purpose"/>
        <w:tblDescription w:val="Table 20 Adjusted proportion of VKT by vehicle type by purpose"/>
      </w:tblPr>
      <w:tblGrid>
        <w:gridCol w:w="2463"/>
        <w:gridCol w:w="2467"/>
        <w:gridCol w:w="2467"/>
        <w:gridCol w:w="2467"/>
      </w:tblGrid>
      <w:tr w:rsidR="002A5496" w:rsidRPr="00404724" w14:paraId="3E26CF8D" w14:textId="77777777" w:rsidTr="00BB5FCD">
        <w:trPr>
          <w:cnfStyle w:val="100000000000" w:firstRow="1" w:lastRow="0" w:firstColumn="0" w:lastColumn="0" w:oddVBand="0" w:evenVBand="0" w:oddHBand="0" w:evenHBand="0" w:firstRowFirstColumn="0" w:firstRowLastColumn="0" w:lastRowFirstColumn="0" w:lastRowLastColumn="0"/>
          <w:cantSplit/>
          <w:tblHeader/>
        </w:trPr>
        <w:tc>
          <w:tcPr>
            <w:tcW w:w="2165" w:type="dxa"/>
          </w:tcPr>
          <w:p w14:paraId="29B0030E" w14:textId="6AF23620" w:rsidR="002A5496" w:rsidRPr="00404724" w:rsidRDefault="00476FC9" w:rsidP="00793950">
            <w:pPr>
              <w:spacing w:before="80"/>
              <w:rPr>
                <w:rFonts w:asciiTheme="minorHAnsi" w:hAnsiTheme="minorHAnsi"/>
                <w:b/>
                <w:bCs/>
                <w:lang w:val="en-AU"/>
              </w:rPr>
            </w:pPr>
            <w:r w:rsidRPr="00404724">
              <w:rPr>
                <w:rFonts w:asciiTheme="minorHAnsi" w:hAnsiTheme="minorHAnsi"/>
                <w:b/>
                <w:bCs/>
                <w:lang w:val="en-AU"/>
              </w:rPr>
              <w:t>Vehicle type</w:t>
            </w:r>
          </w:p>
        </w:tc>
        <w:tc>
          <w:tcPr>
            <w:tcW w:w="2167" w:type="dxa"/>
          </w:tcPr>
          <w:p w14:paraId="607207D3" w14:textId="77777777" w:rsidR="002A5496" w:rsidRPr="00404724" w:rsidRDefault="002A5496" w:rsidP="004F36C3">
            <w:pPr>
              <w:spacing w:before="80"/>
              <w:jc w:val="right"/>
              <w:rPr>
                <w:rFonts w:asciiTheme="minorHAnsi" w:hAnsiTheme="minorHAnsi"/>
                <w:b/>
                <w:bCs/>
                <w:lang w:val="en-AU"/>
              </w:rPr>
            </w:pPr>
            <w:r w:rsidRPr="00404724">
              <w:rPr>
                <w:rFonts w:asciiTheme="minorHAnsi" w:hAnsiTheme="minorHAnsi"/>
                <w:b/>
                <w:bCs/>
                <w:lang w:val="en-AU"/>
              </w:rPr>
              <w:t>Personal travel</w:t>
            </w:r>
          </w:p>
        </w:tc>
        <w:tc>
          <w:tcPr>
            <w:tcW w:w="2167" w:type="dxa"/>
          </w:tcPr>
          <w:p w14:paraId="11A31E65" w14:textId="77777777" w:rsidR="002A5496" w:rsidRPr="00404724" w:rsidRDefault="002A5496" w:rsidP="004F36C3">
            <w:pPr>
              <w:spacing w:before="80"/>
              <w:jc w:val="right"/>
              <w:rPr>
                <w:rFonts w:asciiTheme="minorHAnsi" w:hAnsiTheme="minorHAnsi"/>
                <w:b/>
                <w:bCs/>
                <w:lang w:val="en-AU"/>
              </w:rPr>
            </w:pPr>
            <w:r w:rsidRPr="00404724">
              <w:rPr>
                <w:rFonts w:asciiTheme="minorHAnsi" w:hAnsiTheme="minorHAnsi"/>
                <w:b/>
                <w:bCs/>
                <w:lang w:val="en-AU"/>
              </w:rPr>
              <w:t>Business</w:t>
            </w:r>
          </w:p>
        </w:tc>
        <w:tc>
          <w:tcPr>
            <w:tcW w:w="2167" w:type="dxa"/>
          </w:tcPr>
          <w:p w14:paraId="39D1BC05" w14:textId="77777777" w:rsidR="002A5496" w:rsidRPr="00404724" w:rsidRDefault="002A5496" w:rsidP="004F36C3">
            <w:pPr>
              <w:spacing w:before="80"/>
              <w:jc w:val="right"/>
              <w:rPr>
                <w:rFonts w:asciiTheme="minorHAnsi" w:hAnsiTheme="minorHAnsi"/>
                <w:b/>
                <w:bCs/>
                <w:lang w:val="en-AU"/>
              </w:rPr>
            </w:pPr>
            <w:r w:rsidRPr="00404724">
              <w:rPr>
                <w:rFonts w:asciiTheme="minorHAnsi" w:hAnsiTheme="minorHAnsi"/>
                <w:b/>
                <w:bCs/>
                <w:lang w:val="en-AU"/>
              </w:rPr>
              <w:t>Freight</w:t>
            </w:r>
          </w:p>
        </w:tc>
      </w:tr>
      <w:tr w:rsidR="002A5496" w:rsidRPr="00404724" w14:paraId="26EBABEB" w14:textId="77777777" w:rsidTr="00BB5FCD">
        <w:trPr>
          <w:cantSplit/>
        </w:trPr>
        <w:tc>
          <w:tcPr>
            <w:tcW w:w="2165" w:type="dxa"/>
          </w:tcPr>
          <w:p w14:paraId="71F535DA"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Passenger vehicles</w:t>
            </w:r>
          </w:p>
        </w:tc>
        <w:tc>
          <w:tcPr>
            <w:tcW w:w="2167" w:type="dxa"/>
          </w:tcPr>
          <w:p w14:paraId="671FE008"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80.82%</w:t>
            </w:r>
          </w:p>
        </w:tc>
        <w:tc>
          <w:tcPr>
            <w:tcW w:w="2167" w:type="dxa"/>
          </w:tcPr>
          <w:p w14:paraId="4CE28C37"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19.18%</w:t>
            </w:r>
          </w:p>
        </w:tc>
        <w:tc>
          <w:tcPr>
            <w:tcW w:w="2167" w:type="dxa"/>
          </w:tcPr>
          <w:p w14:paraId="2A29F6BE"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0.00%</w:t>
            </w:r>
          </w:p>
        </w:tc>
      </w:tr>
      <w:tr w:rsidR="002A5496" w:rsidRPr="00404724" w14:paraId="2449BDC7" w14:textId="77777777" w:rsidTr="00BB5FCD">
        <w:trPr>
          <w:cantSplit/>
        </w:trPr>
        <w:tc>
          <w:tcPr>
            <w:tcW w:w="2165" w:type="dxa"/>
          </w:tcPr>
          <w:p w14:paraId="3A2F287E"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Light commercial vehicles</w:t>
            </w:r>
          </w:p>
        </w:tc>
        <w:tc>
          <w:tcPr>
            <w:tcW w:w="2167" w:type="dxa"/>
          </w:tcPr>
          <w:p w14:paraId="3E31469C"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39.25%</w:t>
            </w:r>
          </w:p>
        </w:tc>
        <w:tc>
          <w:tcPr>
            <w:tcW w:w="2167" w:type="dxa"/>
          </w:tcPr>
          <w:p w14:paraId="036EAA8A"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60.75%</w:t>
            </w:r>
          </w:p>
        </w:tc>
        <w:tc>
          <w:tcPr>
            <w:tcW w:w="2167" w:type="dxa"/>
          </w:tcPr>
          <w:p w14:paraId="479117C5"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0.00%</w:t>
            </w:r>
          </w:p>
        </w:tc>
      </w:tr>
      <w:tr w:rsidR="002A5496" w:rsidRPr="00404724" w14:paraId="6F2BAA13" w14:textId="77777777" w:rsidTr="00BB5FCD">
        <w:trPr>
          <w:cantSplit/>
        </w:trPr>
        <w:tc>
          <w:tcPr>
            <w:tcW w:w="2165" w:type="dxa"/>
          </w:tcPr>
          <w:p w14:paraId="3C0253A2"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Rigid trucks</w:t>
            </w:r>
          </w:p>
        </w:tc>
        <w:tc>
          <w:tcPr>
            <w:tcW w:w="2167" w:type="dxa"/>
          </w:tcPr>
          <w:p w14:paraId="404F4D9C"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3.02%</w:t>
            </w:r>
          </w:p>
        </w:tc>
        <w:tc>
          <w:tcPr>
            <w:tcW w:w="2167" w:type="dxa"/>
          </w:tcPr>
          <w:p w14:paraId="3D6138C2"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0.00%</w:t>
            </w:r>
          </w:p>
        </w:tc>
        <w:tc>
          <w:tcPr>
            <w:tcW w:w="2167" w:type="dxa"/>
          </w:tcPr>
          <w:p w14:paraId="55CB3135"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96.98%</w:t>
            </w:r>
          </w:p>
        </w:tc>
      </w:tr>
      <w:tr w:rsidR="002A5496" w:rsidRPr="00404724" w14:paraId="19772711" w14:textId="77777777" w:rsidTr="00BB5FCD">
        <w:trPr>
          <w:cantSplit/>
        </w:trPr>
        <w:tc>
          <w:tcPr>
            <w:tcW w:w="2165" w:type="dxa"/>
          </w:tcPr>
          <w:p w14:paraId="79288359"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Articulated trucks</w:t>
            </w:r>
          </w:p>
        </w:tc>
        <w:tc>
          <w:tcPr>
            <w:tcW w:w="2167" w:type="dxa"/>
          </w:tcPr>
          <w:p w14:paraId="2243F5A1"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0.10%</w:t>
            </w:r>
          </w:p>
        </w:tc>
        <w:tc>
          <w:tcPr>
            <w:tcW w:w="2167" w:type="dxa"/>
          </w:tcPr>
          <w:p w14:paraId="2432E48D"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0.00%</w:t>
            </w:r>
          </w:p>
        </w:tc>
        <w:tc>
          <w:tcPr>
            <w:tcW w:w="2167" w:type="dxa"/>
          </w:tcPr>
          <w:p w14:paraId="4F76BE80"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99.90%</w:t>
            </w:r>
          </w:p>
        </w:tc>
      </w:tr>
      <w:tr w:rsidR="002A5496" w:rsidRPr="00404724" w14:paraId="09105EC0" w14:textId="77777777" w:rsidTr="00BB5FCD">
        <w:trPr>
          <w:cantSplit/>
        </w:trPr>
        <w:tc>
          <w:tcPr>
            <w:tcW w:w="2165" w:type="dxa"/>
          </w:tcPr>
          <w:p w14:paraId="0B22869A"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Buses</w:t>
            </w:r>
          </w:p>
        </w:tc>
        <w:tc>
          <w:tcPr>
            <w:tcW w:w="2167" w:type="dxa"/>
          </w:tcPr>
          <w:p w14:paraId="46928A1A"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4.09%</w:t>
            </w:r>
          </w:p>
        </w:tc>
        <w:tc>
          <w:tcPr>
            <w:tcW w:w="2167" w:type="dxa"/>
          </w:tcPr>
          <w:p w14:paraId="7EC8DE35"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95.91%</w:t>
            </w:r>
          </w:p>
        </w:tc>
        <w:tc>
          <w:tcPr>
            <w:tcW w:w="2167" w:type="dxa"/>
          </w:tcPr>
          <w:p w14:paraId="7B01A47E"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0.00%</w:t>
            </w:r>
          </w:p>
        </w:tc>
      </w:tr>
      <w:tr w:rsidR="002A5496" w:rsidRPr="00404724" w14:paraId="5CF777B1" w14:textId="77777777" w:rsidTr="00BB5FCD">
        <w:trPr>
          <w:cantSplit/>
        </w:trPr>
        <w:tc>
          <w:tcPr>
            <w:tcW w:w="2165" w:type="dxa"/>
          </w:tcPr>
          <w:p w14:paraId="540FB1A8"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Motorcycles</w:t>
            </w:r>
          </w:p>
        </w:tc>
        <w:tc>
          <w:tcPr>
            <w:tcW w:w="2167" w:type="dxa"/>
          </w:tcPr>
          <w:p w14:paraId="791F65ED"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90.55%</w:t>
            </w:r>
          </w:p>
        </w:tc>
        <w:tc>
          <w:tcPr>
            <w:tcW w:w="2167" w:type="dxa"/>
          </w:tcPr>
          <w:p w14:paraId="44962484"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9.45%</w:t>
            </w:r>
          </w:p>
        </w:tc>
        <w:tc>
          <w:tcPr>
            <w:tcW w:w="2167" w:type="dxa"/>
          </w:tcPr>
          <w:p w14:paraId="4F03B9B0"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0.00%</w:t>
            </w:r>
          </w:p>
        </w:tc>
      </w:tr>
    </w:tbl>
    <w:p w14:paraId="1CB7AA94" w14:textId="77777777" w:rsidR="002A5496" w:rsidRPr="00404724" w:rsidRDefault="002A5496" w:rsidP="00AE4E2F">
      <w:pPr>
        <w:pStyle w:val="Sourcenotes"/>
        <w:rPr>
          <w:lang w:val="en-AU"/>
        </w:rPr>
      </w:pPr>
      <w:r w:rsidRPr="00404724">
        <w:rPr>
          <w:lang w:val="en-AU"/>
        </w:rPr>
        <w:t>Source: ACIL Allen analysis, based on ABS, Survey of Motor Vehicle Use 2020</w:t>
      </w:r>
    </w:p>
    <w:p w14:paraId="200C259E" w14:textId="77777777" w:rsidR="002A5496" w:rsidRPr="00404724" w:rsidRDefault="002A5496" w:rsidP="004F36C3">
      <w:pPr>
        <w:pStyle w:val="Heading5"/>
      </w:pPr>
      <w:r w:rsidRPr="00404724">
        <w:lastRenderedPageBreak/>
        <w:t>VKT by type of road</w:t>
      </w:r>
    </w:p>
    <w:p w14:paraId="0D0BED14" w14:textId="4F3361E6" w:rsidR="002A5496" w:rsidRPr="00404724" w:rsidRDefault="002A5496" w:rsidP="00323B73">
      <w:pPr>
        <w:keepNext/>
      </w:pPr>
      <w:r w:rsidRPr="00404724">
        <w:t xml:space="preserve">It is critical that only VKT on </w:t>
      </w:r>
      <w:r w:rsidR="005E4B70" w:rsidRPr="00404724">
        <w:t>default</w:t>
      </w:r>
      <w:r w:rsidRPr="00404724">
        <w:t xml:space="preserve"> roads are considered in the analysis to avoid overestimating the costs and benefits associated with the proposed change. The proposed reduction in default speed limit is only applicable to the following types of roads:</w:t>
      </w:r>
    </w:p>
    <w:p w14:paraId="1D92C11B" w14:textId="013F84BB" w:rsidR="002A5496" w:rsidRPr="00404724" w:rsidRDefault="002A5496" w:rsidP="00485648">
      <w:pPr>
        <w:pStyle w:val="Listparagraphbullets"/>
      </w:pPr>
      <w:r w:rsidRPr="00404724">
        <w:t xml:space="preserve">sealed and </w:t>
      </w:r>
      <w:r w:rsidR="005E4B70" w:rsidRPr="00404724">
        <w:t>default</w:t>
      </w:r>
      <w:r w:rsidRPr="00404724">
        <w:t xml:space="preserve"> roads outside built-up areas</w:t>
      </w:r>
    </w:p>
    <w:p w14:paraId="2206DC10" w14:textId="759CE4DB" w:rsidR="002A5496" w:rsidRPr="00404724" w:rsidRDefault="002A5496" w:rsidP="00485648">
      <w:pPr>
        <w:pStyle w:val="Listparagraphbullets"/>
      </w:pPr>
      <w:r w:rsidRPr="00404724">
        <w:t xml:space="preserve">unsealed and </w:t>
      </w:r>
      <w:r w:rsidR="005E4B70" w:rsidRPr="00404724">
        <w:t>default</w:t>
      </w:r>
      <w:r w:rsidRPr="00404724">
        <w:t xml:space="preserve"> roads outside built-up areas</w:t>
      </w:r>
      <w:r w:rsidR="00E90C25" w:rsidRPr="00404724">
        <w:t>.</w:t>
      </w:r>
    </w:p>
    <w:p w14:paraId="4EAEA091" w14:textId="7A3EF0BD" w:rsidR="002A5496" w:rsidRPr="00404724" w:rsidRDefault="002A5496" w:rsidP="00D97244">
      <w:r w:rsidRPr="00404724">
        <w:t>Data and studies on VKT by road types appear to be limited.</w:t>
      </w:r>
      <w:r w:rsidR="00AA7C94" w:rsidRPr="00404724">
        <w:t xml:space="preserve"> </w:t>
      </w:r>
      <w:r w:rsidRPr="00404724">
        <w:t xml:space="preserve">As part of our stakeholder engagement, estimates from the state and territory governments </w:t>
      </w:r>
      <w:r w:rsidR="00E55439" w:rsidRPr="00404724">
        <w:t xml:space="preserve">were requested </w:t>
      </w:r>
      <w:r w:rsidRPr="00404724">
        <w:t xml:space="preserve">as to the proportion of driving in each area that is done on </w:t>
      </w:r>
      <w:r w:rsidR="005E4B70" w:rsidRPr="00404724">
        <w:t>default</w:t>
      </w:r>
      <w:r w:rsidRPr="00404724">
        <w:t xml:space="preserve"> sealed and unsealed roads. It was noted that data in this area is scarce to non-existent, as most traffic counts and speed data are collected from locations where speed limit signs are present, creating a bias that underrepresents travel on </w:t>
      </w:r>
      <w:r w:rsidR="005E4B70" w:rsidRPr="00404724">
        <w:t>default</w:t>
      </w:r>
      <w:r w:rsidRPr="00404724">
        <w:t xml:space="preserve"> roads. To address this, </w:t>
      </w:r>
      <w:r w:rsidR="00377B5A" w:rsidRPr="00404724">
        <w:t xml:space="preserve">this RIA </w:t>
      </w:r>
      <w:r w:rsidRPr="00404724">
        <w:t xml:space="preserve">implemented a lower, middle and upper estimates of the proportion of VKT that occurs on </w:t>
      </w:r>
      <w:r w:rsidR="005E4B70" w:rsidRPr="00404724">
        <w:t>default</w:t>
      </w:r>
      <w:r w:rsidRPr="00404724">
        <w:t xml:space="preserve"> roads by travel reasons derived through requests to state and territory governments.  </w:t>
      </w:r>
    </w:p>
    <w:p w14:paraId="1C52BEEF" w14:textId="2CAED9F4" w:rsidR="002A5496" w:rsidRPr="00404724" w:rsidRDefault="002A5496" w:rsidP="003979C3">
      <w:pPr>
        <w:pStyle w:val="Tablefigureheading"/>
      </w:pPr>
      <w:bookmarkStart w:id="331" w:name="_Toc210040366"/>
      <w:bookmarkStart w:id="332" w:name="_Toc210051902"/>
      <w:r w:rsidRPr="00404724">
        <w:t>Table </w:t>
      </w:r>
      <w:r w:rsidR="00EC39D5">
        <w:fldChar w:fldCharType="begin"/>
      </w:r>
      <w:r w:rsidR="00EC39D5">
        <w:instrText xml:space="preserve"> SEQ Table \* ARABIC </w:instrText>
      </w:r>
      <w:r w:rsidR="00EC39D5">
        <w:fldChar w:fldCharType="separate"/>
      </w:r>
      <w:r w:rsidR="00BF489D">
        <w:rPr>
          <w:noProof/>
        </w:rPr>
        <w:t>21</w:t>
      </w:r>
      <w:r w:rsidR="00EC39D5">
        <w:rPr>
          <w:noProof/>
        </w:rPr>
        <w:fldChar w:fldCharType="end"/>
      </w:r>
      <w:r w:rsidRPr="00404724">
        <w:tab/>
        <w:t xml:space="preserve">Assumed proportion of VKT on </w:t>
      </w:r>
      <w:r w:rsidR="005E4B70" w:rsidRPr="00404724">
        <w:t>default</w:t>
      </w:r>
      <w:r w:rsidRPr="00404724">
        <w:t xml:space="preserve"> roads</w:t>
      </w:r>
      <w:bookmarkEnd w:id="331"/>
      <w:bookmarkEnd w:id="332"/>
    </w:p>
    <w:tbl>
      <w:tblPr>
        <w:tblStyle w:val="aacTableBasic"/>
        <w:tblW w:w="5000" w:type="pct"/>
        <w:tblLayout w:type="fixed"/>
        <w:tblLook w:val="04A0" w:firstRow="1" w:lastRow="0" w:firstColumn="1" w:lastColumn="0" w:noHBand="0" w:noVBand="1"/>
        <w:tblCaption w:val="Table 21 Assumed proportion of VKT on default roads"/>
        <w:tblDescription w:val="Table 21 Assumed proportion of VKT on default roads"/>
      </w:tblPr>
      <w:tblGrid>
        <w:gridCol w:w="6096"/>
        <w:gridCol w:w="1256"/>
        <w:gridCol w:w="1256"/>
        <w:gridCol w:w="1256"/>
      </w:tblGrid>
      <w:tr w:rsidR="002A5496" w:rsidRPr="00404724" w14:paraId="57BC5734" w14:textId="77777777" w:rsidTr="00BB3FB3">
        <w:trPr>
          <w:cnfStyle w:val="100000000000" w:firstRow="1" w:lastRow="0" w:firstColumn="0" w:lastColumn="0" w:oddVBand="0" w:evenVBand="0" w:oddHBand="0" w:evenHBand="0" w:firstRowFirstColumn="0" w:firstRowLastColumn="0" w:lastRowFirstColumn="0" w:lastRowLastColumn="0"/>
          <w:cantSplit/>
          <w:trHeight w:val="330"/>
          <w:tblHeader/>
        </w:trPr>
        <w:tc>
          <w:tcPr>
            <w:tcW w:w="6096" w:type="dxa"/>
            <w:hideMark/>
          </w:tcPr>
          <w:p w14:paraId="2D738BA6" w14:textId="77777777" w:rsidR="002A5496" w:rsidRPr="00404724" w:rsidRDefault="002A5496" w:rsidP="00793950">
            <w:pPr>
              <w:spacing w:before="80"/>
              <w:rPr>
                <w:rFonts w:asciiTheme="minorHAnsi" w:hAnsiTheme="minorHAnsi"/>
                <w:b/>
                <w:bCs/>
                <w:lang w:val="en-AU"/>
              </w:rPr>
            </w:pPr>
            <w:r w:rsidRPr="00404724">
              <w:rPr>
                <w:rFonts w:asciiTheme="minorHAnsi" w:hAnsiTheme="minorHAnsi"/>
                <w:b/>
                <w:bCs/>
                <w:lang w:val="en-AU"/>
              </w:rPr>
              <w:t> </w:t>
            </w:r>
          </w:p>
        </w:tc>
        <w:tc>
          <w:tcPr>
            <w:tcW w:w="1256" w:type="dxa"/>
            <w:noWrap/>
            <w:hideMark/>
          </w:tcPr>
          <w:p w14:paraId="44C13B51" w14:textId="77777777" w:rsidR="002A5496" w:rsidRPr="00404724" w:rsidRDefault="002A5496" w:rsidP="00BB3FB3">
            <w:pPr>
              <w:spacing w:before="80"/>
              <w:jc w:val="center"/>
              <w:rPr>
                <w:rFonts w:asciiTheme="minorHAnsi" w:hAnsiTheme="minorHAnsi"/>
                <w:b/>
                <w:bCs/>
                <w:lang w:val="en-AU"/>
              </w:rPr>
            </w:pPr>
            <w:r w:rsidRPr="00404724">
              <w:rPr>
                <w:rFonts w:asciiTheme="minorHAnsi" w:hAnsiTheme="minorHAnsi"/>
                <w:b/>
                <w:bCs/>
                <w:lang w:val="en-AU"/>
              </w:rPr>
              <w:t>Lower</w:t>
            </w:r>
          </w:p>
        </w:tc>
        <w:tc>
          <w:tcPr>
            <w:tcW w:w="1256" w:type="dxa"/>
            <w:noWrap/>
            <w:hideMark/>
          </w:tcPr>
          <w:p w14:paraId="440D6E5D" w14:textId="77777777" w:rsidR="002A5496" w:rsidRPr="00404724" w:rsidRDefault="002A5496" w:rsidP="00BB3FB3">
            <w:pPr>
              <w:spacing w:before="80"/>
              <w:jc w:val="center"/>
              <w:rPr>
                <w:rFonts w:asciiTheme="minorHAnsi" w:hAnsiTheme="minorHAnsi"/>
                <w:b/>
                <w:bCs/>
                <w:lang w:val="en-AU"/>
              </w:rPr>
            </w:pPr>
            <w:r w:rsidRPr="00404724">
              <w:rPr>
                <w:rFonts w:asciiTheme="minorHAnsi" w:hAnsiTheme="minorHAnsi"/>
                <w:b/>
                <w:bCs/>
                <w:lang w:val="en-AU"/>
              </w:rPr>
              <w:t>Middle</w:t>
            </w:r>
          </w:p>
        </w:tc>
        <w:tc>
          <w:tcPr>
            <w:tcW w:w="1256" w:type="dxa"/>
            <w:noWrap/>
            <w:hideMark/>
          </w:tcPr>
          <w:p w14:paraId="524FBAC1" w14:textId="77777777" w:rsidR="002A5496" w:rsidRPr="00404724" w:rsidRDefault="002A5496" w:rsidP="00BB3FB3">
            <w:pPr>
              <w:spacing w:before="80"/>
              <w:jc w:val="center"/>
              <w:rPr>
                <w:rFonts w:asciiTheme="minorHAnsi" w:hAnsiTheme="minorHAnsi"/>
                <w:b/>
                <w:bCs/>
                <w:lang w:val="en-AU"/>
              </w:rPr>
            </w:pPr>
            <w:r w:rsidRPr="00404724">
              <w:rPr>
                <w:rFonts w:asciiTheme="minorHAnsi" w:hAnsiTheme="minorHAnsi"/>
                <w:b/>
                <w:bCs/>
                <w:lang w:val="en-AU"/>
              </w:rPr>
              <w:t>Upper</w:t>
            </w:r>
          </w:p>
        </w:tc>
      </w:tr>
      <w:tr w:rsidR="00BB3FB3" w:rsidRPr="00404724" w14:paraId="59F09C8B" w14:textId="77777777" w:rsidTr="00BB3FB3">
        <w:trPr>
          <w:cantSplit/>
          <w:trHeight w:val="330"/>
        </w:trPr>
        <w:tc>
          <w:tcPr>
            <w:tcW w:w="6096" w:type="dxa"/>
            <w:shd w:val="clear" w:color="auto" w:fill="C8ECFA" w:themeFill="accent3" w:themeFillTint="66"/>
            <w:noWrap/>
            <w:hideMark/>
          </w:tcPr>
          <w:p w14:paraId="5CA9BE5C" w14:textId="77777777" w:rsidR="00BB3FB3" w:rsidRPr="00404724" w:rsidRDefault="00BB3FB3" w:rsidP="00793950">
            <w:pPr>
              <w:spacing w:before="80"/>
              <w:rPr>
                <w:lang w:val="en-AU"/>
              </w:rPr>
            </w:pPr>
            <w:r w:rsidRPr="00404724">
              <w:rPr>
                <w:rFonts w:asciiTheme="minorHAnsi" w:hAnsiTheme="minorHAnsi"/>
                <w:color w:val="000000" w:themeColor="text1"/>
                <w:lang w:val="en-AU"/>
              </w:rPr>
              <w:t>Personal travel (including commute)</w:t>
            </w:r>
          </w:p>
        </w:tc>
        <w:tc>
          <w:tcPr>
            <w:tcW w:w="1256" w:type="dxa"/>
            <w:shd w:val="clear" w:color="auto" w:fill="C8ECFA" w:themeFill="accent3" w:themeFillTint="66"/>
          </w:tcPr>
          <w:p w14:paraId="76F8A6A3" w14:textId="77777777" w:rsidR="00BB3FB3" w:rsidRPr="00404724" w:rsidRDefault="00BB3FB3" w:rsidP="00BB3FB3">
            <w:pPr>
              <w:spacing w:before="80"/>
              <w:jc w:val="center"/>
              <w:rPr>
                <w:lang w:val="en-AU"/>
              </w:rPr>
            </w:pPr>
          </w:p>
        </w:tc>
        <w:tc>
          <w:tcPr>
            <w:tcW w:w="1256" w:type="dxa"/>
            <w:shd w:val="clear" w:color="auto" w:fill="C8ECFA" w:themeFill="accent3" w:themeFillTint="66"/>
          </w:tcPr>
          <w:p w14:paraId="3C1DA58A" w14:textId="77777777" w:rsidR="00BB3FB3" w:rsidRPr="00404724" w:rsidRDefault="00BB3FB3" w:rsidP="00BB3FB3">
            <w:pPr>
              <w:spacing w:before="80"/>
              <w:jc w:val="center"/>
              <w:rPr>
                <w:lang w:val="en-AU"/>
              </w:rPr>
            </w:pPr>
          </w:p>
        </w:tc>
        <w:tc>
          <w:tcPr>
            <w:tcW w:w="1256" w:type="dxa"/>
            <w:shd w:val="clear" w:color="auto" w:fill="C8ECFA" w:themeFill="accent3" w:themeFillTint="66"/>
          </w:tcPr>
          <w:p w14:paraId="6F6A3E9A" w14:textId="5E72295D" w:rsidR="00BB3FB3" w:rsidRPr="00404724" w:rsidRDefault="00BB3FB3" w:rsidP="00BB3FB3">
            <w:pPr>
              <w:spacing w:before="80"/>
              <w:jc w:val="center"/>
              <w:rPr>
                <w:rFonts w:asciiTheme="minorHAnsi" w:hAnsiTheme="minorHAnsi"/>
                <w:color w:val="000000" w:themeColor="text1"/>
                <w:lang w:val="en-AU"/>
              </w:rPr>
            </w:pPr>
          </w:p>
        </w:tc>
      </w:tr>
      <w:tr w:rsidR="002A5496" w:rsidRPr="00404724" w14:paraId="2E189A58" w14:textId="77777777" w:rsidTr="00BB3FB3">
        <w:trPr>
          <w:cantSplit/>
          <w:trHeight w:val="330"/>
        </w:trPr>
        <w:tc>
          <w:tcPr>
            <w:tcW w:w="6096" w:type="dxa"/>
            <w:noWrap/>
            <w:hideMark/>
          </w:tcPr>
          <w:p w14:paraId="7EB27169" w14:textId="77777777" w:rsidR="002A5496" w:rsidRPr="00404724" w:rsidRDefault="002A5496" w:rsidP="00793950">
            <w:pPr>
              <w:spacing w:before="80"/>
              <w:rPr>
                <w:rFonts w:asciiTheme="minorHAnsi" w:hAnsiTheme="minorHAnsi"/>
                <w:color w:val="000000" w:themeColor="text1"/>
                <w:lang w:val="en-AU"/>
              </w:rPr>
            </w:pPr>
            <w:r w:rsidRPr="00404724">
              <w:rPr>
                <w:rFonts w:asciiTheme="minorHAnsi" w:hAnsiTheme="minorHAnsi"/>
                <w:color w:val="000000" w:themeColor="text1"/>
                <w:lang w:val="en-AU"/>
              </w:rPr>
              <w:t>Sealed roads</w:t>
            </w:r>
          </w:p>
        </w:tc>
        <w:tc>
          <w:tcPr>
            <w:tcW w:w="1256" w:type="dxa"/>
            <w:noWrap/>
            <w:hideMark/>
          </w:tcPr>
          <w:p w14:paraId="1EB5BF16" w14:textId="77777777" w:rsidR="002A5496" w:rsidRPr="00404724" w:rsidRDefault="002A5496" w:rsidP="00BB3FB3">
            <w:pPr>
              <w:spacing w:before="80"/>
              <w:jc w:val="center"/>
              <w:rPr>
                <w:rFonts w:asciiTheme="minorHAnsi" w:hAnsiTheme="minorHAnsi"/>
                <w:lang w:val="en-AU"/>
              </w:rPr>
            </w:pPr>
            <w:r w:rsidRPr="00404724">
              <w:rPr>
                <w:rFonts w:asciiTheme="minorHAnsi" w:hAnsiTheme="minorHAnsi"/>
                <w:lang w:val="en-AU"/>
              </w:rPr>
              <w:t>5%</w:t>
            </w:r>
          </w:p>
        </w:tc>
        <w:tc>
          <w:tcPr>
            <w:tcW w:w="1256" w:type="dxa"/>
            <w:noWrap/>
            <w:hideMark/>
          </w:tcPr>
          <w:p w14:paraId="3D705EDF" w14:textId="77777777" w:rsidR="002A5496" w:rsidRPr="00404724" w:rsidRDefault="002A5496" w:rsidP="00BB3FB3">
            <w:pPr>
              <w:spacing w:before="80"/>
              <w:jc w:val="center"/>
              <w:rPr>
                <w:rFonts w:asciiTheme="minorHAnsi" w:hAnsiTheme="minorHAnsi"/>
                <w:lang w:val="en-AU"/>
              </w:rPr>
            </w:pPr>
            <w:r w:rsidRPr="00404724">
              <w:rPr>
                <w:rFonts w:asciiTheme="minorHAnsi" w:hAnsiTheme="minorHAnsi"/>
                <w:lang w:val="en-AU"/>
              </w:rPr>
              <w:t>10%</w:t>
            </w:r>
          </w:p>
        </w:tc>
        <w:tc>
          <w:tcPr>
            <w:tcW w:w="1256" w:type="dxa"/>
            <w:noWrap/>
            <w:hideMark/>
          </w:tcPr>
          <w:p w14:paraId="1AF46D7A" w14:textId="77777777" w:rsidR="002A5496" w:rsidRPr="00404724" w:rsidRDefault="002A5496" w:rsidP="00BB3FB3">
            <w:pPr>
              <w:spacing w:before="80"/>
              <w:jc w:val="center"/>
              <w:rPr>
                <w:rFonts w:asciiTheme="minorHAnsi" w:hAnsiTheme="minorHAnsi"/>
                <w:lang w:val="en-AU"/>
              </w:rPr>
            </w:pPr>
            <w:r w:rsidRPr="00404724">
              <w:rPr>
                <w:rFonts w:asciiTheme="minorHAnsi" w:hAnsiTheme="minorHAnsi"/>
                <w:lang w:val="en-AU"/>
              </w:rPr>
              <w:t>30%</w:t>
            </w:r>
          </w:p>
        </w:tc>
      </w:tr>
      <w:tr w:rsidR="002A5496" w:rsidRPr="00404724" w14:paraId="75541916" w14:textId="77777777" w:rsidTr="00BB3FB3">
        <w:trPr>
          <w:cantSplit/>
          <w:trHeight w:val="330"/>
        </w:trPr>
        <w:tc>
          <w:tcPr>
            <w:tcW w:w="6096" w:type="dxa"/>
            <w:noWrap/>
            <w:hideMark/>
          </w:tcPr>
          <w:p w14:paraId="00E5DE37" w14:textId="77777777" w:rsidR="002A5496" w:rsidRPr="00404724" w:rsidRDefault="002A5496" w:rsidP="00793950">
            <w:pPr>
              <w:spacing w:before="80"/>
              <w:rPr>
                <w:rFonts w:asciiTheme="minorHAnsi" w:hAnsiTheme="minorHAnsi"/>
                <w:color w:val="000000" w:themeColor="text1"/>
                <w:lang w:val="en-AU"/>
              </w:rPr>
            </w:pPr>
            <w:r w:rsidRPr="00404724">
              <w:rPr>
                <w:rFonts w:asciiTheme="minorHAnsi" w:hAnsiTheme="minorHAnsi"/>
                <w:color w:val="000000" w:themeColor="text1"/>
                <w:lang w:val="en-AU"/>
              </w:rPr>
              <w:t>Unsealed roads</w:t>
            </w:r>
          </w:p>
        </w:tc>
        <w:tc>
          <w:tcPr>
            <w:tcW w:w="1256" w:type="dxa"/>
            <w:noWrap/>
            <w:hideMark/>
          </w:tcPr>
          <w:p w14:paraId="0D8A98F5" w14:textId="77777777" w:rsidR="002A5496" w:rsidRPr="00404724" w:rsidRDefault="002A5496" w:rsidP="00BB3FB3">
            <w:pPr>
              <w:spacing w:before="80"/>
              <w:jc w:val="center"/>
              <w:rPr>
                <w:rFonts w:asciiTheme="minorHAnsi" w:hAnsiTheme="minorHAnsi"/>
                <w:lang w:val="en-AU"/>
              </w:rPr>
            </w:pPr>
            <w:r w:rsidRPr="00404724">
              <w:rPr>
                <w:rFonts w:asciiTheme="minorHAnsi" w:hAnsiTheme="minorHAnsi"/>
                <w:lang w:val="en-AU"/>
              </w:rPr>
              <w:t>2%</w:t>
            </w:r>
          </w:p>
        </w:tc>
        <w:tc>
          <w:tcPr>
            <w:tcW w:w="1256" w:type="dxa"/>
            <w:noWrap/>
            <w:hideMark/>
          </w:tcPr>
          <w:p w14:paraId="191AB298" w14:textId="77777777" w:rsidR="002A5496" w:rsidRPr="00404724" w:rsidRDefault="002A5496" w:rsidP="00BB3FB3">
            <w:pPr>
              <w:spacing w:before="80"/>
              <w:jc w:val="center"/>
              <w:rPr>
                <w:rFonts w:asciiTheme="minorHAnsi" w:hAnsiTheme="minorHAnsi"/>
                <w:lang w:val="en-AU"/>
              </w:rPr>
            </w:pPr>
            <w:r w:rsidRPr="00404724">
              <w:rPr>
                <w:rFonts w:asciiTheme="minorHAnsi" w:hAnsiTheme="minorHAnsi"/>
                <w:lang w:val="en-AU"/>
              </w:rPr>
              <w:t>5%</w:t>
            </w:r>
          </w:p>
        </w:tc>
        <w:tc>
          <w:tcPr>
            <w:tcW w:w="1256" w:type="dxa"/>
            <w:noWrap/>
            <w:hideMark/>
          </w:tcPr>
          <w:p w14:paraId="30422A0E" w14:textId="77777777" w:rsidR="002A5496" w:rsidRPr="00404724" w:rsidRDefault="002A5496" w:rsidP="00BB3FB3">
            <w:pPr>
              <w:spacing w:before="80"/>
              <w:jc w:val="center"/>
              <w:rPr>
                <w:rFonts w:asciiTheme="minorHAnsi" w:hAnsiTheme="minorHAnsi"/>
                <w:lang w:val="en-AU"/>
              </w:rPr>
            </w:pPr>
            <w:r w:rsidRPr="00404724">
              <w:rPr>
                <w:rFonts w:asciiTheme="minorHAnsi" w:hAnsiTheme="minorHAnsi"/>
                <w:lang w:val="en-AU"/>
              </w:rPr>
              <w:t>10%</w:t>
            </w:r>
          </w:p>
        </w:tc>
      </w:tr>
      <w:tr w:rsidR="00BB3FB3" w:rsidRPr="00404724" w14:paraId="36A969B0" w14:textId="77777777" w:rsidTr="00BB3FB3">
        <w:trPr>
          <w:cantSplit/>
          <w:trHeight w:val="330"/>
        </w:trPr>
        <w:tc>
          <w:tcPr>
            <w:tcW w:w="6096" w:type="dxa"/>
            <w:shd w:val="clear" w:color="auto" w:fill="C8ECFA" w:themeFill="accent3" w:themeFillTint="66"/>
            <w:noWrap/>
            <w:hideMark/>
          </w:tcPr>
          <w:p w14:paraId="47BD4A3D" w14:textId="686EDF13" w:rsidR="00BB3FB3" w:rsidRPr="00404724" w:rsidRDefault="00BB3FB3" w:rsidP="00793950">
            <w:pPr>
              <w:spacing w:before="80"/>
              <w:rPr>
                <w:lang w:val="en-AU"/>
              </w:rPr>
            </w:pPr>
            <w:r w:rsidRPr="00404724">
              <w:rPr>
                <w:rFonts w:asciiTheme="minorHAnsi" w:hAnsiTheme="minorHAnsi"/>
                <w:color w:val="000000" w:themeColor="text1"/>
                <w:lang w:val="en-AU"/>
              </w:rPr>
              <w:t>Business</w:t>
            </w:r>
            <w:r w:rsidR="00C94374" w:rsidRPr="00404724">
              <w:rPr>
                <w:rFonts w:asciiTheme="minorHAnsi" w:hAnsiTheme="minorHAnsi"/>
                <w:color w:val="000000" w:themeColor="text1"/>
                <w:lang w:val="en-AU"/>
              </w:rPr>
              <w:t>/ “</w:t>
            </w:r>
            <w:r w:rsidRPr="00404724">
              <w:rPr>
                <w:rFonts w:asciiTheme="minorHAnsi" w:hAnsiTheme="minorHAnsi"/>
                <w:color w:val="000000" w:themeColor="text1"/>
                <w:lang w:val="en-AU"/>
              </w:rPr>
              <w:t>on-the-clock” travel (non-freight, excluding commute)</w:t>
            </w:r>
          </w:p>
        </w:tc>
        <w:tc>
          <w:tcPr>
            <w:tcW w:w="1256" w:type="dxa"/>
            <w:shd w:val="clear" w:color="auto" w:fill="C8ECFA" w:themeFill="accent3" w:themeFillTint="66"/>
          </w:tcPr>
          <w:p w14:paraId="43D5E638" w14:textId="77777777" w:rsidR="00BB3FB3" w:rsidRPr="00404724" w:rsidRDefault="00BB3FB3" w:rsidP="00BB3FB3">
            <w:pPr>
              <w:spacing w:before="80"/>
              <w:jc w:val="center"/>
              <w:rPr>
                <w:lang w:val="en-AU"/>
              </w:rPr>
            </w:pPr>
          </w:p>
        </w:tc>
        <w:tc>
          <w:tcPr>
            <w:tcW w:w="1256" w:type="dxa"/>
            <w:shd w:val="clear" w:color="auto" w:fill="C8ECFA" w:themeFill="accent3" w:themeFillTint="66"/>
          </w:tcPr>
          <w:p w14:paraId="7FEDC6EF" w14:textId="77777777" w:rsidR="00BB3FB3" w:rsidRPr="00404724" w:rsidRDefault="00BB3FB3" w:rsidP="00BB3FB3">
            <w:pPr>
              <w:spacing w:before="80"/>
              <w:jc w:val="center"/>
              <w:rPr>
                <w:lang w:val="en-AU"/>
              </w:rPr>
            </w:pPr>
          </w:p>
        </w:tc>
        <w:tc>
          <w:tcPr>
            <w:tcW w:w="1256" w:type="dxa"/>
            <w:shd w:val="clear" w:color="auto" w:fill="C8ECFA" w:themeFill="accent3" w:themeFillTint="66"/>
          </w:tcPr>
          <w:p w14:paraId="365359D1" w14:textId="50FE52DA" w:rsidR="00BB3FB3" w:rsidRPr="00404724" w:rsidRDefault="00BB3FB3" w:rsidP="00BB3FB3">
            <w:pPr>
              <w:spacing w:before="80"/>
              <w:jc w:val="center"/>
              <w:rPr>
                <w:rFonts w:asciiTheme="minorHAnsi" w:hAnsiTheme="minorHAnsi"/>
                <w:color w:val="000000" w:themeColor="text1"/>
                <w:lang w:val="en-AU"/>
              </w:rPr>
            </w:pPr>
          </w:p>
        </w:tc>
      </w:tr>
      <w:tr w:rsidR="002A5496" w:rsidRPr="00404724" w14:paraId="21079B47" w14:textId="77777777" w:rsidTr="00BB3FB3">
        <w:trPr>
          <w:cantSplit/>
          <w:trHeight w:val="330"/>
        </w:trPr>
        <w:tc>
          <w:tcPr>
            <w:tcW w:w="6096" w:type="dxa"/>
            <w:noWrap/>
            <w:hideMark/>
          </w:tcPr>
          <w:p w14:paraId="1C4858B6" w14:textId="77777777" w:rsidR="002A5496" w:rsidRPr="00404724" w:rsidRDefault="002A5496" w:rsidP="00793950">
            <w:pPr>
              <w:spacing w:before="80"/>
              <w:rPr>
                <w:rFonts w:asciiTheme="minorHAnsi" w:hAnsiTheme="minorHAnsi"/>
                <w:color w:val="000000" w:themeColor="text1"/>
                <w:lang w:val="en-AU"/>
              </w:rPr>
            </w:pPr>
            <w:r w:rsidRPr="00404724">
              <w:rPr>
                <w:rFonts w:asciiTheme="minorHAnsi" w:hAnsiTheme="minorHAnsi"/>
                <w:color w:val="000000" w:themeColor="text1"/>
                <w:lang w:val="en-AU"/>
              </w:rPr>
              <w:t>Sealed roads</w:t>
            </w:r>
          </w:p>
        </w:tc>
        <w:tc>
          <w:tcPr>
            <w:tcW w:w="1256" w:type="dxa"/>
            <w:noWrap/>
            <w:hideMark/>
          </w:tcPr>
          <w:p w14:paraId="1E7FF471" w14:textId="77777777" w:rsidR="002A5496" w:rsidRPr="00404724" w:rsidRDefault="002A5496" w:rsidP="00BB3FB3">
            <w:pPr>
              <w:spacing w:before="80"/>
              <w:jc w:val="center"/>
              <w:rPr>
                <w:rFonts w:asciiTheme="minorHAnsi" w:hAnsiTheme="minorHAnsi"/>
                <w:lang w:val="en-AU"/>
              </w:rPr>
            </w:pPr>
            <w:r w:rsidRPr="00404724">
              <w:rPr>
                <w:rFonts w:asciiTheme="minorHAnsi" w:hAnsiTheme="minorHAnsi"/>
                <w:lang w:val="en-AU"/>
              </w:rPr>
              <w:t>5%</w:t>
            </w:r>
          </w:p>
        </w:tc>
        <w:tc>
          <w:tcPr>
            <w:tcW w:w="1256" w:type="dxa"/>
            <w:noWrap/>
            <w:hideMark/>
          </w:tcPr>
          <w:p w14:paraId="2DD160FA" w14:textId="77777777" w:rsidR="002A5496" w:rsidRPr="00404724" w:rsidRDefault="002A5496" w:rsidP="00BB3FB3">
            <w:pPr>
              <w:spacing w:before="80"/>
              <w:jc w:val="center"/>
              <w:rPr>
                <w:rFonts w:asciiTheme="minorHAnsi" w:hAnsiTheme="minorHAnsi"/>
                <w:lang w:val="en-AU"/>
              </w:rPr>
            </w:pPr>
            <w:r w:rsidRPr="00404724">
              <w:rPr>
                <w:rFonts w:asciiTheme="minorHAnsi" w:hAnsiTheme="minorHAnsi"/>
                <w:lang w:val="en-AU"/>
              </w:rPr>
              <w:t>10%</w:t>
            </w:r>
          </w:p>
        </w:tc>
        <w:tc>
          <w:tcPr>
            <w:tcW w:w="1256" w:type="dxa"/>
            <w:noWrap/>
            <w:hideMark/>
          </w:tcPr>
          <w:p w14:paraId="54822D10" w14:textId="77777777" w:rsidR="002A5496" w:rsidRPr="00404724" w:rsidRDefault="002A5496" w:rsidP="00BB3FB3">
            <w:pPr>
              <w:spacing w:before="80"/>
              <w:jc w:val="center"/>
              <w:rPr>
                <w:rFonts w:asciiTheme="minorHAnsi" w:hAnsiTheme="minorHAnsi"/>
                <w:lang w:val="en-AU"/>
              </w:rPr>
            </w:pPr>
            <w:r w:rsidRPr="00404724">
              <w:rPr>
                <w:rFonts w:asciiTheme="minorHAnsi" w:hAnsiTheme="minorHAnsi"/>
                <w:lang w:val="en-AU"/>
              </w:rPr>
              <w:t>30%</w:t>
            </w:r>
          </w:p>
        </w:tc>
      </w:tr>
      <w:tr w:rsidR="002A5496" w:rsidRPr="00404724" w14:paraId="13FC1157" w14:textId="77777777" w:rsidTr="00BB3FB3">
        <w:trPr>
          <w:cantSplit/>
          <w:trHeight w:val="330"/>
        </w:trPr>
        <w:tc>
          <w:tcPr>
            <w:tcW w:w="6096" w:type="dxa"/>
            <w:noWrap/>
            <w:hideMark/>
          </w:tcPr>
          <w:p w14:paraId="3BDCABD0" w14:textId="77777777" w:rsidR="002A5496" w:rsidRPr="00404724" w:rsidRDefault="002A5496" w:rsidP="00793950">
            <w:pPr>
              <w:spacing w:before="80"/>
              <w:rPr>
                <w:rFonts w:asciiTheme="minorHAnsi" w:hAnsiTheme="minorHAnsi"/>
                <w:color w:val="000000" w:themeColor="text1"/>
                <w:lang w:val="en-AU"/>
              </w:rPr>
            </w:pPr>
            <w:r w:rsidRPr="00404724">
              <w:rPr>
                <w:rFonts w:asciiTheme="minorHAnsi" w:hAnsiTheme="minorHAnsi"/>
                <w:color w:val="000000" w:themeColor="text1"/>
                <w:lang w:val="en-AU"/>
              </w:rPr>
              <w:t>Unsealed roads</w:t>
            </w:r>
          </w:p>
        </w:tc>
        <w:tc>
          <w:tcPr>
            <w:tcW w:w="1256" w:type="dxa"/>
            <w:noWrap/>
            <w:hideMark/>
          </w:tcPr>
          <w:p w14:paraId="1BB82D2C" w14:textId="77777777" w:rsidR="002A5496" w:rsidRPr="00404724" w:rsidRDefault="002A5496" w:rsidP="00BB3FB3">
            <w:pPr>
              <w:spacing w:before="80"/>
              <w:jc w:val="center"/>
              <w:rPr>
                <w:rFonts w:asciiTheme="minorHAnsi" w:hAnsiTheme="minorHAnsi"/>
                <w:lang w:val="en-AU"/>
              </w:rPr>
            </w:pPr>
            <w:r w:rsidRPr="00404724">
              <w:rPr>
                <w:rFonts w:asciiTheme="minorHAnsi" w:hAnsiTheme="minorHAnsi"/>
                <w:lang w:val="en-AU"/>
              </w:rPr>
              <w:t>2%</w:t>
            </w:r>
          </w:p>
        </w:tc>
        <w:tc>
          <w:tcPr>
            <w:tcW w:w="1256" w:type="dxa"/>
            <w:noWrap/>
            <w:hideMark/>
          </w:tcPr>
          <w:p w14:paraId="03A9A5F6" w14:textId="77777777" w:rsidR="002A5496" w:rsidRPr="00404724" w:rsidRDefault="002A5496" w:rsidP="00BB3FB3">
            <w:pPr>
              <w:spacing w:before="80"/>
              <w:jc w:val="center"/>
              <w:rPr>
                <w:rFonts w:asciiTheme="minorHAnsi" w:hAnsiTheme="minorHAnsi"/>
                <w:lang w:val="en-AU"/>
              </w:rPr>
            </w:pPr>
            <w:r w:rsidRPr="00404724">
              <w:rPr>
                <w:rFonts w:asciiTheme="minorHAnsi" w:hAnsiTheme="minorHAnsi"/>
                <w:lang w:val="en-AU"/>
              </w:rPr>
              <w:t>5%</w:t>
            </w:r>
          </w:p>
        </w:tc>
        <w:tc>
          <w:tcPr>
            <w:tcW w:w="1256" w:type="dxa"/>
            <w:noWrap/>
            <w:hideMark/>
          </w:tcPr>
          <w:p w14:paraId="1E5091F4" w14:textId="77777777" w:rsidR="002A5496" w:rsidRPr="00404724" w:rsidRDefault="002A5496" w:rsidP="00BB3FB3">
            <w:pPr>
              <w:spacing w:before="80"/>
              <w:jc w:val="center"/>
              <w:rPr>
                <w:rFonts w:asciiTheme="minorHAnsi" w:hAnsiTheme="minorHAnsi"/>
                <w:lang w:val="en-AU"/>
              </w:rPr>
            </w:pPr>
            <w:r w:rsidRPr="00404724">
              <w:rPr>
                <w:rFonts w:asciiTheme="minorHAnsi" w:hAnsiTheme="minorHAnsi"/>
                <w:lang w:val="en-AU"/>
              </w:rPr>
              <w:t>10%</w:t>
            </w:r>
          </w:p>
        </w:tc>
      </w:tr>
      <w:tr w:rsidR="00BB3FB3" w:rsidRPr="00404724" w14:paraId="3D4FE06A" w14:textId="77777777" w:rsidTr="00BB3FB3">
        <w:trPr>
          <w:cantSplit/>
          <w:trHeight w:val="330"/>
        </w:trPr>
        <w:tc>
          <w:tcPr>
            <w:tcW w:w="6096" w:type="dxa"/>
            <w:shd w:val="clear" w:color="auto" w:fill="C8ECFA" w:themeFill="accent3" w:themeFillTint="66"/>
            <w:noWrap/>
            <w:hideMark/>
          </w:tcPr>
          <w:p w14:paraId="12F11EF8" w14:textId="77777777" w:rsidR="00BB3FB3" w:rsidRPr="00404724" w:rsidRDefault="00BB3FB3" w:rsidP="00793950">
            <w:pPr>
              <w:spacing w:before="80"/>
              <w:rPr>
                <w:lang w:val="en-AU"/>
              </w:rPr>
            </w:pPr>
            <w:r w:rsidRPr="00404724">
              <w:rPr>
                <w:rFonts w:asciiTheme="minorHAnsi" w:hAnsiTheme="minorHAnsi"/>
                <w:color w:val="000000" w:themeColor="text1"/>
                <w:lang w:val="en-AU"/>
              </w:rPr>
              <w:t>Freight</w:t>
            </w:r>
          </w:p>
        </w:tc>
        <w:tc>
          <w:tcPr>
            <w:tcW w:w="1256" w:type="dxa"/>
            <w:shd w:val="clear" w:color="auto" w:fill="C8ECFA" w:themeFill="accent3" w:themeFillTint="66"/>
          </w:tcPr>
          <w:p w14:paraId="473DDC98" w14:textId="77777777" w:rsidR="00BB3FB3" w:rsidRPr="00404724" w:rsidRDefault="00BB3FB3" w:rsidP="00BB3FB3">
            <w:pPr>
              <w:spacing w:before="80"/>
              <w:jc w:val="center"/>
              <w:rPr>
                <w:lang w:val="en-AU"/>
              </w:rPr>
            </w:pPr>
          </w:p>
        </w:tc>
        <w:tc>
          <w:tcPr>
            <w:tcW w:w="1256" w:type="dxa"/>
            <w:shd w:val="clear" w:color="auto" w:fill="C8ECFA" w:themeFill="accent3" w:themeFillTint="66"/>
          </w:tcPr>
          <w:p w14:paraId="2B449E85" w14:textId="77777777" w:rsidR="00BB3FB3" w:rsidRPr="00404724" w:rsidRDefault="00BB3FB3" w:rsidP="00BB3FB3">
            <w:pPr>
              <w:spacing w:before="80"/>
              <w:jc w:val="center"/>
              <w:rPr>
                <w:lang w:val="en-AU"/>
              </w:rPr>
            </w:pPr>
          </w:p>
        </w:tc>
        <w:tc>
          <w:tcPr>
            <w:tcW w:w="1256" w:type="dxa"/>
            <w:shd w:val="clear" w:color="auto" w:fill="C8ECFA" w:themeFill="accent3" w:themeFillTint="66"/>
          </w:tcPr>
          <w:p w14:paraId="4831E5F6" w14:textId="47D6B52B" w:rsidR="00BB3FB3" w:rsidRPr="00404724" w:rsidRDefault="00BB3FB3" w:rsidP="00BB3FB3">
            <w:pPr>
              <w:spacing w:before="80"/>
              <w:jc w:val="center"/>
              <w:rPr>
                <w:rFonts w:asciiTheme="minorHAnsi" w:hAnsiTheme="minorHAnsi"/>
                <w:color w:val="000000" w:themeColor="text1"/>
                <w:lang w:val="en-AU"/>
              </w:rPr>
            </w:pPr>
          </w:p>
        </w:tc>
      </w:tr>
      <w:tr w:rsidR="002A5496" w:rsidRPr="00404724" w14:paraId="2E57ABE1" w14:textId="77777777" w:rsidTr="00BB3FB3">
        <w:trPr>
          <w:cantSplit/>
          <w:trHeight w:val="330"/>
        </w:trPr>
        <w:tc>
          <w:tcPr>
            <w:tcW w:w="6096" w:type="dxa"/>
            <w:noWrap/>
            <w:hideMark/>
          </w:tcPr>
          <w:p w14:paraId="3C611860" w14:textId="77777777" w:rsidR="002A5496" w:rsidRPr="00404724" w:rsidRDefault="002A5496" w:rsidP="00793950">
            <w:pPr>
              <w:spacing w:before="80"/>
              <w:rPr>
                <w:rFonts w:asciiTheme="minorHAnsi" w:hAnsiTheme="minorHAnsi"/>
                <w:color w:val="000000" w:themeColor="text1"/>
                <w:lang w:val="en-AU"/>
              </w:rPr>
            </w:pPr>
            <w:r w:rsidRPr="00404724">
              <w:rPr>
                <w:rFonts w:asciiTheme="minorHAnsi" w:hAnsiTheme="minorHAnsi"/>
                <w:color w:val="000000" w:themeColor="text1"/>
                <w:lang w:val="en-AU"/>
              </w:rPr>
              <w:t>Sealed roads</w:t>
            </w:r>
          </w:p>
        </w:tc>
        <w:tc>
          <w:tcPr>
            <w:tcW w:w="1256" w:type="dxa"/>
            <w:noWrap/>
            <w:hideMark/>
          </w:tcPr>
          <w:p w14:paraId="73F0FADB" w14:textId="77777777" w:rsidR="002A5496" w:rsidRPr="00404724" w:rsidRDefault="002A5496" w:rsidP="00BB3FB3">
            <w:pPr>
              <w:spacing w:before="80"/>
              <w:jc w:val="center"/>
              <w:rPr>
                <w:rFonts w:asciiTheme="minorHAnsi" w:hAnsiTheme="minorHAnsi"/>
                <w:lang w:val="en-AU"/>
              </w:rPr>
            </w:pPr>
            <w:r w:rsidRPr="00404724">
              <w:rPr>
                <w:rFonts w:asciiTheme="minorHAnsi" w:hAnsiTheme="minorHAnsi"/>
                <w:lang w:val="en-AU"/>
              </w:rPr>
              <w:t>2%</w:t>
            </w:r>
          </w:p>
        </w:tc>
        <w:tc>
          <w:tcPr>
            <w:tcW w:w="1256" w:type="dxa"/>
            <w:noWrap/>
            <w:hideMark/>
          </w:tcPr>
          <w:p w14:paraId="7ED4978B" w14:textId="77777777" w:rsidR="002A5496" w:rsidRPr="00404724" w:rsidRDefault="002A5496" w:rsidP="00BB3FB3">
            <w:pPr>
              <w:spacing w:before="80"/>
              <w:jc w:val="center"/>
              <w:rPr>
                <w:rFonts w:asciiTheme="minorHAnsi" w:hAnsiTheme="minorHAnsi"/>
                <w:lang w:val="en-AU"/>
              </w:rPr>
            </w:pPr>
            <w:r w:rsidRPr="00404724">
              <w:rPr>
                <w:rFonts w:asciiTheme="minorHAnsi" w:hAnsiTheme="minorHAnsi"/>
                <w:lang w:val="en-AU"/>
              </w:rPr>
              <w:t>5%</w:t>
            </w:r>
          </w:p>
        </w:tc>
        <w:tc>
          <w:tcPr>
            <w:tcW w:w="1256" w:type="dxa"/>
            <w:noWrap/>
            <w:hideMark/>
          </w:tcPr>
          <w:p w14:paraId="3CC6B698" w14:textId="77777777" w:rsidR="002A5496" w:rsidRPr="00404724" w:rsidRDefault="002A5496" w:rsidP="00BB3FB3">
            <w:pPr>
              <w:spacing w:before="80"/>
              <w:jc w:val="center"/>
              <w:rPr>
                <w:rFonts w:asciiTheme="minorHAnsi" w:hAnsiTheme="minorHAnsi"/>
                <w:lang w:val="en-AU"/>
              </w:rPr>
            </w:pPr>
            <w:r w:rsidRPr="00404724">
              <w:rPr>
                <w:rFonts w:asciiTheme="minorHAnsi" w:hAnsiTheme="minorHAnsi"/>
                <w:lang w:val="en-AU"/>
              </w:rPr>
              <w:t>10%</w:t>
            </w:r>
          </w:p>
        </w:tc>
      </w:tr>
      <w:tr w:rsidR="002A5496" w:rsidRPr="00404724" w14:paraId="681C5BBB" w14:textId="77777777" w:rsidTr="00BB3FB3">
        <w:trPr>
          <w:cantSplit/>
          <w:trHeight w:val="330"/>
        </w:trPr>
        <w:tc>
          <w:tcPr>
            <w:tcW w:w="6096" w:type="dxa"/>
            <w:noWrap/>
            <w:hideMark/>
          </w:tcPr>
          <w:p w14:paraId="7469953A" w14:textId="77777777" w:rsidR="002A5496" w:rsidRPr="00404724" w:rsidRDefault="002A5496" w:rsidP="00793950">
            <w:pPr>
              <w:spacing w:before="80"/>
              <w:rPr>
                <w:rFonts w:asciiTheme="minorHAnsi" w:hAnsiTheme="minorHAnsi"/>
                <w:color w:val="000000" w:themeColor="text1"/>
                <w:lang w:val="en-AU"/>
              </w:rPr>
            </w:pPr>
            <w:r w:rsidRPr="00404724">
              <w:rPr>
                <w:rFonts w:asciiTheme="minorHAnsi" w:hAnsiTheme="minorHAnsi"/>
                <w:color w:val="000000" w:themeColor="text1"/>
                <w:lang w:val="en-AU"/>
              </w:rPr>
              <w:t>Unsealed roads</w:t>
            </w:r>
          </w:p>
        </w:tc>
        <w:tc>
          <w:tcPr>
            <w:tcW w:w="1256" w:type="dxa"/>
            <w:noWrap/>
            <w:hideMark/>
          </w:tcPr>
          <w:p w14:paraId="118EBEA5" w14:textId="77777777" w:rsidR="002A5496" w:rsidRPr="00404724" w:rsidRDefault="002A5496" w:rsidP="00BB3FB3">
            <w:pPr>
              <w:spacing w:before="80"/>
              <w:jc w:val="center"/>
              <w:rPr>
                <w:rFonts w:asciiTheme="minorHAnsi" w:hAnsiTheme="minorHAnsi"/>
                <w:lang w:val="en-AU"/>
              </w:rPr>
            </w:pPr>
            <w:r w:rsidRPr="00404724">
              <w:rPr>
                <w:rFonts w:asciiTheme="minorHAnsi" w:hAnsiTheme="minorHAnsi"/>
                <w:lang w:val="en-AU"/>
              </w:rPr>
              <w:t>1%</w:t>
            </w:r>
          </w:p>
        </w:tc>
        <w:tc>
          <w:tcPr>
            <w:tcW w:w="1256" w:type="dxa"/>
            <w:noWrap/>
            <w:hideMark/>
          </w:tcPr>
          <w:p w14:paraId="2C347B10" w14:textId="77777777" w:rsidR="002A5496" w:rsidRPr="00404724" w:rsidRDefault="002A5496" w:rsidP="00BB3FB3">
            <w:pPr>
              <w:spacing w:before="80"/>
              <w:jc w:val="center"/>
              <w:rPr>
                <w:rFonts w:asciiTheme="minorHAnsi" w:hAnsiTheme="minorHAnsi"/>
                <w:lang w:val="en-AU"/>
              </w:rPr>
            </w:pPr>
            <w:r w:rsidRPr="00404724">
              <w:rPr>
                <w:rFonts w:asciiTheme="minorHAnsi" w:hAnsiTheme="minorHAnsi"/>
                <w:lang w:val="en-AU"/>
              </w:rPr>
              <w:t>3%</w:t>
            </w:r>
          </w:p>
        </w:tc>
        <w:tc>
          <w:tcPr>
            <w:tcW w:w="1256" w:type="dxa"/>
            <w:noWrap/>
            <w:hideMark/>
          </w:tcPr>
          <w:p w14:paraId="7461D459" w14:textId="77777777" w:rsidR="002A5496" w:rsidRPr="00404724" w:rsidRDefault="002A5496" w:rsidP="00BB3FB3">
            <w:pPr>
              <w:spacing w:before="80"/>
              <w:jc w:val="center"/>
              <w:rPr>
                <w:rFonts w:asciiTheme="minorHAnsi" w:hAnsiTheme="minorHAnsi"/>
                <w:lang w:val="en-AU"/>
              </w:rPr>
            </w:pPr>
            <w:r w:rsidRPr="00404724">
              <w:rPr>
                <w:rFonts w:asciiTheme="minorHAnsi" w:hAnsiTheme="minorHAnsi"/>
                <w:lang w:val="en-AU"/>
              </w:rPr>
              <w:t>5%</w:t>
            </w:r>
          </w:p>
        </w:tc>
      </w:tr>
    </w:tbl>
    <w:p w14:paraId="22F80973" w14:textId="77777777" w:rsidR="002A5496" w:rsidRPr="00404724" w:rsidRDefault="002A5496" w:rsidP="00AE4E2F">
      <w:pPr>
        <w:pStyle w:val="Sourcenotes"/>
        <w:rPr>
          <w:lang w:val="en-AU"/>
        </w:rPr>
      </w:pPr>
      <w:r w:rsidRPr="00404724">
        <w:rPr>
          <w:lang w:val="en-AU"/>
        </w:rPr>
        <w:t>Source: ACIL Allen</w:t>
      </w:r>
    </w:p>
    <w:p w14:paraId="208F4590" w14:textId="5FFD5E08" w:rsidR="002A5496" w:rsidRPr="00404724" w:rsidRDefault="002A5496" w:rsidP="002A5496">
      <w:pPr>
        <w:pStyle w:val="BodyText"/>
      </w:pPr>
      <w:r w:rsidRPr="00404724">
        <w:t xml:space="preserve">The table above should be interpreted as such: of all the personal travel that occurs in rural areas, for example, a lower bound estimate is that 5% occurs on </w:t>
      </w:r>
      <w:r w:rsidR="005E4B70" w:rsidRPr="00404724">
        <w:t>default</w:t>
      </w:r>
      <w:r w:rsidRPr="00404724">
        <w:t xml:space="preserve"> sealed roads and 2% occurs on </w:t>
      </w:r>
      <w:r w:rsidR="005E4B70" w:rsidRPr="00404724">
        <w:t>default</w:t>
      </w:r>
      <w:r w:rsidRPr="00404724">
        <w:t xml:space="preserve"> unsealed roads. The upper bound estimates are therefore very liberal estimates for the amount of driving that occurs on these </w:t>
      </w:r>
      <w:r w:rsidR="005E4B70" w:rsidRPr="00404724">
        <w:t>default</w:t>
      </w:r>
      <w:r w:rsidRPr="00404724">
        <w:t xml:space="preserve"> roads. </w:t>
      </w:r>
    </w:p>
    <w:p w14:paraId="336C7569" w14:textId="7F8B1F2E" w:rsidR="002A5496" w:rsidRPr="00404724" w:rsidRDefault="00323B73" w:rsidP="004F36C3">
      <w:pPr>
        <w:pStyle w:val="Heading4"/>
      </w:pPr>
      <w:bookmarkStart w:id="333" w:name="_Toc210042560"/>
      <w:bookmarkStart w:id="334" w:name="_Toc210049202"/>
      <w:bookmarkStart w:id="335" w:name="_Toc210051642"/>
      <w:bookmarkStart w:id="336" w:name="_Toc210051723"/>
      <w:r>
        <w:t>4</w:t>
      </w:r>
      <w:r w:rsidR="004F36C3">
        <w:t>.</w:t>
      </w:r>
      <w:r w:rsidR="001C12F9">
        <w:t>2</w:t>
      </w:r>
      <w:r w:rsidR="004F36C3">
        <w:t>.3</w:t>
      </w:r>
      <w:r w:rsidR="004F36C3">
        <w:tab/>
      </w:r>
      <w:r w:rsidR="002A5496" w:rsidRPr="00404724">
        <w:t>Vehicle fuel efficiency</w:t>
      </w:r>
      <w:bookmarkEnd w:id="333"/>
      <w:bookmarkEnd w:id="334"/>
      <w:bookmarkEnd w:id="335"/>
      <w:bookmarkEnd w:id="336"/>
    </w:p>
    <w:p w14:paraId="62E11DA6" w14:textId="160D48A1" w:rsidR="002A5496" w:rsidRPr="00404724" w:rsidRDefault="002A5496" w:rsidP="002A5496">
      <w:pPr>
        <w:pStyle w:val="BodyText"/>
      </w:pPr>
      <w:r w:rsidRPr="00404724">
        <w:t xml:space="preserve">The extent to which reduced travel speeds translate into improved fuel efficiency depends on the composition of the vehicle fleet and its overall average fuel efficiency. Different vehicle types respond differently to changes in speed, with factors such as engine </w:t>
      </w:r>
      <w:r w:rsidR="00377B5A" w:rsidRPr="00404724">
        <w:t>displacement</w:t>
      </w:r>
      <w:r w:rsidRPr="00404724">
        <w:t xml:space="preserve">, aerodynamics, transmission type, and vehicle age influencing the magnitude of efficiency gains. In a fleet dominated by newer, more efficient vehicles, the relative improvements from speed reductions may be smaller, whereas fleets with older or less efficient vehicles may experience more significant benefits. </w:t>
      </w:r>
    </w:p>
    <w:p w14:paraId="713B67B5" w14:textId="77777777" w:rsidR="002A5496" w:rsidRPr="00404724" w:rsidRDefault="002A5496" w:rsidP="004F36C3">
      <w:pPr>
        <w:pStyle w:val="Heading5"/>
      </w:pPr>
      <w:r w:rsidRPr="00404724">
        <w:t>Passenger vehicles and LCVs</w:t>
      </w:r>
    </w:p>
    <w:p w14:paraId="0F067501" w14:textId="40B0FD02" w:rsidR="002A5496" w:rsidRPr="00404724" w:rsidRDefault="002A5496" w:rsidP="002A5496">
      <w:pPr>
        <w:pStyle w:val="BodyText"/>
        <w:rPr>
          <w:b/>
          <w:bCs/>
        </w:rPr>
      </w:pPr>
      <w:r w:rsidRPr="00404724">
        <w:rPr>
          <w:rStyle w:val="Strong"/>
          <w:b w:val="0"/>
          <w:bCs w:val="0"/>
        </w:rPr>
        <w:t>Assessing the benefits over time</w:t>
      </w:r>
      <w:r w:rsidR="0090234D" w:rsidRPr="00404724">
        <w:rPr>
          <w:rStyle w:val="Strong"/>
          <w:b w:val="0"/>
          <w:bCs w:val="0"/>
        </w:rPr>
        <w:t xml:space="preserve"> </w:t>
      </w:r>
      <w:r w:rsidRPr="00404724">
        <w:rPr>
          <w:rStyle w:val="Strong"/>
          <w:b w:val="0"/>
          <w:bCs w:val="0"/>
        </w:rPr>
        <w:t>require</w:t>
      </w:r>
      <w:r w:rsidR="0090234D" w:rsidRPr="00404724">
        <w:rPr>
          <w:rStyle w:val="Strong"/>
          <w:b w:val="0"/>
          <w:bCs w:val="0"/>
        </w:rPr>
        <w:t>d</w:t>
      </w:r>
      <w:r w:rsidRPr="00404724">
        <w:rPr>
          <w:rStyle w:val="Strong"/>
          <w:b w:val="0"/>
          <w:bCs w:val="0"/>
        </w:rPr>
        <w:t xml:space="preserve"> considering the year-on-year improvements in vehicle fuel efficiency as a result of technological improvements or policy, such as the NVES and increased EV uptake. To make such a projection for passenger vehicles and LCVs, modelling conducted for the </w:t>
      </w:r>
      <w:r w:rsidRPr="00404724">
        <w:t xml:space="preserve">Department of Infrastructure, Transport, Regional Development, Communications, </w:t>
      </w:r>
      <w:r w:rsidR="002A67A6" w:rsidRPr="00404724">
        <w:t xml:space="preserve">Sport </w:t>
      </w:r>
      <w:r w:rsidRPr="00404724">
        <w:t>and the Arts (the Department)</w:t>
      </w:r>
      <w:r w:rsidRPr="00404724">
        <w:rPr>
          <w:b/>
          <w:bCs/>
        </w:rPr>
        <w:t xml:space="preserve"> </w:t>
      </w:r>
      <w:r w:rsidRPr="00404724">
        <w:rPr>
          <w:rStyle w:val="Strong"/>
          <w:b w:val="0"/>
          <w:bCs w:val="0"/>
        </w:rPr>
        <w:t xml:space="preserve">as </w:t>
      </w:r>
      <w:r w:rsidRPr="00404724">
        <w:rPr>
          <w:rStyle w:val="Strong"/>
          <w:b w:val="0"/>
          <w:bCs w:val="0"/>
        </w:rPr>
        <w:lastRenderedPageBreak/>
        <w:t>part of the assessment of the impact of the NVES</w:t>
      </w:r>
      <w:r w:rsidRPr="00404724">
        <w:rPr>
          <w:rStyle w:val="FootnoteReference"/>
        </w:rPr>
        <w:footnoteReference w:id="89"/>
      </w:r>
      <w:r w:rsidR="0090234D" w:rsidRPr="00404724">
        <w:rPr>
          <w:rStyle w:val="Strong"/>
          <w:b w:val="0"/>
          <w:bCs w:val="0"/>
        </w:rPr>
        <w:t xml:space="preserve"> was drawn upon.</w:t>
      </w:r>
      <w:r w:rsidRPr="00404724">
        <w:rPr>
          <w:rStyle w:val="Strong"/>
          <w:b w:val="0"/>
          <w:bCs w:val="0"/>
        </w:rPr>
        <w:t xml:space="preserve"> </w:t>
      </w:r>
      <w:r w:rsidR="0090234D" w:rsidRPr="00404724">
        <w:rPr>
          <w:rStyle w:val="Strong"/>
          <w:b w:val="0"/>
          <w:bCs w:val="0"/>
        </w:rPr>
        <w:t>R</w:t>
      </w:r>
      <w:r w:rsidRPr="00404724">
        <w:rPr>
          <w:rStyle w:val="Strong"/>
          <w:b w:val="0"/>
          <w:bCs w:val="0"/>
        </w:rPr>
        <w:t xml:space="preserve">eal world efficiencies (as opposed to tested efficiencies) </w:t>
      </w:r>
      <w:r w:rsidR="0090234D" w:rsidRPr="00404724">
        <w:rPr>
          <w:rStyle w:val="Strong"/>
          <w:b w:val="0"/>
          <w:bCs w:val="0"/>
        </w:rPr>
        <w:t xml:space="preserve">were used </w:t>
      </w:r>
      <w:r w:rsidRPr="00404724">
        <w:rPr>
          <w:rStyle w:val="Strong"/>
          <w:b w:val="0"/>
          <w:bCs w:val="0"/>
        </w:rPr>
        <w:t xml:space="preserve">as this aligns better with actual driver habits. </w:t>
      </w:r>
    </w:p>
    <w:p w14:paraId="1A614E90" w14:textId="77777777" w:rsidR="002A5496" w:rsidRPr="00404724" w:rsidRDefault="002A5496" w:rsidP="004F36C3">
      <w:pPr>
        <w:pStyle w:val="Heading5"/>
      </w:pPr>
      <w:r w:rsidRPr="00404724">
        <w:t>Motorcycles, trucks and buses</w:t>
      </w:r>
    </w:p>
    <w:p w14:paraId="5091AD19" w14:textId="0D6D3FC1" w:rsidR="002A5496" w:rsidRPr="00404724" w:rsidRDefault="002A5496" w:rsidP="002A5496">
      <w:pPr>
        <w:pStyle w:val="BodyText"/>
      </w:pPr>
      <w:r w:rsidRPr="00404724">
        <w:t>The ABS provides estimates of fuel efficiency by vehicle group in its Survey of Motor Vehicle Use.</w:t>
      </w:r>
      <w:r w:rsidRPr="00404724">
        <w:rPr>
          <w:rStyle w:val="FootnoteReference"/>
        </w:rPr>
        <w:footnoteReference w:id="90"/>
      </w:r>
      <w:r w:rsidRPr="00404724">
        <w:t xml:space="preserve"> Its latest release was in 2020, and this publication has been ceased. A summary of fuel efficiency by vehicle type from 2012 to 2020 is shown in</w:t>
      </w:r>
      <w:r w:rsidR="00CF1735" w:rsidRPr="00404724">
        <w:t xml:space="preserve"> </w:t>
      </w:r>
      <w:r w:rsidR="00CF1735" w:rsidRPr="00404724">
        <w:fldChar w:fldCharType="begin"/>
      </w:r>
      <w:r w:rsidR="00CF1735" w:rsidRPr="00404724">
        <w:instrText xml:space="preserve"> REF _Ref205986896 \h </w:instrText>
      </w:r>
      <w:r w:rsidR="00CF1735" w:rsidRPr="00404724">
        <w:fldChar w:fldCharType="separate"/>
      </w:r>
      <w:r w:rsidR="00BF489D" w:rsidRPr="00404724">
        <w:t>Table </w:t>
      </w:r>
      <w:r w:rsidR="00BF489D">
        <w:rPr>
          <w:noProof/>
        </w:rPr>
        <w:t>22</w:t>
      </w:r>
      <w:r w:rsidR="00CF1735" w:rsidRPr="00404724">
        <w:fldChar w:fldCharType="end"/>
      </w:r>
      <w:r w:rsidRPr="00404724">
        <w:t xml:space="preserve">. </w:t>
      </w:r>
      <w:r w:rsidR="00C84858" w:rsidRPr="00404724">
        <w:t>T</w:t>
      </w:r>
      <w:r w:rsidRPr="00404724">
        <w:t>hese fuel efficiency estimates are used as a basis for projection of future fuel efficiency for these vehicle types.</w:t>
      </w:r>
    </w:p>
    <w:p w14:paraId="7FAA8B65" w14:textId="78665287" w:rsidR="002A5496" w:rsidRPr="00404724" w:rsidRDefault="002A5496" w:rsidP="003979C3">
      <w:pPr>
        <w:pStyle w:val="Tablefigureheading"/>
      </w:pPr>
      <w:bookmarkStart w:id="337" w:name="_Ref205986896"/>
      <w:bookmarkStart w:id="338" w:name="_Toc210040367"/>
      <w:bookmarkStart w:id="339" w:name="_Toc210051903"/>
      <w:r w:rsidRPr="00404724">
        <w:t>Table </w:t>
      </w:r>
      <w:r w:rsidR="00EC39D5">
        <w:fldChar w:fldCharType="begin"/>
      </w:r>
      <w:r w:rsidR="00EC39D5">
        <w:instrText xml:space="preserve"> SEQ Table \* ARABIC </w:instrText>
      </w:r>
      <w:r w:rsidR="00EC39D5">
        <w:fldChar w:fldCharType="separate"/>
      </w:r>
      <w:r w:rsidR="00BF489D">
        <w:rPr>
          <w:noProof/>
        </w:rPr>
        <w:t>22</w:t>
      </w:r>
      <w:r w:rsidR="00EC39D5">
        <w:rPr>
          <w:noProof/>
        </w:rPr>
        <w:fldChar w:fldCharType="end"/>
      </w:r>
      <w:bookmarkEnd w:id="337"/>
      <w:r w:rsidRPr="00404724">
        <w:tab/>
        <w:t>Fuel efficiency by vehicle type (litre/100km)</w:t>
      </w:r>
      <w:bookmarkEnd w:id="338"/>
      <w:bookmarkEnd w:id="339"/>
    </w:p>
    <w:tbl>
      <w:tblPr>
        <w:tblStyle w:val="aacTableBasic"/>
        <w:tblW w:w="5000" w:type="pct"/>
        <w:tblLayout w:type="fixed"/>
        <w:tblLook w:val="04A0" w:firstRow="1" w:lastRow="0" w:firstColumn="1" w:lastColumn="0" w:noHBand="0" w:noVBand="1"/>
        <w:tblCaption w:val="Table 22 Fuel efficiency by vehicle type (litre/100km)"/>
        <w:tblDescription w:val="Table 22 Fuel efficiency by vehicle type (litre/100km)"/>
      </w:tblPr>
      <w:tblGrid>
        <w:gridCol w:w="1970"/>
        <w:gridCol w:w="1973"/>
        <w:gridCol w:w="1974"/>
        <w:gridCol w:w="1973"/>
        <w:gridCol w:w="1974"/>
      </w:tblGrid>
      <w:tr w:rsidR="002A5496" w:rsidRPr="00404724" w14:paraId="41019F7A" w14:textId="77777777" w:rsidTr="00BB5FCD">
        <w:trPr>
          <w:cnfStyle w:val="100000000000" w:firstRow="1" w:lastRow="0" w:firstColumn="0" w:lastColumn="0" w:oddVBand="0" w:evenVBand="0" w:oddHBand="0" w:evenHBand="0" w:firstRowFirstColumn="0" w:firstRowLastColumn="0" w:lastRowFirstColumn="0" w:lastRowLastColumn="0"/>
          <w:cantSplit/>
          <w:tblHeader/>
        </w:trPr>
        <w:tc>
          <w:tcPr>
            <w:tcW w:w="1732" w:type="dxa"/>
          </w:tcPr>
          <w:p w14:paraId="4CB2906F" w14:textId="77777777" w:rsidR="002A5496" w:rsidRPr="00404724" w:rsidRDefault="002A5496" w:rsidP="00793950">
            <w:pPr>
              <w:spacing w:before="80"/>
              <w:rPr>
                <w:rFonts w:asciiTheme="minorHAnsi" w:hAnsiTheme="minorHAnsi"/>
                <w:b/>
                <w:bCs/>
                <w:lang w:val="en-AU"/>
              </w:rPr>
            </w:pPr>
            <w:r w:rsidRPr="00404724">
              <w:rPr>
                <w:rFonts w:asciiTheme="minorHAnsi" w:hAnsiTheme="minorHAnsi"/>
                <w:b/>
                <w:bCs/>
                <w:lang w:val="en-AU"/>
              </w:rPr>
              <w:t>Year</w:t>
            </w:r>
          </w:p>
        </w:tc>
        <w:tc>
          <w:tcPr>
            <w:tcW w:w="1733" w:type="dxa"/>
          </w:tcPr>
          <w:p w14:paraId="795BDE25" w14:textId="77777777" w:rsidR="002A5496" w:rsidRPr="00404724" w:rsidRDefault="002A5496" w:rsidP="00E85B60">
            <w:pPr>
              <w:spacing w:before="80"/>
              <w:jc w:val="center"/>
              <w:rPr>
                <w:rFonts w:asciiTheme="minorHAnsi" w:hAnsiTheme="minorHAnsi"/>
                <w:b/>
                <w:bCs/>
                <w:lang w:val="en-AU"/>
              </w:rPr>
            </w:pPr>
            <w:r w:rsidRPr="00404724">
              <w:rPr>
                <w:rFonts w:asciiTheme="minorHAnsi" w:hAnsiTheme="minorHAnsi"/>
                <w:b/>
                <w:bCs/>
                <w:lang w:val="en-AU"/>
              </w:rPr>
              <w:t>Rigid trucks</w:t>
            </w:r>
          </w:p>
        </w:tc>
        <w:tc>
          <w:tcPr>
            <w:tcW w:w="1734" w:type="dxa"/>
          </w:tcPr>
          <w:p w14:paraId="546619E4" w14:textId="77777777" w:rsidR="002A5496" w:rsidRPr="00404724" w:rsidRDefault="002A5496" w:rsidP="00E85B60">
            <w:pPr>
              <w:spacing w:before="80"/>
              <w:jc w:val="center"/>
              <w:rPr>
                <w:rFonts w:asciiTheme="minorHAnsi" w:hAnsiTheme="minorHAnsi"/>
                <w:b/>
                <w:bCs/>
                <w:lang w:val="en-AU"/>
              </w:rPr>
            </w:pPr>
            <w:r w:rsidRPr="00404724">
              <w:rPr>
                <w:rFonts w:asciiTheme="minorHAnsi" w:hAnsiTheme="minorHAnsi"/>
                <w:b/>
                <w:bCs/>
                <w:lang w:val="en-AU"/>
              </w:rPr>
              <w:t>Articulated trucks</w:t>
            </w:r>
          </w:p>
        </w:tc>
        <w:tc>
          <w:tcPr>
            <w:tcW w:w="1733" w:type="dxa"/>
          </w:tcPr>
          <w:p w14:paraId="6BFC21C2" w14:textId="77777777" w:rsidR="002A5496" w:rsidRPr="00404724" w:rsidRDefault="002A5496" w:rsidP="00E85B60">
            <w:pPr>
              <w:spacing w:before="80"/>
              <w:jc w:val="center"/>
              <w:rPr>
                <w:rFonts w:asciiTheme="minorHAnsi" w:hAnsiTheme="minorHAnsi"/>
                <w:b/>
                <w:bCs/>
                <w:lang w:val="en-AU"/>
              </w:rPr>
            </w:pPr>
            <w:r w:rsidRPr="00404724">
              <w:rPr>
                <w:rFonts w:asciiTheme="minorHAnsi" w:hAnsiTheme="minorHAnsi"/>
                <w:b/>
                <w:bCs/>
                <w:lang w:val="en-AU"/>
              </w:rPr>
              <w:t>Motorcycles</w:t>
            </w:r>
          </w:p>
        </w:tc>
        <w:tc>
          <w:tcPr>
            <w:tcW w:w="1734" w:type="dxa"/>
          </w:tcPr>
          <w:p w14:paraId="42A7F8D3" w14:textId="77777777" w:rsidR="002A5496" w:rsidRPr="00404724" w:rsidRDefault="002A5496" w:rsidP="00E85B60">
            <w:pPr>
              <w:spacing w:before="80"/>
              <w:jc w:val="center"/>
              <w:rPr>
                <w:rFonts w:asciiTheme="minorHAnsi" w:hAnsiTheme="minorHAnsi"/>
                <w:b/>
                <w:bCs/>
                <w:lang w:val="en-AU"/>
              </w:rPr>
            </w:pPr>
            <w:r w:rsidRPr="00404724">
              <w:rPr>
                <w:rFonts w:asciiTheme="minorHAnsi" w:hAnsiTheme="minorHAnsi"/>
                <w:b/>
                <w:bCs/>
                <w:lang w:val="en-AU"/>
              </w:rPr>
              <w:t>Buses</w:t>
            </w:r>
          </w:p>
        </w:tc>
      </w:tr>
      <w:tr w:rsidR="002A5496" w:rsidRPr="00404724" w14:paraId="5D9F5D89" w14:textId="77777777" w:rsidTr="00BB5FCD">
        <w:trPr>
          <w:cantSplit/>
        </w:trPr>
        <w:tc>
          <w:tcPr>
            <w:tcW w:w="1732" w:type="dxa"/>
          </w:tcPr>
          <w:p w14:paraId="764FE994"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2012</w:t>
            </w:r>
          </w:p>
        </w:tc>
        <w:tc>
          <w:tcPr>
            <w:tcW w:w="1733" w:type="dxa"/>
          </w:tcPr>
          <w:p w14:paraId="72C0BFEF" w14:textId="77777777" w:rsidR="002A5496" w:rsidRPr="00404724" w:rsidRDefault="002A5496" w:rsidP="00E85B60">
            <w:pPr>
              <w:spacing w:before="80"/>
              <w:jc w:val="center"/>
              <w:rPr>
                <w:rFonts w:asciiTheme="minorHAnsi" w:hAnsiTheme="minorHAnsi"/>
                <w:lang w:val="en-AU"/>
              </w:rPr>
            </w:pPr>
            <w:r w:rsidRPr="00404724">
              <w:rPr>
                <w:rFonts w:asciiTheme="minorHAnsi" w:hAnsiTheme="minorHAnsi"/>
                <w:lang w:val="en-AU"/>
              </w:rPr>
              <w:t>28.7</w:t>
            </w:r>
          </w:p>
        </w:tc>
        <w:tc>
          <w:tcPr>
            <w:tcW w:w="1734" w:type="dxa"/>
          </w:tcPr>
          <w:p w14:paraId="679026B0" w14:textId="77777777" w:rsidR="002A5496" w:rsidRPr="00404724" w:rsidRDefault="002A5496" w:rsidP="00E85B60">
            <w:pPr>
              <w:spacing w:before="80"/>
              <w:jc w:val="center"/>
              <w:rPr>
                <w:rFonts w:asciiTheme="minorHAnsi" w:hAnsiTheme="minorHAnsi"/>
                <w:lang w:val="en-AU"/>
              </w:rPr>
            </w:pPr>
            <w:r w:rsidRPr="00404724">
              <w:rPr>
                <w:rFonts w:asciiTheme="minorHAnsi" w:hAnsiTheme="minorHAnsi"/>
                <w:lang w:val="en-AU"/>
              </w:rPr>
              <w:t>57.7</w:t>
            </w:r>
          </w:p>
        </w:tc>
        <w:tc>
          <w:tcPr>
            <w:tcW w:w="1733" w:type="dxa"/>
          </w:tcPr>
          <w:p w14:paraId="20291950" w14:textId="77777777" w:rsidR="002A5496" w:rsidRPr="00404724" w:rsidRDefault="002A5496" w:rsidP="00E85B60">
            <w:pPr>
              <w:spacing w:before="80"/>
              <w:jc w:val="center"/>
              <w:rPr>
                <w:rFonts w:asciiTheme="minorHAnsi" w:hAnsiTheme="minorHAnsi"/>
                <w:lang w:val="en-AU"/>
              </w:rPr>
            </w:pPr>
            <w:r w:rsidRPr="00404724">
              <w:rPr>
                <w:rFonts w:asciiTheme="minorHAnsi" w:hAnsiTheme="minorHAnsi"/>
                <w:lang w:val="en-AU"/>
              </w:rPr>
              <w:t>5.9</w:t>
            </w:r>
          </w:p>
        </w:tc>
        <w:tc>
          <w:tcPr>
            <w:tcW w:w="1734" w:type="dxa"/>
          </w:tcPr>
          <w:p w14:paraId="63BCD0B3" w14:textId="77777777" w:rsidR="002A5496" w:rsidRPr="00404724" w:rsidRDefault="002A5496" w:rsidP="00E85B60">
            <w:pPr>
              <w:spacing w:before="80"/>
              <w:jc w:val="center"/>
              <w:rPr>
                <w:rFonts w:asciiTheme="minorHAnsi" w:hAnsiTheme="minorHAnsi"/>
                <w:lang w:val="en-AU"/>
              </w:rPr>
            </w:pPr>
            <w:r w:rsidRPr="00404724">
              <w:rPr>
                <w:rFonts w:asciiTheme="minorHAnsi" w:hAnsiTheme="minorHAnsi"/>
                <w:lang w:val="en-AU"/>
              </w:rPr>
              <w:t>29.0</w:t>
            </w:r>
          </w:p>
        </w:tc>
      </w:tr>
      <w:tr w:rsidR="002A5496" w:rsidRPr="00404724" w14:paraId="58819D44" w14:textId="77777777" w:rsidTr="00BB5FCD">
        <w:trPr>
          <w:cantSplit/>
        </w:trPr>
        <w:tc>
          <w:tcPr>
            <w:tcW w:w="1732" w:type="dxa"/>
          </w:tcPr>
          <w:p w14:paraId="45D429EF"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2014</w:t>
            </w:r>
          </w:p>
        </w:tc>
        <w:tc>
          <w:tcPr>
            <w:tcW w:w="1733" w:type="dxa"/>
          </w:tcPr>
          <w:p w14:paraId="77599581" w14:textId="77777777" w:rsidR="002A5496" w:rsidRPr="00404724" w:rsidRDefault="002A5496" w:rsidP="00E85B60">
            <w:pPr>
              <w:spacing w:before="80"/>
              <w:jc w:val="center"/>
              <w:rPr>
                <w:rFonts w:asciiTheme="minorHAnsi" w:hAnsiTheme="minorHAnsi"/>
                <w:lang w:val="en-AU"/>
              </w:rPr>
            </w:pPr>
            <w:r w:rsidRPr="00404724">
              <w:rPr>
                <w:rFonts w:asciiTheme="minorHAnsi" w:hAnsiTheme="minorHAnsi"/>
                <w:lang w:val="en-AU"/>
              </w:rPr>
              <w:t>28.4</w:t>
            </w:r>
          </w:p>
        </w:tc>
        <w:tc>
          <w:tcPr>
            <w:tcW w:w="1734" w:type="dxa"/>
          </w:tcPr>
          <w:p w14:paraId="42C97458" w14:textId="77777777" w:rsidR="002A5496" w:rsidRPr="00404724" w:rsidRDefault="002A5496" w:rsidP="00E85B60">
            <w:pPr>
              <w:spacing w:before="80"/>
              <w:jc w:val="center"/>
              <w:rPr>
                <w:rFonts w:asciiTheme="minorHAnsi" w:hAnsiTheme="minorHAnsi"/>
                <w:lang w:val="en-AU"/>
              </w:rPr>
            </w:pPr>
            <w:r w:rsidRPr="00404724">
              <w:rPr>
                <w:rFonts w:asciiTheme="minorHAnsi" w:hAnsiTheme="minorHAnsi"/>
                <w:lang w:val="en-AU"/>
              </w:rPr>
              <w:t>56.9</w:t>
            </w:r>
          </w:p>
        </w:tc>
        <w:tc>
          <w:tcPr>
            <w:tcW w:w="1733" w:type="dxa"/>
          </w:tcPr>
          <w:p w14:paraId="45811ED2" w14:textId="77777777" w:rsidR="002A5496" w:rsidRPr="00404724" w:rsidRDefault="002A5496" w:rsidP="00E85B60">
            <w:pPr>
              <w:spacing w:before="80"/>
              <w:jc w:val="center"/>
              <w:rPr>
                <w:rFonts w:asciiTheme="minorHAnsi" w:hAnsiTheme="minorHAnsi"/>
                <w:lang w:val="en-AU"/>
              </w:rPr>
            </w:pPr>
            <w:r w:rsidRPr="00404724">
              <w:rPr>
                <w:rFonts w:asciiTheme="minorHAnsi" w:hAnsiTheme="minorHAnsi"/>
                <w:lang w:val="en-AU"/>
              </w:rPr>
              <w:t>5.9</w:t>
            </w:r>
          </w:p>
        </w:tc>
        <w:tc>
          <w:tcPr>
            <w:tcW w:w="1734" w:type="dxa"/>
          </w:tcPr>
          <w:p w14:paraId="058849BD" w14:textId="77777777" w:rsidR="002A5496" w:rsidRPr="00404724" w:rsidRDefault="002A5496" w:rsidP="00E85B60">
            <w:pPr>
              <w:spacing w:before="80"/>
              <w:jc w:val="center"/>
              <w:rPr>
                <w:rFonts w:asciiTheme="minorHAnsi" w:hAnsiTheme="minorHAnsi"/>
                <w:lang w:val="en-AU"/>
              </w:rPr>
            </w:pPr>
            <w:r w:rsidRPr="00404724">
              <w:rPr>
                <w:rFonts w:asciiTheme="minorHAnsi" w:hAnsiTheme="minorHAnsi"/>
                <w:lang w:val="en-AU"/>
              </w:rPr>
              <w:t>28.8</w:t>
            </w:r>
          </w:p>
        </w:tc>
      </w:tr>
      <w:tr w:rsidR="002A5496" w:rsidRPr="00404724" w14:paraId="1B9F0440" w14:textId="77777777" w:rsidTr="00BB5FCD">
        <w:trPr>
          <w:cantSplit/>
        </w:trPr>
        <w:tc>
          <w:tcPr>
            <w:tcW w:w="1732" w:type="dxa"/>
          </w:tcPr>
          <w:p w14:paraId="7F7B3016"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2016</w:t>
            </w:r>
          </w:p>
        </w:tc>
        <w:tc>
          <w:tcPr>
            <w:tcW w:w="1733" w:type="dxa"/>
          </w:tcPr>
          <w:p w14:paraId="33F0BBE5" w14:textId="77777777" w:rsidR="002A5496" w:rsidRPr="00404724" w:rsidRDefault="002A5496" w:rsidP="00E85B60">
            <w:pPr>
              <w:spacing w:before="80"/>
              <w:jc w:val="center"/>
              <w:rPr>
                <w:rFonts w:asciiTheme="minorHAnsi" w:hAnsiTheme="minorHAnsi"/>
                <w:lang w:val="en-AU"/>
              </w:rPr>
            </w:pPr>
            <w:r w:rsidRPr="00404724">
              <w:rPr>
                <w:rFonts w:asciiTheme="minorHAnsi" w:hAnsiTheme="minorHAnsi"/>
                <w:lang w:val="en-AU"/>
              </w:rPr>
              <w:t>28.0</w:t>
            </w:r>
          </w:p>
        </w:tc>
        <w:tc>
          <w:tcPr>
            <w:tcW w:w="1734" w:type="dxa"/>
          </w:tcPr>
          <w:p w14:paraId="35651C6E" w14:textId="77777777" w:rsidR="002A5496" w:rsidRPr="00404724" w:rsidRDefault="002A5496" w:rsidP="00E85B60">
            <w:pPr>
              <w:spacing w:before="80"/>
              <w:jc w:val="center"/>
              <w:rPr>
                <w:rFonts w:asciiTheme="minorHAnsi" w:hAnsiTheme="minorHAnsi"/>
                <w:lang w:val="en-AU"/>
              </w:rPr>
            </w:pPr>
            <w:r w:rsidRPr="00404724">
              <w:rPr>
                <w:rFonts w:asciiTheme="minorHAnsi" w:hAnsiTheme="minorHAnsi"/>
                <w:lang w:val="en-AU"/>
              </w:rPr>
              <w:t>56.3</w:t>
            </w:r>
          </w:p>
        </w:tc>
        <w:tc>
          <w:tcPr>
            <w:tcW w:w="1733" w:type="dxa"/>
          </w:tcPr>
          <w:p w14:paraId="03007272" w14:textId="77777777" w:rsidR="002A5496" w:rsidRPr="00404724" w:rsidRDefault="002A5496" w:rsidP="00E85B60">
            <w:pPr>
              <w:spacing w:before="80"/>
              <w:jc w:val="center"/>
              <w:rPr>
                <w:rFonts w:asciiTheme="minorHAnsi" w:hAnsiTheme="minorHAnsi"/>
                <w:lang w:val="en-AU"/>
              </w:rPr>
            </w:pPr>
            <w:r w:rsidRPr="00404724">
              <w:rPr>
                <w:rFonts w:asciiTheme="minorHAnsi" w:hAnsiTheme="minorHAnsi"/>
                <w:lang w:val="en-AU"/>
              </w:rPr>
              <w:t>5.6</w:t>
            </w:r>
          </w:p>
        </w:tc>
        <w:tc>
          <w:tcPr>
            <w:tcW w:w="1734" w:type="dxa"/>
          </w:tcPr>
          <w:p w14:paraId="433321A8" w14:textId="77777777" w:rsidR="002A5496" w:rsidRPr="00404724" w:rsidRDefault="002A5496" w:rsidP="00E85B60">
            <w:pPr>
              <w:spacing w:before="80"/>
              <w:jc w:val="center"/>
              <w:rPr>
                <w:rFonts w:asciiTheme="minorHAnsi" w:hAnsiTheme="minorHAnsi"/>
                <w:lang w:val="en-AU"/>
              </w:rPr>
            </w:pPr>
            <w:r w:rsidRPr="00404724">
              <w:rPr>
                <w:rFonts w:asciiTheme="minorHAnsi" w:hAnsiTheme="minorHAnsi"/>
                <w:lang w:val="en-AU"/>
              </w:rPr>
              <w:t>27.8</w:t>
            </w:r>
          </w:p>
        </w:tc>
      </w:tr>
      <w:tr w:rsidR="002A5496" w:rsidRPr="00404724" w14:paraId="02649614" w14:textId="77777777" w:rsidTr="00BB5FCD">
        <w:trPr>
          <w:cantSplit/>
        </w:trPr>
        <w:tc>
          <w:tcPr>
            <w:tcW w:w="1732" w:type="dxa"/>
          </w:tcPr>
          <w:p w14:paraId="3E72CA0A"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2018</w:t>
            </w:r>
          </w:p>
        </w:tc>
        <w:tc>
          <w:tcPr>
            <w:tcW w:w="1733" w:type="dxa"/>
          </w:tcPr>
          <w:p w14:paraId="54BDC3B7" w14:textId="77777777" w:rsidR="002A5496" w:rsidRPr="00404724" w:rsidRDefault="002A5496" w:rsidP="00E85B60">
            <w:pPr>
              <w:spacing w:before="80"/>
              <w:jc w:val="center"/>
              <w:rPr>
                <w:rFonts w:asciiTheme="minorHAnsi" w:hAnsiTheme="minorHAnsi"/>
                <w:lang w:val="en-AU"/>
              </w:rPr>
            </w:pPr>
            <w:r w:rsidRPr="00404724">
              <w:rPr>
                <w:rFonts w:asciiTheme="minorHAnsi" w:hAnsiTheme="minorHAnsi"/>
                <w:lang w:val="en-AU"/>
              </w:rPr>
              <w:t>28.6</w:t>
            </w:r>
          </w:p>
        </w:tc>
        <w:tc>
          <w:tcPr>
            <w:tcW w:w="1734" w:type="dxa"/>
          </w:tcPr>
          <w:p w14:paraId="0F0A1468" w14:textId="77777777" w:rsidR="002A5496" w:rsidRPr="00404724" w:rsidRDefault="002A5496" w:rsidP="00E85B60">
            <w:pPr>
              <w:spacing w:before="80"/>
              <w:jc w:val="center"/>
              <w:rPr>
                <w:rFonts w:asciiTheme="minorHAnsi" w:hAnsiTheme="minorHAnsi"/>
                <w:lang w:val="en-AU"/>
              </w:rPr>
            </w:pPr>
            <w:r w:rsidRPr="00404724">
              <w:rPr>
                <w:rFonts w:asciiTheme="minorHAnsi" w:hAnsiTheme="minorHAnsi"/>
                <w:lang w:val="en-AU"/>
              </w:rPr>
              <w:t>55.2</w:t>
            </w:r>
          </w:p>
        </w:tc>
        <w:tc>
          <w:tcPr>
            <w:tcW w:w="1733" w:type="dxa"/>
          </w:tcPr>
          <w:p w14:paraId="10BD93DB" w14:textId="77777777" w:rsidR="002A5496" w:rsidRPr="00404724" w:rsidRDefault="002A5496" w:rsidP="00E85B60">
            <w:pPr>
              <w:spacing w:before="80"/>
              <w:jc w:val="center"/>
              <w:rPr>
                <w:rFonts w:asciiTheme="minorHAnsi" w:hAnsiTheme="minorHAnsi"/>
                <w:lang w:val="en-AU"/>
              </w:rPr>
            </w:pPr>
            <w:r w:rsidRPr="00404724">
              <w:rPr>
                <w:rFonts w:asciiTheme="minorHAnsi" w:hAnsiTheme="minorHAnsi"/>
                <w:lang w:val="en-AU"/>
              </w:rPr>
              <w:t>5.8</w:t>
            </w:r>
          </w:p>
        </w:tc>
        <w:tc>
          <w:tcPr>
            <w:tcW w:w="1734" w:type="dxa"/>
          </w:tcPr>
          <w:p w14:paraId="53DDE344" w14:textId="77777777" w:rsidR="002A5496" w:rsidRPr="00404724" w:rsidRDefault="002A5496" w:rsidP="00E85B60">
            <w:pPr>
              <w:spacing w:before="80"/>
              <w:jc w:val="center"/>
              <w:rPr>
                <w:rFonts w:asciiTheme="minorHAnsi" w:hAnsiTheme="minorHAnsi"/>
                <w:lang w:val="en-AU"/>
              </w:rPr>
            </w:pPr>
            <w:r w:rsidRPr="00404724">
              <w:rPr>
                <w:rFonts w:asciiTheme="minorHAnsi" w:hAnsiTheme="minorHAnsi"/>
                <w:lang w:val="en-AU"/>
              </w:rPr>
              <w:t>28.4</w:t>
            </w:r>
          </w:p>
        </w:tc>
      </w:tr>
      <w:tr w:rsidR="002A5496" w:rsidRPr="00404724" w14:paraId="52D57764" w14:textId="77777777" w:rsidTr="00BB5FCD">
        <w:trPr>
          <w:cantSplit/>
        </w:trPr>
        <w:tc>
          <w:tcPr>
            <w:tcW w:w="1732" w:type="dxa"/>
          </w:tcPr>
          <w:p w14:paraId="67DE1FBB"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2020</w:t>
            </w:r>
          </w:p>
        </w:tc>
        <w:tc>
          <w:tcPr>
            <w:tcW w:w="1733" w:type="dxa"/>
          </w:tcPr>
          <w:p w14:paraId="4F74380E" w14:textId="77777777" w:rsidR="002A5496" w:rsidRPr="00404724" w:rsidRDefault="002A5496" w:rsidP="00E85B60">
            <w:pPr>
              <w:spacing w:before="80"/>
              <w:jc w:val="center"/>
              <w:rPr>
                <w:rFonts w:asciiTheme="minorHAnsi" w:hAnsiTheme="minorHAnsi"/>
                <w:lang w:val="en-AU"/>
              </w:rPr>
            </w:pPr>
            <w:r w:rsidRPr="00404724">
              <w:rPr>
                <w:rFonts w:asciiTheme="minorHAnsi" w:hAnsiTheme="minorHAnsi"/>
                <w:lang w:val="en-AU"/>
              </w:rPr>
              <w:t>28.6</w:t>
            </w:r>
          </w:p>
        </w:tc>
        <w:tc>
          <w:tcPr>
            <w:tcW w:w="1734" w:type="dxa"/>
          </w:tcPr>
          <w:p w14:paraId="389749E0" w14:textId="77777777" w:rsidR="002A5496" w:rsidRPr="00404724" w:rsidRDefault="002A5496" w:rsidP="00E85B60">
            <w:pPr>
              <w:spacing w:before="80"/>
              <w:jc w:val="center"/>
              <w:rPr>
                <w:rFonts w:asciiTheme="minorHAnsi" w:hAnsiTheme="minorHAnsi"/>
                <w:lang w:val="en-AU"/>
              </w:rPr>
            </w:pPr>
            <w:r w:rsidRPr="00404724">
              <w:rPr>
                <w:rFonts w:asciiTheme="minorHAnsi" w:hAnsiTheme="minorHAnsi"/>
                <w:lang w:val="en-AU"/>
              </w:rPr>
              <w:t>53.1</w:t>
            </w:r>
          </w:p>
        </w:tc>
        <w:tc>
          <w:tcPr>
            <w:tcW w:w="1733" w:type="dxa"/>
          </w:tcPr>
          <w:p w14:paraId="1EF9F995" w14:textId="77777777" w:rsidR="002A5496" w:rsidRPr="00404724" w:rsidRDefault="002A5496" w:rsidP="00E85B60">
            <w:pPr>
              <w:spacing w:before="80"/>
              <w:jc w:val="center"/>
              <w:rPr>
                <w:rFonts w:asciiTheme="minorHAnsi" w:hAnsiTheme="minorHAnsi"/>
                <w:lang w:val="en-AU"/>
              </w:rPr>
            </w:pPr>
            <w:r w:rsidRPr="00404724">
              <w:rPr>
                <w:rFonts w:asciiTheme="minorHAnsi" w:hAnsiTheme="minorHAnsi"/>
                <w:lang w:val="en-AU"/>
              </w:rPr>
              <w:t>6.1</w:t>
            </w:r>
          </w:p>
        </w:tc>
        <w:tc>
          <w:tcPr>
            <w:tcW w:w="1734" w:type="dxa"/>
          </w:tcPr>
          <w:p w14:paraId="76E88F7C" w14:textId="77777777" w:rsidR="002A5496" w:rsidRPr="00404724" w:rsidRDefault="002A5496" w:rsidP="00E85B60">
            <w:pPr>
              <w:spacing w:before="80"/>
              <w:jc w:val="center"/>
              <w:rPr>
                <w:rFonts w:asciiTheme="minorHAnsi" w:hAnsiTheme="minorHAnsi"/>
                <w:lang w:val="en-AU"/>
              </w:rPr>
            </w:pPr>
            <w:r w:rsidRPr="00404724">
              <w:rPr>
                <w:rFonts w:asciiTheme="minorHAnsi" w:hAnsiTheme="minorHAnsi"/>
                <w:lang w:val="en-AU"/>
              </w:rPr>
              <w:t>27.8</w:t>
            </w:r>
          </w:p>
        </w:tc>
      </w:tr>
    </w:tbl>
    <w:p w14:paraId="62520E2B" w14:textId="77777777" w:rsidR="002A5496" w:rsidRPr="00404724" w:rsidRDefault="002A5496" w:rsidP="00AE4E2F">
      <w:pPr>
        <w:pStyle w:val="Sourcenotes"/>
        <w:rPr>
          <w:lang w:val="en-AU"/>
        </w:rPr>
      </w:pPr>
      <w:r w:rsidRPr="00404724">
        <w:rPr>
          <w:lang w:val="en-AU"/>
        </w:rPr>
        <w:t>Source: ABS, Survey of Motor Vehicle Use 2020, Table 1</w:t>
      </w:r>
    </w:p>
    <w:p w14:paraId="00F67578" w14:textId="60E71B7A" w:rsidR="002A5496" w:rsidRPr="00404724" w:rsidRDefault="002A5496" w:rsidP="002A5496">
      <w:pPr>
        <w:pStyle w:val="BodyText"/>
      </w:pPr>
      <w:r w:rsidRPr="00404724">
        <w:t xml:space="preserve">There is very little publicly available data that tracks year-on-year improvements in motorcycle fuel efficiency, either in Australia or internationally. Unlike passenger vehicles, which are subject to mandatory fleet-wide efficiency reporting, motorcycles have not been systematically monitored in most markets. In fact, the limited data that do exist from the ABS (table above) suggest the opposite of steady improvement: between 2016 and 2020, the ABS Survey of Motor Vehicle Use shows average motorcycle fuel consumption increased from 5.6 L/100 km to 6.1 L/100 km. Despite the absence of clear evidence of recent efficiency gains, </w:t>
      </w:r>
      <w:r w:rsidR="0090234D" w:rsidRPr="00404724">
        <w:t xml:space="preserve">it was </w:t>
      </w:r>
      <w:r w:rsidRPr="00404724">
        <w:t>conservatively assumed a 1% year-on-year improvement in motorcycle fuel efficiency going forward. This assumption reflects the expected ongoing introduction of more efficient engine and vehicle technologies, which are likely to deliver incremental gains over time even if they are not yet visible in historical statistics.</w:t>
      </w:r>
    </w:p>
    <w:p w14:paraId="0A053B03" w14:textId="73DBCA38" w:rsidR="002A5496" w:rsidRPr="00404724" w:rsidRDefault="002A5496" w:rsidP="002A5496">
      <w:pPr>
        <w:pStyle w:val="BodyText"/>
      </w:pPr>
      <w:r w:rsidRPr="00404724">
        <w:t>There is little definitive Australian information as to expected gains in large engine efficiency improvements</w:t>
      </w:r>
      <w:r w:rsidR="00377B5A" w:rsidRPr="00404724">
        <w:t>.</w:t>
      </w:r>
      <w:r w:rsidRPr="00404724">
        <w:t xml:space="preserve"> A review of the international literature suggests efficiency gains between 1% and 2% year on year might be realised:</w:t>
      </w:r>
    </w:p>
    <w:p w14:paraId="05B5A156" w14:textId="77777777" w:rsidR="002A5496" w:rsidRPr="00404724" w:rsidRDefault="002A5496" w:rsidP="00485648">
      <w:pPr>
        <w:pStyle w:val="Listparagraphbullets"/>
      </w:pPr>
      <w:r w:rsidRPr="00404724">
        <w:t>The International Council on Clean Transportation (ICCT) estimates that tractor-trailer efficiency technologies could cost-effectively reduce CO2 emissions by 24%, corresponding to a 29% improvement in fuel economy</w:t>
      </w:r>
      <w:r w:rsidRPr="00404724">
        <w:rPr>
          <w:rStyle w:val="FootnoteReference"/>
        </w:rPr>
        <w:footnoteReference w:id="91"/>
      </w:r>
      <w:r w:rsidRPr="00404724">
        <w:t xml:space="preserve"> over the period 2021 to 2035 (equivalent to around 2% per year).</w:t>
      </w:r>
    </w:p>
    <w:p w14:paraId="23FB048C" w14:textId="51E9BA42" w:rsidR="002A5496" w:rsidRPr="00404724" w:rsidRDefault="002A5496" w:rsidP="00485648">
      <w:pPr>
        <w:pStyle w:val="Listparagraphbullets"/>
      </w:pPr>
      <w:r w:rsidRPr="00404724">
        <w:t>The Center for Alternative Fuels, Engines &amp; Emissions (CAFEE), West Virginia University: Heavy-Duty Vehicle Diesel Engine Efficiency Evaluation and Energy Audit, October 2014 final report suggests fuel efficiency gains of 18.3% over the 10-year period 2010</w:t>
      </w:r>
      <w:r w:rsidR="00377B5A" w:rsidRPr="00404724">
        <w:t>-</w:t>
      </w:r>
      <w:r w:rsidRPr="00404724">
        <w:t>20 were expected.</w:t>
      </w:r>
      <w:r w:rsidRPr="00404724">
        <w:rPr>
          <w:rStyle w:val="FootnoteReference"/>
        </w:rPr>
        <w:footnoteReference w:id="92"/>
      </w:r>
    </w:p>
    <w:p w14:paraId="6FEA35B4" w14:textId="77777777" w:rsidR="002A5496" w:rsidRPr="00404724" w:rsidRDefault="002A5496" w:rsidP="00485648">
      <w:pPr>
        <w:pStyle w:val="Listparagraphbullets"/>
      </w:pPr>
      <w:r w:rsidRPr="00404724">
        <w:t xml:space="preserve">While a number of other reports suggest improvement in the order of 1.4 – 2.0%, they are unclear as to timeframes and detail as to the applications considered. </w:t>
      </w:r>
    </w:p>
    <w:p w14:paraId="071B1D7D" w14:textId="77777777" w:rsidR="002A5496" w:rsidRPr="00404724" w:rsidRDefault="002A5496" w:rsidP="002A5496">
      <w:pPr>
        <w:pStyle w:val="BodyText"/>
      </w:pPr>
      <w:r w:rsidRPr="00404724">
        <w:lastRenderedPageBreak/>
        <w:t>Efficiency gains can be expected in both engine design and other vehicle efficiency technology improvements (i.e. aerodynamics, rolling resistance and tyre technologies, regenerative braking, accessory electrification etc.). However, realisation of projected gains is also subject to both use (in vehicles) and driver behaviour. In many applications outcomes are determined by a combination of many different factors which need to be coupled with gains delivered by engine design.</w:t>
      </w:r>
    </w:p>
    <w:p w14:paraId="3646ED3F" w14:textId="4E21382A" w:rsidR="002A5496" w:rsidRPr="00404724" w:rsidRDefault="002A5496" w:rsidP="002A5496">
      <w:pPr>
        <w:pStyle w:val="BodyText"/>
      </w:pPr>
      <w:r w:rsidRPr="00404724">
        <w:t xml:space="preserve">It is assumed that technology efficiency gains will deliver year on year improvements of 1.83% for buses and trucks. Given the limited data, the fuel efficiencies for motorcycles, trucks and buses </w:t>
      </w:r>
      <w:r w:rsidR="00C94374" w:rsidRPr="00404724">
        <w:t>are</w:t>
      </w:r>
      <w:r w:rsidRPr="00404724">
        <w:t xml:space="preserve"> assumed to</w:t>
      </w:r>
      <w:r w:rsidR="007D449D" w:rsidRPr="00404724">
        <w:t xml:space="preserve"> be</w:t>
      </w:r>
      <w:r w:rsidRPr="00404724">
        <w:t xml:space="preserve"> the same across the regions. </w:t>
      </w:r>
    </w:p>
    <w:p w14:paraId="5A086380" w14:textId="34D3FEF2" w:rsidR="002A5496" w:rsidRPr="00404724" w:rsidRDefault="002A5496" w:rsidP="003979C3">
      <w:pPr>
        <w:pStyle w:val="Tablefigureheading"/>
      </w:pPr>
      <w:bookmarkStart w:id="340" w:name="_Toc210040368"/>
      <w:bookmarkStart w:id="341" w:name="_Toc210051904"/>
      <w:r w:rsidRPr="00404724">
        <w:t>Table </w:t>
      </w:r>
      <w:r w:rsidR="00EC39D5">
        <w:fldChar w:fldCharType="begin"/>
      </w:r>
      <w:r w:rsidR="00EC39D5">
        <w:instrText xml:space="preserve"> SEQ Table \* ARABIC </w:instrText>
      </w:r>
      <w:r w:rsidR="00EC39D5">
        <w:fldChar w:fldCharType="separate"/>
      </w:r>
      <w:r w:rsidR="00BF489D">
        <w:rPr>
          <w:noProof/>
        </w:rPr>
        <w:t>23</w:t>
      </w:r>
      <w:r w:rsidR="00EC39D5">
        <w:rPr>
          <w:noProof/>
        </w:rPr>
        <w:fldChar w:fldCharType="end"/>
      </w:r>
      <w:r w:rsidRPr="00404724">
        <w:tab/>
      </w:r>
      <w:r w:rsidR="0090234D" w:rsidRPr="00404724">
        <w:t xml:space="preserve">Summary: </w:t>
      </w:r>
      <w:r w:rsidRPr="00404724">
        <w:t>Fuel efficiency assumptions (litres/100km)</w:t>
      </w:r>
      <w:bookmarkEnd w:id="340"/>
      <w:bookmarkEnd w:id="341"/>
    </w:p>
    <w:tbl>
      <w:tblPr>
        <w:tblStyle w:val="aacTableBasic"/>
        <w:tblW w:w="5000" w:type="pct"/>
        <w:tblLayout w:type="fixed"/>
        <w:tblLook w:val="04A0" w:firstRow="1" w:lastRow="0" w:firstColumn="1" w:lastColumn="0" w:noHBand="0" w:noVBand="1"/>
        <w:tblCaption w:val="Table 23 Summary: Fuel efficiency assumptions (litres/100km)"/>
        <w:tblDescription w:val="Table 23 Summary: Fuel efficiency assumptions (litres/100km)"/>
      </w:tblPr>
      <w:tblGrid>
        <w:gridCol w:w="2465"/>
        <w:gridCol w:w="2465"/>
        <w:gridCol w:w="2467"/>
        <w:gridCol w:w="2467"/>
      </w:tblGrid>
      <w:tr w:rsidR="002A5496" w:rsidRPr="00404724" w14:paraId="0998F75B" w14:textId="77777777" w:rsidTr="002134EA">
        <w:trPr>
          <w:cnfStyle w:val="100000000000" w:firstRow="1" w:lastRow="0" w:firstColumn="0" w:lastColumn="0" w:oddVBand="0" w:evenVBand="0" w:oddHBand="0" w:evenHBand="0" w:firstRowFirstColumn="0" w:firstRowLastColumn="0" w:lastRowFirstColumn="0" w:lastRowLastColumn="0"/>
          <w:cantSplit/>
          <w:tblHeader/>
        </w:trPr>
        <w:tc>
          <w:tcPr>
            <w:tcW w:w="2465" w:type="dxa"/>
          </w:tcPr>
          <w:p w14:paraId="0EDE08A2" w14:textId="77777777" w:rsidR="002A5496" w:rsidRPr="00404724" w:rsidRDefault="002A5496" w:rsidP="00793950">
            <w:pPr>
              <w:spacing w:before="80"/>
              <w:rPr>
                <w:rFonts w:asciiTheme="minorHAnsi" w:hAnsiTheme="minorHAnsi"/>
                <w:b/>
                <w:bCs/>
                <w:lang w:val="en-AU"/>
              </w:rPr>
            </w:pPr>
            <w:r w:rsidRPr="00404724">
              <w:rPr>
                <w:rFonts w:asciiTheme="minorHAnsi" w:hAnsiTheme="minorHAnsi"/>
                <w:b/>
                <w:bCs/>
                <w:lang w:val="en-AU"/>
              </w:rPr>
              <w:t>Vehicle</w:t>
            </w:r>
          </w:p>
        </w:tc>
        <w:tc>
          <w:tcPr>
            <w:tcW w:w="2465" w:type="dxa"/>
          </w:tcPr>
          <w:p w14:paraId="76FDEE3D" w14:textId="77777777" w:rsidR="002A5496" w:rsidRPr="00404724" w:rsidRDefault="002A5496" w:rsidP="00793950">
            <w:pPr>
              <w:spacing w:before="80"/>
              <w:rPr>
                <w:rFonts w:asciiTheme="minorHAnsi" w:hAnsiTheme="minorHAnsi"/>
                <w:b/>
                <w:bCs/>
                <w:lang w:val="en-AU"/>
              </w:rPr>
            </w:pPr>
            <w:r w:rsidRPr="00404724">
              <w:rPr>
                <w:rFonts w:asciiTheme="minorHAnsi" w:hAnsiTheme="minorHAnsi"/>
                <w:b/>
                <w:bCs/>
                <w:lang w:val="en-AU"/>
              </w:rPr>
              <w:t>Region</w:t>
            </w:r>
          </w:p>
        </w:tc>
        <w:tc>
          <w:tcPr>
            <w:tcW w:w="2467" w:type="dxa"/>
          </w:tcPr>
          <w:p w14:paraId="06A98DA1" w14:textId="77777777" w:rsidR="002A5496" w:rsidRPr="00404724" w:rsidRDefault="002A5496" w:rsidP="00E85B60">
            <w:pPr>
              <w:spacing w:before="80"/>
              <w:jc w:val="center"/>
              <w:rPr>
                <w:rFonts w:asciiTheme="minorHAnsi" w:hAnsiTheme="minorHAnsi"/>
                <w:b/>
                <w:bCs/>
                <w:lang w:val="en-AU"/>
              </w:rPr>
            </w:pPr>
            <w:r w:rsidRPr="00404724">
              <w:rPr>
                <w:rFonts w:asciiTheme="minorHAnsi" w:hAnsiTheme="minorHAnsi"/>
                <w:b/>
                <w:bCs/>
                <w:lang w:val="en-AU"/>
              </w:rPr>
              <w:t>2025</w:t>
            </w:r>
          </w:p>
        </w:tc>
        <w:tc>
          <w:tcPr>
            <w:tcW w:w="2467" w:type="dxa"/>
          </w:tcPr>
          <w:p w14:paraId="31AB0985" w14:textId="77777777" w:rsidR="002A5496" w:rsidRPr="00404724" w:rsidRDefault="002A5496" w:rsidP="00E85B60">
            <w:pPr>
              <w:spacing w:before="80"/>
              <w:jc w:val="center"/>
              <w:rPr>
                <w:rFonts w:asciiTheme="minorHAnsi" w:hAnsiTheme="minorHAnsi"/>
                <w:b/>
                <w:bCs/>
                <w:lang w:val="en-AU"/>
              </w:rPr>
            </w:pPr>
            <w:r w:rsidRPr="00404724">
              <w:rPr>
                <w:rFonts w:asciiTheme="minorHAnsi" w:hAnsiTheme="minorHAnsi"/>
                <w:b/>
                <w:bCs/>
                <w:lang w:val="en-AU"/>
              </w:rPr>
              <w:t>2036</w:t>
            </w:r>
          </w:p>
        </w:tc>
      </w:tr>
      <w:tr w:rsidR="002134EA" w:rsidRPr="00404724" w14:paraId="72A87542" w14:textId="77777777" w:rsidTr="002134EA">
        <w:trPr>
          <w:cantSplit/>
        </w:trPr>
        <w:tc>
          <w:tcPr>
            <w:tcW w:w="2465" w:type="dxa"/>
            <w:vMerge w:val="restart"/>
          </w:tcPr>
          <w:p w14:paraId="4C560ED6" w14:textId="77777777" w:rsidR="002134EA" w:rsidRPr="00404724" w:rsidRDefault="002134EA" w:rsidP="00793950">
            <w:pPr>
              <w:spacing w:before="80"/>
              <w:rPr>
                <w:rFonts w:asciiTheme="minorHAnsi" w:hAnsiTheme="minorHAnsi"/>
                <w:lang w:val="en-AU"/>
              </w:rPr>
            </w:pPr>
            <w:r w:rsidRPr="00404724">
              <w:rPr>
                <w:rFonts w:asciiTheme="minorHAnsi" w:hAnsiTheme="minorHAnsi"/>
                <w:lang w:val="en-AU"/>
              </w:rPr>
              <w:t>Passenger vehicles</w:t>
            </w:r>
          </w:p>
        </w:tc>
        <w:tc>
          <w:tcPr>
            <w:tcW w:w="2465" w:type="dxa"/>
          </w:tcPr>
          <w:p w14:paraId="1C840B19" w14:textId="77777777" w:rsidR="002134EA" w:rsidRPr="00404724" w:rsidRDefault="002134EA" w:rsidP="00793950">
            <w:pPr>
              <w:spacing w:before="80"/>
              <w:rPr>
                <w:rFonts w:asciiTheme="minorHAnsi" w:hAnsiTheme="minorHAnsi"/>
                <w:lang w:val="en-AU"/>
              </w:rPr>
            </w:pPr>
            <w:r w:rsidRPr="00404724">
              <w:rPr>
                <w:rFonts w:asciiTheme="minorHAnsi" w:hAnsiTheme="minorHAnsi"/>
                <w:lang w:val="en-AU"/>
              </w:rPr>
              <w:t>Major cities</w:t>
            </w:r>
          </w:p>
        </w:tc>
        <w:tc>
          <w:tcPr>
            <w:tcW w:w="2467" w:type="dxa"/>
          </w:tcPr>
          <w:p w14:paraId="10AA9261" w14:textId="77777777" w:rsidR="002134EA" w:rsidRPr="00404724" w:rsidRDefault="002134EA" w:rsidP="00E85B60">
            <w:pPr>
              <w:spacing w:before="80"/>
              <w:jc w:val="right"/>
              <w:rPr>
                <w:rFonts w:asciiTheme="minorHAnsi" w:hAnsiTheme="minorHAnsi"/>
                <w:lang w:val="en-AU"/>
              </w:rPr>
            </w:pPr>
            <w:r w:rsidRPr="00404724">
              <w:rPr>
                <w:rFonts w:asciiTheme="minorHAnsi" w:hAnsiTheme="minorHAnsi"/>
                <w:lang w:val="en-AU"/>
              </w:rPr>
              <w:t>9.80</w:t>
            </w:r>
          </w:p>
        </w:tc>
        <w:tc>
          <w:tcPr>
            <w:tcW w:w="2467" w:type="dxa"/>
          </w:tcPr>
          <w:p w14:paraId="7ABE53F9" w14:textId="77777777" w:rsidR="002134EA" w:rsidRPr="00404724" w:rsidRDefault="002134EA" w:rsidP="00E85B60">
            <w:pPr>
              <w:spacing w:before="80"/>
              <w:jc w:val="right"/>
              <w:rPr>
                <w:rFonts w:asciiTheme="minorHAnsi" w:hAnsiTheme="minorHAnsi"/>
                <w:lang w:val="en-AU"/>
              </w:rPr>
            </w:pPr>
            <w:r w:rsidRPr="00404724">
              <w:rPr>
                <w:rFonts w:asciiTheme="minorHAnsi" w:hAnsiTheme="minorHAnsi"/>
                <w:lang w:val="en-AU"/>
              </w:rPr>
              <w:t>5.59</w:t>
            </w:r>
          </w:p>
        </w:tc>
      </w:tr>
      <w:tr w:rsidR="002134EA" w:rsidRPr="00404724" w14:paraId="7635A306" w14:textId="77777777" w:rsidTr="002134EA">
        <w:trPr>
          <w:cantSplit/>
        </w:trPr>
        <w:tc>
          <w:tcPr>
            <w:tcW w:w="2465" w:type="dxa"/>
            <w:vMerge/>
          </w:tcPr>
          <w:p w14:paraId="43A76448" w14:textId="77777777" w:rsidR="002134EA" w:rsidRPr="00404724" w:rsidRDefault="002134EA" w:rsidP="00793950">
            <w:pPr>
              <w:spacing w:before="80"/>
              <w:rPr>
                <w:rFonts w:asciiTheme="minorHAnsi" w:hAnsiTheme="minorHAnsi"/>
                <w:lang w:val="en-AU"/>
              </w:rPr>
            </w:pPr>
          </w:p>
        </w:tc>
        <w:tc>
          <w:tcPr>
            <w:tcW w:w="2465" w:type="dxa"/>
          </w:tcPr>
          <w:p w14:paraId="07BEE903" w14:textId="77777777" w:rsidR="002134EA" w:rsidRPr="00404724" w:rsidRDefault="002134EA" w:rsidP="00793950">
            <w:pPr>
              <w:spacing w:before="80"/>
              <w:rPr>
                <w:rFonts w:asciiTheme="minorHAnsi" w:hAnsiTheme="minorHAnsi"/>
                <w:lang w:val="en-AU"/>
              </w:rPr>
            </w:pPr>
            <w:r w:rsidRPr="00404724">
              <w:rPr>
                <w:rFonts w:asciiTheme="minorHAnsi" w:hAnsiTheme="minorHAnsi"/>
                <w:lang w:val="en-AU"/>
              </w:rPr>
              <w:t>Inner regional</w:t>
            </w:r>
          </w:p>
        </w:tc>
        <w:tc>
          <w:tcPr>
            <w:tcW w:w="2467" w:type="dxa"/>
          </w:tcPr>
          <w:p w14:paraId="41FDDD2D" w14:textId="77777777" w:rsidR="002134EA" w:rsidRPr="00404724" w:rsidRDefault="002134EA" w:rsidP="00E85B60">
            <w:pPr>
              <w:spacing w:before="80"/>
              <w:jc w:val="right"/>
              <w:rPr>
                <w:rFonts w:asciiTheme="minorHAnsi" w:hAnsiTheme="minorHAnsi"/>
                <w:lang w:val="en-AU"/>
              </w:rPr>
            </w:pPr>
            <w:r w:rsidRPr="00404724">
              <w:rPr>
                <w:rFonts w:asciiTheme="minorHAnsi" w:hAnsiTheme="minorHAnsi"/>
                <w:lang w:val="en-AU"/>
              </w:rPr>
              <w:t>9.92</w:t>
            </w:r>
          </w:p>
        </w:tc>
        <w:tc>
          <w:tcPr>
            <w:tcW w:w="2467" w:type="dxa"/>
          </w:tcPr>
          <w:p w14:paraId="431ACCF5" w14:textId="77777777" w:rsidR="002134EA" w:rsidRPr="00404724" w:rsidRDefault="002134EA" w:rsidP="00E85B60">
            <w:pPr>
              <w:spacing w:before="80"/>
              <w:jc w:val="right"/>
              <w:rPr>
                <w:rFonts w:asciiTheme="minorHAnsi" w:hAnsiTheme="minorHAnsi"/>
                <w:lang w:val="en-AU"/>
              </w:rPr>
            </w:pPr>
            <w:r w:rsidRPr="00404724">
              <w:rPr>
                <w:rFonts w:asciiTheme="minorHAnsi" w:hAnsiTheme="minorHAnsi"/>
                <w:lang w:val="en-AU"/>
              </w:rPr>
              <w:t>6.13</w:t>
            </w:r>
          </w:p>
        </w:tc>
      </w:tr>
      <w:tr w:rsidR="002134EA" w:rsidRPr="00404724" w14:paraId="0535C8DF" w14:textId="77777777" w:rsidTr="002134EA">
        <w:trPr>
          <w:cantSplit/>
        </w:trPr>
        <w:tc>
          <w:tcPr>
            <w:tcW w:w="2465" w:type="dxa"/>
            <w:vMerge/>
          </w:tcPr>
          <w:p w14:paraId="02BC1D16" w14:textId="77777777" w:rsidR="002134EA" w:rsidRPr="00404724" w:rsidRDefault="002134EA" w:rsidP="00793950">
            <w:pPr>
              <w:spacing w:before="80"/>
              <w:rPr>
                <w:rFonts w:asciiTheme="minorHAnsi" w:hAnsiTheme="minorHAnsi"/>
                <w:lang w:val="en-AU"/>
              </w:rPr>
            </w:pPr>
          </w:p>
        </w:tc>
        <w:tc>
          <w:tcPr>
            <w:tcW w:w="2465" w:type="dxa"/>
          </w:tcPr>
          <w:p w14:paraId="05B48ADF" w14:textId="77777777" w:rsidR="002134EA" w:rsidRPr="00404724" w:rsidRDefault="002134EA" w:rsidP="00793950">
            <w:pPr>
              <w:spacing w:before="80"/>
              <w:rPr>
                <w:rFonts w:asciiTheme="minorHAnsi" w:hAnsiTheme="minorHAnsi"/>
                <w:lang w:val="en-AU"/>
              </w:rPr>
            </w:pPr>
            <w:r w:rsidRPr="00404724">
              <w:rPr>
                <w:rFonts w:asciiTheme="minorHAnsi" w:hAnsiTheme="minorHAnsi"/>
                <w:lang w:val="en-AU"/>
              </w:rPr>
              <w:t>Outer regional</w:t>
            </w:r>
          </w:p>
        </w:tc>
        <w:tc>
          <w:tcPr>
            <w:tcW w:w="2467" w:type="dxa"/>
          </w:tcPr>
          <w:p w14:paraId="7A403120" w14:textId="77777777" w:rsidR="002134EA" w:rsidRPr="00404724" w:rsidRDefault="002134EA" w:rsidP="00E85B60">
            <w:pPr>
              <w:spacing w:before="80"/>
              <w:jc w:val="right"/>
              <w:rPr>
                <w:rFonts w:asciiTheme="minorHAnsi" w:hAnsiTheme="minorHAnsi"/>
                <w:lang w:val="en-AU"/>
              </w:rPr>
            </w:pPr>
            <w:r w:rsidRPr="00404724">
              <w:rPr>
                <w:rFonts w:asciiTheme="minorHAnsi" w:hAnsiTheme="minorHAnsi"/>
                <w:lang w:val="en-AU"/>
              </w:rPr>
              <w:t>10.00</w:t>
            </w:r>
          </w:p>
        </w:tc>
        <w:tc>
          <w:tcPr>
            <w:tcW w:w="2467" w:type="dxa"/>
          </w:tcPr>
          <w:p w14:paraId="0BA99E97" w14:textId="77777777" w:rsidR="002134EA" w:rsidRPr="00404724" w:rsidRDefault="002134EA" w:rsidP="00E85B60">
            <w:pPr>
              <w:spacing w:before="80"/>
              <w:jc w:val="right"/>
              <w:rPr>
                <w:rFonts w:asciiTheme="minorHAnsi" w:hAnsiTheme="minorHAnsi"/>
                <w:lang w:val="en-AU"/>
              </w:rPr>
            </w:pPr>
            <w:r w:rsidRPr="00404724">
              <w:rPr>
                <w:rFonts w:asciiTheme="minorHAnsi" w:hAnsiTheme="minorHAnsi"/>
                <w:lang w:val="en-AU"/>
              </w:rPr>
              <w:t>6.49</w:t>
            </w:r>
          </w:p>
        </w:tc>
      </w:tr>
      <w:tr w:rsidR="002134EA" w:rsidRPr="00404724" w14:paraId="2B7AFF96" w14:textId="77777777" w:rsidTr="002134EA">
        <w:trPr>
          <w:cantSplit/>
        </w:trPr>
        <w:tc>
          <w:tcPr>
            <w:tcW w:w="2465" w:type="dxa"/>
            <w:vMerge/>
          </w:tcPr>
          <w:p w14:paraId="7B67C775" w14:textId="77777777" w:rsidR="002134EA" w:rsidRPr="00404724" w:rsidRDefault="002134EA" w:rsidP="00793950">
            <w:pPr>
              <w:spacing w:before="80"/>
              <w:rPr>
                <w:rFonts w:asciiTheme="minorHAnsi" w:hAnsiTheme="minorHAnsi"/>
                <w:lang w:val="en-AU"/>
              </w:rPr>
            </w:pPr>
          </w:p>
        </w:tc>
        <w:tc>
          <w:tcPr>
            <w:tcW w:w="2465" w:type="dxa"/>
          </w:tcPr>
          <w:p w14:paraId="575BD966" w14:textId="77777777" w:rsidR="002134EA" w:rsidRPr="00404724" w:rsidRDefault="002134EA" w:rsidP="00793950">
            <w:pPr>
              <w:spacing w:before="80"/>
              <w:rPr>
                <w:rFonts w:asciiTheme="minorHAnsi" w:hAnsiTheme="minorHAnsi"/>
                <w:lang w:val="en-AU"/>
              </w:rPr>
            </w:pPr>
            <w:r w:rsidRPr="00404724">
              <w:rPr>
                <w:rFonts w:asciiTheme="minorHAnsi" w:hAnsiTheme="minorHAnsi"/>
                <w:lang w:val="en-AU"/>
              </w:rPr>
              <w:t>Remote</w:t>
            </w:r>
          </w:p>
        </w:tc>
        <w:tc>
          <w:tcPr>
            <w:tcW w:w="2467" w:type="dxa"/>
          </w:tcPr>
          <w:p w14:paraId="79B00EAB" w14:textId="77777777" w:rsidR="002134EA" w:rsidRPr="00404724" w:rsidRDefault="002134EA" w:rsidP="00E85B60">
            <w:pPr>
              <w:spacing w:before="80"/>
              <w:jc w:val="right"/>
              <w:rPr>
                <w:rFonts w:asciiTheme="minorHAnsi" w:hAnsiTheme="minorHAnsi"/>
                <w:lang w:val="en-AU"/>
              </w:rPr>
            </w:pPr>
            <w:r w:rsidRPr="00404724">
              <w:rPr>
                <w:rFonts w:asciiTheme="minorHAnsi" w:hAnsiTheme="minorHAnsi"/>
                <w:lang w:val="en-AU"/>
              </w:rPr>
              <w:t>10.17</w:t>
            </w:r>
          </w:p>
        </w:tc>
        <w:tc>
          <w:tcPr>
            <w:tcW w:w="2467" w:type="dxa"/>
          </w:tcPr>
          <w:p w14:paraId="722FB68C" w14:textId="77777777" w:rsidR="002134EA" w:rsidRPr="00404724" w:rsidRDefault="002134EA" w:rsidP="00E85B60">
            <w:pPr>
              <w:spacing w:before="80"/>
              <w:jc w:val="right"/>
              <w:rPr>
                <w:rFonts w:asciiTheme="minorHAnsi" w:hAnsiTheme="minorHAnsi"/>
                <w:lang w:val="en-AU"/>
              </w:rPr>
            </w:pPr>
            <w:r w:rsidRPr="00404724">
              <w:rPr>
                <w:rFonts w:asciiTheme="minorHAnsi" w:hAnsiTheme="minorHAnsi"/>
                <w:lang w:val="en-AU"/>
              </w:rPr>
              <w:t>7.18</w:t>
            </w:r>
          </w:p>
        </w:tc>
      </w:tr>
      <w:tr w:rsidR="002134EA" w:rsidRPr="00404724" w14:paraId="7C69E3FE" w14:textId="77777777" w:rsidTr="002134EA">
        <w:trPr>
          <w:cantSplit/>
        </w:trPr>
        <w:tc>
          <w:tcPr>
            <w:tcW w:w="2465" w:type="dxa"/>
            <w:vMerge/>
          </w:tcPr>
          <w:p w14:paraId="28ABF888" w14:textId="77777777" w:rsidR="002134EA" w:rsidRPr="00404724" w:rsidRDefault="002134EA" w:rsidP="00793950">
            <w:pPr>
              <w:spacing w:before="80"/>
              <w:rPr>
                <w:rFonts w:asciiTheme="minorHAnsi" w:hAnsiTheme="minorHAnsi"/>
                <w:lang w:val="en-AU"/>
              </w:rPr>
            </w:pPr>
          </w:p>
        </w:tc>
        <w:tc>
          <w:tcPr>
            <w:tcW w:w="2465" w:type="dxa"/>
          </w:tcPr>
          <w:p w14:paraId="686A477B" w14:textId="77777777" w:rsidR="002134EA" w:rsidRPr="00404724" w:rsidRDefault="002134EA" w:rsidP="00793950">
            <w:pPr>
              <w:spacing w:before="80"/>
              <w:rPr>
                <w:rFonts w:asciiTheme="minorHAnsi" w:hAnsiTheme="minorHAnsi"/>
                <w:lang w:val="en-AU"/>
              </w:rPr>
            </w:pPr>
            <w:r w:rsidRPr="00404724">
              <w:rPr>
                <w:rFonts w:asciiTheme="minorHAnsi" w:hAnsiTheme="minorHAnsi"/>
                <w:lang w:val="en-AU"/>
              </w:rPr>
              <w:t>Very remote</w:t>
            </w:r>
          </w:p>
        </w:tc>
        <w:tc>
          <w:tcPr>
            <w:tcW w:w="2467" w:type="dxa"/>
          </w:tcPr>
          <w:p w14:paraId="50451DDD" w14:textId="77777777" w:rsidR="002134EA" w:rsidRPr="00404724" w:rsidRDefault="002134EA" w:rsidP="00E85B60">
            <w:pPr>
              <w:spacing w:before="80"/>
              <w:jc w:val="right"/>
              <w:rPr>
                <w:rFonts w:asciiTheme="minorHAnsi" w:hAnsiTheme="minorHAnsi"/>
                <w:lang w:val="en-AU"/>
              </w:rPr>
            </w:pPr>
            <w:r w:rsidRPr="00404724">
              <w:rPr>
                <w:rFonts w:asciiTheme="minorHAnsi" w:hAnsiTheme="minorHAnsi"/>
                <w:lang w:val="en-AU"/>
              </w:rPr>
              <w:t>10.18</w:t>
            </w:r>
          </w:p>
        </w:tc>
        <w:tc>
          <w:tcPr>
            <w:tcW w:w="2467" w:type="dxa"/>
          </w:tcPr>
          <w:p w14:paraId="06977B82" w14:textId="77777777" w:rsidR="002134EA" w:rsidRPr="00404724" w:rsidRDefault="002134EA" w:rsidP="00E85B60">
            <w:pPr>
              <w:spacing w:before="80"/>
              <w:jc w:val="right"/>
              <w:rPr>
                <w:rFonts w:asciiTheme="minorHAnsi" w:hAnsiTheme="minorHAnsi"/>
                <w:lang w:val="en-AU"/>
              </w:rPr>
            </w:pPr>
            <w:r w:rsidRPr="00404724">
              <w:rPr>
                <w:rFonts w:asciiTheme="minorHAnsi" w:hAnsiTheme="minorHAnsi"/>
                <w:lang w:val="en-AU"/>
              </w:rPr>
              <w:t>7.22</w:t>
            </w:r>
          </w:p>
        </w:tc>
      </w:tr>
      <w:tr w:rsidR="002134EA" w:rsidRPr="00404724" w14:paraId="76ACF930" w14:textId="77777777" w:rsidTr="002134EA">
        <w:trPr>
          <w:cantSplit/>
        </w:trPr>
        <w:tc>
          <w:tcPr>
            <w:tcW w:w="2465" w:type="dxa"/>
            <w:vMerge w:val="restart"/>
          </w:tcPr>
          <w:p w14:paraId="055C8934" w14:textId="77777777" w:rsidR="002134EA" w:rsidRPr="00404724" w:rsidRDefault="002134EA" w:rsidP="00793950">
            <w:pPr>
              <w:spacing w:before="80"/>
              <w:rPr>
                <w:rFonts w:asciiTheme="minorHAnsi" w:hAnsiTheme="minorHAnsi"/>
                <w:lang w:val="en-AU"/>
              </w:rPr>
            </w:pPr>
            <w:r w:rsidRPr="00404724">
              <w:rPr>
                <w:rFonts w:asciiTheme="minorHAnsi" w:hAnsiTheme="minorHAnsi"/>
                <w:lang w:val="en-AU"/>
              </w:rPr>
              <w:t>Light commercial vehicles</w:t>
            </w:r>
          </w:p>
        </w:tc>
        <w:tc>
          <w:tcPr>
            <w:tcW w:w="2465" w:type="dxa"/>
          </w:tcPr>
          <w:p w14:paraId="4A08422B" w14:textId="77777777" w:rsidR="002134EA" w:rsidRPr="00404724" w:rsidRDefault="002134EA" w:rsidP="00793950">
            <w:pPr>
              <w:spacing w:before="80"/>
              <w:rPr>
                <w:rFonts w:asciiTheme="minorHAnsi" w:hAnsiTheme="minorHAnsi"/>
                <w:lang w:val="en-AU"/>
              </w:rPr>
            </w:pPr>
            <w:r w:rsidRPr="00404724">
              <w:rPr>
                <w:rFonts w:asciiTheme="minorHAnsi" w:hAnsiTheme="minorHAnsi"/>
                <w:lang w:val="en-AU"/>
              </w:rPr>
              <w:t>Major cities</w:t>
            </w:r>
          </w:p>
        </w:tc>
        <w:tc>
          <w:tcPr>
            <w:tcW w:w="2467" w:type="dxa"/>
          </w:tcPr>
          <w:p w14:paraId="39DF40E4" w14:textId="77777777" w:rsidR="002134EA" w:rsidRPr="00404724" w:rsidRDefault="002134EA" w:rsidP="00E85B60">
            <w:pPr>
              <w:spacing w:before="80"/>
              <w:jc w:val="right"/>
              <w:rPr>
                <w:rFonts w:asciiTheme="minorHAnsi" w:hAnsiTheme="minorHAnsi"/>
                <w:lang w:val="en-AU"/>
              </w:rPr>
            </w:pPr>
            <w:r w:rsidRPr="00404724">
              <w:rPr>
                <w:rFonts w:asciiTheme="minorHAnsi" w:hAnsiTheme="minorHAnsi"/>
                <w:lang w:val="en-AU"/>
              </w:rPr>
              <w:t>11.43</w:t>
            </w:r>
          </w:p>
        </w:tc>
        <w:tc>
          <w:tcPr>
            <w:tcW w:w="2467" w:type="dxa"/>
          </w:tcPr>
          <w:p w14:paraId="44C9396E" w14:textId="77777777" w:rsidR="002134EA" w:rsidRPr="00404724" w:rsidRDefault="002134EA" w:rsidP="00E85B60">
            <w:pPr>
              <w:spacing w:before="80"/>
              <w:jc w:val="right"/>
              <w:rPr>
                <w:rFonts w:asciiTheme="minorHAnsi" w:hAnsiTheme="minorHAnsi"/>
                <w:lang w:val="en-AU"/>
              </w:rPr>
            </w:pPr>
            <w:r w:rsidRPr="00404724">
              <w:rPr>
                <w:rFonts w:asciiTheme="minorHAnsi" w:hAnsiTheme="minorHAnsi"/>
                <w:lang w:val="en-AU"/>
              </w:rPr>
              <w:t>7.87</w:t>
            </w:r>
          </w:p>
        </w:tc>
      </w:tr>
      <w:tr w:rsidR="002134EA" w:rsidRPr="00404724" w14:paraId="414065FB" w14:textId="77777777" w:rsidTr="002134EA">
        <w:trPr>
          <w:cantSplit/>
        </w:trPr>
        <w:tc>
          <w:tcPr>
            <w:tcW w:w="2465" w:type="dxa"/>
            <w:vMerge/>
          </w:tcPr>
          <w:p w14:paraId="64E0AA89" w14:textId="77777777" w:rsidR="002134EA" w:rsidRPr="00404724" w:rsidRDefault="002134EA" w:rsidP="00793950">
            <w:pPr>
              <w:spacing w:before="80"/>
              <w:rPr>
                <w:rFonts w:asciiTheme="minorHAnsi" w:hAnsiTheme="minorHAnsi"/>
                <w:lang w:val="en-AU"/>
              </w:rPr>
            </w:pPr>
          </w:p>
        </w:tc>
        <w:tc>
          <w:tcPr>
            <w:tcW w:w="2465" w:type="dxa"/>
          </w:tcPr>
          <w:p w14:paraId="19FB2C9A" w14:textId="77777777" w:rsidR="002134EA" w:rsidRPr="00404724" w:rsidRDefault="002134EA" w:rsidP="00793950">
            <w:pPr>
              <w:spacing w:before="80"/>
              <w:rPr>
                <w:rFonts w:asciiTheme="minorHAnsi" w:hAnsiTheme="minorHAnsi"/>
                <w:lang w:val="en-AU"/>
              </w:rPr>
            </w:pPr>
            <w:r w:rsidRPr="00404724">
              <w:rPr>
                <w:rFonts w:asciiTheme="minorHAnsi" w:hAnsiTheme="minorHAnsi"/>
                <w:lang w:val="en-AU"/>
              </w:rPr>
              <w:t>Inner regional</w:t>
            </w:r>
          </w:p>
        </w:tc>
        <w:tc>
          <w:tcPr>
            <w:tcW w:w="2467" w:type="dxa"/>
          </w:tcPr>
          <w:p w14:paraId="53EAD9D3" w14:textId="77777777" w:rsidR="002134EA" w:rsidRPr="00404724" w:rsidRDefault="002134EA" w:rsidP="00E85B60">
            <w:pPr>
              <w:spacing w:before="80"/>
              <w:jc w:val="right"/>
              <w:rPr>
                <w:rFonts w:asciiTheme="minorHAnsi" w:hAnsiTheme="minorHAnsi"/>
                <w:lang w:val="en-AU"/>
              </w:rPr>
            </w:pPr>
            <w:r w:rsidRPr="00404724">
              <w:rPr>
                <w:rFonts w:asciiTheme="minorHAnsi" w:hAnsiTheme="minorHAnsi"/>
                <w:lang w:val="en-AU"/>
              </w:rPr>
              <w:t>11.46</w:t>
            </w:r>
          </w:p>
        </w:tc>
        <w:tc>
          <w:tcPr>
            <w:tcW w:w="2467" w:type="dxa"/>
          </w:tcPr>
          <w:p w14:paraId="73B3513C" w14:textId="77777777" w:rsidR="002134EA" w:rsidRPr="00404724" w:rsidRDefault="002134EA" w:rsidP="00E85B60">
            <w:pPr>
              <w:spacing w:before="80"/>
              <w:jc w:val="right"/>
              <w:rPr>
                <w:rFonts w:asciiTheme="minorHAnsi" w:hAnsiTheme="minorHAnsi"/>
                <w:lang w:val="en-AU"/>
              </w:rPr>
            </w:pPr>
            <w:r w:rsidRPr="00404724">
              <w:rPr>
                <w:rFonts w:asciiTheme="minorHAnsi" w:hAnsiTheme="minorHAnsi"/>
                <w:lang w:val="en-AU"/>
              </w:rPr>
              <w:t>8.62</w:t>
            </w:r>
          </w:p>
        </w:tc>
      </w:tr>
      <w:tr w:rsidR="002134EA" w:rsidRPr="00404724" w14:paraId="5BCF8146" w14:textId="77777777" w:rsidTr="002134EA">
        <w:trPr>
          <w:cantSplit/>
        </w:trPr>
        <w:tc>
          <w:tcPr>
            <w:tcW w:w="2465" w:type="dxa"/>
            <w:vMerge/>
          </w:tcPr>
          <w:p w14:paraId="5E951956" w14:textId="77777777" w:rsidR="002134EA" w:rsidRPr="00404724" w:rsidRDefault="002134EA" w:rsidP="00793950">
            <w:pPr>
              <w:spacing w:before="80"/>
              <w:rPr>
                <w:rFonts w:asciiTheme="minorHAnsi" w:hAnsiTheme="minorHAnsi"/>
                <w:lang w:val="en-AU"/>
              </w:rPr>
            </w:pPr>
          </w:p>
        </w:tc>
        <w:tc>
          <w:tcPr>
            <w:tcW w:w="2465" w:type="dxa"/>
          </w:tcPr>
          <w:p w14:paraId="18F9D934" w14:textId="77777777" w:rsidR="002134EA" w:rsidRPr="00404724" w:rsidRDefault="002134EA" w:rsidP="00793950">
            <w:pPr>
              <w:spacing w:before="80"/>
              <w:rPr>
                <w:rFonts w:asciiTheme="minorHAnsi" w:hAnsiTheme="minorHAnsi"/>
                <w:lang w:val="en-AU"/>
              </w:rPr>
            </w:pPr>
            <w:r w:rsidRPr="00404724">
              <w:rPr>
                <w:rFonts w:asciiTheme="minorHAnsi" w:hAnsiTheme="minorHAnsi"/>
                <w:lang w:val="en-AU"/>
              </w:rPr>
              <w:t>Outer regional</w:t>
            </w:r>
          </w:p>
        </w:tc>
        <w:tc>
          <w:tcPr>
            <w:tcW w:w="2467" w:type="dxa"/>
          </w:tcPr>
          <w:p w14:paraId="440E5504" w14:textId="77777777" w:rsidR="002134EA" w:rsidRPr="00404724" w:rsidRDefault="002134EA" w:rsidP="00E85B60">
            <w:pPr>
              <w:spacing w:before="80"/>
              <w:jc w:val="right"/>
              <w:rPr>
                <w:rFonts w:asciiTheme="minorHAnsi" w:hAnsiTheme="minorHAnsi"/>
                <w:lang w:val="en-AU"/>
              </w:rPr>
            </w:pPr>
            <w:r w:rsidRPr="00404724">
              <w:rPr>
                <w:rFonts w:asciiTheme="minorHAnsi" w:hAnsiTheme="minorHAnsi"/>
                <w:lang w:val="en-AU"/>
              </w:rPr>
              <w:t>11.47</w:t>
            </w:r>
          </w:p>
        </w:tc>
        <w:tc>
          <w:tcPr>
            <w:tcW w:w="2467" w:type="dxa"/>
          </w:tcPr>
          <w:p w14:paraId="74E04BF9" w14:textId="77777777" w:rsidR="002134EA" w:rsidRPr="00404724" w:rsidRDefault="002134EA" w:rsidP="00E85B60">
            <w:pPr>
              <w:spacing w:before="80"/>
              <w:jc w:val="right"/>
              <w:rPr>
                <w:rFonts w:asciiTheme="minorHAnsi" w:hAnsiTheme="minorHAnsi"/>
                <w:lang w:val="en-AU"/>
              </w:rPr>
            </w:pPr>
            <w:r w:rsidRPr="00404724">
              <w:rPr>
                <w:rFonts w:asciiTheme="minorHAnsi" w:hAnsiTheme="minorHAnsi"/>
                <w:lang w:val="en-AU"/>
              </w:rPr>
              <w:t>8.88</w:t>
            </w:r>
          </w:p>
        </w:tc>
      </w:tr>
      <w:tr w:rsidR="002134EA" w:rsidRPr="00404724" w14:paraId="11D399AB" w14:textId="77777777" w:rsidTr="002134EA">
        <w:trPr>
          <w:cantSplit/>
        </w:trPr>
        <w:tc>
          <w:tcPr>
            <w:tcW w:w="2465" w:type="dxa"/>
            <w:vMerge/>
          </w:tcPr>
          <w:p w14:paraId="429F30F9" w14:textId="77777777" w:rsidR="002134EA" w:rsidRPr="00404724" w:rsidRDefault="002134EA" w:rsidP="00793950">
            <w:pPr>
              <w:spacing w:before="80"/>
              <w:rPr>
                <w:rFonts w:asciiTheme="minorHAnsi" w:hAnsiTheme="minorHAnsi"/>
                <w:lang w:val="en-AU"/>
              </w:rPr>
            </w:pPr>
          </w:p>
        </w:tc>
        <w:tc>
          <w:tcPr>
            <w:tcW w:w="2465" w:type="dxa"/>
          </w:tcPr>
          <w:p w14:paraId="7026926D" w14:textId="77777777" w:rsidR="002134EA" w:rsidRPr="00404724" w:rsidRDefault="002134EA" w:rsidP="00793950">
            <w:pPr>
              <w:spacing w:before="80"/>
              <w:rPr>
                <w:rFonts w:asciiTheme="minorHAnsi" w:hAnsiTheme="minorHAnsi"/>
                <w:lang w:val="en-AU"/>
              </w:rPr>
            </w:pPr>
            <w:r w:rsidRPr="00404724">
              <w:rPr>
                <w:rFonts w:asciiTheme="minorHAnsi" w:hAnsiTheme="minorHAnsi"/>
                <w:lang w:val="en-AU"/>
              </w:rPr>
              <w:t>Remote</w:t>
            </w:r>
          </w:p>
        </w:tc>
        <w:tc>
          <w:tcPr>
            <w:tcW w:w="2467" w:type="dxa"/>
          </w:tcPr>
          <w:p w14:paraId="12CC54DD" w14:textId="77777777" w:rsidR="002134EA" w:rsidRPr="00404724" w:rsidRDefault="002134EA" w:rsidP="00E85B60">
            <w:pPr>
              <w:spacing w:before="80"/>
              <w:jc w:val="right"/>
              <w:rPr>
                <w:rFonts w:asciiTheme="minorHAnsi" w:hAnsiTheme="minorHAnsi"/>
                <w:lang w:val="en-AU"/>
              </w:rPr>
            </w:pPr>
            <w:r w:rsidRPr="00404724">
              <w:rPr>
                <w:rFonts w:asciiTheme="minorHAnsi" w:hAnsiTheme="minorHAnsi"/>
                <w:lang w:val="en-AU"/>
              </w:rPr>
              <w:t>11.48</w:t>
            </w:r>
          </w:p>
        </w:tc>
        <w:tc>
          <w:tcPr>
            <w:tcW w:w="2467" w:type="dxa"/>
          </w:tcPr>
          <w:p w14:paraId="43E0601A" w14:textId="77777777" w:rsidR="002134EA" w:rsidRPr="00404724" w:rsidRDefault="002134EA" w:rsidP="00E85B60">
            <w:pPr>
              <w:spacing w:before="80"/>
              <w:jc w:val="right"/>
              <w:rPr>
                <w:rFonts w:asciiTheme="minorHAnsi" w:hAnsiTheme="minorHAnsi"/>
                <w:lang w:val="en-AU"/>
              </w:rPr>
            </w:pPr>
            <w:r w:rsidRPr="00404724">
              <w:rPr>
                <w:rFonts w:asciiTheme="minorHAnsi" w:hAnsiTheme="minorHAnsi"/>
                <w:lang w:val="en-AU"/>
              </w:rPr>
              <w:t>9.06</w:t>
            </w:r>
          </w:p>
        </w:tc>
      </w:tr>
      <w:tr w:rsidR="002134EA" w:rsidRPr="00404724" w14:paraId="3A754163" w14:textId="77777777" w:rsidTr="002134EA">
        <w:trPr>
          <w:cantSplit/>
        </w:trPr>
        <w:tc>
          <w:tcPr>
            <w:tcW w:w="2465" w:type="dxa"/>
            <w:vMerge/>
          </w:tcPr>
          <w:p w14:paraId="7DBAEEE3" w14:textId="77777777" w:rsidR="002134EA" w:rsidRPr="00404724" w:rsidRDefault="002134EA" w:rsidP="00793950">
            <w:pPr>
              <w:spacing w:before="80"/>
              <w:rPr>
                <w:rFonts w:asciiTheme="minorHAnsi" w:hAnsiTheme="minorHAnsi"/>
                <w:lang w:val="en-AU"/>
              </w:rPr>
            </w:pPr>
          </w:p>
        </w:tc>
        <w:tc>
          <w:tcPr>
            <w:tcW w:w="2465" w:type="dxa"/>
          </w:tcPr>
          <w:p w14:paraId="076B7C65" w14:textId="77777777" w:rsidR="002134EA" w:rsidRPr="00404724" w:rsidRDefault="002134EA" w:rsidP="00793950">
            <w:pPr>
              <w:spacing w:before="80"/>
              <w:rPr>
                <w:rFonts w:asciiTheme="minorHAnsi" w:hAnsiTheme="minorHAnsi"/>
                <w:lang w:val="en-AU"/>
              </w:rPr>
            </w:pPr>
            <w:r w:rsidRPr="00404724">
              <w:rPr>
                <w:rFonts w:asciiTheme="minorHAnsi" w:hAnsiTheme="minorHAnsi"/>
                <w:lang w:val="en-AU"/>
              </w:rPr>
              <w:t>Very remote</w:t>
            </w:r>
          </w:p>
        </w:tc>
        <w:tc>
          <w:tcPr>
            <w:tcW w:w="2467" w:type="dxa"/>
          </w:tcPr>
          <w:p w14:paraId="418FE0F8" w14:textId="77777777" w:rsidR="002134EA" w:rsidRPr="00404724" w:rsidRDefault="002134EA" w:rsidP="00E85B60">
            <w:pPr>
              <w:spacing w:before="80"/>
              <w:jc w:val="right"/>
              <w:rPr>
                <w:rFonts w:asciiTheme="minorHAnsi" w:hAnsiTheme="minorHAnsi"/>
                <w:lang w:val="en-AU"/>
              </w:rPr>
            </w:pPr>
            <w:r w:rsidRPr="00404724">
              <w:rPr>
                <w:rFonts w:asciiTheme="minorHAnsi" w:hAnsiTheme="minorHAnsi"/>
                <w:lang w:val="en-AU"/>
              </w:rPr>
              <w:t>11.48</w:t>
            </w:r>
          </w:p>
        </w:tc>
        <w:tc>
          <w:tcPr>
            <w:tcW w:w="2467" w:type="dxa"/>
          </w:tcPr>
          <w:p w14:paraId="47B65F5D" w14:textId="77777777" w:rsidR="002134EA" w:rsidRPr="00404724" w:rsidRDefault="002134EA" w:rsidP="00E85B60">
            <w:pPr>
              <w:spacing w:before="80"/>
              <w:jc w:val="right"/>
              <w:rPr>
                <w:rFonts w:asciiTheme="minorHAnsi" w:hAnsiTheme="minorHAnsi"/>
                <w:lang w:val="en-AU"/>
              </w:rPr>
            </w:pPr>
            <w:r w:rsidRPr="00404724">
              <w:rPr>
                <w:rFonts w:asciiTheme="minorHAnsi" w:hAnsiTheme="minorHAnsi"/>
                <w:lang w:val="en-AU"/>
              </w:rPr>
              <w:t>9.08</w:t>
            </w:r>
          </w:p>
        </w:tc>
      </w:tr>
      <w:tr w:rsidR="002A5496" w:rsidRPr="00404724" w14:paraId="690E3129" w14:textId="77777777" w:rsidTr="002134EA">
        <w:trPr>
          <w:cantSplit/>
        </w:trPr>
        <w:tc>
          <w:tcPr>
            <w:tcW w:w="2465" w:type="dxa"/>
          </w:tcPr>
          <w:p w14:paraId="3F5A3B32"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Motorcycles</w:t>
            </w:r>
          </w:p>
        </w:tc>
        <w:tc>
          <w:tcPr>
            <w:tcW w:w="2465" w:type="dxa"/>
          </w:tcPr>
          <w:p w14:paraId="039DCAE7"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All</w:t>
            </w:r>
          </w:p>
        </w:tc>
        <w:tc>
          <w:tcPr>
            <w:tcW w:w="2467" w:type="dxa"/>
          </w:tcPr>
          <w:p w14:paraId="577DBC4F"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5.86</w:t>
            </w:r>
          </w:p>
        </w:tc>
        <w:tc>
          <w:tcPr>
            <w:tcW w:w="2467" w:type="dxa"/>
          </w:tcPr>
          <w:p w14:paraId="0DAE0BFA"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5.25</w:t>
            </w:r>
          </w:p>
        </w:tc>
      </w:tr>
      <w:tr w:rsidR="002A5496" w:rsidRPr="00404724" w14:paraId="1565718B" w14:textId="77777777" w:rsidTr="002134EA">
        <w:trPr>
          <w:cantSplit/>
        </w:trPr>
        <w:tc>
          <w:tcPr>
            <w:tcW w:w="2465" w:type="dxa"/>
          </w:tcPr>
          <w:p w14:paraId="6080ECB3"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Rigid trucks</w:t>
            </w:r>
          </w:p>
        </w:tc>
        <w:tc>
          <w:tcPr>
            <w:tcW w:w="2465" w:type="dxa"/>
          </w:tcPr>
          <w:p w14:paraId="4D058411"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All</w:t>
            </w:r>
          </w:p>
        </w:tc>
        <w:tc>
          <w:tcPr>
            <w:tcW w:w="2467" w:type="dxa"/>
          </w:tcPr>
          <w:p w14:paraId="67A84F5F"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26.56</w:t>
            </w:r>
          </w:p>
        </w:tc>
        <w:tc>
          <w:tcPr>
            <w:tcW w:w="2467" w:type="dxa"/>
          </w:tcPr>
          <w:p w14:paraId="3EF9EF7D"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21.68</w:t>
            </w:r>
          </w:p>
        </w:tc>
      </w:tr>
      <w:tr w:rsidR="002A5496" w:rsidRPr="00404724" w14:paraId="401E2A6B" w14:textId="77777777" w:rsidTr="002134EA">
        <w:trPr>
          <w:cantSplit/>
        </w:trPr>
        <w:tc>
          <w:tcPr>
            <w:tcW w:w="2465" w:type="dxa"/>
          </w:tcPr>
          <w:p w14:paraId="6FC1A0E2"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Articulated trucks</w:t>
            </w:r>
          </w:p>
        </w:tc>
        <w:tc>
          <w:tcPr>
            <w:tcW w:w="2465" w:type="dxa"/>
          </w:tcPr>
          <w:p w14:paraId="7245F190"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All</w:t>
            </w:r>
          </w:p>
        </w:tc>
        <w:tc>
          <w:tcPr>
            <w:tcW w:w="2467" w:type="dxa"/>
          </w:tcPr>
          <w:p w14:paraId="00511E13"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49.32</w:t>
            </w:r>
          </w:p>
        </w:tc>
        <w:tc>
          <w:tcPr>
            <w:tcW w:w="2467" w:type="dxa"/>
          </w:tcPr>
          <w:p w14:paraId="42FB5CA6"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40.25</w:t>
            </w:r>
          </w:p>
        </w:tc>
      </w:tr>
      <w:tr w:rsidR="002A5496" w:rsidRPr="00404724" w14:paraId="46D4DDC6" w14:textId="77777777" w:rsidTr="002134EA">
        <w:trPr>
          <w:cantSplit/>
        </w:trPr>
        <w:tc>
          <w:tcPr>
            <w:tcW w:w="2465" w:type="dxa"/>
          </w:tcPr>
          <w:p w14:paraId="604E1220"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Buses</w:t>
            </w:r>
          </w:p>
        </w:tc>
        <w:tc>
          <w:tcPr>
            <w:tcW w:w="2465" w:type="dxa"/>
          </w:tcPr>
          <w:p w14:paraId="2E1A4BDD"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All</w:t>
            </w:r>
          </w:p>
        </w:tc>
        <w:tc>
          <w:tcPr>
            <w:tcW w:w="2467" w:type="dxa"/>
          </w:tcPr>
          <w:p w14:paraId="41DD28E3"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25.82</w:t>
            </w:r>
          </w:p>
        </w:tc>
        <w:tc>
          <w:tcPr>
            <w:tcW w:w="2467" w:type="dxa"/>
          </w:tcPr>
          <w:p w14:paraId="5C7670DE" w14:textId="77777777"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21.07</w:t>
            </w:r>
          </w:p>
        </w:tc>
      </w:tr>
    </w:tbl>
    <w:p w14:paraId="6F4CC8B2" w14:textId="77777777" w:rsidR="002A5496" w:rsidRPr="00404724" w:rsidRDefault="002A5496" w:rsidP="00AE4E2F">
      <w:pPr>
        <w:pStyle w:val="Sourcenotes"/>
        <w:rPr>
          <w:lang w:val="en-AU"/>
        </w:rPr>
      </w:pPr>
      <w:r w:rsidRPr="00404724">
        <w:rPr>
          <w:lang w:val="en-AU"/>
        </w:rPr>
        <w:t>Source: ACIL Allen</w:t>
      </w:r>
    </w:p>
    <w:p w14:paraId="6FBC57B6" w14:textId="77777777" w:rsidR="002A5496" w:rsidRPr="00404724" w:rsidRDefault="002A5496" w:rsidP="004F36C3">
      <w:pPr>
        <w:pStyle w:val="Heading5"/>
      </w:pPr>
      <w:r w:rsidRPr="00404724">
        <w:t>Conversion to real-world emissions</w:t>
      </w:r>
    </w:p>
    <w:p w14:paraId="277DD57C" w14:textId="690FDBC0" w:rsidR="002A5496" w:rsidRPr="00404724" w:rsidRDefault="002A5496" w:rsidP="002A5496">
      <w:pPr>
        <w:pStyle w:val="BodyText"/>
      </w:pPr>
      <w:r w:rsidRPr="00404724">
        <w:t>The conversion from litres per 100 km to grams of CO</w:t>
      </w:r>
      <w:r w:rsidRPr="00404724">
        <w:rPr>
          <w:rFonts w:ascii="Cambria Math" w:hAnsi="Cambria Math" w:cs="Cambria Math"/>
        </w:rPr>
        <w:t>₂</w:t>
      </w:r>
      <w:r w:rsidRPr="00404724">
        <w:t xml:space="preserve"> per kilometre depends on the type of fuel consumed. Drawing on the ABS Survey of Motor Vehicle Use, </w:t>
      </w:r>
      <w:r w:rsidR="0090234D" w:rsidRPr="00404724">
        <w:t>a weighted</w:t>
      </w:r>
      <w:r w:rsidRPr="00404724">
        <w:t xml:space="preserve"> share of </w:t>
      </w:r>
      <w:r w:rsidR="0090234D" w:rsidRPr="00404724">
        <w:t>vehicle type</w:t>
      </w:r>
      <w:r w:rsidRPr="00404724">
        <w:t xml:space="preserve"> using petrol and diesel</w:t>
      </w:r>
      <w:r w:rsidR="0090234D" w:rsidRPr="00404724">
        <w:t xml:space="preserve"> was calculated and then applied to</w:t>
      </w:r>
      <w:r w:rsidRPr="00404724">
        <w:t xml:space="preserve"> conversion factors from International Council on Clean Transportation research</w:t>
      </w:r>
      <w:r w:rsidRPr="00404724">
        <w:rPr>
          <w:rStyle w:val="FootnoteReference"/>
        </w:rPr>
        <w:footnoteReference w:id="93"/>
      </w:r>
      <w:r w:rsidRPr="00404724">
        <w:rPr>
          <w:rFonts w:cs="Arial Narrow"/>
        </w:rPr>
        <w:t xml:space="preserve"> (</w:t>
      </w:r>
      <w:r w:rsidRPr="00404724">
        <w:t>26.8 gCO</w:t>
      </w:r>
      <w:r w:rsidRPr="00404724">
        <w:rPr>
          <w:rFonts w:ascii="Cambria Math" w:hAnsi="Cambria Math" w:cs="Cambria Math"/>
        </w:rPr>
        <w:t>₂</w:t>
      </w:r>
      <w:r w:rsidRPr="00404724">
        <w:t>/km per litre/100 km for diesel and 23.4 gCO</w:t>
      </w:r>
      <w:r w:rsidRPr="00404724">
        <w:rPr>
          <w:rFonts w:ascii="Cambria Math" w:hAnsi="Cambria Math" w:cs="Cambria Math"/>
        </w:rPr>
        <w:t>₂</w:t>
      </w:r>
      <w:r w:rsidRPr="00404724">
        <w:t xml:space="preserve">/km for petrol). </w:t>
      </w:r>
      <w:r w:rsidR="0090234D" w:rsidRPr="00404724">
        <w:t>T</w:t>
      </w:r>
      <w:r w:rsidRPr="00404724">
        <w:t>hese conversion factors are a blunt instrument and, given they are for passenger vehicles, likely over-estimate the efficiency of larger vehicles likes trucks and buses.</w:t>
      </w:r>
      <w:r w:rsidR="0090234D" w:rsidRPr="00404724">
        <w:t xml:space="preserve"> </w:t>
      </w:r>
    </w:p>
    <w:p w14:paraId="2173ACF9" w14:textId="3E4F7255" w:rsidR="002A5496" w:rsidRPr="00404724" w:rsidRDefault="002A5496" w:rsidP="003979C3">
      <w:pPr>
        <w:pStyle w:val="Tablefigureheading"/>
      </w:pPr>
      <w:bookmarkStart w:id="342" w:name="_Toc210040369"/>
      <w:bookmarkStart w:id="343" w:name="_Toc210051905"/>
      <w:r w:rsidRPr="00404724">
        <w:lastRenderedPageBreak/>
        <w:t>Table </w:t>
      </w:r>
      <w:r w:rsidR="00EC39D5">
        <w:fldChar w:fldCharType="begin"/>
      </w:r>
      <w:r w:rsidR="00EC39D5">
        <w:instrText xml:space="preserve"> SEQ Table \* ARABIC </w:instrText>
      </w:r>
      <w:r w:rsidR="00EC39D5">
        <w:fldChar w:fldCharType="separate"/>
      </w:r>
      <w:r w:rsidR="00BF489D">
        <w:rPr>
          <w:noProof/>
        </w:rPr>
        <w:t>24</w:t>
      </w:r>
      <w:r w:rsidR="00EC39D5">
        <w:rPr>
          <w:noProof/>
        </w:rPr>
        <w:fldChar w:fldCharType="end"/>
      </w:r>
      <w:r w:rsidRPr="00404724">
        <w:tab/>
        <w:t>Fuel efficiency assumptions (grams of carbon per kilometre)</w:t>
      </w:r>
      <w:bookmarkEnd w:id="342"/>
      <w:bookmarkEnd w:id="343"/>
    </w:p>
    <w:tbl>
      <w:tblPr>
        <w:tblStyle w:val="aacTableBasic"/>
        <w:tblW w:w="5000" w:type="pct"/>
        <w:tblLayout w:type="fixed"/>
        <w:tblLook w:val="04A0" w:firstRow="1" w:lastRow="0" w:firstColumn="1" w:lastColumn="0" w:noHBand="0" w:noVBand="1"/>
        <w:tblCaption w:val="Table 24 Fuel efficiency assumptions (grams of carbon per kilometre)"/>
        <w:tblDescription w:val="Table 24 Fuel efficiency assumptions (grams of carbon per kilometre)"/>
      </w:tblPr>
      <w:tblGrid>
        <w:gridCol w:w="2465"/>
        <w:gridCol w:w="2465"/>
        <w:gridCol w:w="2467"/>
        <w:gridCol w:w="2467"/>
      </w:tblGrid>
      <w:tr w:rsidR="002A5496" w:rsidRPr="00404724" w14:paraId="75A8BDCB" w14:textId="77777777" w:rsidTr="002134EA">
        <w:trPr>
          <w:cnfStyle w:val="100000000000" w:firstRow="1" w:lastRow="0" w:firstColumn="0" w:lastColumn="0" w:oddVBand="0" w:evenVBand="0" w:oddHBand="0" w:evenHBand="0" w:firstRowFirstColumn="0" w:firstRowLastColumn="0" w:lastRowFirstColumn="0" w:lastRowLastColumn="0"/>
          <w:cantSplit/>
          <w:tblHeader/>
        </w:trPr>
        <w:tc>
          <w:tcPr>
            <w:tcW w:w="2465" w:type="dxa"/>
          </w:tcPr>
          <w:p w14:paraId="6DBF8566" w14:textId="77777777" w:rsidR="002A5496" w:rsidRPr="00404724" w:rsidRDefault="002A5496" w:rsidP="004F36C3">
            <w:pPr>
              <w:keepNext/>
              <w:spacing w:before="80"/>
              <w:rPr>
                <w:rFonts w:asciiTheme="minorHAnsi" w:hAnsiTheme="minorHAnsi"/>
                <w:b/>
                <w:bCs/>
                <w:lang w:val="en-AU"/>
              </w:rPr>
            </w:pPr>
            <w:r w:rsidRPr="00404724">
              <w:rPr>
                <w:rFonts w:asciiTheme="minorHAnsi" w:hAnsiTheme="minorHAnsi"/>
                <w:b/>
                <w:bCs/>
                <w:lang w:val="en-AU"/>
              </w:rPr>
              <w:t>Vehicle</w:t>
            </w:r>
          </w:p>
        </w:tc>
        <w:tc>
          <w:tcPr>
            <w:tcW w:w="2465" w:type="dxa"/>
          </w:tcPr>
          <w:p w14:paraId="676D9C0E" w14:textId="77777777" w:rsidR="002A5496" w:rsidRPr="00404724" w:rsidRDefault="002A5496" w:rsidP="004F36C3">
            <w:pPr>
              <w:keepNext/>
              <w:spacing w:before="80"/>
              <w:rPr>
                <w:rFonts w:asciiTheme="minorHAnsi" w:hAnsiTheme="minorHAnsi"/>
                <w:b/>
                <w:bCs/>
                <w:lang w:val="en-AU"/>
              </w:rPr>
            </w:pPr>
            <w:r w:rsidRPr="00404724">
              <w:rPr>
                <w:rFonts w:asciiTheme="minorHAnsi" w:hAnsiTheme="minorHAnsi"/>
                <w:b/>
                <w:bCs/>
                <w:lang w:val="en-AU"/>
              </w:rPr>
              <w:t>Region</w:t>
            </w:r>
          </w:p>
        </w:tc>
        <w:tc>
          <w:tcPr>
            <w:tcW w:w="2467" w:type="dxa"/>
          </w:tcPr>
          <w:p w14:paraId="7308A49E" w14:textId="77777777" w:rsidR="002A5496" w:rsidRPr="00404724" w:rsidRDefault="002A5496" w:rsidP="004F36C3">
            <w:pPr>
              <w:keepNext/>
              <w:spacing w:before="80"/>
              <w:jc w:val="right"/>
              <w:rPr>
                <w:rFonts w:asciiTheme="minorHAnsi" w:hAnsiTheme="minorHAnsi"/>
                <w:b/>
                <w:bCs/>
                <w:lang w:val="en-AU"/>
              </w:rPr>
            </w:pPr>
            <w:r w:rsidRPr="00404724">
              <w:rPr>
                <w:rFonts w:asciiTheme="minorHAnsi" w:hAnsiTheme="minorHAnsi"/>
                <w:b/>
                <w:bCs/>
                <w:lang w:val="en-AU"/>
              </w:rPr>
              <w:t>2025</w:t>
            </w:r>
          </w:p>
        </w:tc>
        <w:tc>
          <w:tcPr>
            <w:tcW w:w="2467" w:type="dxa"/>
          </w:tcPr>
          <w:p w14:paraId="2DA031F1" w14:textId="77777777" w:rsidR="002A5496" w:rsidRPr="00404724" w:rsidRDefault="002A5496" w:rsidP="004F36C3">
            <w:pPr>
              <w:keepNext/>
              <w:spacing w:before="80"/>
              <w:jc w:val="right"/>
              <w:rPr>
                <w:rFonts w:asciiTheme="minorHAnsi" w:hAnsiTheme="minorHAnsi"/>
                <w:b/>
                <w:bCs/>
                <w:lang w:val="en-AU"/>
              </w:rPr>
            </w:pPr>
            <w:r w:rsidRPr="00404724">
              <w:rPr>
                <w:rFonts w:asciiTheme="minorHAnsi" w:hAnsiTheme="minorHAnsi"/>
                <w:b/>
                <w:bCs/>
                <w:lang w:val="en-AU"/>
              </w:rPr>
              <w:t>2036</w:t>
            </w:r>
          </w:p>
        </w:tc>
      </w:tr>
      <w:tr w:rsidR="002134EA" w:rsidRPr="00404724" w14:paraId="3E3CD639" w14:textId="77777777" w:rsidTr="002134EA">
        <w:trPr>
          <w:cantSplit/>
        </w:trPr>
        <w:tc>
          <w:tcPr>
            <w:tcW w:w="2465" w:type="dxa"/>
            <w:vMerge w:val="restart"/>
          </w:tcPr>
          <w:p w14:paraId="65860D61" w14:textId="77777777" w:rsidR="002134EA" w:rsidRPr="00404724" w:rsidRDefault="002134EA" w:rsidP="004F36C3">
            <w:pPr>
              <w:keepNext/>
              <w:spacing w:before="80"/>
              <w:rPr>
                <w:rFonts w:asciiTheme="minorHAnsi" w:hAnsiTheme="minorHAnsi"/>
                <w:lang w:val="en-AU"/>
              </w:rPr>
            </w:pPr>
            <w:r w:rsidRPr="00404724">
              <w:rPr>
                <w:rFonts w:asciiTheme="minorHAnsi" w:hAnsiTheme="minorHAnsi"/>
                <w:lang w:val="en-AU"/>
              </w:rPr>
              <w:t>Passenger vehicles</w:t>
            </w:r>
          </w:p>
        </w:tc>
        <w:tc>
          <w:tcPr>
            <w:tcW w:w="2465" w:type="dxa"/>
          </w:tcPr>
          <w:p w14:paraId="62BC2D29" w14:textId="77777777" w:rsidR="002134EA" w:rsidRPr="00404724" w:rsidRDefault="002134EA" w:rsidP="004F36C3">
            <w:pPr>
              <w:keepNext/>
              <w:spacing w:before="80"/>
              <w:rPr>
                <w:rFonts w:asciiTheme="minorHAnsi" w:hAnsiTheme="minorHAnsi"/>
                <w:lang w:val="en-AU"/>
              </w:rPr>
            </w:pPr>
            <w:r w:rsidRPr="00404724">
              <w:rPr>
                <w:rFonts w:asciiTheme="minorHAnsi" w:hAnsiTheme="minorHAnsi"/>
                <w:lang w:val="en-AU"/>
              </w:rPr>
              <w:t>Major cities</w:t>
            </w:r>
          </w:p>
        </w:tc>
        <w:tc>
          <w:tcPr>
            <w:tcW w:w="2467" w:type="dxa"/>
          </w:tcPr>
          <w:p w14:paraId="681D5F73" w14:textId="77777777" w:rsidR="002134EA" w:rsidRPr="00404724" w:rsidRDefault="002134EA" w:rsidP="004F36C3">
            <w:pPr>
              <w:keepNext/>
              <w:spacing w:before="80"/>
              <w:jc w:val="right"/>
              <w:rPr>
                <w:rFonts w:asciiTheme="minorHAnsi" w:hAnsiTheme="minorHAnsi"/>
                <w:lang w:val="en-AU"/>
              </w:rPr>
            </w:pPr>
            <w:r w:rsidRPr="00404724">
              <w:rPr>
                <w:rFonts w:asciiTheme="minorHAnsi" w:hAnsiTheme="minorHAnsi"/>
                <w:lang w:val="en-AU"/>
              </w:rPr>
              <w:t>237</w:t>
            </w:r>
          </w:p>
        </w:tc>
        <w:tc>
          <w:tcPr>
            <w:tcW w:w="2467" w:type="dxa"/>
          </w:tcPr>
          <w:p w14:paraId="49E3ABA6" w14:textId="77777777" w:rsidR="002134EA" w:rsidRPr="00404724" w:rsidRDefault="002134EA" w:rsidP="004F36C3">
            <w:pPr>
              <w:keepNext/>
              <w:spacing w:before="80"/>
              <w:jc w:val="right"/>
              <w:rPr>
                <w:rFonts w:asciiTheme="minorHAnsi" w:hAnsiTheme="minorHAnsi"/>
                <w:lang w:val="en-AU"/>
              </w:rPr>
            </w:pPr>
            <w:r w:rsidRPr="00404724">
              <w:rPr>
                <w:rFonts w:asciiTheme="minorHAnsi" w:hAnsiTheme="minorHAnsi"/>
                <w:lang w:val="en-AU"/>
              </w:rPr>
              <w:t>135</w:t>
            </w:r>
          </w:p>
        </w:tc>
      </w:tr>
      <w:tr w:rsidR="002134EA" w:rsidRPr="00404724" w14:paraId="1FB9F6E9" w14:textId="77777777" w:rsidTr="002134EA">
        <w:trPr>
          <w:cantSplit/>
        </w:trPr>
        <w:tc>
          <w:tcPr>
            <w:tcW w:w="2465" w:type="dxa"/>
            <w:vMerge/>
          </w:tcPr>
          <w:p w14:paraId="3EF31728" w14:textId="77777777" w:rsidR="002134EA" w:rsidRPr="00404724" w:rsidRDefault="002134EA" w:rsidP="004F36C3">
            <w:pPr>
              <w:keepNext/>
              <w:spacing w:before="80"/>
              <w:rPr>
                <w:rFonts w:asciiTheme="minorHAnsi" w:hAnsiTheme="minorHAnsi"/>
                <w:lang w:val="en-AU"/>
              </w:rPr>
            </w:pPr>
          </w:p>
        </w:tc>
        <w:tc>
          <w:tcPr>
            <w:tcW w:w="2465" w:type="dxa"/>
          </w:tcPr>
          <w:p w14:paraId="0ECC3A31" w14:textId="77777777" w:rsidR="002134EA" w:rsidRPr="00404724" w:rsidRDefault="002134EA" w:rsidP="004F36C3">
            <w:pPr>
              <w:keepNext/>
              <w:spacing w:before="80"/>
              <w:rPr>
                <w:rFonts w:asciiTheme="minorHAnsi" w:hAnsiTheme="minorHAnsi"/>
                <w:lang w:val="en-AU"/>
              </w:rPr>
            </w:pPr>
            <w:r w:rsidRPr="00404724">
              <w:rPr>
                <w:rFonts w:asciiTheme="minorHAnsi" w:hAnsiTheme="minorHAnsi"/>
                <w:lang w:val="en-AU"/>
              </w:rPr>
              <w:t>Inner regional</w:t>
            </w:r>
          </w:p>
        </w:tc>
        <w:tc>
          <w:tcPr>
            <w:tcW w:w="2467" w:type="dxa"/>
          </w:tcPr>
          <w:p w14:paraId="4BE1296A" w14:textId="77777777" w:rsidR="002134EA" w:rsidRPr="00404724" w:rsidRDefault="002134EA" w:rsidP="004F36C3">
            <w:pPr>
              <w:keepNext/>
              <w:spacing w:before="80"/>
              <w:jc w:val="right"/>
              <w:rPr>
                <w:rFonts w:asciiTheme="minorHAnsi" w:hAnsiTheme="minorHAnsi"/>
                <w:lang w:val="en-AU"/>
              </w:rPr>
            </w:pPr>
            <w:r w:rsidRPr="00404724">
              <w:rPr>
                <w:rFonts w:asciiTheme="minorHAnsi" w:hAnsiTheme="minorHAnsi"/>
                <w:lang w:val="en-AU"/>
              </w:rPr>
              <w:t>240</w:t>
            </w:r>
          </w:p>
        </w:tc>
        <w:tc>
          <w:tcPr>
            <w:tcW w:w="2467" w:type="dxa"/>
          </w:tcPr>
          <w:p w14:paraId="17FEA984" w14:textId="77777777" w:rsidR="002134EA" w:rsidRPr="00404724" w:rsidRDefault="002134EA" w:rsidP="004F36C3">
            <w:pPr>
              <w:keepNext/>
              <w:spacing w:before="80"/>
              <w:jc w:val="right"/>
              <w:rPr>
                <w:rFonts w:asciiTheme="minorHAnsi" w:hAnsiTheme="minorHAnsi"/>
                <w:lang w:val="en-AU"/>
              </w:rPr>
            </w:pPr>
            <w:r w:rsidRPr="00404724">
              <w:rPr>
                <w:rFonts w:asciiTheme="minorHAnsi" w:hAnsiTheme="minorHAnsi"/>
                <w:lang w:val="en-AU"/>
              </w:rPr>
              <w:t>148</w:t>
            </w:r>
          </w:p>
        </w:tc>
      </w:tr>
      <w:tr w:rsidR="002134EA" w:rsidRPr="00404724" w14:paraId="0DDBEAC7" w14:textId="77777777" w:rsidTr="002134EA">
        <w:trPr>
          <w:cantSplit/>
        </w:trPr>
        <w:tc>
          <w:tcPr>
            <w:tcW w:w="2465" w:type="dxa"/>
            <w:vMerge/>
          </w:tcPr>
          <w:p w14:paraId="3C4206D6" w14:textId="77777777" w:rsidR="002134EA" w:rsidRPr="00404724" w:rsidRDefault="002134EA" w:rsidP="004F36C3">
            <w:pPr>
              <w:keepNext/>
              <w:spacing w:before="80"/>
              <w:rPr>
                <w:rFonts w:asciiTheme="minorHAnsi" w:hAnsiTheme="minorHAnsi"/>
                <w:lang w:val="en-AU"/>
              </w:rPr>
            </w:pPr>
          </w:p>
        </w:tc>
        <w:tc>
          <w:tcPr>
            <w:tcW w:w="2465" w:type="dxa"/>
          </w:tcPr>
          <w:p w14:paraId="4C0D1071" w14:textId="77777777" w:rsidR="002134EA" w:rsidRPr="00404724" w:rsidRDefault="002134EA" w:rsidP="004F36C3">
            <w:pPr>
              <w:keepNext/>
              <w:spacing w:before="80"/>
              <w:rPr>
                <w:rFonts w:asciiTheme="minorHAnsi" w:hAnsiTheme="minorHAnsi"/>
                <w:lang w:val="en-AU"/>
              </w:rPr>
            </w:pPr>
            <w:r w:rsidRPr="00404724">
              <w:rPr>
                <w:rFonts w:asciiTheme="minorHAnsi" w:hAnsiTheme="minorHAnsi"/>
                <w:lang w:val="en-AU"/>
              </w:rPr>
              <w:t>Outer regional</w:t>
            </w:r>
          </w:p>
        </w:tc>
        <w:tc>
          <w:tcPr>
            <w:tcW w:w="2467" w:type="dxa"/>
          </w:tcPr>
          <w:p w14:paraId="2C3C8A94" w14:textId="77777777" w:rsidR="002134EA" w:rsidRPr="00404724" w:rsidRDefault="002134EA" w:rsidP="004F36C3">
            <w:pPr>
              <w:keepNext/>
              <w:spacing w:before="80"/>
              <w:jc w:val="right"/>
              <w:rPr>
                <w:rFonts w:asciiTheme="minorHAnsi" w:hAnsiTheme="minorHAnsi"/>
                <w:lang w:val="en-AU"/>
              </w:rPr>
            </w:pPr>
            <w:r w:rsidRPr="00404724">
              <w:rPr>
                <w:rFonts w:asciiTheme="minorHAnsi" w:hAnsiTheme="minorHAnsi"/>
                <w:lang w:val="en-AU"/>
              </w:rPr>
              <w:t>242</w:t>
            </w:r>
          </w:p>
        </w:tc>
        <w:tc>
          <w:tcPr>
            <w:tcW w:w="2467" w:type="dxa"/>
          </w:tcPr>
          <w:p w14:paraId="299D2D34" w14:textId="77777777" w:rsidR="002134EA" w:rsidRPr="00404724" w:rsidRDefault="002134EA" w:rsidP="004F36C3">
            <w:pPr>
              <w:keepNext/>
              <w:spacing w:before="80"/>
              <w:jc w:val="right"/>
              <w:rPr>
                <w:rFonts w:asciiTheme="minorHAnsi" w:hAnsiTheme="minorHAnsi"/>
                <w:lang w:val="en-AU"/>
              </w:rPr>
            </w:pPr>
            <w:r w:rsidRPr="00404724">
              <w:rPr>
                <w:rFonts w:asciiTheme="minorHAnsi" w:hAnsiTheme="minorHAnsi"/>
                <w:lang w:val="en-AU"/>
              </w:rPr>
              <w:t>157</w:t>
            </w:r>
          </w:p>
        </w:tc>
      </w:tr>
      <w:tr w:rsidR="002134EA" w:rsidRPr="00404724" w14:paraId="23650FCC" w14:textId="77777777" w:rsidTr="002134EA">
        <w:trPr>
          <w:cantSplit/>
        </w:trPr>
        <w:tc>
          <w:tcPr>
            <w:tcW w:w="2465" w:type="dxa"/>
            <w:vMerge/>
          </w:tcPr>
          <w:p w14:paraId="48CA8153" w14:textId="77777777" w:rsidR="002134EA" w:rsidRPr="00404724" w:rsidRDefault="002134EA" w:rsidP="004F36C3">
            <w:pPr>
              <w:keepNext/>
              <w:spacing w:before="80"/>
              <w:rPr>
                <w:rFonts w:asciiTheme="minorHAnsi" w:hAnsiTheme="minorHAnsi"/>
                <w:lang w:val="en-AU"/>
              </w:rPr>
            </w:pPr>
          </w:p>
        </w:tc>
        <w:tc>
          <w:tcPr>
            <w:tcW w:w="2465" w:type="dxa"/>
          </w:tcPr>
          <w:p w14:paraId="1BD02D5D" w14:textId="77777777" w:rsidR="002134EA" w:rsidRPr="00404724" w:rsidRDefault="002134EA" w:rsidP="004F36C3">
            <w:pPr>
              <w:keepNext/>
              <w:spacing w:before="80"/>
              <w:rPr>
                <w:rFonts w:asciiTheme="minorHAnsi" w:hAnsiTheme="minorHAnsi"/>
                <w:lang w:val="en-AU"/>
              </w:rPr>
            </w:pPr>
            <w:r w:rsidRPr="00404724">
              <w:rPr>
                <w:rFonts w:asciiTheme="minorHAnsi" w:hAnsiTheme="minorHAnsi"/>
                <w:lang w:val="en-AU"/>
              </w:rPr>
              <w:t>Remote</w:t>
            </w:r>
          </w:p>
        </w:tc>
        <w:tc>
          <w:tcPr>
            <w:tcW w:w="2467" w:type="dxa"/>
          </w:tcPr>
          <w:p w14:paraId="1C6904F4" w14:textId="77777777" w:rsidR="002134EA" w:rsidRPr="00404724" w:rsidRDefault="002134EA" w:rsidP="004F36C3">
            <w:pPr>
              <w:keepNext/>
              <w:spacing w:before="80"/>
              <w:jc w:val="right"/>
              <w:rPr>
                <w:rFonts w:asciiTheme="minorHAnsi" w:hAnsiTheme="minorHAnsi"/>
                <w:lang w:val="en-AU"/>
              </w:rPr>
            </w:pPr>
            <w:r w:rsidRPr="00404724">
              <w:rPr>
                <w:rFonts w:asciiTheme="minorHAnsi" w:hAnsiTheme="minorHAnsi"/>
                <w:lang w:val="en-AU"/>
              </w:rPr>
              <w:t>246</w:t>
            </w:r>
          </w:p>
        </w:tc>
        <w:tc>
          <w:tcPr>
            <w:tcW w:w="2467" w:type="dxa"/>
          </w:tcPr>
          <w:p w14:paraId="03EFD904" w14:textId="77777777" w:rsidR="002134EA" w:rsidRPr="00404724" w:rsidRDefault="002134EA" w:rsidP="004F36C3">
            <w:pPr>
              <w:keepNext/>
              <w:spacing w:before="80"/>
              <w:jc w:val="right"/>
              <w:rPr>
                <w:rFonts w:asciiTheme="minorHAnsi" w:hAnsiTheme="minorHAnsi"/>
                <w:lang w:val="en-AU"/>
              </w:rPr>
            </w:pPr>
            <w:r w:rsidRPr="00404724">
              <w:rPr>
                <w:rFonts w:asciiTheme="minorHAnsi" w:hAnsiTheme="minorHAnsi"/>
                <w:lang w:val="en-AU"/>
              </w:rPr>
              <w:t>174</w:t>
            </w:r>
          </w:p>
        </w:tc>
      </w:tr>
      <w:tr w:rsidR="002134EA" w:rsidRPr="00404724" w14:paraId="624667DD" w14:textId="77777777" w:rsidTr="002134EA">
        <w:trPr>
          <w:cantSplit/>
        </w:trPr>
        <w:tc>
          <w:tcPr>
            <w:tcW w:w="2465" w:type="dxa"/>
            <w:vMerge/>
          </w:tcPr>
          <w:p w14:paraId="771BD86D" w14:textId="77777777" w:rsidR="002134EA" w:rsidRPr="00404724" w:rsidRDefault="002134EA" w:rsidP="004F36C3">
            <w:pPr>
              <w:keepNext/>
              <w:spacing w:before="80"/>
              <w:rPr>
                <w:rFonts w:asciiTheme="minorHAnsi" w:hAnsiTheme="minorHAnsi"/>
                <w:lang w:val="en-AU"/>
              </w:rPr>
            </w:pPr>
          </w:p>
        </w:tc>
        <w:tc>
          <w:tcPr>
            <w:tcW w:w="2465" w:type="dxa"/>
          </w:tcPr>
          <w:p w14:paraId="024ACD34" w14:textId="77777777" w:rsidR="002134EA" w:rsidRPr="00404724" w:rsidRDefault="002134EA" w:rsidP="004F36C3">
            <w:pPr>
              <w:keepNext/>
              <w:spacing w:before="80"/>
              <w:rPr>
                <w:rFonts w:asciiTheme="minorHAnsi" w:hAnsiTheme="minorHAnsi"/>
                <w:lang w:val="en-AU"/>
              </w:rPr>
            </w:pPr>
            <w:r w:rsidRPr="00404724">
              <w:rPr>
                <w:rFonts w:asciiTheme="minorHAnsi" w:hAnsiTheme="minorHAnsi"/>
                <w:lang w:val="en-AU"/>
              </w:rPr>
              <w:t>Very remote</w:t>
            </w:r>
          </w:p>
        </w:tc>
        <w:tc>
          <w:tcPr>
            <w:tcW w:w="2467" w:type="dxa"/>
          </w:tcPr>
          <w:p w14:paraId="0AAF0442" w14:textId="77777777" w:rsidR="002134EA" w:rsidRPr="00404724" w:rsidRDefault="002134EA" w:rsidP="004F36C3">
            <w:pPr>
              <w:keepNext/>
              <w:spacing w:before="80"/>
              <w:jc w:val="right"/>
              <w:rPr>
                <w:rFonts w:asciiTheme="minorHAnsi" w:hAnsiTheme="minorHAnsi"/>
                <w:lang w:val="en-AU"/>
              </w:rPr>
            </w:pPr>
            <w:r w:rsidRPr="00404724">
              <w:rPr>
                <w:rFonts w:asciiTheme="minorHAnsi" w:hAnsiTheme="minorHAnsi"/>
                <w:lang w:val="en-AU"/>
              </w:rPr>
              <w:t>246</w:t>
            </w:r>
          </w:p>
        </w:tc>
        <w:tc>
          <w:tcPr>
            <w:tcW w:w="2467" w:type="dxa"/>
          </w:tcPr>
          <w:p w14:paraId="77430C93" w14:textId="77777777" w:rsidR="002134EA" w:rsidRPr="00404724" w:rsidRDefault="002134EA" w:rsidP="004F36C3">
            <w:pPr>
              <w:keepNext/>
              <w:spacing w:before="80"/>
              <w:jc w:val="right"/>
              <w:rPr>
                <w:rFonts w:asciiTheme="minorHAnsi" w:hAnsiTheme="minorHAnsi"/>
                <w:lang w:val="en-AU"/>
              </w:rPr>
            </w:pPr>
            <w:r w:rsidRPr="00404724">
              <w:rPr>
                <w:rFonts w:asciiTheme="minorHAnsi" w:hAnsiTheme="minorHAnsi"/>
                <w:lang w:val="en-AU"/>
              </w:rPr>
              <w:t>175</w:t>
            </w:r>
          </w:p>
        </w:tc>
      </w:tr>
      <w:tr w:rsidR="002134EA" w:rsidRPr="00404724" w14:paraId="78837AC7" w14:textId="77777777" w:rsidTr="002134EA">
        <w:trPr>
          <w:cantSplit/>
        </w:trPr>
        <w:tc>
          <w:tcPr>
            <w:tcW w:w="2465" w:type="dxa"/>
            <w:vMerge w:val="restart"/>
          </w:tcPr>
          <w:p w14:paraId="420B7FBF" w14:textId="77777777" w:rsidR="002134EA" w:rsidRPr="00404724" w:rsidRDefault="002134EA" w:rsidP="004F36C3">
            <w:pPr>
              <w:keepNext/>
              <w:spacing w:before="80"/>
              <w:rPr>
                <w:rFonts w:asciiTheme="minorHAnsi" w:hAnsiTheme="minorHAnsi"/>
                <w:lang w:val="en-AU"/>
              </w:rPr>
            </w:pPr>
            <w:r w:rsidRPr="00404724">
              <w:rPr>
                <w:rFonts w:asciiTheme="minorHAnsi" w:hAnsiTheme="minorHAnsi"/>
                <w:lang w:val="en-AU"/>
              </w:rPr>
              <w:t>Light commercial vehicles</w:t>
            </w:r>
          </w:p>
        </w:tc>
        <w:tc>
          <w:tcPr>
            <w:tcW w:w="2465" w:type="dxa"/>
          </w:tcPr>
          <w:p w14:paraId="4E30A2E5" w14:textId="77777777" w:rsidR="002134EA" w:rsidRPr="00404724" w:rsidRDefault="002134EA" w:rsidP="004F36C3">
            <w:pPr>
              <w:keepNext/>
              <w:spacing w:before="80"/>
              <w:rPr>
                <w:rFonts w:asciiTheme="minorHAnsi" w:hAnsiTheme="minorHAnsi"/>
                <w:lang w:val="en-AU"/>
              </w:rPr>
            </w:pPr>
            <w:r w:rsidRPr="00404724">
              <w:rPr>
                <w:rFonts w:asciiTheme="minorHAnsi" w:hAnsiTheme="minorHAnsi"/>
                <w:lang w:val="en-AU"/>
              </w:rPr>
              <w:t>Major cities</w:t>
            </w:r>
          </w:p>
        </w:tc>
        <w:tc>
          <w:tcPr>
            <w:tcW w:w="2467" w:type="dxa"/>
          </w:tcPr>
          <w:p w14:paraId="3AE6033C" w14:textId="77777777" w:rsidR="002134EA" w:rsidRPr="00404724" w:rsidRDefault="002134EA" w:rsidP="004F36C3">
            <w:pPr>
              <w:keepNext/>
              <w:spacing w:before="80"/>
              <w:jc w:val="right"/>
              <w:rPr>
                <w:rFonts w:asciiTheme="minorHAnsi" w:hAnsiTheme="minorHAnsi"/>
                <w:lang w:val="en-AU"/>
              </w:rPr>
            </w:pPr>
            <w:r w:rsidRPr="00404724">
              <w:rPr>
                <w:rFonts w:asciiTheme="minorHAnsi" w:hAnsiTheme="minorHAnsi"/>
                <w:lang w:val="en-AU"/>
              </w:rPr>
              <w:t>299</w:t>
            </w:r>
          </w:p>
        </w:tc>
        <w:tc>
          <w:tcPr>
            <w:tcW w:w="2467" w:type="dxa"/>
          </w:tcPr>
          <w:p w14:paraId="2516D8AF" w14:textId="77777777" w:rsidR="002134EA" w:rsidRPr="00404724" w:rsidRDefault="002134EA" w:rsidP="004F36C3">
            <w:pPr>
              <w:keepNext/>
              <w:spacing w:before="80"/>
              <w:jc w:val="right"/>
              <w:rPr>
                <w:rFonts w:asciiTheme="minorHAnsi" w:hAnsiTheme="minorHAnsi"/>
                <w:lang w:val="en-AU"/>
              </w:rPr>
            </w:pPr>
            <w:r w:rsidRPr="00404724">
              <w:rPr>
                <w:rFonts w:asciiTheme="minorHAnsi" w:hAnsiTheme="minorHAnsi"/>
                <w:lang w:val="en-AU"/>
              </w:rPr>
              <w:t>206</w:t>
            </w:r>
          </w:p>
        </w:tc>
      </w:tr>
      <w:tr w:rsidR="002134EA" w:rsidRPr="00404724" w14:paraId="6CE3D8FB" w14:textId="77777777" w:rsidTr="002134EA">
        <w:trPr>
          <w:cantSplit/>
        </w:trPr>
        <w:tc>
          <w:tcPr>
            <w:tcW w:w="2465" w:type="dxa"/>
            <w:vMerge/>
          </w:tcPr>
          <w:p w14:paraId="670A0FE3" w14:textId="77777777" w:rsidR="002134EA" w:rsidRPr="00404724" w:rsidRDefault="002134EA" w:rsidP="00793950">
            <w:pPr>
              <w:spacing w:before="80"/>
              <w:rPr>
                <w:rFonts w:asciiTheme="minorHAnsi" w:hAnsiTheme="minorHAnsi"/>
                <w:lang w:val="en-AU"/>
              </w:rPr>
            </w:pPr>
          </w:p>
        </w:tc>
        <w:tc>
          <w:tcPr>
            <w:tcW w:w="2465" w:type="dxa"/>
          </w:tcPr>
          <w:p w14:paraId="08107160" w14:textId="77777777" w:rsidR="002134EA" w:rsidRPr="00404724" w:rsidRDefault="002134EA" w:rsidP="00793950">
            <w:pPr>
              <w:spacing w:before="80"/>
              <w:rPr>
                <w:rFonts w:asciiTheme="minorHAnsi" w:hAnsiTheme="minorHAnsi"/>
                <w:lang w:val="en-AU"/>
              </w:rPr>
            </w:pPr>
            <w:r w:rsidRPr="00404724">
              <w:rPr>
                <w:rFonts w:asciiTheme="minorHAnsi" w:hAnsiTheme="minorHAnsi"/>
                <w:lang w:val="en-AU"/>
              </w:rPr>
              <w:t>Inner regional</w:t>
            </w:r>
          </w:p>
        </w:tc>
        <w:tc>
          <w:tcPr>
            <w:tcW w:w="2467" w:type="dxa"/>
          </w:tcPr>
          <w:p w14:paraId="79DA37A7" w14:textId="77777777" w:rsidR="002134EA" w:rsidRPr="00404724" w:rsidRDefault="002134EA" w:rsidP="00E85B60">
            <w:pPr>
              <w:spacing w:before="80"/>
              <w:jc w:val="right"/>
              <w:rPr>
                <w:rFonts w:asciiTheme="minorHAnsi" w:hAnsiTheme="minorHAnsi"/>
                <w:lang w:val="en-AU"/>
              </w:rPr>
            </w:pPr>
            <w:r w:rsidRPr="00404724">
              <w:rPr>
                <w:rFonts w:asciiTheme="minorHAnsi" w:hAnsiTheme="minorHAnsi"/>
                <w:lang w:val="en-AU"/>
              </w:rPr>
              <w:t>299</w:t>
            </w:r>
          </w:p>
        </w:tc>
        <w:tc>
          <w:tcPr>
            <w:tcW w:w="2467" w:type="dxa"/>
          </w:tcPr>
          <w:p w14:paraId="43960252" w14:textId="77777777" w:rsidR="002134EA" w:rsidRPr="00404724" w:rsidRDefault="002134EA" w:rsidP="00E85B60">
            <w:pPr>
              <w:spacing w:before="80"/>
              <w:jc w:val="right"/>
              <w:rPr>
                <w:rFonts w:asciiTheme="minorHAnsi" w:hAnsiTheme="minorHAnsi"/>
                <w:lang w:val="en-AU"/>
              </w:rPr>
            </w:pPr>
            <w:r w:rsidRPr="00404724">
              <w:rPr>
                <w:rFonts w:asciiTheme="minorHAnsi" w:hAnsiTheme="minorHAnsi"/>
                <w:lang w:val="en-AU"/>
              </w:rPr>
              <w:t>225</w:t>
            </w:r>
          </w:p>
        </w:tc>
      </w:tr>
      <w:tr w:rsidR="002134EA" w:rsidRPr="00404724" w14:paraId="6D0294BF" w14:textId="77777777" w:rsidTr="002134EA">
        <w:trPr>
          <w:cantSplit/>
        </w:trPr>
        <w:tc>
          <w:tcPr>
            <w:tcW w:w="2465" w:type="dxa"/>
            <w:vMerge/>
          </w:tcPr>
          <w:p w14:paraId="7C08032D" w14:textId="77777777" w:rsidR="002134EA" w:rsidRPr="00404724" w:rsidRDefault="002134EA" w:rsidP="00793950">
            <w:pPr>
              <w:spacing w:before="80"/>
              <w:rPr>
                <w:rFonts w:asciiTheme="minorHAnsi" w:hAnsiTheme="minorHAnsi"/>
                <w:lang w:val="en-AU"/>
              </w:rPr>
            </w:pPr>
          </w:p>
        </w:tc>
        <w:tc>
          <w:tcPr>
            <w:tcW w:w="2465" w:type="dxa"/>
          </w:tcPr>
          <w:p w14:paraId="5A6EC810" w14:textId="77777777" w:rsidR="002134EA" w:rsidRPr="00404724" w:rsidRDefault="002134EA" w:rsidP="00793950">
            <w:pPr>
              <w:spacing w:before="80"/>
              <w:rPr>
                <w:rFonts w:asciiTheme="minorHAnsi" w:hAnsiTheme="minorHAnsi"/>
                <w:lang w:val="en-AU"/>
              </w:rPr>
            </w:pPr>
            <w:r w:rsidRPr="00404724">
              <w:rPr>
                <w:rFonts w:asciiTheme="minorHAnsi" w:hAnsiTheme="minorHAnsi"/>
                <w:lang w:val="en-AU"/>
              </w:rPr>
              <w:t>Outer regional</w:t>
            </w:r>
          </w:p>
        </w:tc>
        <w:tc>
          <w:tcPr>
            <w:tcW w:w="2467" w:type="dxa"/>
          </w:tcPr>
          <w:p w14:paraId="66FDEB3F" w14:textId="77777777" w:rsidR="002134EA" w:rsidRPr="00404724" w:rsidRDefault="002134EA" w:rsidP="00E85B60">
            <w:pPr>
              <w:spacing w:before="80"/>
              <w:jc w:val="right"/>
              <w:rPr>
                <w:rFonts w:asciiTheme="minorHAnsi" w:hAnsiTheme="minorHAnsi"/>
                <w:lang w:val="en-AU"/>
              </w:rPr>
            </w:pPr>
            <w:r w:rsidRPr="00404724">
              <w:rPr>
                <w:rFonts w:asciiTheme="minorHAnsi" w:hAnsiTheme="minorHAnsi"/>
                <w:lang w:val="en-AU"/>
              </w:rPr>
              <w:t>300</w:t>
            </w:r>
          </w:p>
        </w:tc>
        <w:tc>
          <w:tcPr>
            <w:tcW w:w="2467" w:type="dxa"/>
          </w:tcPr>
          <w:p w14:paraId="3636BD22" w14:textId="77777777" w:rsidR="002134EA" w:rsidRPr="00404724" w:rsidRDefault="002134EA" w:rsidP="00E85B60">
            <w:pPr>
              <w:spacing w:before="80"/>
              <w:jc w:val="right"/>
              <w:rPr>
                <w:rFonts w:asciiTheme="minorHAnsi" w:hAnsiTheme="minorHAnsi"/>
                <w:lang w:val="en-AU"/>
              </w:rPr>
            </w:pPr>
            <w:r w:rsidRPr="00404724">
              <w:rPr>
                <w:rFonts w:asciiTheme="minorHAnsi" w:hAnsiTheme="minorHAnsi"/>
                <w:lang w:val="en-AU"/>
              </w:rPr>
              <w:t>232</w:t>
            </w:r>
          </w:p>
        </w:tc>
      </w:tr>
      <w:tr w:rsidR="002134EA" w:rsidRPr="00404724" w14:paraId="4CB1236A" w14:textId="77777777" w:rsidTr="002134EA">
        <w:trPr>
          <w:cantSplit/>
        </w:trPr>
        <w:tc>
          <w:tcPr>
            <w:tcW w:w="2465" w:type="dxa"/>
            <w:vMerge/>
          </w:tcPr>
          <w:p w14:paraId="17114399" w14:textId="77777777" w:rsidR="002134EA" w:rsidRPr="00404724" w:rsidRDefault="002134EA" w:rsidP="00793950">
            <w:pPr>
              <w:spacing w:before="80"/>
              <w:rPr>
                <w:rFonts w:asciiTheme="minorHAnsi" w:hAnsiTheme="minorHAnsi"/>
                <w:lang w:val="en-AU"/>
              </w:rPr>
            </w:pPr>
          </w:p>
        </w:tc>
        <w:tc>
          <w:tcPr>
            <w:tcW w:w="2465" w:type="dxa"/>
          </w:tcPr>
          <w:p w14:paraId="0C5B00C1" w14:textId="77777777" w:rsidR="002134EA" w:rsidRPr="00404724" w:rsidRDefault="002134EA" w:rsidP="00793950">
            <w:pPr>
              <w:spacing w:before="80"/>
              <w:rPr>
                <w:rFonts w:asciiTheme="minorHAnsi" w:hAnsiTheme="minorHAnsi"/>
                <w:lang w:val="en-AU"/>
              </w:rPr>
            </w:pPr>
            <w:r w:rsidRPr="00404724">
              <w:rPr>
                <w:rFonts w:asciiTheme="minorHAnsi" w:hAnsiTheme="minorHAnsi"/>
                <w:lang w:val="en-AU"/>
              </w:rPr>
              <w:t>Remote</w:t>
            </w:r>
          </w:p>
        </w:tc>
        <w:tc>
          <w:tcPr>
            <w:tcW w:w="2467" w:type="dxa"/>
          </w:tcPr>
          <w:p w14:paraId="1A389A1F" w14:textId="77777777" w:rsidR="002134EA" w:rsidRPr="00404724" w:rsidRDefault="002134EA" w:rsidP="00E85B60">
            <w:pPr>
              <w:spacing w:before="80"/>
              <w:jc w:val="right"/>
              <w:rPr>
                <w:rFonts w:asciiTheme="minorHAnsi" w:hAnsiTheme="minorHAnsi"/>
                <w:lang w:val="en-AU"/>
              </w:rPr>
            </w:pPr>
            <w:r w:rsidRPr="00404724">
              <w:rPr>
                <w:rFonts w:asciiTheme="minorHAnsi" w:hAnsiTheme="minorHAnsi"/>
                <w:lang w:val="en-AU"/>
              </w:rPr>
              <w:t>300</w:t>
            </w:r>
          </w:p>
        </w:tc>
        <w:tc>
          <w:tcPr>
            <w:tcW w:w="2467" w:type="dxa"/>
          </w:tcPr>
          <w:p w14:paraId="087D5EF9" w14:textId="77777777" w:rsidR="002134EA" w:rsidRPr="00404724" w:rsidRDefault="002134EA" w:rsidP="00E85B60">
            <w:pPr>
              <w:spacing w:before="80"/>
              <w:jc w:val="right"/>
              <w:rPr>
                <w:rFonts w:asciiTheme="minorHAnsi" w:hAnsiTheme="minorHAnsi"/>
                <w:lang w:val="en-AU"/>
              </w:rPr>
            </w:pPr>
            <w:r w:rsidRPr="00404724">
              <w:rPr>
                <w:rFonts w:asciiTheme="minorHAnsi" w:hAnsiTheme="minorHAnsi"/>
                <w:lang w:val="en-AU"/>
              </w:rPr>
              <w:t>237</w:t>
            </w:r>
          </w:p>
        </w:tc>
      </w:tr>
      <w:tr w:rsidR="002134EA" w:rsidRPr="00404724" w14:paraId="0CDC8E69" w14:textId="77777777" w:rsidTr="002134EA">
        <w:trPr>
          <w:cantSplit/>
        </w:trPr>
        <w:tc>
          <w:tcPr>
            <w:tcW w:w="2465" w:type="dxa"/>
            <w:vMerge/>
          </w:tcPr>
          <w:p w14:paraId="42A872BF" w14:textId="77777777" w:rsidR="002134EA" w:rsidRPr="00404724" w:rsidRDefault="002134EA" w:rsidP="00793950">
            <w:pPr>
              <w:spacing w:before="80"/>
              <w:rPr>
                <w:rFonts w:asciiTheme="minorHAnsi" w:hAnsiTheme="minorHAnsi"/>
                <w:lang w:val="en-AU"/>
              </w:rPr>
            </w:pPr>
          </w:p>
        </w:tc>
        <w:tc>
          <w:tcPr>
            <w:tcW w:w="2465" w:type="dxa"/>
          </w:tcPr>
          <w:p w14:paraId="5346F00A" w14:textId="77777777" w:rsidR="002134EA" w:rsidRPr="00404724" w:rsidRDefault="002134EA" w:rsidP="00793950">
            <w:pPr>
              <w:spacing w:before="80"/>
              <w:rPr>
                <w:rFonts w:asciiTheme="minorHAnsi" w:hAnsiTheme="minorHAnsi"/>
                <w:lang w:val="en-AU"/>
              </w:rPr>
            </w:pPr>
            <w:r w:rsidRPr="00404724">
              <w:rPr>
                <w:rFonts w:asciiTheme="minorHAnsi" w:hAnsiTheme="minorHAnsi"/>
                <w:lang w:val="en-AU"/>
              </w:rPr>
              <w:t>Very remote</w:t>
            </w:r>
          </w:p>
        </w:tc>
        <w:tc>
          <w:tcPr>
            <w:tcW w:w="2467" w:type="dxa"/>
          </w:tcPr>
          <w:p w14:paraId="637383A0" w14:textId="77777777" w:rsidR="002134EA" w:rsidRPr="00404724" w:rsidRDefault="002134EA" w:rsidP="00E85B60">
            <w:pPr>
              <w:spacing w:before="80"/>
              <w:jc w:val="right"/>
              <w:rPr>
                <w:rFonts w:asciiTheme="minorHAnsi" w:hAnsiTheme="minorHAnsi"/>
                <w:lang w:val="en-AU"/>
              </w:rPr>
            </w:pPr>
            <w:r w:rsidRPr="00404724">
              <w:rPr>
                <w:rFonts w:asciiTheme="minorHAnsi" w:hAnsiTheme="minorHAnsi"/>
                <w:lang w:val="en-AU"/>
              </w:rPr>
              <w:t>300</w:t>
            </w:r>
          </w:p>
        </w:tc>
        <w:tc>
          <w:tcPr>
            <w:tcW w:w="2467" w:type="dxa"/>
          </w:tcPr>
          <w:p w14:paraId="618D82B7" w14:textId="77777777" w:rsidR="002134EA" w:rsidRPr="00404724" w:rsidRDefault="002134EA" w:rsidP="00E85B60">
            <w:pPr>
              <w:spacing w:before="80"/>
              <w:jc w:val="right"/>
              <w:rPr>
                <w:rFonts w:asciiTheme="minorHAnsi" w:hAnsiTheme="minorHAnsi"/>
                <w:lang w:val="en-AU"/>
              </w:rPr>
            </w:pPr>
            <w:r w:rsidRPr="00404724">
              <w:rPr>
                <w:rFonts w:asciiTheme="minorHAnsi" w:hAnsiTheme="minorHAnsi"/>
                <w:lang w:val="en-AU"/>
              </w:rPr>
              <w:t>237</w:t>
            </w:r>
          </w:p>
        </w:tc>
      </w:tr>
      <w:tr w:rsidR="002A5496" w:rsidRPr="00404724" w14:paraId="68901B54" w14:textId="77777777" w:rsidTr="002134EA">
        <w:trPr>
          <w:cantSplit/>
        </w:trPr>
        <w:tc>
          <w:tcPr>
            <w:tcW w:w="2465" w:type="dxa"/>
          </w:tcPr>
          <w:p w14:paraId="04500327"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Motorcycles</w:t>
            </w:r>
          </w:p>
        </w:tc>
        <w:tc>
          <w:tcPr>
            <w:tcW w:w="2465" w:type="dxa"/>
          </w:tcPr>
          <w:p w14:paraId="0C959AB4"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All</w:t>
            </w:r>
          </w:p>
        </w:tc>
        <w:tc>
          <w:tcPr>
            <w:tcW w:w="2467" w:type="dxa"/>
          </w:tcPr>
          <w:p w14:paraId="625CB352" w14:textId="32288C9F"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137</w:t>
            </w:r>
          </w:p>
        </w:tc>
        <w:tc>
          <w:tcPr>
            <w:tcW w:w="2467" w:type="dxa"/>
          </w:tcPr>
          <w:p w14:paraId="19583904" w14:textId="75E4B555"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12</w:t>
            </w:r>
            <w:r w:rsidR="00793950" w:rsidRPr="00404724">
              <w:rPr>
                <w:rFonts w:asciiTheme="minorHAnsi" w:hAnsiTheme="minorHAnsi"/>
                <w:lang w:val="en-AU"/>
              </w:rPr>
              <w:t>3</w:t>
            </w:r>
          </w:p>
        </w:tc>
      </w:tr>
      <w:tr w:rsidR="002A5496" w:rsidRPr="00404724" w14:paraId="09471FC7" w14:textId="77777777" w:rsidTr="002134EA">
        <w:trPr>
          <w:cantSplit/>
        </w:trPr>
        <w:tc>
          <w:tcPr>
            <w:tcW w:w="2465" w:type="dxa"/>
          </w:tcPr>
          <w:p w14:paraId="7B754D4A"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Rigid trucks</w:t>
            </w:r>
          </w:p>
        </w:tc>
        <w:tc>
          <w:tcPr>
            <w:tcW w:w="2465" w:type="dxa"/>
          </w:tcPr>
          <w:p w14:paraId="5E22FFAD"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All</w:t>
            </w:r>
          </w:p>
        </w:tc>
        <w:tc>
          <w:tcPr>
            <w:tcW w:w="2467" w:type="dxa"/>
          </w:tcPr>
          <w:p w14:paraId="7FB769FC" w14:textId="6F83D19A"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71</w:t>
            </w:r>
            <w:r w:rsidR="00793950" w:rsidRPr="00404724">
              <w:rPr>
                <w:rFonts w:asciiTheme="minorHAnsi" w:hAnsiTheme="minorHAnsi"/>
                <w:lang w:val="en-AU"/>
              </w:rPr>
              <w:t>2</w:t>
            </w:r>
          </w:p>
        </w:tc>
        <w:tc>
          <w:tcPr>
            <w:tcW w:w="2467" w:type="dxa"/>
          </w:tcPr>
          <w:p w14:paraId="3A69D618" w14:textId="3F3A3355"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58</w:t>
            </w:r>
            <w:r w:rsidR="00793950" w:rsidRPr="00404724">
              <w:rPr>
                <w:rFonts w:asciiTheme="minorHAnsi" w:hAnsiTheme="minorHAnsi"/>
                <w:lang w:val="en-AU"/>
              </w:rPr>
              <w:t>1</w:t>
            </w:r>
          </w:p>
        </w:tc>
      </w:tr>
      <w:tr w:rsidR="002A5496" w:rsidRPr="00404724" w14:paraId="32A4626D" w14:textId="77777777" w:rsidTr="002134EA">
        <w:trPr>
          <w:cantSplit/>
        </w:trPr>
        <w:tc>
          <w:tcPr>
            <w:tcW w:w="2465" w:type="dxa"/>
          </w:tcPr>
          <w:p w14:paraId="089ACC98"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Articulated trucks</w:t>
            </w:r>
          </w:p>
        </w:tc>
        <w:tc>
          <w:tcPr>
            <w:tcW w:w="2465" w:type="dxa"/>
          </w:tcPr>
          <w:p w14:paraId="35A798A5"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All</w:t>
            </w:r>
          </w:p>
        </w:tc>
        <w:tc>
          <w:tcPr>
            <w:tcW w:w="2467" w:type="dxa"/>
          </w:tcPr>
          <w:p w14:paraId="7997B8F8" w14:textId="017A2F71"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1,32</w:t>
            </w:r>
            <w:r w:rsidR="00793950" w:rsidRPr="00404724">
              <w:rPr>
                <w:rFonts w:asciiTheme="minorHAnsi" w:hAnsiTheme="minorHAnsi"/>
                <w:lang w:val="en-AU"/>
              </w:rPr>
              <w:t>2</w:t>
            </w:r>
          </w:p>
        </w:tc>
        <w:tc>
          <w:tcPr>
            <w:tcW w:w="2467" w:type="dxa"/>
          </w:tcPr>
          <w:p w14:paraId="4CA009CA" w14:textId="7F7084F0"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1,07</w:t>
            </w:r>
            <w:r w:rsidR="00793950" w:rsidRPr="00404724">
              <w:rPr>
                <w:rFonts w:asciiTheme="minorHAnsi" w:hAnsiTheme="minorHAnsi"/>
                <w:lang w:val="en-AU"/>
              </w:rPr>
              <w:t>9</w:t>
            </w:r>
          </w:p>
        </w:tc>
      </w:tr>
      <w:tr w:rsidR="002A5496" w:rsidRPr="00404724" w14:paraId="474E5405" w14:textId="77777777" w:rsidTr="002134EA">
        <w:trPr>
          <w:cantSplit/>
        </w:trPr>
        <w:tc>
          <w:tcPr>
            <w:tcW w:w="2465" w:type="dxa"/>
          </w:tcPr>
          <w:p w14:paraId="6760B37B"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Buses</w:t>
            </w:r>
          </w:p>
        </w:tc>
        <w:tc>
          <w:tcPr>
            <w:tcW w:w="2465" w:type="dxa"/>
          </w:tcPr>
          <w:p w14:paraId="03D26541" w14:textId="77777777" w:rsidR="002A5496" w:rsidRPr="00404724" w:rsidRDefault="002A5496" w:rsidP="00793950">
            <w:pPr>
              <w:spacing w:before="80"/>
              <w:rPr>
                <w:rFonts w:asciiTheme="minorHAnsi" w:hAnsiTheme="minorHAnsi"/>
                <w:lang w:val="en-AU"/>
              </w:rPr>
            </w:pPr>
            <w:r w:rsidRPr="00404724">
              <w:rPr>
                <w:rFonts w:asciiTheme="minorHAnsi" w:hAnsiTheme="minorHAnsi"/>
                <w:lang w:val="en-AU"/>
              </w:rPr>
              <w:t>All</w:t>
            </w:r>
          </w:p>
        </w:tc>
        <w:tc>
          <w:tcPr>
            <w:tcW w:w="2467" w:type="dxa"/>
          </w:tcPr>
          <w:p w14:paraId="398333D9" w14:textId="713ED612"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68</w:t>
            </w:r>
            <w:r w:rsidR="00793950" w:rsidRPr="00404724">
              <w:rPr>
                <w:rFonts w:asciiTheme="minorHAnsi" w:hAnsiTheme="minorHAnsi"/>
                <w:lang w:val="en-AU"/>
              </w:rPr>
              <w:t>6</w:t>
            </w:r>
          </w:p>
        </w:tc>
        <w:tc>
          <w:tcPr>
            <w:tcW w:w="2467" w:type="dxa"/>
          </w:tcPr>
          <w:p w14:paraId="7968DF60" w14:textId="2FDF95F9" w:rsidR="002A5496" w:rsidRPr="00404724" w:rsidRDefault="002A5496" w:rsidP="00E85B60">
            <w:pPr>
              <w:spacing w:before="80"/>
              <w:jc w:val="right"/>
              <w:rPr>
                <w:rFonts w:asciiTheme="minorHAnsi" w:hAnsiTheme="minorHAnsi"/>
                <w:lang w:val="en-AU"/>
              </w:rPr>
            </w:pPr>
            <w:r w:rsidRPr="00404724">
              <w:rPr>
                <w:rFonts w:asciiTheme="minorHAnsi" w:hAnsiTheme="minorHAnsi"/>
                <w:lang w:val="en-AU"/>
              </w:rPr>
              <w:t>5</w:t>
            </w:r>
            <w:r w:rsidR="00793950" w:rsidRPr="00404724">
              <w:rPr>
                <w:rFonts w:asciiTheme="minorHAnsi" w:hAnsiTheme="minorHAnsi"/>
                <w:lang w:val="en-AU"/>
              </w:rPr>
              <w:t>60</w:t>
            </w:r>
          </w:p>
        </w:tc>
      </w:tr>
    </w:tbl>
    <w:p w14:paraId="22FA1E42" w14:textId="77777777" w:rsidR="002A5496" w:rsidRPr="00404724" w:rsidRDefault="002A5496" w:rsidP="00AE4E2F">
      <w:pPr>
        <w:pStyle w:val="Sourcenotes"/>
        <w:rPr>
          <w:lang w:val="en-AU"/>
        </w:rPr>
      </w:pPr>
      <w:r w:rsidRPr="00404724">
        <w:rPr>
          <w:lang w:val="en-AU"/>
        </w:rPr>
        <w:t>Source: ACIL Allen</w:t>
      </w:r>
    </w:p>
    <w:p w14:paraId="706786AA" w14:textId="7400A414" w:rsidR="002A5496" w:rsidRPr="00404724" w:rsidRDefault="00C4433C" w:rsidP="004F36C3">
      <w:pPr>
        <w:pStyle w:val="Heading4"/>
      </w:pPr>
      <w:bookmarkStart w:id="344" w:name="_Toc210042561"/>
      <w:bookmarkStart w:id="345" w:name="_Toc210049203"/>
      <w:bookmarkStart w:id="346" w:name="_Toc210051643"/>
      <w:bookmarkStart w:id="347" w:name="_Toc210051724"/>
      <w:r>
        <w:t>4</w:t>
      </w:r>
      <w:r w:rsidR="004F36C3">
        <w:t>.</w:t>
      </w:r>
      <w:r w:rsidR="001C12F9">
        <w:t>2</w:t>
      </w:r>
      <w:r w:rsidR="004F36C3">
        <w:t>.4</w:t>
      </w:r>
      <w:r w:rsidR="004F36C3">
        <w:tab/>
      </w:r>
      <w:r w:rsidR="002A5496" w:rsidRPr="00404724">
        <w:t>Fuel costs</w:t>
      </w:r>
      <w:bookmarkEnd w:id="344"/>
      <w:bookmarkEnd w:id="345"/>
      <w:bookmarkEnd w:id="346"/>
      <w:bookmarkEnd w:id="347"/>
    </w:p>
    <w:p w14:paraId="4EA62CE8" w14:textId="77777777" w:rsidR="002A5496" w:rsidRPr="00404724" w:rsidRDefault="002A5496" w:rsidP="00733A15">
      <w:r w:rsidRPr="00404724">
        <w:t xml:space="preserve">To estimate how changes in fuel efficiency from reduced speeds will impact drivers, it is necessary to make assumptions about future fuel prices. </w:t>
      </w:r>
    </w:p>
    <w:p w14:paraId="7AB8069C" w14:textId="04E06F34" w:rsidR="00B2675A" w:rsidRPr="00404724" w:rsidRDefault="002A5496" w:rsidP="00733A15">
      <w:r w:rsidRPr="00404724">
        <w:t>Fuel costs play a critical role in translating efficiency gains into monetary savings, as even small improvements in litres per 100 kilometres can result in different cost impacts depending on whether fuel prices are high or low. There may be energy efficiency gains for electric vehicles driven at reduced speeds; however, the literature on this is conflicting</w:t>
      </w:r>
      <w:r w:rsidRPr="00404724">
        <w:rPr>
          <w:strike/>
        </w:rPr>
        <w:t>.</w:t>
      </w:r>
      <w:r w:rsidR="005B4941" w:rsidRPr="00404724">
        <w:t xml:space="preserve"> </w:t>
      </w:r>
      <w:r w:rsidR="00B2675A" w:rsidRPr="00404724">
        <w:t xml:space="preserve">It was </w:t>
      </w:r>
      <w:r w:rsidR="005B4941" w:rsidRPr="00404724">
        <w:t>assumed that efficiency gains</w:t>
      </w:r>
      <w:r w:rsidR="00B2675A" w:rsidRPr="00404724">
        <w:t xml:space="preserve"> from a reduction in speed</w:t>
      </w:r>
      <w:r w:rsidR="005B4941" w:rsidRPr="00404724">
        <w:t xml:space="preserve"> of electric vehicles </w:t>
      </w:r>
      <w:r w:rsidR="00B2675A" w:rsidRPr="00404724">
        <w:t>is</w:t>
      </w:r>
      <w:r w:rsidR="005B4941" w:rsidRPr="00404724">
        <w:t xml:space="preserve"> similar to that of </w:t>
      </w:r>
      <w:r w:rsidR="00CD4649" w:rsidRPr="00404724">
        <w:t>petrol and diesel (international combustion engine, or ICE)</w:t>
      </w:r>
      <w:r w:rsidR="005B4941" w:rsidRPr="00404724">
        <w:t xml:space="preserve"> vehicles, and </w:t>
      </w:r>
      <w:r w:rsidR="00B2675A" w:rsidRPr="00404724">
        <w:t xml:space="preserve">that </w:t>
      </w:r>
      <w:r w:rsidR="005B4941" w:rsidRPr="00404724">
        <w:t xml:space="preserve">the operating costs of electric vehicles are similar to fuel costs. </w:t>
      </w:r>
      <w:r w:rsidR="001D73AE" w:rsidRPr="00404724">
        <w:t xml:space="preserve">The forecasted fuel prices used in the modelling were developed using advice from the Department of Industry and Science and set of conservative growth assumptions. </w:t>
      </w:r>
    </w:p>
    <w:p w14:paraId="1B2C4226" w14:textId="38E5C5B4" w:rsidR="0090234D" w:rsidRPr="00404724" w:rsidRDefault="0090234D" w:rsidP="003979C3">
      <w:pPr>
        <w:pStyle w:val="Tablefigureheading"/>
      </w:pPr>
      <w:bookmarkStart w:id="348" w:name="_Toc210040370"/>
      <w:bookmarkStart w:id="349" w:name="_Toc210051906"/>
      <w:r w:rsidRPr="00404724">
        <w:t>Table </w:t>
      </w:r>
      <w:r w:rsidR="00EC39D5">
        <w:fldChar w:fldCharType="begin"/>
      </w:r>
      <w:r w:rsidR="00EC39D5">
        <w:instrText xml:space="preserve"> SEQ Table \* ARABIC </w:instrText>
      </w:r>
      <w:r w:rsidR="00EC39D5">
        <w:fldChar w:fldCharType="separate"/>
      </w:r>
      <w:r w:rsidR="00BF489D">
        <w:rPr>
          <w:noProof/>
        </w:rPr>
        <w:t>25</w:t>
      </w:r>
      <w:r w:rsidR="00EC39D5">
        <w:rPr>
          <w:noProof/>
        </w:rPr>
        <w:fldChar w:fldCharType="end"/>
      </w:r>
      <w:r w:rsidRPr="00404724">
        <w:tab/>
      </w:r>
      <w:r w:rsidR="00CD4649" w:rsidRPr="00404724">
        <w:t>Projected f</w:t>
      </w:r>
      <w:r w:rsidRPr="00404724">
        <w:t>uel costs ($/litre)</w:t>
      </w:r>
      <w:bookmarkEnd w:id="348"/>
      <w:bookmarkEnd w:id="349"/>
    </w:p>
    <w:tbl>
      <w:tblPr>
        <w:tblStyle w:val="aacTableBasic"/>
        <w:tblW w:w="4958" w:type="pct"/>
        <w:tblLayout w:type="fixed"/>
        <w:tblLook w:val="04A0" w:firstRow="1" w:lastRow="0" w:firstColumn="1" w:lastColumn="0" w:noHBand="0" w:noVBand="1"/>
        <w:tblCaption w:val="Table 25 Projected fuel costs ($/litre)"/>
        <w:tblDescription w:val="Table 25 Projected fuel costs ($/litre)"/>
      </w:tblPr>
      <w:tblGrid>
        <w:gridCol w:w="3119"/>
        <w:gridCol w:w="2693"/>
        <w:gridCol w:w="3969"/>
      </w:tblGrid>
      <w:tr w:rsidR="0090234D" w:rsidRPr="00404724" w14:paraId="0BCA9017" w14:textId="77777777" w:rsidTr="0090234D">
        <w:trPr>
          <w:cnfStyle w:val="100000000000" w:firstRow="1" w:lastRow="0" w:firstColumn="0" w:lastColumn="0" w:oddVBand="0" w:evenVBand="0" w:oddHBand="0" w:evenHBand="0" w:firstRowFirstColumn="0" w:firstRowLastColumn="0" w:lastRowFirstColumn="0" w:lastRowLastColumn="0"/>
          <w:cantSplit/>
          <w:tblHeader/>
        </w:trPr>
        <w:tc>
          <w:tcPr>
            <w:tcW w:w="3119" w:type="dxa"/>
          </w:tcPr>
          <w:p w14:paraId="0BF27EAE" w14:textId="216F7AA3" w:rsidR="0090234D" w:rsidRPr="00404724" w:rsidRDefault="0090234D" w:rsidP="00BB5FCD">
            <w:pPr>
              <w:spacing w:before="80"/>
              <w:rPr>
                <w:rFonts w:asciiTheme="minorHAnsi" w:hAnsiTheme="minorHAnsi"/>
                <w:b/>
                <w:bCs/>
                <w:lang w:val="en-AU"/>
              </w:rPr>
            </w:pPr>
            <w:r w:rsidRPr="00404724">
              <w:rPr>
                <w:rFonts w:asciiTheme="minorHAnsi" w:hAnsiTheme="minorHAnsi"/>
                <w:b/>
                <w:bCs/>
                <w:lang w:val="en-AU"/>
              </w:rPr>
              <w:t>Input</w:t>
            </w:r>
          </w:p>
        </w:tc>
        <w:tc>
          <w:tcPr>
            <w:tcW w:w="2693" w:type="dxa"/>
          </w:tcPr>
          <w:p w14:paraId="2370D498" w14:textId="0B04F2A6" w:rsidR="0090234D" w:rsidRPr="00404724" w:rsidRDefault="0090234D" w:rsidP="00E85B60">
            <w:pPr>
              <w:spacing w:before="80"/>
              <w:jc w:val="center"/>
              <w:rPr>
                <w:rFonts w:asciiTheme="minorHAnsi" w:hAnsiTheme="minorHAnsi"/>
                <w:b/>
                <w:bCs/>
                <w:lang w:val="en-AU"/>
              </w:rPr>
            </w:pPr>
            <w:r w:rsidRPr="00404724">
              <w:rPr>
                <w:rFonts w:asciiTheme="minorHAnsi" w:hAnsiTheme="minorHAnsi"/>
                <w:b/>
                <w:bCs/>
                <w:lang w:val="en-AU"/>
              </w:rPr>
              <w:t>2026</w:t>
            </w:r>
          </w:p>
        </w:tc>
        <w:tc>
          <w:tcPr>
            <w:tcW w:w="3969" w:type="dxa"/>
          </w:tcPr>
          <w:p w14:paraId="3A989CF7" w14:textId="77777777" w:rsidR="0090234D" w:rsidRPr="00404724" w:rsidRDefault="0090234D" w:rsidP="00E85B60">
            <w:pPr>
              <w:spacing w:before="80"/>
              <w:jc w:val="center"/>
              <w:rPr>
                <w:rFonts w:asciiTheme="minorHAnsi" w:hAnsiTheme="minorHAnsi"/>
                <w:b/>
                <w:bCs/>
                <w:lang w:val="en-AU"/>
              </w:rPr>
            </w:pPr>
            <w:r w:rsidRPr="00404724">
              <w:rPr>
                <w:rFonts w:asciiTheme="minorHAnsi" w:hAnsiTheme="minorHAnsi"/>
                <w:b/>
                <w:bCs/>
                <w:lang w:val="en-AU"/>
              </w:rPr>
              <w:t>2036</w:t>
            </w:r>
          </w:p>
        </w:tc>
      </w:tr>
      <w:tr w:rsidR="0090234D" w:rsidRPr="00404724" w14:paraId="15F1F5F4" w14:textId="77777777" w:rsidTr="0090234D">
        <w:trPr>
          <w:cantSplit/>
        </w:trPr>
        <w:tc>
          <w:tcPr>
            <w:tcW w:w="3119" w:type="dxa"/>
          </w:tcPr>
          <w:p w14:paraId="2987D827" w14:textId="23120B9F" w:rsidR="0090234D" w:rsidRPr="00404724" w:rsidRDefault="0090234D" w:rsidP="00BB5FCD">
            <w:pPr>
              <w:spacing w:before="80"/>
              <w:rPr>
                <w:rFonts w:asciiTheme="minorHAnsi" w:hAnsiTheme="minorHAnsi"/>
                <w:lang w:val="en-AU"/>
              </w:rPr>
            </w:pPr>
            <w:r w:rsidRPr="00404724">
              <w:rPr>
                <w:rFonts w:asciiTheme="minorHAnsi" w:hAnsiTheme="minorHAnsi"/>
                <w:lang w:val="en-AU"/>
              </w:rPr>
              <w:t>Petrol price</w:t>
            </w:r>
          </w:p>
        </w:tc>
        <w:tc>
          <w:tcPr>
            <w:tcW w:w="2693" w:type="dxa"/>
          </w:tcPr>
          <w:p w14:paraId="409479CF" w14:textId="5367FE55" w:rsidR="0090234D" w:rsidRPr="00404724" w:rsidRDefault="0090234D" w:rsidP="00E85B60">
            <w:pPr>
              <w:spacing w:before="80"/>
              <w:jc w:val="center"/>
              <w:rPr>
                <w:rFonts w:asciiTheme="minorHAnsi" w:hAnsiTheme="minorHAnsi"/>
                <w:lang w:val="en-AU"/>
              </w:rPr>
            </w:pPr>
            <w:r w:rsidRPr="00404724">
              <w:rPr>
                <w:rFonts w:asciiTheme="minorHAnsi" w:hAnsiTheme="minorHAnsi"/>
                <w:lang w:val="en-AU"/>
              </w:rPr>
              <w:t>$1.62</w:t>
            </w:r>
          </w:p>
        </w:tc>
        <w:tc>
          <w:tcPr>
            <w:tcW w:w="3969" w:type="dxa"/>
          </w:tcPr>
          <w:p w14:paraId="1B11D3AB" w14:textId="68D172EA" w:rsidR="0090234D" w:rsidRPr="00404724" w:rsidRDefault="0090234D" w:rsidP="00E85B60">
            <w:pPr>
              <w:spacing w:before="80"/>
              <w:jc w:val="center"/>
              <w:rPr>
                <w:rFonts w:asciiTheme="minorHAnsi" w:hAnsiTheme="minorHAnsi"/>
                <w:lang w:val="en-AU"/>
              </w:rPr>
            </w:pPr>
            <w:r w:rsidRPr="00404724">
              <w:rPr>
                <w:rFonts w:asciiTheme="minorHAnsi" w:hAnsiTheme="minorHAnsi"/>
                <w:lang w:val="en-AU"/>
              </w:rPr>
              <w:t>$1.91</w:t>
            </w:r>
          </w:p>
        </w:tc>
      </w:tr>
      <w:tr w:rsidR="0090234D" w:rsidRPr="00404724" w14:paraId="74EC6635" w14:textId="77777777" w:rsidTr="0090234D">
        <w:trPr>
          <w:cantSplit/>
        </w:trPr>
        <w:tc>
          <w:tcPr>
            <w:tcW w:w="3119" w:type="dxa"/>
          </w:tcPr>
          <w:p w14:paraId="7E755945" w14:textId="27C68DBC" w:rsidR="0090234D" w:rsidRPr="00404724" w:rsidRDefault="0090234D" w:rsidP="00BB5FCD">
            <w:pPr>
              <w:spacing w:before="80"/>
              <w:rPr>
                <w:rFonts w:asciiTheme="minorHAnsi" w:hAnsiTheme="minorHAnsi"/>
                <w:lang w:val="en-AU"/>
              </w:rPr>
            </w:pPr>
            <w:r w:rsidRPr="00404724">
              <w:rPr>
                <w:rFonts w:asciiTheme="minorHAnsi" w:hAnsiTheme="minorHAnsi"/>
                <w:lang w:val="en-AU"/>
              </w:rPr>
              <w:t>Diesel price</w:t>
            </w:r>
          </w:p>
        </w:tc>
        <w:tc>
          <w:tcPr>
            <w:tcW w:w="2693" w:type="dxa"/>
          </w:tcPr>
          <w:p w14:paraId="3B4E3C18" w14:textId="6C457BA1" w:rsidR="0090234D" w:rsidRPr="00404724" w:rsidRDefault="0090234D" w:rsidP="00E85B60">
            <w:pPr>
              <w:spacing w:before="80"/>
              <w:jc w:val="center"/>
              <w:rPr>
                <w:rFonts w:asciiTheme="minorHAnsi" w:hAnsiTheme="minorHAnsi"/>
                <w:lang w:val="en-AU"/>
              </w:rPr>
            </w:pPr>
            <w:r w:rsidRPr="00404724">
              <w:rPr>
                <w:rFonts w:asciiTheme="minorHAnsi" w:hAnsiTheme="minorHAnsi"/>
                <w:lang w:val="en-AU"/>
              </w:rPr>
              <w:t>$1.61</w:t>
            </w:r>
          </w:p>
        </w:tc>
        <w:tc>
          <w:tcPr>
            <w:tcW w:w="3969" w:type="dxa"/>
          </w:tcPr>
          <w:p w14:paraId="43642BAD" w14:textId="58708A9C" w:rsidR="0090234D" w:rsidRPr="00404724" w:rsidRDefault="0090234D" w:rsidP="00E85B60">
            <w:pPr>
              <w:spacing w:before="80"/>
              <w:jc w:val="center"/>
              <w:rPr>
                <w:rFonts w:asciiTheme="minorHAnsi" w:hAnsiTheme="minorHAnsi"/>
                <w:lang w:val="en-AU"/>
              </w:rPr>
            </w:pPr>
            <w:r w:rsidRPr="00404724">
              <w:rPr>
                <w:rFonts w:asciiTheme="minorHAnsi" w:hAnsiTheme="minorHAnsi"/>
                <w:lang w:val="en-AU"/>
              </w:rPr>
              <w:t>$1.91</w:t>
            </w:r>
          </w:p>
        </w:tc>
      </w:tr>
    </w:tbl>
    <w:p w14:paraId="1CBA49E4" w14:textId="0C6EB5FE" w:rsidR="0090234D" w:rsidRPr="00404724" w:rsidRDefault="0090234D" w:rsidP="00AE4E2F">
      <w:pPr>
        <w:pStyle w:val="Sourcenotes"/>
        <w:rPr>
          <w:lang w:val="en-AU"/>
        </w:rPr>
      </w:pPr>
      <w:r w:rsidRPr="00404724">
        <w:rPr>
          <w:lang w:val="en-AU"/>
        </w:rPr>
        <w:t>Source: ACIL Allen</w:t>
      </w:r>
      <w:r w:rsidR="00B2675A" w:rsidRPr="00404724">
        <w:rPr>
          <w:lang w:val="en-AU"/>
        </w:rPr>
        <w:t xml:space="preserve"> based on advice from the Department of Industry, Science and Resources</w:t>
      </w:r>
    </w:p>
    <w:p w14:paraId="2975477A" w14:textId="7E4FBB8C" w:rsidR="0090234D" w:rsidRPr="00404724" w:rsidRDefault="00C4433C" w:rsidP="004F36C3">
      <w:pPr>
        <w:pStyle w:val="Heading3"/>
      </w:pPr>
      <w:bookmarkStart w:id="350" w:name="_Ref208567655"/>
      <w:bookmarkStart w:id="351" w:name="_Toc210040321"/>
      <w:bookmarkStart w:id="352" w:name="_Toc210042562"/>
      <w:bookmarkStart w:id="353" w:name="_Toc210049204"/>
      <w:bookmarkStart w:id="354" w:name="_Toc210051644"/>
      <w:bookmarkStart w:id="355" w:name="_Toc210051725"/>
      <w:r>
        <w:t>4</w:t>
      </w:r>
      <w:r w:rsidR="004F36C3">
        <w:t>.3</w:t>
      </w:r>
      <w:r w:rsidR="004F36C3">
        <w:tab/>
      </w:r>
      <w:r w:rsidR="0090234D" w:rsidRPr="00404724">
        <w:t>Determining the impact of change</w:t>
      </w:r>
      <w:bookmarkEnd w:id="350"/>
      <w:bookmarkEnd w:id="351"/>
      <w:bookmarkEnd w:id="352"/>
      <w:bookmarkEnd w:id="353"/>
      <w:bookmarkEnd w:id="354"/>
      <w:bookmarkEnd w:id="355"/>
    </w:p>
    <w:p w14:paraId="182F58D4" w14:textId="3B766D65" w:rsidR="0090234D" w:rsidRPr="00404724" w:rsidRDefault="00C4433C" w:rsidP="004F36C3">
      <w:pPr>
        <w:pStyle w:val="Heading4"/>
      </w:pPr>
      <w:bookmarkStart w:id="356" w:name="_Toc210042563"/>
      <w:bookmarkStart w:id="357" w:name="_Toc210049205"/>
      <w:bookmarkStart w:id="358" w:name="_Toc210051645"/>
      <w:bookmarkStart w:id="359" w:name="_Toc210051726"/>
      <w:r>
        <w:t>4</w:t>
      </w:r>
      <w:r w:rsidR="004F36C3">
        <w:t>.3.1</w:t>
      </w:r>
      <w:r w:rsidR="004F36C3">
        <w:tab/>
      </w:r>
      <w:r w:rsidR="0090234D" w:rsidRPr="00404724">
        <w:t>Impacts of change</w:t>
      </w:r>
      <w:bookmarkEnd w:id="356"/>
      <w:bookmarkEnd w:id="357"/>
      <w:bookmarkEnd w:id="358"/>
      <w:bookmarkEnd w:id="359"/>
    </w:p>
    <w:p w14:paraId="6B6F853F" w14:textId="006B4688" w:rsidR="0090234D" w:rsidRDefault="0090234D" w:rsidP="00BB77CB">
      <w:pPr>
        <w:pStyle w:val="BodyText"/>
        <w:keepNext/>
      </w:pPr>
      <w:r w:rsidRPr="00404724">
        <w:t xml:space="preserve">Under the above assumptions, most </w:t>
      </w:r>
      <w:r w:rsidRPr="00404724">
        <w:rPr>
          <w:i/>
        </w:rPr>
        <w:t xml:space="preserve">vehicles travelling on </w:t>
      </w:r>
      <w:r w:rsidR="005E4B70" w:rsidRPr="00404724">
        <w:rPr>
          <w:i/>
        </w:rPr>
        <w:t>default</w:t>
      </w:r>
      <w:r w:rsidRPr="00404724">
        <w:rPr>
          <w:i/>
        </w:rPr>
        <w:t xml:space="preserve"> roads </w:t>
      </w:r>
      <w:r w:rsidRPr="00404724">
        <w:t>will do so at lower speeds over the corresponding segments of their usual routes. C</w:t>
      </w:r>
      <w:r w:rsidRPr="00404724">
        <w:rPr>
          <w:i/>
          <w:iCs/>
        </w:rPr>
        <w:t>eteris paribus</w:t>
      </w:r>
      <w:r w:rsidRPr="00404724">
        <w:t>, this change will result in the following:</w:t>
      </w:r>
    </w:p>
    <w:p w14:paraId="30579FA0" w14:textId="33B7B36E" w:rsidR="0090234D" w:rsidRDefault="0090234D" w:rsidP="004F36C3">
      <w:pPr>
        <w:pStyle w:val="Listparagraphbullets"/>
        <w:spacing w:after="0"/>
      </w:pPr>
      <w:r w:rsidRPr="00404724">
        <w:t>Benefits:</w:t>
      </w:r>
    </w:p>
    <w:p w14:paraId="2C937998" w14:textId="77777777" w:rsidR="0090234D" w:rsidRPr="00404724" w:rsidRDefault="0090234D" w:rsidP="004F36C3">
      <w:pPr>
        <w:pStyle w:val="Listparagraphbulletssecondlevel"/>
      </w:pPr>
      <w:r w:rsidRPr="00404724">
        <w:t>Improved road safety: fewer FSI and collisions, reducing associated economic and social costs.</w:t>
      </w:r>
    </w:p>
    <w:p w14:paraId="30AC8619" w14:textId="77777777" w:rsidR="0090234D" w:rsidRPr="00404724" w:rsidRDefault="0090234D" w:rsidP="004F36C3">
      <w:pPr>
        <w:pStyle w:val="Listparagraphbulletssecondlevel"/>
      </w:pPr>
      <w:r w:rsidRPr="00404724">
        <w:t>Reduced fuel consumption: vehicles consume different volumes of fuel at different speeds, with lower speeds generally leading to reduced fuel use.</w:t>
      </w:r>
    </w:p>
    <w:p w14:paraId="65A14AAA" w14:textId="77777777" w:rsidR="0090234D" w:rsidRPr="00404724" w:rsidRDefault="0090234D" w:rsidP="004F36C3">
      <w:pPr>
        <w:pStyle w:val="Listparagraphbulletssecondlevel"/>
      </w:pPr>
      <w:r w:rsidRPr="00404724">
        <w:lastRenderedPageBreak/>
        <w:t>Lower vehicle emissions: driving at lower speeds can result in reduced emissions, depending on vehicle type and operating conditions.</w:t>
      </w:r>
    </w:p>
    <w:p w14:paraId="77BA56F0" w14:textId="77777777" w:rsidR="0090234D" w:rsidRPr="00404724" w:rsidRDefault="0090234D" w:rsidP="004F36C3">
      <w:pPr>
        <w:pStyle w:val="Listparagraphbulletssecondlevel"/>
      </w:pPr>
      <w:r w:rsidRPr="00404724">
        <w:t>Improved public health: lower emissions contribute to better air quality, which can reduce adverse health impacts.</w:t>
      </w:r>
    </w:p>
    <w:p w14:paraId="42A626B4" w14:textId="77777777" w:rsidR="0090234D" w:rsidRPr="00404724" w:rsidRDefault="0090234D" w:rsidP="004F36C3">
      <w:pPr>
        <w:pStyle w:val="Listparagraphbulletssecondlevel"/>
      </w:pPr>
      <w:r w:rsidRPr="00404724">
        <w:t>Other intangible benefits: such as improved community amenity, reduced noise, reduced road maintenance, and enhanced perceptions of safety.</w:t>
      </w:r>
    </w:p>
    <w:p w14:paraId="7B27A86B" w14:textId="77777777" w:rsidR="0090234D" w:rsidRPr="00404724" w:rsidRDefault="0090234D" w:rsidP="004F36C3">
      <w:pPr>
        <w:pStyle w:val="Listparagraphbullets"/>
        <w:spacing w:after="0"/>
      </w:pPr>
      <w:r w:rsidRPr="00404724">
        <w:t>Costs:</w:t>
      </w:r>
    </w:p>
    <w:p w14:paraId="3B7519B1" w14:textId="4AE5056D" w:rsidR="0090234D" w:rsidRPr="00404724" w:rsidRDefault="0090234D" w:rsidP="004F36C3">
      <w:pPr>
        <w:pStyle w:val="Listparagraphbulletssecondlevel"/>
      </w:pPr>
      <w:r w:rsidRPr="00404724">
        <w:t>Increased travel time: lower speeds extend journey durations for road users.</w:t>
      </w:r>
    </w:p>
    <w:p w14:paraId="166768DB" w14:textId="7010B852" w:rsidR="0090234D" w:rsidRPr="00404724" w:rsidRDefault="0090234D" w:rsidP="004F36C3">
      <w:pPr>
        <w:pStyle w:val="Listparagraphbulletssecondlevel"/>
      </w:pPr>
      <w:r w:rsidRPr="00404724">
        <w:t>Government costs: expenses associated with implementing the changes and educating the public</w:t>
      </w:r>
    </w:p>
    <w:p w14:paraId="182E4CF6" w14:textId="77777777" w:rsidR="0090234D" w:rsidRPr="00404724" w:rsidRDefault="0090234D" w:rsidP="004F36C3">
      <w:pPr>
        <w:pStyle w:val="Listparagraphbulletssecondlevel"/>
      </w:pPr>
      <w:r w:rsidRPr="00404724">
        <w:t>Other intangible costs: potential impacts such as reduced convenience or perceived loss of mobility, and social resistance (e.g. public opposition or negative media attention related to lowering speed limits).</w:t>
      </w:r>
    </w:p>
    <w:p w14:paraId="2201BACA" w14:textId="64885851" w:rsidR="0090234D" w:rsidRPr="00404724" w:rsidRDefault="00C4433C" w:rsidP="004F36C3">
      <w:pPr>
        <w:pStyle w:val="Heading4"/>
      </w:pPr>
      <w:bookmarkStart w:id="360" w:name="_Toc210042564"/>
      <w:bookmarkStart w:id="361" w:name="_Toc210049206"/>
      <w:bookmarkStart w:id="362" w:name="_Toc210051646"/>
      <w:bookmarkStart w:id="363" w:name="_Toc210051727"/>
      <w:r>
        <w:t>4</w:t>
      </w:r>
      <w:r w:rsidR="004F36C3">
        <w:t>.3.2</w:t>
      </w:r>
      <w:r w:rsidR="004F36C3">
        <w:tab/>
      </w:r>
      <w:r w:rsidR="0090234D" w:rsidRPr="00404724">
        <w:t>Road safety</w:t>
      </w:r>
      <w:r w:rsidR="00377B5A" w:rsidRPr="00404724">
        <w:t xml:space="preserve"> benefits</w:t>
      </w:r>
      <w:bookmarkEnd w:id="360"/>
      <w:bookmarkEnd w:id="361"/>
      <w:bookmarkEnd w:id="362"/>
      <w:bookmarkEnd w:id="363"/>
    </w:p>
    <w:p w14:paraId="098616A6" w14:textId="70F19BFF" w:rsidR="001E3DFF" w:rsidRPr="00404724" w:rsidRDefault="001E3DFF" w:rsidP="004F36C3">
      <w:pPr>
        <w:pStyle w:val="Heading5"/>
      </w:pPr>
      <w:r w:rsidRPr="00404724">
        <w:t>Modelling the reduction in Fatal and Serious Injuries</w:t>
      </w:r>
    </w:p>
    <w:p w14:paraId="26B57819" w14:textId="1D160ACA" w:rsidR="000077E3" w:rsidRPr="00404724" w:rsidRDefault="000077E3" w:rsidP="00C070C0">
      <w:r w:rsidRPr="00404724">
        <w:t xml:space="preserve">The relationship between speed changes and injury outcomes is a powerful one, with small reductions in travel speed leading to much larger reductions in fatal and injury outcomes. </w:t>
      </w:r>
      <w:r w:rsidR="00C070C0" w:rsidRPr="00404724">
        <w:t xml:space="preserve">This has been formalised into </w:t>
      </w:r>
      <w:r w:rsidR="00BB77CB" w:rsidRPr="00404724">
        <w:t xml:space="preserve">Nilsson’s </w:t>
      </w:r>
      <w:r w:rsidR="00C070C0" w:rsidRPr="00404724">
        <w:t>power law, which takes the following form:</w:t>
      </w:r>
      <w:r w:rsidR="003D2DA1" w:rsidRPr="00404724">
        <w:rPr>
          <w:rStyle w:val="FootnoteReference"/>
        </w:rPr>
        <w:footnoteReference w:id="94"/>
      </w:r>
    </w:p>
    <w:p w14:paraId="1ACD1965" w14:textId="77777777" w:rsidR="000077E3" w:rsidRPr="00404724" w:rsidRDefault="00EC39D5" w:rsidP="000077E3">
      <w:pPr>
        <w:jc w:val="center"/>
      </w:pPr>
      <m:oMathPara>
        <m:oMath>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after</m:t>
                      </m:r>
                    </m:sub>
                  </m:sSub>
                </m:num>
                <m:den>
                  <m:sSub>
                    <m:sSubPr>
                      <m:ctrlPr>
                        <w:rPr>
                          <w:rFonts w:ascii="Cambria Math" w:hAnsi="Cambria Math"/>
                        </w:rPr>
                      </m:ctrlPr>
                    </m:sSubPr>
                    <m:e>
                      <m:r>
                        <w:rPr>
                          <w:rFonts w:ascii="Cambria Math" w:hAnsi="Cambria Math"/>
                        </w:rPr>
                        <m:t>n</m:t>
                      </m:r>
                    </m:e>
                    <m:sub>
                      <m:r>
                        <w:rPr>
                          <w:rFonts w:ascii="Cambria Math" w:hAnsi="Cambria Math"/>
                        </w:rPr>
                        <m:t>before</m:t>
                      </m:r>
                    </m:sub>
                  </m:sSub>
                </m:den>
              </m:f>
            </m:e>
          </m:d>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after</m:t>
                          </m:r>
                        </m:sub>
                      </m:sSub>
                    </m:num>
                    <m:den>
                      <m:sSub>
                        <m:sSubPr>
                          <m:ctrlPr>
                            <w:rPr>
                              <w:rFonts w:ascii="Cambria Math" w:hAnsi="Cambria Math"/>
                            </w:rPr>
                          </m:ctrlPr>
                        </m:sSubPr>
                        <m:e>
                          <m:r>
                            <w:rPr>
                              <w:rFonts w:ascii="Cambria Math" w:hAnsi="Cambria Math"/>
                            </w:rPr>
                            <m:t>v</m:t>
                          </m:r>
                        </m:e>
                        <m:sub>
                          <m:r>
                            <w:rPr>
                              <w:rFonts w:ascii="Cambria Math" w:hAnsi="Cambria Math"/>
                            </w:rPr>
                            <m:t>before</m:t>
                          </m:r>
                        </m:sub>
                      </m:sSub>
                    </m:den>
                  </m:f>
                </m:e>
              </m:d>
            </m:e>
            <m:sup>
              <m:r>
                <w:rPr>
                  <w:rFonts w:ascii="Cambria Math" w:hAnsi="Cambria Math"/>
                </w:rPr>
                <m:t>p</m:t>
              </m:r>
            </m:sup>
          </m:sSup>
        </m:oMath>
      </m:oMathPara>
    </w:p>
    <w:p w14:paraId="49540804" w14:textId="77777777" w:rsidR="000077E3" w:rsidRPr="00404724" w:rsidRDefault="000077E3" w:rsidP="000077E3">
      <w:r w:rsidRPr="00404724">
        <w:t>Where:</w:t>
      </w:r>
    </w:p>
    <w:p w14:paraId="37C45081" w14:textId="77777777" w:rsidR="000077E3" w:rsidRPr="00404724" w:rsidRDefault="00EC39D5" w:rsidP="00485648">
      <w:pPr>
        <w:pStyle w:val="Listparagraphbullets"/>
      </w:pPr>
      <m:oMath>
        <m:sSub>
          <m:sSubPr>
            <m:ctrlPr>
              <w:rPr>
                <w:rFonts w:ascii="Cambria Math" w:hAnsi="Cambria Math"/>
              </w:rPr>
            </m:ctrlPr>
          </m:sSubPr>
          <m:e>
            <m:r>
              <w:rPr>
                <w:rFonts w:ascii="Cambria Math" w:hAnsi="Cambria Math"/>
              </w:rPr>
              <m:t>v</m:t>
            </m:r>
          </m:e>
          <m:sub>
            <m:r>
              <w:rPr>
                <w:rFonts w:ascii="Cambria Math" w:hAnsi="Cambria Math"/>
              </w:rPr>
              <m:t>before</m:t>
            </m:r>
          </m:sub>
        </m:sSub>
      </m:oMath>
      <w:r w:rsidR="000077E3" w:rsidRPr="00404724">
        <w:t xml:space="preserve"> is mean travel speed before the speed change</w:t>
      </w:r>
    </w:p>
    <w:p w14:paraId="0151308C" w14:textId="77777777" w:rsidR="000077E3" w:rsidRPr="00404724" w:rsidRDefault="00EC39D5" w:rsidP="00485648">
      <w:pPr>
        <w:pStyle w:val="Listparagraphbullets"/>
      </w:pPr>
      <m:oMath>
        <m:sSub>
          <m:sSubPr>
            <m:ctrlPr>
              <w:rPr>
                <w:rFonts w:ascii="Cambria Math" w:hAnsi="Cambria Math"/>
              </w:rPr>
            </m:ctrlPr>
          </m:sSubPr>
          <m:e>
            <m:r>
              <w:rPr>
                <w:rFonts w:ascii="Cambria Math" w:hAnsi="Cambria Math"/>
              </w:rPr>
              <m:t>v</m:t>
            </m:r>
          </m:e>
          <m:sub>
            <m:r>
              <w:rPr>
                <w:rFonts w:ascii="Cambria Math" w:hAnsi="Cambria Math"/>
              </w:rPr>
              <m:t>after</m:t>
            </m:r>
          </m:sub>
        </m:sSub>
      </m:oMath>
      <w:r w:rsidR="000077E3" w:rsidRPr="00404724">
        <w:t xml:space="preserve"> is mean travel speed after the speed change</w:t>
      </w:r>
    </w:p>
    <w:p w14:paraId="22C00982" w14:textId="77777777" w:rsidR="000077E3" w:rsidRPr="00404724" w:rsidRDefault="00EC39D5" w:rsidP="00485648">
      <w:pPr>
        <w:pStyle w:val="Listparagraphbullets"/>
      </w:pPr>
      <m:oMath>
        <m:sSub>
          <m:sSubPr>
            <m:ctrlPr>
              <w:rPr>
                <w:rFonts w:ascii="Cambria Math" w:hAnsi="Cambria Math"/>
              </w:rPr>
            </m:ctrlPr>
          </m:sSubPr>
          <m:e>
            <m:r>
              <w:rPr>
                <w:rFonts w:ascii="Cambria Math" w:hAnsi="Cambria Math"/>
              </w:rPr>
              <m:t>n</m:t>
            </m:r>
          </m:e>
          <m:sub>
            <m:r>
              <w:rPr>
                <w:rFonts w:ascii="Cambria Math" w:hAnsi="Cambria Math"/>
              </w:rPr>
              <m:t>before</m:t>
            </m:r>
          </m:sub>
        </m:sSub>
      </m:oMath>
      <w:r w:rsidR="000077E3" w:rsidRPr="00404724">
        <w:t xml:space="preserve"> is number of crashes (fatal or serious) before the speed change</w:t>
      </w:r>
    </w:p>
    <w:p w14:paraId="3C397EDE" w14:textId="77777777" w:rsidR="000077E3" w:rsidRPr="00404724" w:rsidRDefault="00EC39D5" w:rsidP="00485648">
      <w:pPr>
        <w:pStyle w:val="Listparagraphbullets"/>
      </w:pPr>
      <m:oMath>
        <m:sSub>
          <m:sSubPr>
            <m:ctrlPr>
              <w:rPr>
                <w:rFonts w:ascii="Cambria Math" w:hAnsi="Cambria Math"/>
              </w:rPr>
            </m:ctrlPr>
          </m:sSubPr>
          <m:e>
            <m:r>
              <w:rPr>
                <w:rFonts w:ascii="Cambria Math" w:hAnsi="Cambria Math"/>
              </w:rPr>
              <m:t>n</m:t>
            </m:r>
          </m:e>
          <m:sub>
            <m:r>
              <w:rPr>
                <w:rFonts w:ascii="Cambria Math" w:hAnsi="Cambria Math"/>
              </w:rPr>
              <m:t>after</m:t>
            </m:r>
          </m:sub>
        </m:sSub>
      </m:oMath>
      <w:r w:rsidR="000077E3" w:rsidRPr="00404724">
        <w:t xml:space="preserve"> is number of crashes (fatal or serious) after the speed change</w:t>
      </w:r>
    </w:p>
    <w:p w14:paraId="04C4EA4C" w14:textId="77777777" w:rsidR="000077E3" w:rsidRPr="00404724" w:rsidRDefault="000077E3" w:rsidP="00485648">
      <w:pPr>
        <w:pStyle w:val="Listparagraphbullets"/>
      </w:pPr>
      <m:oMath>
        <m:r>
          <w:rPr>
            <w:rFonts w:ascii="Cambria Math" w:hAnsi="Cambria Math"/>
          </w:rPr>
          <m:t>p</m:t>
        </m:r>
      </m:oMath>
      <w:r w:rsidRPr="00404724">
        <w:t xml:space="preserve"> is a power factor (for fatal or serious)</w:t>
      </w:r>
    </w:p>
    <w:p w14:paraId="115D271A" w14:textId="71A89756" w:rsidR="000077E3" w:rsidRPr="00404724" w:rsidRDefault="000077E3" w:rsidP="000077E3">
      <w:r w:rsidRPr="00404724">
        <w:t xml:space="preserve">Since that </w:t>
      </w:r>
      <w:r w:rsidR="00BB77CB" w:rsidRPr="00404724">
        <w:t xml:space="preserve">Nilsson’s </w:t>
      </w:r>
      <w:r w:rsidR="001044BD" w:rsidRPr="00404724">
        <w:t>original paper,</w:t>
      </w:r>
      <w:r w:rsidRPr="00404724">
        <w:t xml:space="preserve"> </w:t>
      </w:r>
      <w:r w:rsidR="00772900" w:rsidRPr="00404724">
        <w:t xml:space="preserve">additional research has </w:t>
      </w:r>
      <w:r w:rsidRPr="00404724">
        <w:t>refine</w:t>
      </w:r>
      <w:r w:rsidR="00772900" w:rsidRPr="00404724">
        <w:t>d</w:t>
      </w:r>
      <w:r w:rsidRPr="00404724">
        <w:t xml:space="preserve"> this original work. In </w:t>
      </w:r>
      <w:r w:rsidR="00772900" w:rsidRPr="00404724">
        <w:t xml:space="preserve">one </w:t>
      </w:r>
      <w:r w:rsidRPr="00404724">
        <w:t xml:space="preserve">analysis, Elvik </w:t>
      </w:r>
      <w:r w:rsidRPr="00404724">
        <w:rPr>
          <w:iCs/>
        </w:rPr>
        <w:t>et al</w:t>
      </w:r>
      <w:r w:rsidRPr="00404724">
        <w:rPr>
          <w:i/>
        </w:rPr>
        <w:t>.</w:t>
      </w:r>
      <w:r w:rsidR="007B458D" w:rsidRPr="00404724">
        <w:rPr>
          <w:rStyle w:val="FootnoteReference"/>
          <w:i/>
        </w:rPr>
        <w:footnoteReference w:id="95"/>
      </w:r>
      <w:r w:rsidR="007B458D" w:rsidRPr="00404724">
        <w:t xml:space="preserve"> </w:t>
      </w:r>
      <w:r w:rsidRPr="00404724">
        <w:t xml:space="preserve">undertook a meta-analysis of 49 studies, including several from Australia, to generate recent estimates, resulting in </w:t>
      </w:r>
      <m:oMath>
        <m:r>
          <w:rPr>
            <w:rFonts w:ascii="Cambria Math" w:hAnsi="Cambria Math"/>
          </w:rPr>
          <m:t>p</m:t>
        </m:r>
      </m:oMath>
      <w:r w:rsidRPr="00404724">
        <w:t xml:space="preserve"> taking the value 5.493 (95% C.I. 5.334-5.652) for fatalities and 3.951 (95% C.I. 3.849-4.053) for serious injuries.  </w:t>
      </w:r>
    </w:p>
    <w:p w14:paraId="3DB1BA7B" w14:textId="56D41695" w:rsidR="000077E3" w:rsidRPr="00404724" w:rsidRDefault="000077E3" w:rsidP="000077E3">
      <w:r w:rsidRPr="00404724">
        <w:t xml:space="preserve">The size of these </w:t>
      </w:r>
      <w:r w:rsidR="001044BD" w:rsidRPr="00404724">
        <w:t xml:space="preserve">values </w:t>
      </w:r>
      <w:r w:rsidRPr="00404724">
        <w:t xml:space="preserve">means </w:t>
      </w:r>
      <w:r w:rsidR="00377B5A" w:rsidRPr="00404724">
        <w:t>that, for</w:t>
      </w:r>
      <w:r w:rsidRPr="00404724">
        <w:t xml:space="preserve"> example</w:t>
      </w:r>
      <w:r w:rsidR="00377B5A" w:rsidRPr="00404724">
        <w:t xml:space="preserve">, </w:t>
      </w:r>
      <w:r w:rsidRPr="00404724">
        <w:t>a 3% reduction in travel speeds (</w:t>
      </w:r>
      <w:r w:rsidR="001044BD" w:rsidRPr="00404724">
        <w:t>e.g., from</w:t>
      </w:r>
      <w:r w:rsidRPr="00404724">
        <w:t xml:space="preserve"> 100</w:t>
      </w:r>
      <w:r w:rsidR="00C82E00" w:rsidRPr="00404724">
        <w:t xml:space="preserve"> km/h</w:t>
      </w:r>
      <w:r w:rsidRPr="00404724">
        <w:t xml:space="preserve"> to 97</w:t>
      </w:r>
      <w:r w:rsidR="00201A43" w:rsidRPr="00404724">
        <w:t> </w:t>
      </w:r>
      <w:r w:rsidR="00C82E00" w:rsidRPr="00404724">
        <w:t>km/h</w:t>
      </w:r>
      <w:r w:rsidRPr="00404724">
        <w:t xml:space="preserve">) results in a 15% reduction in deaths and an 11% reduction in </w:t>
      </w:r>
      <w:r w:rsidR="001044BD" w:rsidRPr="00404724">
        <w:t xml:space="preserve">serious </w:t>
      </w:r>
      <w:r w:rsidRPr="00404724">
        <w:t>injury. These reductions have been shown to be true of individual crashes as well as at aggregate level.</w:t>
      </w:r>
    </w:p>
    <w:p w14:paraId="06787EF3" w14:textId="6CEBEA00" w:rsidR="000077E3" w:rsidRPr="00404724" w:rsidRDefault="000077E3" w:rsidP="000077E3">
      <w:r w:rsidRPr="00404724">
        <w:t>Th</w:t>
      </w:r>
      <w:r w:rsidR="001044BD" w:rsidRPr="00404724">
        <w:t xml:space="preserve">e sections below </w:t>
      </w:r>
      <w:r w:rsidRPr="00404724">
        <w:t xml:space="preserve">document the method used to estimate the potential benefits in terms of savings in fatal and serious trauma from reduced default speed limits on sealed and unsealed roads </w:t>
      </w:r>
      <w:r w:rsidR="007843DB" w:rsidRPr="00404724">
        <w:t xml:space="preserve">outside of </w:t>
      </w:r>
      <w:r w:rsidR="00C94374" w:rsidRPr="00404724">
        <w:t>built-up</w:t>
      </w:r>
      <w:r w:rsidR="007843DB" w:rsidRPr="00404724">
        <w:t xml:space="preserve"> areas </w:t>
      </w:r>
      <w:r w:rsidRPr="00404724">
        <w:t>throughout Australia.</w:t>
      </w:r>
    </w:p>
    <w:p w14:paraId="57AAF5A9" w14:textId="185F7D3B" w:rsidR="000077E3" w:rsidRPr="00404724" w:rsidRDefault="000077E3" w:rsidP="001A6459">
      <w:pPr>
        <w:pStyle w:val="Heading5"/>
      </w:pPr>
      <w:bookmarkStart w:id="364" w:name="_tkpgtq5go84l"/>
      <w:bookmarkEnd w:id="364"/>
      <w:r w:rsidRPr="00404724">
        <w:lastRenderedPageBreak/>
        <w:t>Speed reduction analysis</w:t>
      </w:r>
    </w:p>
    <w:p w14:paraId="549F35E0" w14:textId="4A985F58" w:rsidR="000077E3" w:rsidRPr="00404724" w:rsidRDefault="000077E3" w:rsidP="000077E3">
      <w:r w:rsidRPr="00404724">
        <w:t xml:space="preserve">The process for estimating </w:t>
      </w:r>
      <w:r w:rsidR="001044BD" w:rsidRPr="00404724">
        <w:t>FSI</w:t>
      </w:r>
      <w:r w:rsidRPr="00404724">
        <w:t xml:space="preserve"> reductions on</w:t>
      </w:r>
      <w:r w:rsidR="006D4544" w:rsidRPr="00404724">
        <w:t xml:space="preserve"> sealed and unsealed roads outside of built-up areas where the default speed limit applies</w:t>
      </w:r>
      <w:r w:rsidRPr="00404724">
        <w:t xml:space="preserve"> </w:t>
      </w:r>
      <w:r w:rsidR="001044BD" w:rsidRPr="00404724">
        <w:t>is a 5-step process:</w:t>
      </w:r>
    </w:p>
    <w:p w14:paraId="7AE2B846" w14:textId="62129CA6" w:rsidR="000077E3" w:rsidRPr="00404724" w:rsidRDefault="000077E3" w:rsidP="004F2C7A">
      <w:pPr>
        <w:pStyle w:val="ListNumbered1"/>
        <w:numPr>
          <w:ilvl w:val="0"/>
          <w:numId w:val="46"/>
        </w:numPr>
        <w:ind w:left="567" w:hanging="567"/>
        <w:rPr>
          <w:lang w:val="en-AU"/>
        </w:rPr>
      </w:pPr>
      <w:r w:rsidRPr="00404724">
        <w:rPr>
          <w:lang w:val="en-AU"/>
        </w:rPr>
        <w:t>Determine numbers of current FSI on sealed and unsealed roads throughout Australia from an aggregate national FSI dataset</w:t>
      </w:r>
      <w:r w:rsidR="002956CB" w:rsidRPr="00404724">
        <w:rPr>
          <w:lang w:val="en-AU"/>
        </w:rPr>
        <w:t>.</w:t>
      </w:r>
    </w:p>
    <w:p w14:paraId="66C456D4" w14:textId="373E0AD7" w:rsidR="000077E3" w:rsidRPr="00404724" w:rsidRDefault="000077E3" w:rsidP="004F2C7A">
      <w:pPr>
        <w:pStyle w:val="ListNumbered1"/>
        <w:numPr>
          <w:ilvl w:val="0"/>
          <w:numId w:val="47"/>
        </w:numPr>
        <w:ind w:left="567" w:hanging="567"/>
        <w:rPr>
          <w:lang w:val="en-AU"/>
        </w:rPr>
      </w:pPr>
      <w:r w:rsidRPr="00404724">
        <w:rPr>
          <w:lang w:val="en-AU"/>
        </w:rPr>
        <w:t>For the sealed roads, estimate the proportion of FSI occurring on roads subject to the default</w:t>
      </w:r>
      <w:r w:rsidR="006D4544" w:rsidRPr="00404724">
        <w:rPr>
          <w:lang w:val="en-AU"/>
        </w:rPr>
        <w:t xml:space="preserve"> speed limit outside of built-up areas</w:t>
      </w:r>
      <w:r w:rsidR="002956CB" w:rsidRPr="00404724">
        <w:rPr>
          <w:lang w:val="en-AU"/>
        </w:rPr>
        <w:t>.</w:t>
      </w:r>
    </w:p>
    <w:p w14:paraId="1543F788" w14:textId="141E2CC9" w:rsidR="000077E3" w:rsidRPr="00404724" w:rsidRDefault="000077E3" w:rsidP="004F2C7A">
      <w:pPr>
        <w:pStyle w:val="ListNumbered1"/>
        <w:numPr>
          <w:ilvl w:val="0"/>
          <w:numId w:val="47"/>
        </w:numPr>
        <w:ind w:left="567" w:hanging="567"/>
        <w:rPr>
          <w:lang w:val="en-AU"/>
        </w:rPr>
      </w:pPr>
      <w:r w:rsidRPr="00404724">
        <w:rPr>
          <w:lang w:val="en-AU"/>
        </w:rPr>
        <w:t>Estimate current (pre-change) travel speeds on sealed and unsealed roads subject to the default speed limit</w:t>
      </w:r>
      <w:r w:rsidR="006D4544" w:rsidRPr="00404724">
        <w:rPr>
          <w:lang w:val="en-AU"/>
        </w:rPr>
        <w:t xml:space="preserve"> outside of built-up areas</w:t>
      </w:r>
      <w:r w:rsidR="002956CB" w:rsidRPr="00404724">
        <w:rPr>
          <w:lang w:val="en-AU"/>
        </w:rPr>
        <w:t>.</w:t>
      </w:r>
    </w:p>
    <w:p w14:paraId="6B7BE130" w14:textId="3912BC95" w:rsidR="000077E3" w:rsidRPr="00404724" w:rsidRDefault="000077E3" w:rsidP="004F2C7A">
      <w:pPr>
        <w:pStyle w:val="ListNumbered1"/>
        <w:numPr>
          <w:ilvl w:val="0"/>
          <w:numId w:val="47"/>
        </w:numPr>
        <w:ind w:left="567" w:hanging="567"/>
        <w:rPr>
          <w:lang w:val="en-AU"/>
        </w:rPr>
      </w:pPr>
      <w:r w:rsidRPr="00404724">
        <w:rPr>
          <w:lang w:val="en-AU"/>
        </w:rPr>
        <w:t>For preset default speed limit change scenarios, estimate the expected travel speed changes that will result</w:t>
      </w:r>
      <w:r w:rsidR="002956CB" w:rsidRPr="00404724">
        <w:rPr>
          <w:lang w:val="en-AU"/>
        </w:rPr>
        <w:t>.</w:t>
      </w:r>
    </w:p>
    <w:p w14:paraId="0A7AE4E7" w14:textId="4470D5A3" w:rsidR="000077E3" w:rsidRPr="00404724" w:rsidRDefault="000077E3" w:rsidP="004F2C7A">
      <w:pPr>
        <w:pStyle w:val="ListNumbered1"/>
        <w:numPr>
          <w:ilvl w:val="0"/>
          <w:numId w:val="47"/>
        </w:numPr>
        <w:ind w:left="567" w:hanging="567"/>
        <w:rPr>
          <w:lang w:val="en-AU"/>
        </w:rPr>
      </w:pPr>
      <w:r w:rsidRPr="00404724">
        <w:rPr>
          <w:lang w:val="en-AU"/>
        </w:rPr>
        <w:t xml:space="preserve">Using the relationships from Elvik </w:t>
      </w:r>
      <w:r w:rsidRPr="00404724">
        <w:rPr>
          <w:i/>
          <w:lang w:val="en-AU"/>
        </w:rPr>
        <w:t>et al</w:t>
      </w:r>
      <w:r w:rsidR="00974A32" w:rsidRPr="00404724">
        <w:rPr>
          <w:i/>
          <w:lang w:val="en-AU"/>
        </w:rPr>
        <w:t>,</w:t>
      </w:r>
      <w:r w:rsidR="003D2DA1" w:rsidRPr="00404724">
        <w:rPr>
          <w:rStyle w:val="FootnoteReference"/>
          <w:i/>
          <w:lang w:val="en-AU"/>
        </w:rPr>
        <w:footnoteReference w:id="96"/>
      </w:r>
      <w:r w:rsidRPr="00404724">
        <w:rPr>
          <w:lang w:val="en-AU"/>
        </w:rPr>
        <w:t xml:space="preserve"> estimate projected FSI reductions for each of the speed limit change scenarios.</w:t>
      </w:r>
    </w:p>
    <w:p w14:paraId="27AC2C24" w14:textId="7D15734A" w:rsidR="000077E3" w:rsidRPr="00404724" w:rsidRDefault="000077E3" w:rsidP="000077E3">
      <w:r w:rsidRPr="00404724">
        <w:t>Modelling was undertaken in Analytica</w:t>
      </w:r>
      <w:r w:rsidR="00974A32" w:rsidRPr="00404724">
        <w:t>,</w:t>
      </w:r>
      <w:r w:rsidRPr="00404724">
        <w:rPr>
          <w:vertAlign w:val="superscript"/>
        </w:rPr>
        <w:footnoteReference w:id="97"/>
      </w:r>
      <w:r w:rsidRPr="00404724">
        <w:t xml:space="preserve"> which allows uncertainties in model inputs to be taken into account by allowing them to be expressed as probability distributions. Monte Carlo-like probabilistic simulation is then used to select a random sample for each and generate probabilistic outputs. Median Latin hypercube</w:t>
      </w:r>
      <w:r w:rsidRPr="00404724">
        <w:rPr>
          <w:vertAlign w:val="superscript"/>
        </w:rPr>
        <w:footnoteReference w:id="98"/>
      </w:r>
      <w:r w:rsidRPr="00404724">
        <w:t xml:space="preserve"> was used as recommended in Analytica as the default due to its better stability characteristic compared with Monte Carlo simulation. A sample size of 1</w:t>
      </w:r>
      <w:r w:rsidR="002956CB" w:rsidRPr="00404724">
        <w:t>,</w:t>
      </w:r>
      <w:r w:rsidRPr="00404724">
        <w:t xml:space="preserve">000 was used, with no obvious benefits to accuracy or repeatability observed for higher values. Therefore, outputs </w:t>
      </w:r>
      <w:r w:rsidR="00974A32" w:rsidRPr="00404724">
        <w:t>are</w:t>
      </w:r>
      <w:r w:rsidRPr="00404724">
        <w:t xml:space="preserve"> expressed as a mean (or 50th percentile estimate), along with 5th and 95th percentile ranges.</w:t>
      </w:r>
    </w:p>
    <w:p w14:paraId="132619BA" w14:textId="3F1D4C95" w:rsidR="000077E3" w:rsidRPr="00404724" w:rsidRDefault="000077E3" w:rsidP="001A6459">
      <w:pPr>
        <w:pStyle w:val="Heading5"/>
      </w:pPr>
      <w:bookmarkStart w:id="365" w:name="_q7jn3y7vwwh9"/>
      <w:bookmarkEnd w:id="365"/>
      <w:r w:rsidRPr="00404724">
        <w:t>Casualty pools</w:t>
      </w:r>
    </w:p>
    <w:p w14:paraId="37B5B456" w14:textId="77777777" w:rsidR="000077E3" w:rsidRPr="00404724" w:rsidRDefault="000077E3" w:rsidP="000077E3">
      <w:r w:rsidRPr="00404724">
        <w:t>The first step in estimating the benefits of speed reductions is to determine the number of FSI exposed to the changes, meaning numbers of fatalities and serious injuries occurring on the defined road lengths.</w:t>
      </w:r>
    </w:p>
    <w:p w14:paraId="50D410D2" w14:textId="4376797D" w:rsidR="000077E3" w:rsidRPr="00404724" w:rsidRDefault="000077E3" w:rsidP="000077E3">
      <w:r w:rsidRPr="00404724">
        <w:t>A national fatality and serious injury dataset, compiled for the development of the National Road Safety Strategy 2021-2030, was used. Sourced from data provided by each of the Australian states and territories and compiled by MUARC, it contains FSI unit record data for the period July 2015 to June 2018 for 26 variables, but with the following used for this analysis: severity (fatal/serious), state/territory, ARIA+ region</w:t>
      </w:r>
      <w:r w:rsidR="00974A32" w:rsidRPr="00404724">
        <w:t>,</w:t>
      </w:r>
      <w:r w:rsidRPr="00404724">
        <w:rPr>
          <w:vertAlign w:val="superscript"/>
        </w:rPr>
        <w:footnoteReference w:id="99"/>
      </w:r>
      <w:r w:rsidRPr="00404724">
        <w:t xml:space="preserve"> speed limit and road surface. Additionally, the dataset incorporates improved estimates of serious injury numbers by weighting police-reported serious injury by road user type against state and territory hospitalisation data.  </w:t>
      </w:r>
    </w:p>
    <w:p w14:paraId="7296305D" w14:textId="6BC2A1AB" w:rsidR="000077E3" w:rsidRPr="00404724" w:rsidRDefault="000077E3" w:rsidP="000077E3">
      <w:r w:rsidRPr="00404724">
        <w:t xml:space="preserve">Since the dataset is now around </w:t>
      </w:r>
      <w:r w:rsidR="002956CB" w:rsidRPr="00404724">
        <w:t xml:space="preserve">6 </w:t>
      </w:r>
      <w:r w:rsidRPr="00404724">
        <w:t>years old, the MUARC Baseline Trauma Trends Model (BTTM)</w:t>
      </w:r>
      <w:r w:rsidR="007813A6" w:rsidRPr="00404724">
        <w:t xml:space="preserve"> (constructed December 2024)</w:t>
      </w:r>
      <w:r w:rsidRPr="00404724">
        <w:t xml:space="preserve"> was used to estimate current and future FSI numbers for the analysis. The BTTM makes highly informed FSI projections for each jurisdiction, that take into account a range of both road safety and non road safety-related trends (including the complex effects seen during and post-COVID). The BTTM was used to scale the casualty pools described in the following sections for the period 2025 to 2030 (where BTTM predictions end), with an exponential curve fit used to extend the predictions to the desired year of 2036.</w:t>
      </w:r>
    </w:p>
    <w:p w14:paraId="06CA4518" w14:textId="3AF1DB12" w:rsidR="000077E3" w:rsidRPr="00404724" w:rsidRDefault="000077E3" w:rsidP="000077E3">
      <w:r w:rsidRPr="00404724">
        <w:lastRenderedPageBreak/>
        <w:t xml:space="preserve">Total projected FSI for Australia from the BTTM and extrapolated values are shown </w:t>
      </w:r>
      <w:r w:rsidR="00CF1735" w:rsidRPr="00404724">
        <w:t xml:space="preserve">in </w:t>
      </w:r>
      <w:r w:rsidR="00CF1735" w:rsidRPr="00404724">
        <w:fldChar w:fldCharType="begin"/>
      </w:r>
      <w:r w:rsidR="00CF1735" w:rsidRPr="00404724">
        <w:instrText xml:space="preserve"> REF _Ref208743027 \h </w:instrText>
      </w:r>
      <w:r w:rsidR="00CF1735" w:rsidRPr="00404724">
        <w:fldChar w:fldCharType="separate"/>
      </w:r>
      <w:r w:rsidR="00BF489D" w:rsidRPr="00404724">
        <w:t xml:space="preserve">Table </w:t>
      </w:r>
      <w:r w:rsidR="00BF489D">
        <w:rPr>
          <w:noProof/>
        </w:rPr>
        <w:t>26</w:t>
      </w:r>
      <w:r w:rsidR="00CF1735" w:rsidRPr="00404724">
        <w:fldChar w:fldCharType="end"/>
      </w:r>
      <w:r w:rsidR="00CF1735" w:rsidRPr="00404724">
        <w:t xml:space="preserve"> and </w:t>
      </w:r>
      <w:r w:rsidR="00CF1735" w:rsidRPr="00404724">
        <w:fldChar w:fldCharType="begin"/>
      </w:r>
      <w:r w:rsidR="00CF1735" w:rsidRPr="00404724">
        <w:instrText xml:space="preserve"> REF _Ref208743032 \h </w:instrText>
      </w:r>
      <w:r w:rsidR="00CF1735" w:rsidRPr="00404724">
        <w:fldChar w:fldCharType="separate"/>
      </w:r>
      <w:r w:rsidR="00BF489D" w:rsidRPr="00404724">
        <w:t xml:space="preserve">Table </w:t>
      </w:r>
      <w:r w:rsidR="00BF489D">
        <w:rPr>
          <w:noProof/>
        </w:rPr>
        <w:t>27</w:t>
      </w:r>
      <w:r w:rsidR="00CF1735" w:rsidRPr="00404724">
        <w:fldChar w:fldCharType="end"/>
      </w:r>
      <w:r w:rsidR="00CF1735" w:rsidRPr="00404724">
        <w:t xml:space="preserve"> </w:t>
      </w:r>
      <w:r w:rsidRPr="00404724">
        <w:t>below.</w:t>
      </w:r>
    </w:p>
    <w:p w14:paraId="7D9C34C4" w14:textId="327EFEF7" w:rsidR="000077E3" w:rsidRPr="00404724" w:rsidRDefault="00CF1735" w:rsidP="003979C3">
      <w:pPr>
        <w:pStyle w:val="Tablefigureheading"/>
      </w:pPr>
      <w:bookmarkStart w:id="366" w:name="_Ref208743027"/>
      <w:bookmarkStart w:id="367" w:name="_Toc210040371"/>
      <w:bookmarkStart w:id="368" w:name="_Toc210051907"/>
      <w:r w:rsidRPr="00404724">
        <w:t xml:space="preserve">Table </w:t>
      </w:r>
      <w:r w:rsidR="00EC39D5">
        <w:fldChar w:fldCharType="begin"/>
      </w:r>
      <w:r w:rsidR="00EC39D5">
        <w:instrText xml:space="preserve"> SEQ Table \* ARABIC </w:instrText>
      </w:r>
      <w:r w:rsidR="00EC39D5">
        <w:fldChar w:fldCharType="separate"/>
      </w:r>
      <w:r w:rsidR="00BF489D">
        <w:rPr>
          <w:noProof/>
        </w:rPr>
        <w:t>26</w:t>
      </w:r>
      <w:r w:rsidR="00EC39D5">
        <w:rPr>
          <w:noProof/>
        </w:rPr>
        <w:fldChar w:fldCharType="end"/>
      </w:r>
      <w:bookmarkEnd w:id="366"/>
      <w:r w:rsidRPr="00404724">
        <w:tab/>
      </w:r>
      <w:r w:rsidR="000077E3" w:rsidRPr="00404724">
        <w:t>Total projected annual FSI for Australia, 2025-2030.  Source: MUARC Baseline Trauma Trends Model</w:t>
      </w:r>
      <w:bookmarkEnd w:id="367"/>
      <w:bookmarkEnd w:id="368"/>
    </w:p>
    <w:tbl>
      <w:tblPr>
        <w:tblStyle w:val="TableGrid"/>
        <w:tblW w:w="0" w:type="auto"/>
        <w:tblLook w:val="04A0" w:firstRow="1" w:lastRow="0" w:firstColumn="1" w:lastColumn="0" w:noHBand="0" w:noVBand="1"/>
        <w:tblCaption w:val="Table 20"/>
        <w:tblDescription w:val="Table 26 Total projected annual FSI for Australia, 2025-2030.  Source: MUARC Baseline Trauma Trends Model"/>
      </w:tblPr>
      <w:tblGrid>
        <w:gridCol w:w="3284"/>
        <w:gridCol w:w="3285"/>
        <w:gridCol w:w="3285"/>
      </w:tblGrid>
      <w:tr w:rsidR="000077E3" w:rsidRPr="00404724" w14:paraId="1670869B" w14:textId="77777777" w:rsidTr="008F2B51">
        <w:trPr>
          <w:cantSplit/>
          <w:tblHeader/>
        </w:trPr>
        <w:tc>
          <w:tcPr>
            <w:tcW w:w="3284" w:type="dxa"/>
            <w:shd w:val="clear" w:color="auto" w:fill="081E3E" w:themeFill="text2"/>
          </w:tcPr>
          <w:p w14:paraId="5C5B3674" w14:textId="520CFE30" w:rsidR="000077E3" w:rsidRPr="00404724" w:rsidRDefault="000077E3" w:rsidP="008F2B51">
            <w:pPr>
              <w:keepNext/>
              <w:spacing w:line="240" w:lineRule="atLeast"/>
              <w:rPr>
                <w:b/>
                <w:bCs/>
                <w:color w:val="FFFFFF" w:themeColor="background1"/>
              </w:rPr>
            </w:pPr>
            <w:r w:rsidRPr="00404724">
              <w:rPr>
                <w:b/>
                <w:bCs/>
                <w:color w:val="FFFFFF" w:themeColor="background1"/>
              </w:rPr>
              <w:t>Year</w:t>
            </w:r>
          </w:p>
        </w:tc>
        <w:tc>
          <w:tcPr>
            <w:tcW w:w="3285" w:type="dxa"/>
            <w:shd w:val="clear" w:color="auto" w:fill="081E3E" w:themeFill="text2"/>
          </w:tcPr>
          <w:p w14:paraId="3244D988" w14:textId="578068F4" w:rsidR="000077E3" w:rsidRPr="00404724" w:rsidRDefault="000077E3" w:rsidP="008F2B51">
            <w:pPr>
              <w:keepNext/>
              <w:spacing w:line="240" w:lineRule="atLeast"/>
              <w:jc w:val="center"/>
              <w:rPr>
                <w:b/>
                <w:bCs/>
                <w:color w:val="FFFFFF" w:themeColor="background1"/>
              </w:rPr>
            </w:pPr>
            <w:r w:rsidRPr="00404724">
              <w:rPr>
                <w:b/>
                <w:bCs/>
                <w:color w:val="FFFFFF" w:themeColor="background1"/>
              </w:rPr>
              <w:t>Fatalities</w:t>
            </w:r>
          </w:p>
        </w:tc>
        <w:tc>
          <w:tcPr>
            <w:tcW w:w="3285" w:type="dxa"/>
            <w:shd w:val="clear" w:color="auto" w:fill="081E3E" w:themeFill="text2"/>
          </w:tcPr>
          <w:p w14:paraId="165A04A2" w14:textId="74473998" w:rsidR="000077E3" w:rsidRPr="00404724" w:rsidRDefault="000077E3" w:rsidP="008F2B51">
            <w:pPr>
              <w:keepNext/>
              <w:spacing w:line="240" w:lineRule="atLeast"/>
              <w:jc w:val="center"/>
              <w:rPr>
                <w:b/>
                <w:bCs/>
                <w:color w:val="FFFFFF" w:themeColor="background1"/>
              </w:rPr>
            </w:pPr>
            <w:r w:rsidRPr="00404724">
              <w:rPr>
                <w:b/>
                <w:bCs/>
                <w:color w:val="FFFFFF" w:themeColor="background1"/>
              </w:rPr>
              <w:t>Serious Injuries</w:t>
            </w:r>
          </w:p>
        </w:tc>
      </w:tr>
      <w:tr w:rsidR="000077E3" w:rsidRPr="00404724" w14:paraId="6695A0C6" w14:textId="77777777" w:rsidTr="008F2B51">
        <w:trPr>
          <w:cantSplit/>
        </w:trPr>
        <w:tc>
          <w:tcPr>
            <w:tcW w:w="3284" w:type="dxa"/>
          </w:tcPr>
          <w:p w14:paraId="75E8B448" w14:textId="6B797E11" w:rsidR="000077E3" w:rsidRPr="00404724" w:rsidRDefault="000077E3" w:rsidP="008F2B51">
            <w:pPr>
              <w:spacing w:line="240" w:lineRule="atLeast"/>
            </w:pPr>
            <w:r w:rsidRPr="00404724">
              <w:t>2024</w:t>
            </w:r>
          </w:p>
        </w:tc>
        <w:tc>
          <w:tcPr>
            <w:tcW w:w="3285" w:type="dxa"/>
          </w:tcPr>
          <w:p w14:paraId="7B593566" w14:textId="3B1EAC5A" w:rsidR="000077E3" w:rsidRPr="00404724" w:rsidRDefault="000077E3" w:rsidP="008F2B51">
            <w:pPr>
              <w:spacing w:line="240" w:lineRule="atLeast"/>
              <w:jc w:val="right"/>
            </w:pPr>
            <w:r w:rsidRPr="00404724">
              <w:t>1,249</w:t>
            </w:r>
          </w:p>
        </w:tc>
        <w:tc>
          <w:tcPr>
            <w:tcW w:w="3285" w:type="dxa"/>
          </w:tcPr>
          <w:p w14:paraId="28628504" w14:textId="0E9C4C37" w:rsidR="000077E3" w:rsidRPr="00404724" w:rsidRDefault="000077E3" w:rsidP="008F2B51">
            <w:pPr>
              <w:spacing w:line="240" w:lineRule="atLeast"/>
              <w:jc w:val="right"/>
            </w:pPr>
            <w:r w:rsidRPr="00404724">
              <w:t>41,808</w:t>
            </w:r>
          </w:p>
        </w:tc>
      </w:tr>
      <w:tr w:rsidR="000077E3" w:rsidRPr="00404724" w14:paraId="13A4F807" w14:textId="77777777" w:rsidTr="008F2B51">
        <w:trPr>
          <w:cantSplit/>
        </w:trPr>
        <w:tc>
          <w:tcPr>
            <w:tcW w:w="3284" w:type="dxa"/>
          </w:tcPr>
          <w:p w14:paraId="1545C039" w14:textId="2C9D37EF" w:rsidR="000077E3" w:rsidRPr="00404724" w:rsidRDefault="000077E3" w:rsidP="008F2B51">
            <w:pPr>
              <w:spacing w:line="240" w:lineRule="atLeast"/>
            </w:pPr>
            <w:r w:rsidRPr="00404724">
              <w:t>2025</w:t>
            </w:r>
          </w:p>
        </w:tc>
        <w:tc>
          <w:tcPr>
            <w:tcW w:w="3285" w:type="dxa"/>
          </w:tcPr>
          <w:p w14:paraId="2FEBFA96" w14:textId="7571F18F" w:rsidR="000077E3" w:rsidRPr="00404724" w:rsidRDefault="000077E3" w:rsidP="008F2B51">
            <w:pPr>
              <w:spacing w:line="240" w:lineRule="atLeast"/>
              <w:jc w:val="right"/>
            </w:pPr>
            <w:r w:rsidRPr="00404724">
              <w:t>1,296</w:t>
            </w:r>
          </w:p>
        </w:tc>
        <w:tc>
          <w:tcPr>
            <w:tcW w:w="3285" w:type="dxa"/>
          </w:tcPr>
          <w:p w14:paraId="0AF928F5" w14:textId="27C95CA2" w:rsidR="000077E3" w:rsidRPr="00404724" w:rsidRDefault="000077E3" w:rsidP="008F2B51">
            <w:pPr>
              <w:spacing w:line="240" w:lineRule="atLeast"/>
              <w:jc w:val="right"/>
            </w:pPr>
            <w:r w:rsidRPr="00404724">
              <w:t>43,646</w:t>
            </w:r>
          </w:p>
        </w:tc>
      </w:tr>
      <w:tr w:rsidR="000077E3" w:rsidRPr="00404724" w14:paraId="06EC036D" w14:textId="77777777" w:rsidTr="008F2B51">
        <w:trPr>
          <w:cantSplit/>
        </w:trPr>
        <w:tc>
          <w:tcPr>
            <w:tcW w:w="3284" w:type="dxa"/>
          </w:tcPr>
          <w:p w14:paraId="3ACBE0C9" w14:textId="76B38C77" w:rsidR="000077E3" w:rsidRPr="00404724" w:rsidRDefault="000077E3" w:rsidP="008F2B51">
            <w:pPr>
              <w:spacing w:line="240" w:lineRule="atLeast"/>
            </w:pPr>
            <w:r w:rsidRPr="00404724">
              <w:t>2026</w:t>
            </w:r>
          </w:p>
        </w:tc>
        <w:tc>
          <w:tcPr>
            <w:tcW w:w="3285" w:type="dxa"/>
          </w:tcPr>
          <w:p w14:paraId="3A7B5A5C" w14:textId="383212FE" w:rsidR="000077E3" w:rsidRPr="00404724" w:rsidRDefault="000077E3" w:rsidP="008F2B51">
            <w:pPr>
              <w:spacing w:line="240" w:lineRule="atLeast"/>
              <w:jc w:val="right"/>
            </w:pPr>
            <w:r w:rsidRPr="00404724">
              <w:t>1,338</w:t>
            </w:r>
          </w:p>
        </w:tc>
        <w:tc>
          <w:tcPr>
            <w:tcW w:w="3285" w:type="dxa"/>
          </w:tcPr>
          <w:p w14:paraId="29463F02" w14:textId="4A948AF7" w:rsidR="000077E3" w:rsidRPr="00404724" w:rsidRDefault="000077E3" w:rsidP="008F2B51">
            <w:pPr>
              <w:spacing w:line="240" w:lineRule="atLeast"/>
              <w:jc w:val="right"/>
            </w:pPr>
            <w:r w:rsidRPr="00404724">
              <w:t>45,577</w:t>
            </w:r>
          </w:p>
        </w:tc>
      </w:tr>
      <w:tr w:rsidR="000077E3" w:rsidRPr="00404724" w14:paraId="31FC78D2" w14:textId="77777777" w:rsidTr="008F2B51">
        <w:trPr>
          <w:cantSplit/>
        </w:trPr>
        <w:tc>
          <w:tcPr>
            <w:tcW w:w="3284" w:type="dxa"/>
          </w:tcPr>
          <w:p w14:paraId="274C1BF4" w14:textId="78445A96" w:rsidR="000077E3" w:rsidRPr="00404724" w:rsidRDefault="000077E3" w:rsidP="008F2B51">
            <w:pPr>
              <w:spacing w:line="240" w:lineRule="atLeast"/>
            </w:pPr>
            <w:r w:rsidRPr="00404724">
              <w:t>2027</w:t>
            </w:r>
          </w:p>
        </w:tc>
        <w:tc>
          <w:tcPr>
            <w:tcW w:w="3285" w:type="dxa"/>
          </w:tcPr>
          <w:p w14:paraId="2DD931B0" w14:textId="5F08BF9C" w:rsidR="000077E3" w:rsidRPr="00404724" w:rsidRDefault="000077E3" w:rsidP="008F2B51">
            <w:pPr>
              <w:spacing w:line="240" w:lineRule="atLeast"/>
              <w:jc w:val="right"/>
            </w:pPr>
            <w:r w:rsidRPr="00404724">
              <w:t>1,380</w:t>
            </w:r>
          </w:p>
        </w:tc>
        <w:tc>
          <w:tcPr>
            <w:tcW w:w="3285" w:type="dxa"/>
          </w:tcPr>
          <w:p w14:paraId="005402CF" w14:textId="2C4420D1" w:rsidR="000077E3" w:rsidRPr="00404724" w:rsidRDefault="000077E3" w:rsidP="008F2B51">
            <w:pPr>
              <w:spacing w:line="240" w:lineRule="atLeast"/>
              <w:jc w:val="right"/>
            </w:pPr>
            <w:r w:rsidRPr="00404724">
              <w:t>47,592</w:t>
            </w:r>
          </w:p>
        </w:tc>
      </w:tr>
      <w:tr w:rsidR="000077E3" w:rsidRPr="00404724" w14:paraId="3A05F034" w14:textId="77777777" w:rsidTr="008F2B51">
        <w:trPr>
          <w:cantSplit/>
        </w:trPr>
        <w:tc>
          <w:tcPr>
            <w:tcW w:w="3284" w:type="dxa"/>
          </w:tcPr>
          <w:p w14:paraId="3DB3DDEB" w14:textId="272FA66D" w:rsidR="000077E3" w:rsidRPr="00404724" w:rsidRDefault="000077E3" w:rsidP="008F2B51">
            <w:pPr>
              <w:spacing w:line="240" w:lineRule="atLeast"/>
            </w:pPr>
            <w:r w:rsidRPr="00404724">
              <w:t>2028</w:t>
            </w:r>
          </w:p>
        </w:tc>
        <w:tc>
          <w:tcPr>
            <w:tcW w:w="3285" w:type="dxa"/>
          </w:tcPr>
          <w:p w14:paraId="38554921" w14:textId="3CA82A13" w:rsidR="000077E3" w:rsidRPr="00404724" w:rsidRDefault="000077E3" w:rsidP="008F2B51">
            <w:pPr>
              <w:spacing w:line="240" w:lineRule="atLeast"/>
              <w:jc w:val="right"/>
            </w:pPr>
            <w:r w:rsidRPr="00404724">
              <w:t>1,424</w:t>
            </w:r>
          </w:p>
        </w:tc>
        <w:tc>
          <w:tcPr>
            <w:tcW w:w="3285" w:type="dxa"/>
          </w:tcPr>
          <w:p w14:paraId="3AE338C7" w14:textId="5158C1FE" w:rsidR="000077E3" w:rsidRPr="00404724" w:rsidRDefault="000077E3" w:rsidP="008F2B51">
            <w:pPr>
              <w:spacing w:line="240" w:lineRule="atLeast"/>
              <w:jc w:val="right"/>
            </w:pPr>
            <w:r w:rsidRPr="00404724">
              <w:t>49,706</w:t>
            </w:r>
          </w:p>
        </w:tc>
      </w:tr>
      <w:tr w:rsidR="000077E3" w:rsidRPr="00404724" w14:paraId="4D079474" w14:textId="77777777" w:rsidTr="008F2B51">
        <w:trPr>
          <w:cantSplit/>
        </w:trPr>
        <w:tc>
          <w:tcPr>
            <w:tcW w:w="3284" w:type="dxa"/>
          </w:tcPr>
          <w:p w14:paraId="10DCC06D" w14:textId="753323CF" w:rsidR="000077E3" w:rsidRPr="00404724" w:rsidRDefault="000077E3" w:rsidP="008F2B51">
            <w:pPr>
              <w:spacing w:line="240" w:lineRule="atLeast"/>
            </w:pPr>
            <w:r w:rsidRPr="00404724">
              <w:t>2029</w:t>
            </w:r>
          </w:p>
        </w:tc>
        <w:tc>
          <w:tcPr>
            <w:tcW w:w="3285" w:type="dxa"/>
          </w:tcPr>
          <w:p w14:paraId="7FCEDEA6" w14:textId="372576F5" w:rsidR="000077E3" w:rsidRPr="00404724" w:rsidRDefault="000077E3" w:rsidP="008F2B51">
            <w:pPr>
              <w:spacing w:line="240" w:lineRule="atLeast"/>
              <w:jc w:val="right"/>
            </w:pPr>
            <w:r w:rsidRPr="00404724">
              <w:t>1,469</w:t>
            </w:r>
          </w:p>
        </w:tc>
        <w:tc>
          <w:tcPr>
            <w:tcW w:w="3285" w:type="dxa"/>
          </w:tcPr>
          <w:p w14:paraId="3E408A54" w14:textId="22BF816E" w:rsidR="000077E3" w:rsidRPr="00404724" w:rsidRDefault="000077E3" w:rsidP="008F2B51">
            <w:pPr>
              <w:spacing w:line="240" w:lineRule="atLeast"/>
              <w:jc w:val="right"/>
            </w:pPr>
            <w:r w:rsidRPr="00404724">
              <w:t>51,922</w:t>
            </w:r>
          </w:p>
        </w:tc>
      </w:tr>
      <w:tr w:rsidR="000077E3" w:rsidRPr="00404724" w14:paraId="49DCF653" w14:textId="77777777" w:rsidTr="008F2B51">
        <w:trPr>
          <w:cantSplit/>
        </w:trPr>
        <w:tc>
          <w:tcPr>
            <w:tcW w:w="3284" w:type="dxa"/>
          </w:tcPr>
          <w:p w14:paraId="36D6FB1C" w14:textId="358479A3" w:rsidR="000077E3" w:rsidRPr="00404724" w:rsidRDefault="000077E3" w:rsidP="008F2B51">
            <w:pPr>
              <w:spacing w:line="240" w:lineRule="atLeast"/>
            </w:pPr>
            <w:r w:rsidRPr="00404724">
              <w:t>2030</w:t>
            </w:r>
          </w:p>
        </w:tc>
        <w:tc>
          <w:tcPr>
            <w:tcW w:w="3285" w:type="dxa"/>
          </w:tcPr>
          <w:p w14:paraId="706C3A42" w14:textId="4F349C04" w:rsidR="000077E3" w:rsidRPr="00404724" w:rsidRDefault="000077E3" w:rsidP="008F2B51">
            <w:pPr>
              <w:spacing w:line="240" w:lineRule="atLeast"/>
              <w:jc w:val="right"/>
            </w:pPr>
            <w:r w:rsidRPr="00404724">
              <w:t>1,515</w:t>
            </w:r>
          </w:p>
        </w:tc>
        <w:tc>
          <w:tcPr>
            <w:tcW w:w="3285" w:type="dxa"/>
          </w:tcPr>
          <w:p w14:paraId="0303F50F" w14:textId="78215D53" w:rsidR="000077E3" w:rsidRPr="00404724" w:rsidRDefault="000077E3" w:rsidP="008F2B51">
            <w:pPr>
              <w:spacing w:line="240" w:lineRule="atLeast"/>
              <w:jc w:val="right"/>
            </w:pPr>
            <w:r w:rsidRPr="00404724">
              <w:t>54,248</w:t>
            </w:r>
          </w:p>
        </w:tc>
      </w:tr>
    </w:tbl>
    <w:p w14:paraId="417581AA" w14:textId="620C4667" w:rsidR="000077E3" w:rsidRPr="00404724" w:rsidRDefault="00CF1735" w:rsidP="00A115DA">
      <w:pPr>
        <w:pStyle w:val="Tablefigureheading"/>
        <w:spacing w:before="240"/>
      </w:pPr>
      <w:bookmarkStart w:id="369" w:name="_Ref208743032"/>
      <w:bookmarkStart w:id="370" w:name="_Toc210040372"/>
      <w:bookmarkStart w:id="371" w:name="_Toc210051908"/>
      <w:r w:rsidRPr="00404724">
        <w:t xml:space="preserve">Table </w:t>
      </w:r>
      <w:r w:rsidR="00EC39D5">
        <w:fldChar w:fldCharType="begin"/>
      </w:r>
      <w:r w:rsidR="00EC39D5">
        <w:instrText xml:space="preserve"> SEQ Table \* ARABIC </w:instrText>
      </w:r>
      <w:r w:rsidR="00EC39D5">
        <w:fldChar w:fldCharType="separate"/>
      </w:r>
      <w:r w:rsidR="00BF489D">
        <w:rPr>
          <w:noProof/>
        </w:rPr>
        <w:t>27</w:t>
      </w:r>
      <w:r w:rsidR="00EC39D5">
        <w:rPr>
          <w:noProof/>
        </w:rPr>
        <w:fldChar w:fldCharType="end"/>
      </w:r>
      <w:bookmarkEnd w:id="369"/>
      <w:r w:rsidRPr="00404724">
        <w:tab/>
      </w:r>
      <w:r w:rsidR="000077E3" w:rsidRPr="00404724">
        <w:t>Extrapolated FSI for Australia, 2031-2036.  Source: author calculations</w:t>
      </w:r>
      <w:bookmarkEnd w:id="370"/>
      <w:bookmarkEnd w:id="371"/>
    </w:p>
    <w:tbl>
      <w:tblPr>
        <w:tblStyle w:val="TableGrid"/>
        <w:tblW w:w="0" w:type="auto"/>
        <w:tblLook w:val="04A0" w:firstRow="1" w:lastRow="0" w:firstColumn="1" w:lastColumn="0" w:noHBand="0" w:noVBand="1"/>
        <w:tblCaption w:val="Table 27 Extrapolated FSI for Australia, 2031-2036.  Source: author calculations"/>
        <w:tblDescription w:val="Table 27 Extrapolated FSI for Australia, 2031-2036.  Source: author calculations"/>
      </w:tblPr>
      <w:tblGrid>
        <w:gridCol w:w="3284"/>
        <w:gridCol w:w="3285"/>
        <w:gridCol w:w="3285"/>
      </w:tblGrid>
      <w:tr w:rsidR="000077E3" w:rsidRPr="00404724" w14:paraId="071FB1E1" w14:textId="77777777" w:rsidTr="008F2B51">
        <w:trPr>
          <w:cantSplit/>
          <w:tblHeader/>
        </w:trPr>
        <w:tc>
          <w:tcPr>
            <w:tcW w:w="3284" w:type="dxa"/>
            <w:shd w:val="clear" w:color="auto" w:fill="081E3E" w:themeFill="text2"/>
          </w:tcPr>
          <w:p w14:paraId="30614CC1" w14:textId="6F5847D6" w:rsidR="000077E3" w:rsidRPr="00404724" w:rsidRDefault="000077E3" w:rsidP="008F2B51">
            <w:pPr>
              <w:spacing w:line="240" w:lineRule="atLeast"/>
              <w:rPr>
                <w:b/>
                <w:bCs/>
                <w:color w:val="FFFFFF" w:themeColor="background1"/>
              </w:rPr>
            </w:pPr>
            <w:r w:rsidRPr="00404724">
              <w:rPr>
                <w:b/>
                <w:bCs/>
                <w:color w:val="FFFFFF" w:themeColor="background1"/>
              </w:rPr>
              <w:t>Year</w:t>
            </w:r>
          </w:p>
        </w:tc>
        <w:tc>
          <w:tcPr>
            <w:tcW w:w="3285" w:type="dxa"/>
            <w:shd w:val="clear" w:color="auto" w:fill="081E3E" w:themeFill="text2"/>
          </w:tcPr>
          <w:p w14:paraId="1FCA65C7" w14:textId="28C8E0D8" w:rsidR="000077E3" w:rsidRPr="00404724" w:rsidRDefault="000077E3" w:rsidP="008F2B51">
            <w:pPr>
              <w:spacing w:line="240" w:lineRule="atLeast"/>
              <w:jc w:val="center"/>
              <w:rPr>
                <w:b/>
                <w:bCs/>
                <w:color w:val="FFFFFF" w:themeColor="background1"/>
              </w:rPr>
            </w:pPr>
            <w:r w:rsidRPr="00404724">
              <w:rPr>
                <w:b/>
                <w:bCs/>
                <w:color w:val="FFFFFF" w:themeColor="background1"/>
              </w:rPr>
              <w:t>Fatalities</w:t>
            </w:r>
          </w:p>
        </w:tc>
        <w:tc>
          <w:tcPr>
            <w:tcW w:w="3285" w:type="dxa"/>
            <w:shd w:val="clear" w:color="auto" w:fill="081E3E" w:themeFill="text2"/>
          </w:tcPr>
          <w:p w14:paraId="32AF38B8" w14:textId="3D667AF0" w:rsidR="000077E3" w:rsidRPr="00404724" w:rsidRDefault="000077E3" w:rsidP="008F2B51">
            <w:pPr>
              <w:spacing w:line="240" w:lineRule="atLeast"/>
              <w:jc w:val="center"/>
              <w:rPr>
                <w:b/>
                <w:bCs/>
                <w:color w:val="FFFFFF" w:themeColor="background1"/>
              </w:rPr>
            </w:pPr>
            <w:r w:rsidRPr="00404724">
              <w:rPr>
                <w:b/>
                <w:bCs/>
                <w:color w:val="FFFFFF" w:themeColor="background1"/>
              </w:rPr>
              <w:t>Serious Injuries</w:t>
            </w:r>
          </w:p>
        </w:tc>
      </w:tr>
      <w:tr w:rsidR="000077E3" w:rsidRPr="00404724" w14:paraId="0F132107" w14:textId="77777777" w:rsidTr="008F2B51">
        <w:trPr>
          <w:cantSplit/>
        </w:trPr>
        <w:tc>
          <w:tcPr>
            <w:tcW w:w="3284" w:type="dxa"/>
          </w:tcPr>
          <w:p w14:paraId="65F7BFB4" w14:textId="1F871312" w:rsidR="000077E3" w:rsidRPr="00404724" w:rsidRDefault="000077E3" w:rsidP="008F2B51">
            <w:pPr>
              <w:spacing w:line="240" w:lineRule="atLeast"/>
            </w:pPr>
            <w:r w:rsidRPr="00404724">
              <w:t>2031</w:t>
            </w:r>
          </w:p>
        </w:tc>
        <w:tc>
          <w:tcPr>
            <w:tcW w:w="3285" w:type="dxa"/>
          </w:tcPr>
          <w:p w14:paraId="6C825AB8" w14:textId="2C85E091" w:rsidR="000077E3" w:rsidRPr="00404724" w:rsidRDefault="000077E3" w:rsidP="008F2B51">
            <w:pPr>
              <w:spacing w:line="240" w:lineRule="atLeast"/>
              <w:jc w:val="right"/>
            </w:pPr>
            <w:r w:rsidRPr="00404724">
              <w:t>1,566</w:t>
            </w:r>
          </w:p>
        </w:tc>
        <w:tc>
          <w:tcPr>
            <w:tcW w:w="3285" w:type="dxa"/>
          </w:tcPr>
          <w:p w14:paraId="5FDF281F" w14:textId="36F850FA" w:rsidR="000077E3" w:rsidRPr="00404724" w:rsidRDefault="000077E3" w:rsidP="008F2B51">
            <w:pPr>
              <w:spacing w:line="240" w:lineRule="atLeast"/>
              <w:jc w:val="right"/>
            </w:pPr>
            <w:r w:rsidRPr="00404724">
              <w:t>56,633</w:t>
            </w:r>
          </w:p>
        </w:tc>
      </w:tr>
      <w:tr w:rsidR="000077E3" w:rsidRPr="00404724" w14:paraId="6C5E8677" w14:textId="77777777" w:rsidTr="008F2B51">
        <w:trPr>
          <w:cantSplit/>
        </w:trPr>
        <w:tc>
          <w:tcPr>
            <w:tcW w:w="3284" w:type="dxa"/>
          </w:tcPr>
          <w:p w14:paraId="6BE6D55E" w14:textId="7B74A78B" w:rsidR="000077E3" w:rsidRPr="00404724" w:rsidRDefault="000077E3" w:rsidP="008F2B51">
            <w:pPr>
              <w:spacing w:line="240" w:lineRule="atLeast"/>
            </w:pPr>
            <w:r w:rsidRPr="00404724">
              <w:t>2032</w:t>
            </w:r>
          </w:p>
        </w:tc>
        <w:tc>
          <w:tcPr>
            <w:tcW w:w="3285" w:type="dxa"/>
          </w:tcPr>
          <w:p w14:paraId="11947076" w14:textId="2A6FC2D3" w:rsidR="000077E3" w:rsidRPr="00404724" w:rsidRDefault="000077E3" w:rsidP="008F2B51">
            <w:pPr>
              <w:spacing w:line="240" w:lineRule="atLeast"/>
              <w:jc w:val="right"/>
            </w:pPr>
            <w:r w:rsidRPr="00404724">
              <w:t>1,617</w:t>
            </w:r>
          </w:p>
        </w:tc>
        <w:tc>
          <w:tcPr>
            <w:tcW w:w="3285" w:type="dxa"/>
          </w:tcPr>
          <w:p w14:paraId="06AB1558" w14:textId="0F3435E8" w:rsidR="000077E3" w:rsidRPr="00404724" w:rsidRDefault="000077E3" w:rsidP="008F2B51">
            <w:pPr>
              <w:spacing w:line="240" w:lineRule="atLeast"/>
              <w:jc w:val="right"/>
            </w:pPr>
            <w:r w:rsidRPr="00404724">
              <w:t>59,146</w:t>
            </w:r>
          </w:p>
        </w:tc>
      </w:tr>
      <w:tr w:rsidR="000077E3" w:rsidRPr="00404724" w14:paraId="39457A16" w14:textId="77777777" w:rsidTr="008F2B51">
        <w:trPr>
          <w:cantSplit/>
        </w:trPr>
        <w:tc>
          <w:tcPr>
            <w:tcW w:w="3284" w:type="dxa"/>
          </w:tcPr>
          <w:p w14:paraId="01597799" w14:textId="6AE002C5" w:rsidR="000077E3" w:rsidRPr="00404724" w:rsidRDefault="000077E3" w:rsidP="008F2B51">
            <w:pPr>
              <w:spacing w:line="240" w:lineRule="atLeast"/>
            </w:pPr>
            <w:r w:rsidRPr="00404724">
              <w:t>2033</w:t>
            </w:r>
          </w:p>
        </w:tc>
        <w:tc>
          <w:tcPr>
            <w:tcW w:w="3285" w:type="dxa"/>
          </w:tcPr>
          <w:p w14:paraId="604DDF81" w14:textId="37B44844" w:rsidR="000077E3" w:rsidRPr="00404724" w:rsidRDefault="000077E3" w:rsidP="008F2B51">
            <w:pPr>
              <w:spacing w:line="240" w:lineRule="atLeast"/>
              <w:jc w:val="right"/>
            </w:pPr>
            <w:r w:rsidRPr="00404724">
              <w:t>1,669</w:t>
            </w:r>
          </w:p>
        </w:tc>
        <w:tc>
          <w:tcPr>
            <w:tcW w:w="3285" w:type="dxa"/>
          </w:tcPr>
          <w:p w14:paraId="2684372D" w14:textId="5EFA3C4E" w:rsidR="000077E3" w:rsidRPr="00404724" w:rsidRDefault="000077E3" w:rsidP="008F2B51">
            <w:pPr>
              <w:spacing w:line="240" w:lineRule="atLeast"/>
              <w:jc w:val="right"/>
            </w:pPr>
            <w:r w:rsidRPr="00404724">
              <w:t>61,770</w:t>
            </w:r>
          </w:p>
        </w:tc>
      </w:tr>
      <w:tr w:rsidR="000077E3" w:rsidRPr="00404724" w14:paraId="31DFF446" w14:textId="77777777" w:rsidTr="008F2B51">
        <w:trPr>
          <w:cantSplit/>
        </w:trPr>
        <w:tc>
          <w:tcPr>
            <w:tcW w:w="3284" w:type="dxa"/>
          </w:tcPr>
          <w:p w14:paraId="3969756F" w14:textId="5CD70470" w:rsidR="000077E3" w:rsidRPr="00404724" w:rsidRDefault="000077E3" w:rsidP="008F2B51">
            <w:pPr>
              <w:spacing w:line="240" w:lineRule="atLeast"/>
            </w:pPr>
            <w:r w:rsidRPr="00404724">
              <w:t>2034</w:t>
            </w:r>
          </w:p>
        </w:tc>
        <w:tc>
          <w:tcPr>
            <w:tcW w:w="3285" w:type="dxa"/>
          </w:tcPr>
          <w:p w14:paraId="1DCAFC31" w14:textId="7FC7F528" w:rsidR="000077E3" w:rsidRPr="00404724" w:rsidRDefault="000077E3" w:rsidP="008F2B51">
            <w:pPr>
              <w:spacing w:line="240" w:lineRule="atLeast"/>
              <w:jc w:val="right"/>
            </w:pPr>
            <w:r w:rsidRPr="00404724">
              <w:t>1,723</w:t>
            </w:r>
          </w:p>
        </w:tc>
        <w:tc>
          <w:tcPr>
            <w:tcW w:w="3285" w:type="dxa"/>
          </w:tcPr>
          <w:p w14:paraId="0F39A79D" w14:textId="7D6FB38E" w:rsidR="000077E3" w:rsidRPr="00404724" w:rsidRDefault="000077E3" w:rsidP="008F2B51">
            <w:pPr>
              <w:spacing w:line="240" w:lineRule="atLeast"/>
              <w:jc w:val="right"/>
            </w:pPr>
            <w:r w:rsidRPr="00404724">
              <w:t>64,511</w:t>
            </w:r>
          </w:p>
        </w:tc>
      </w:tr>
      <w:tr w:rsidR="000077E3" w:rsidRPr="00404724" w14:paraId="4121DF28" w14:textId="77777777" w:rsidTr="008F2B51">
        <w:trPr>
          <w:cantSplit/>
        </w:trPr>
        <w:tc>
          <w:tcPr>
            <w:tcW w:w="3284" w:type="dxa"/>
          </w:tcPr>
          <w:p w14:paraId="77AAEAC8" w14:textId="485A9402" w:rsidR="000077E3" w:rsidRPr="00404724" w:rsidRDefault="000077E3" w:rsidP="008F2B51">
            <w:pPr>
              <w:spacing w:line="240" w:lineRule="atLeast"/>
            </w:pPr>
            <w:r w:rsidRPr="00404724">
              <w:t>2035</w:t>
            </w:r>
          </w:p>
        </w:tc>
        <w:tc>
          <w:tcPr>
            <w:tcW w:w="3285" w:type="dxa"/>
          </w:tcPr>
          <w:p w14:paraId="72FDF430" w14:textId="404E21CB" w:rsidR="000077E3" w:rsidRPr="00404724" w:rsidRDefault="000077E3" w:rsidP="008F2B51">
            <w:pPr>
              <w:spacing w:line="240" w:lineRule="atLeast"/>
              <w:jc w:val="right"/>
            </w:pPr>
            <w:r w:rsidRPr="00404724">
              <w:t>1,779</w:t>
            </w:r>
          </w:p>
        </w:tc>
        <w:tc>
          <w:tcPr>
            <w:tcW w:w="3285" w:type="dxa"/>
          </w:tcPr>
          <w:p w14:paraId="138DC742" w14:textId="311DE9B0" w:rsidR="000077E3" w:rsidRPr="00404724" w:rsidRDefault="000077E3" w:rsidP="008F2B51">
            <w:pPr>
              <w:spacing w:line="240" w:lineRule="atLeast"/>
              <w:jc w:val="right"/>
            </w:pPr>
            <w:r w:rsidRPr="00404724">
              <w:t>67,373</w:t>
            </w:r>
          </w:p>
        </w:tc>
      </w:tr>
      <w:tr w:rsidR="000077E3" w:rsidRPr="00404724" w14:paraId="33F5D72B" w14:textId="77777777" w:rsidTr="008F2B51">
        <w:trPr>
          <w:cantSplit/>
        </w:trPr>
        <w:tc>
          <w:tcPr>
            <w:tcW w:w="3284" w:type="dxa"/>
          </w:tcPr>
          <w:p w14:paraId="4B7AD381" w14:textId="03741731" w:rsidR="000077E3" w:rsidRPr="00404724" w:rsidRDefault="000077E3" w:rsidP="008F2B51">
            <w:pPr>
              <w:spacing w:line="240" w:lineRule="atLeast"/>
            </w:pPr>
            <w:r w:rsidRPr="00404724">
              <w:t>2036</w:t>
            </w:r>
          </w:p>
        </w:tc>
        <w:tc>
          <w:tcPr>
            <w:tcW w:w="3285" w:type="dxa"/>
          </w:tcPr>
          <w:p w14:paraId="4210CAC3" w14:textId="6BAD6322" w:rsidR="000077E3" w:rsidRPr="00404724" w:rsidRDefault="000077E3" w:rsidP="008F2B51">
            <w:pPr>
              <w:spacing w:line="240" w:lineRule="atLeast"/>
              <w:jc w:val="right"/>
            </w:pPr>
            <w:r w:rsidRPr="00404724">
              <w:t>1,836</w:t>
            </w:r>
          </w:p>
        </w:tc>
        <w:tc>
          <w:tcPr>
            <w:tcW w:w="3285" w:type="dxa"/>
          </w:tcPr>
          <w:p w14:paraId="193F7EF2" w14:textId="7829627C" w:rsidR="000077E3" w:rsidRPr="00404724" w:rsidRDefault="000077E3" w:rsidP="008F2B51">
            <w:pPr>
              <w:spacing w:line="240" w:lineRule="atLeast"/>
              <w:jc w:val="right"/>
            </w:pPr>
            <w:r w:rsidRPr="00404724">
              <w:t>70,362</w:t>
            </w:r>
          </w:p>
        </w:tc>
      </w:tr>
    </w:tbl>
    <w:p w14:paraId="522BC370" w14:textId="217FF106" w:rsidR="000077E3" w:rsidRPr="00404724" w:rsidRDefault="000077E3" w:rsidP="000077E3">
      <w:r w:rsidRPr="00404724">
        <w:t xml:space="preserve">Note that the dataset contained no speed zone information for the ACT. As this jurisdiction contributes 0.8% of fatalities and 0.2% of serious </w:t>
      </w:r>
      <w:r w:rsidR="00C94374" w:rsidRPr="00404724">
        <w:t>injuries and</w:t>
      </w:r>
      <w:r w:rsidRPr="00404724">
        <w:t xml:space="preserve"> likely has a very small proportion of default </w:t>
      </w:r>
      <w:r w:rsidR="006D4544" w:rsidRPr="00404724">
        <w:t>speed-limited</w:t>
      </w:r>
      <w:r w:rsidRPr="00404724">
        <w:t xml:space="preserve"> or unsealed roads</w:t>
      </w:r>
      <w:r w:rsidR="006D4544" w:rsidRPr="00404724">
        <w:t xml:space="preserve"> outside of built-up areas</w:t>
      </w:r>
      <w:r w:rsidRPr="00404724">
        <w:t>, its exclusion from these calculations was likely of little consequence.</w:t>
      </w:r>
    </w:p>
    <w:p w14:paraId="73F57A0C" w14:textId="12E04178" w:rsidR="000077E3" w:rsidRPr="00404724" w:rsidRDefault="000077E3" w:rsidP="000077E3">
      <w:r w:rsidRPr="00404724">
        <w:t>Furthermore, it should also be noted that the default speed limit</w:t>
      </w:r>
      <w:r w:rsidR="006D4544" w:rsidRPr="00404724">
        <w:t xml:space="preserve"> outside of built-up areas</w:t>
      </w:r>
      <w:r w:rsidRPr="00404724">
        <w:t xml:space="preserve"> in WA and the NT is 110</w:t>
      </w:r>
      <w:r w:rsidR="00C82E00" w:rsidRPr="00404724">
        <w:t xml:space="preserve"> km/h</w:t>
      </w:r>
      <w:r w:rsidRPr="00404724">
        <w:t>, compared with 100</w:t>
      </w:r>
      <w:r w:rsidR="00C82E00" w:rsidRPr="00404724">
        <w:t xml:space="preserve"> km/h</w:t>
      </w:r>
      <w:r w:rsidRPr="00404724">
        <w:t xml:space="preserve"> in NSW, Victoria, Queensland, South Australia and Tasmania. The incorporation of this difference will be discussed in the specific subsections below.</w:t>
      </w:r>
    </w:p>
    <w:p w14:paraId="2B5820D0" w14:textId="403C6698" w:rsidR="000077E3" w:rsidRPr="00404724" w:rsidRDefault="006D4544" w:rsidP="008F2B51">
      <w:pPr>
        <w:pStyle w:val="Heading5"/>
      </w:pPr>
      <w:bookmarkStart w:id="372" w:name="_n6c2xqsbelye"/>
      <w:bookmarkEnd w:id="372"/>
      <w:r w:rsidRPr="00404724">
        <w:t>Default speed-limited roads outside of built-up areas</w:t>
      </w:r>
    </w:p>
    <w:p w14:paraId="6EEF882D" w14:textId="20236BCC" w:rsidR="000077E3" w:rsidRPr="00404724" w:rsidRDefault="000077E3" w:rsidP="000077E3">
      <w:pPr>
        <w:rPr>
          <w:rFonts w:eastAsia="Calibri"/>
        </w:rPr>
      </w:pPr>
      <w:r w:rsidRPr="00404724">
        <w:t xml:space="preserve">To determine numbers of FSI on sealed rural </w:t>
      </w:r>
      <w:r w:rsidR="00C94374" w:rsidRPr="00404724">
        <w:t>high-speed</w:t>
      </w:r>
      <w:r w:rsidRPr="00404724">
        <w:t xml:space="preserve"> roads, FSI in 100</w:t>
      </w:r>
      <w:r w:rsidR="00C82E00" w:rsidRPr="00404724">
        <w:t xml:space="preserve"> km/h</w:t>
      </w:r>
      <w:r w:rsidRPr="00404724">
        <w:t xml:space="preserve"> (110</w:t>
      </w:r>
      <w:r w:rsidR="00C82E00" w:rsidRPr="00404724">
        <w:t xml:space="preserve"> km/h</w:t>
      </w:r>
      <w:r w:rsidRPr="00404724">
        <w:t xml:space="preserve"> for WA and NT) speed zones with surface type, ‘sealed’ and in Regional and Remote areas was extracted. Police-reported data do not report whether the speed limit applicable at a crash site was </w:t>
      </w:r>
      <w:r w:rsidR="00974A32" w:rsidRPr="00404724">
        <w:t>a default or signed speed zone</w:t>
      </w:r>
      <w:r w:rsidRPr="00404724">
        <w:t>, so to determine the proportion of FSI where the default was applied, ACIL Allen requested estimates from jurisdictional representatives. These varied from 3-25% in Queensland, 9% (Victoria), 38-43% (NSW), 27-58% (WA). Consequently, scenarios bracketing the range were chosen for the calculations: a lower estimate of 10%, an upper estimate of 38% and an approximate midpoint of 20%. The figures in</w:t>
      </w:r>
      <w:r w:rsidR="00CF1735" w:rsidRPr="00404724">
        <w:t xml:space="preserve"> </w:t>
      </w:r>
      <w:r w:rsidR="00CF1735" w:rsidRPr="00404724">
        <w:fldChar w:fldCharType="begin"/>
      </w:r>
      <w:r w:rsidR="00CF1735" w:rsidRPr="00404724">
        <w:instrText xml:space="preserve"> REF _Ref208742985 \h </w:instrText>
      </w:r>
      <w:r w:rsidR="00CF1735" w:rsidRPr="00404724">
        <w:fldChar w:fldCharType="separate"/>
      </w:r>
      <w:r w:rsidR="00BF489D" w:rsidRPr="00404724">
        <w:t xml:space="preserve">Table </w:t>
      </w:r>
      <w:r w:rsidR="00BF489D">
        <w:rPr>
          <w:noProof/>
        </w:rPr>
        <w:t>28</w:t>
      </w:r>
      <w:r w:rsidR="00CF1735" w:rsidRPr="00404724">
        <w:fldChar w:fldCharType="end"/>
      </w:r>
      <w:r w:rsidR="00CF1735" w:rsidRPr="00404724">
        <w:t xml:space="preserve"> and </w:t>
      </w:r>
      <w:r w:rsidR="00CF1735" w:rsidRPr="00404724">
        <w:fldChar w:fldCharType="begin"/>
      </w:r>
      <w:r w:rsidR="00CF1735" w:rsidRPr="00404724">
        <w:instrText xml:space="preserve"> REF _Ref208742990 \h </w:instrText>
      </w:r>
      <w:r w:rsidR="00CF1735" w:rsidRPr="00404724">
        <w:fldChar w:fldCharType="separate"/>
      </w:r>
      <w:r w:rsidR="00BF489D" w:rsidRPr="00404724">
        <w:t xml:space="preserve">Table </w:t>
      </w:r>
      <w:r w:rsidR="00BF489D">
        <w:rPr>
          <w:noProof/>
        </w:rPr>
        <w:t>29</w:t>
      </w:r>
      <w:r w:rsidR="00CF1735" w:rsidRPr="00404724">
        <w:fldChar w:fldCharType="end"/>
      </w:r>
      <w:r w:rsidRPr="00404724">
        <w:t xml:space="preserve"> were the source for the scaling factors to be derived from the BTTM and default proportion scenarios.</w:t>
      </w:r>
    </w:p>
    <w:p w14:paraId="48AE2463" w14:textId="355786A2" w:rsidR="000077E3" w:rsidRPr="00404724" w:rsidRDefault="00CF1735" w:rsidP="003979C3">
      <w:pPr>
        <w:pStyle w:val="Tablefigureheading"/>
      </w:pPr>
      <w:bookmarkStart w:id="373" w:name="_Ref208742985"/>
      <w:bookmarkStart w:id="374" w:name="_Toc210040373"/>
      <w:bookmarkStart w:id="375" w:name="_Toc210051909"/>
      <w:r w:rsidRPr="00404724">
        <w:t xml:space="preserve">Table </w:t>
      </w:r>
      <w:r w:rsidR="00EC39D5">
        <w:fldChar w:fldCharType="begin"/>
      </w:r>
      <w:r w:rsidR="00EC39D5">
        <w:instrText xml:space="preserve"> SEQ Table \* ARABIC </w:instrText>
      </w:r>
      <w:r w:rsidR="00EC39D5">
        <w:fldChar w:fldCharType="separate"/>
      </w:r>
      <w:r w:rsidR="00BF489D">
        <w:rPr>
          <w:noProof/>
        </w:rPr>
        <w:t>28</w:t>
      </w:r>
      <w:r w:rsidR="00EC39D5">
        <w:rPr>
          <w:noProof/>
        </w:rPr>
        <w:fldChar w:fldCharType="end"/>
      </w:r>
      <w:bookmarkEnd w:id="373"/>
      <w:r w:rsidRPr="00404724">
        <w:tab/>
      </w:r>
      <w:r w:rsidR="000077E3" w:rsidRPr="00404724">
        <w:t xml:space="preserve"> Estimated annual fatalities (Jul 2015-Jun 2018) on sealed high-speed roads, rounded</w:t>
      </w:r>
      <w:bookmarkEnd w:id="374"/>
      <w:bookmarkEnd w:id="375"/>
    </w:p>
    <w:tbl>
      <w:tblPr>
        <w:tblStyle w:val="TableGrid"/>
        <w:tblW w:w="0" w:type="auto"/>
        <w:tblLook w:val="04A0" w:firstRow="1" w:lastRow="0" w:firstColumn="1" w:lastColumn="0" w:noHBand="0" w:noVBand="1"/>
        <w:tblCaption w:val="Table 28  Estimated annual fatalities (Jul 2015-Jun 2018) on sealed high-speed roads, rounded"/>
        <w:tblDescription w:val="Table 28  Estimated annual fatalities (Jul 2015-Jun 2018) on sealed high-speed roads, rounded"/>
      </w:tblPr>
      <w:tblGrid>
        <w:gridCol w:w="2463"/>
        <w:gridCol w:w="2463"/>
        <w:gridCol w:w="2464"/>
        <w:gridCol w:w="2464"/>
      </w:tblGrid>
      <w:tr w:rsidR="000077E3" w:rsidRPr="00404724" w14:paraId="71D7DB32" w14:textId="77777777" w:rsidTr="008F2B51">
        <w:trPr>
          <w:cantSplit/>
          <w:tblHeader/>
        </w:trPr>
        <w:tc>
          <w:tcPr>
            <w:tcW w:w="2463" w:type="dxa"/>
            <w:shd w:val="clear" w:color="auto" w:fill="081E3E" w:themeFill="text2"/>
          </w:tcPr>
          <w:p w14:paraId="74E141A6" w14:textId="77777777" w:rsidR="000077E3" w:rsidRPr="00404724" w:rsidRDefault="000077E3" w:rsidP="00BB5FCD">
            <w:pPr>
              <w:spacing w:before="80" w:line="240" w:lineRule="atLeast"/>
              <w:rPr>
                <w:b/>
                <w:bCs/>
                <w:color w:val="FFFFFF" w:themeColor="background1"/>
              </w:rPr>
            </w:pPr>
            <w:r w:rsidRPr="00404724">
              <w:rPr>
                <w:b/>
                <w:bCs/>
                <w:color w:val="FFFFFF" w:themeColor="background1"/>
              </w:rPr>
              <w:t>State</w:t>
            </w:r>
          </w:p>
        </w:tc>
        <w:tc>
          <w:tcPr>
            <w:tcW w:w="2463" w:type="dxa"/>
            <w:shd w:val="clear" w:color="auto" w:fill="081E3E" w:themeFill="text2"/>
          </w:tcPr>
          <w:p w14:paraId="00A0823B" w14:textId="77777777" w:rsidR="000077E3" w:rsidRPr="00404724" w:rsidRDefault="000077E3" w:rsidP="00E85B60">
            <w:pPr>
              <w:spacing w:before="80" w:line="240" w:lineRule="atLeast"/>
              <w:jc w:val="center"/>
              <w:rPr>
                <w:b/>
                <w:bCs/>
                <w:color w:val="FFFFFF" w:themeColor="background1"/>
              </w:rPr>
            </w:pPr>
            <w:r w:rsidRPr="00404724">
              <w:rPr>
                <w:b/>
                <w:bCs/>
                <w:color w:val="FFFFFF" w:themeColor="background1"/>
              </w:rPr>
              <w:t>Regional</w:t>
            </w:r>
          </w:p>
        </w:tc>
        <w:tc>
          <w:tcPr>
            <w:tcW w:w="2464" w:type="dxa"/>
            <w:shd w:val="clear" w:color="auto" w:fill="081E3E" w:themeFill="text2"/>
          </w:tcPr>
          <w:p w14:paraId="28B0CDE7" w14:textId="77777777" w:rsidR="000077E3" w:rsidRPr="00404724" w:rsidRDefault="000077E3" w:rsidP="00E85B60">
            <w:pPr>
              <w:spacing w:before="80" w:line="240" w:lineRule="atLeast"/>
              <w:jc w:val="center"/>
              <w:rPr>
                <w:b/>
                <w:bCs/>
                <w:color w:val="FFFFFF" w:themeColor="background1"/>
              </w:rPr>
            </w:pPr>
            <w:r w:rsidRPr="00404724">
              <w:rPr>
                <w:b/>
                <w:bCs/>
                <w:color w:val="FFFFFF" w:themeColor="background1"/>
              </w:rPr>
              <w:t>Remote</w:t>
            </w:r>
          </w:p>
        </w:tc>
        <w:tc>
          <w:tcPr>
            <w:tcW w:w="2464" w:type="dxa"/>
            <w:shd w:val="clear" w:color="auto" w:fill="081E3E" w:themeFill="text2"/>
          </w:tcPr>
          <w:p w14:paraId="21D7E0CD" w14:textId="77777777" w:rsidR="000077E3" w:rsidRPr="00404724" w:rsidRDefault="000077E3" w:rsidP="00E85B60">
            <w:pPr>
              <w:spacing w:before="80" w:line="240" w:lineRule="atLeast"/>
              <w:jc w:val="center"/>
              <w:rPr>
                <w:b/>
                <w:bCs/>
                <w:color w:val="FFFFFF" w:themeColor="background1"/>
              </w:rPr>
            </w:pPr>
            <w:r w:rsidRPr="00404724">
              <w:rPr>
                <w:b/>
                <w:bCs/>
                <w:color w:val="FFFFFF" w:themeColor="background1"/>
              </w:rPr>
              <w:t>Total</w:t>
            </w:r>
          </w:p>
        </w:tc>
      </w:tr>
      <w:tr w:rsidR="000077E3" w:rsidRPr="00404724" w14:paraId="5EBDCCAE" w14:textId="77777777" w:rsidTr="008F2B51">
        <w:trPr>
          <w:cantSplit/>
        </w:trPr>
        <w:tc>
          <w:tcPr>
            <w:tcW w:w="2463" w:type="dxa"/>
          </w:tcPr>
          <w:p w14:paraId="0100F0A3" w14:textId="77777777" w:rsidR="000077E3" w:rsidRPr="00404724" w:rsidRDefault="000077E3" w:rsidP="000077E3">
            <w:pPr>
              <w:spacing w:before="80" w:line="240" w:lineRule="atLeast"/>
            </w:pPr>
            <w:r w:rsidRPr="00404724">
              <w:t>NSW</w:t>
            </w:r>
          </w:p>
        </w:tc>
        <w:tc>
          <w:tcPr>
            <w:tcW w:w="2463" w:type="dxa"/>
          </w:tcPr>
          <w:p w14:paraId="1C1C4275" w14:textId="6C4D8070" w:rsidR="000077E3" w:rsidRPr="00404724" w:rsidRDefault="000077E3" w:rsidP="00E85B60">
            <w:pPr>
              <w:spacing w:before="80" w:line="240" w:lineRule="atLeast"/>
              <w:jc w:val="right"/>
            </w:pPr>
            <w:r w:rsidRPr="00404724">
              <w:t>94</w:t>
            </w:r>
          </w:p>
        </w:tc>
        <w:tc>
          <w:tcPr>
            <w:tcW w:w="2464" w:type="dxa"/>
          </w:tcPr>
          <w:p w14:paraId="032E408D" w14:textId="215D80C0" w:rsidR="000077E3" w:rsidRPr="00404724" w:rsidRDefault="000077E3" w:rsidP="00E85B60">
            <w:pPr>
              <w:spacing w:before="80" w:line="240" w:lineRule="atLeast"/>
              <w:jc w:val="right"/>
            </w:pPr>
            <w:r w:rsidRPr="00404724">
              <w:t>2</w:t>
            </w:r>
          </w:p>
        </w:tc>
        <w:tc>
          <w:tcPr>
            <w:tcW w:w="2464" w:type="dxa"/>
          </w:tcPr>
          <w:p w14:paraId="206F0920" w14:textId="600DBDCD" w:rsidR="000077E3" w:rsidRPr="00404724" w:rsidRDefault="000077E3" w:rsidP="00E85B60">
            <w:pPr>
              <w:spacing w:before="80" w:line="240" w:lineRule="atLeast"/>
              <w:jc w:val="right"/>
            </w:pPr>
            <w:r w:rsidRPr="00404724">
              <w:t>95</w:t>
            </w:r>
          </w:p>
        </w:tc>
      </w:tr>
      <w:tr w:rsidR="000077E3" w:rsidRPr="00404724" w14:paraId="65B583E9" w14:textId="77777777" w:rsidTr="008F2B51">
        <w:trPr>
          <w:cantSplit/>
        </w:trPr>
        <w:tc>
          <w:tcPr>
            <w:tcW w:w="2463" w:type="dxa"/>
          </w:tcPr>
          <w:p w14:paraId="32622350" w14:textId="77777777" w:rsidR="000077E3" w:rsidRPr="00404724" w:rsidRDefault="000077E3" w:rsidP="000077E3">
            <w:pPr>
              <w:spacing w:before="80" w:line="240" w:lineRule="atLeast"/>
            </w:pPr>
            <w:r w:rsidRPr="00404724">
              <w:t>Vic</w:t>
            </w:r>
          </w:p>
        </w:tc>
        <w:tc>
          <w:tcPr>
            <w:tcW w:w="2463" w:type="dxa"/>
          </w:tcPr>
          <w:p w14:paraId="79F18C06" w14:textId="08E1C493" w:rsidR="000077E3" w:rsidRPr="00404724" w:rsidRDefault="000077E3" w:rsidP="00E85B60">
            <w:pPr>
              <w:spacing w:before="80" w:line="240" w:lineRule="atLeast"/>
              <w:jc w:val="right"/>
            </w:pPr>
            <w:r w:rsidRPr="00404724">
              <w:t>94</w:t>
            </w:r>
          </w:p>
        </w:tc>
        <w:tc>
          <w:tcPr>
            <w:tcW w:w="2464" w:type="dxa"/>
          </w:tcPr>
          <w:p w14:paraId="4295CBD3" w14:textId="044A5DCA" w:rsidR="000077E3" w:rsidRPr="00404724" w:rsidRDefault="000077E3" w:rsidP="00E85B60">
            <w:pPr>
              <w:spacing w:before="80" w:line="240" w:lineRule="atLeast"/>
              <w:jc w:val="right"/>
            </w:pPr>
            <w:r w:rsidRPr="00404724">
              <w:t>0</w:t>
            </w:r>
          </w:p>
        </w:tc>
        <w:tc>
          <w:tcPr>
            <w:tcW w:w="2464" w:type="dxa"/>
          </w:tcPr>
          <w:p w14:paraId="07B92B0F" w14:textId="02FC22B8" w:rsidR="000077E3" w:rsidRPr="00404724" w:rsidRDefault="000077E3" w:rsidP="00E85B60">
            <w:pPr>
              <w:spacing w:before="80" w:line="240" w:lineRule="atLeast"/>
              <w:jc w:val="right"/>
            </w:pPr>
            <w:r w:rsidRPr="00404724">
              <w:t>94</w:t>
            </w:r>
          </w:p>
        </w:tc>
      </w:tr>
      <w:tr w:rsidR="000077E3" w:rsidRPr="00404724" w14:paraId="338E0DB1" w14:textId="77777777" w:rsidTr="008F2B51">
        <w:trPr>
          <w:cantSplit/>
        </w:trPr>
        <w:tc>
          <w:tcPr>
            <w:tcW w:w="2463" w:type="dxa"/>
          </w:tcPr>
          <w:p w14:paraId="7F927AF3" w14:textId="77777777" w:rsidR="000077E3" w:rsidRPr="00404724" w:rsidRDefault="000077E3" w:rsidP="000077E3">
            <w:pPr>
              <w:spacing w:before="80" w:line="240" w:lineRule="atLeast"/>
            </w:pPr>
            <w:r w:rsidRPr="00404724">
              <w:t>QLD</w:t>
            </w:r>
          </w:p>
        </w:tc>
        <w:tc>
          <w:tcPr>
            <w:tcW w:w="2463" w:type="dxa"/>
          </w:tcPr>
          <w:p w14:paraId="3183BF67" w14:textId="4CD64AFB" w:rsidR="000077E3" w:rsidRPr="00404724" w:rsidRDefault="000077E3" w:rsidP="00E85B60">
            <w:pPr>
              <w:spacing w:before="80" w:line="240" w:lineRule="atLeast"/>
              <w:jc w:val="right"/>
            </w:pPr>
            <w:r w:rsidRPr="00404724">
              <w:t>73</w:t>
            </w:r>
          </w:p>
        </w:tc>
        <w:tc>
          <w:tcPr>
            <w:tcW w:w="2464" w:type="dxa"/>
          </w:tcPr>
          <w:p w14:paraId="2652A777" w14:textId="3BAF4D2B" w:rsidR="000077E3" w:rsidRPr="00404724" w:rsidRDefault="000077E3" w:rsidP="00E85B60">
            <w:pPr>
              <w:spacing w:before="80" w:line="240" w:lineRule="atLeast"/>
              <w:jc w:val="right"/>
            </w:pPr>
            <w:r w:rsidRPr="00404724">
              <w:t>19</w:t>
            </w:r>
          </w:p>
        </w:tc>
        <w:tc>
          <w:tcPr>
            <w:tcW w:w="2464" w:type="dxa"/>
          </w:tcPr>
          <w:p w14:paraId="4BEF39ED" w14:textId="07D96A66" w:rsidR="000077E3" w:rsidRPr="00404724" w:rsidRDefault="000077E3" w:rsidP="00E85B60">
            <w:pPr>
              <w:spacing w:before="80" w:line="240" w:lineRule="atLeast"/>
              <w:jc w:val="right"/>
            </w:pPr>
            <w:r w:rsidRPr="00404724">
              <w:t>92</w:t>
            </w:r>
          </w:p>
        </w:tc>
      </w:tr>
      <w:tr w:rsidR="000077E3" w:rsidRPr="00404724" w14:paraId="5F3BDBA1" w14:textId="77777777" w:rsidTr="008F2B51">
        <w:trPr>
          <w:cantSplit/>
        </w:trPr>
        <w:tc>
          <w:tcPr>
            <w:tcW w:w="2463" w:type="dxa"/>
          </w:tcPr>
          <w:p w14:paraId="6BB01BE9" w14:textId="77777777" w:rsidR="000077E3" w:rsidRPr="00404724" w:rsidRDefault="000077E3" w:rsidP="000077E3">
            <w:pPr>
              <w:spacing w:before="80" w:line="240" w:lineRule="atLeast"/>
            </w:pPr>
            <w:r w:rsidRPr="00404724">
              <w:t>WA</w:t>
            </w:r>
          </w:p>
        </w:tc>
        <w:tc>
          <w:tcPr>
            <w:tcW w:w="2463" w:type="dxa"/>
          </w:tcPr>
          <w:p w14:paraId="5E2BA6F7" w14:textId="5F7BCFA3" w:rsidR="000077E3" w:rsidRPr="00404724" w:rsidRDefault="000077E3" w:rsidP="00E85B60">
            <w:pPr>
              <w:spacing w:before="80" w:line="240" w:lineRule="atLeast"/>
              <w:jc w:val="right"/>
            </w:pPr>
            <w:r w:rsidRPr="00404724">
              <w:t>41</w:t>
            </w:r>
          </w:p>
        </w:tc>
        <w:tc>
          <w:tcPr>
            <w:tcW w:w="2464" w:type="dxa"/>
          </w:tcPr>
          <w:p w14:paraId="4BB12C2B" w14:textId="5203D30F" w:rsidR="000077E3" w:rsidRPr="00404724" w:rsidRDefault="000077E3" w:rsidP="00E85B60">
            <w:pPr>
              <w:spacing w:before="80" w:line="240" w:lineRule="atLeast"/>
              <w:jc w:val="right"/>
            </w:pPr>
            <w:r w:rsidRPr="00404724">
              <w:t>26</w:t>
            </w:r>
          </w:p>
        </w:tc>
        <w:tc>
          <w:tcPr>
            <w:tcW w:w="2464" w:type="dxa"/>
          </w:tcPr>
          <w:p w14:paraId="66F850AD" w14:textId="51AD0D15" w:rsidR="000077E3" w:rsidRPr="00404724" w:rsidRDefault="000077E3" w:rsidP="00E85B60">
            <w:pPr>
              <w:spacing w:before="80" w:line="240" w:lineRule="atLeast"/>
              <w:jc w:val="right"/>
            </w:pPr>
            <w:r w:rsidRPr="00404724">
              <w:t>67</w:t>
            </w:r>
          </w:p>
        </w:tc>
      </w:tr>
      <w:tr w:rsidR="000077E3" w:rsidRPr="00404724" w14:paraId="3F6835D8" w14:textId="77777777" w:rsidTr="008F2B51">
        <w:trPr>
          <w:cantSplit/>
        </w:trPr>
        <w:tc>
          <w:tcPr>
            <w:tcW w:w="2463" w:type="dxa"/>
          </w:tcPr>
          <w:p w14:paraId="1665A714" w14:textId="77777777" w:rsidR="000077E3" w:rsidRPr="00404724" w:rsidRDefault="000077E3" w:rsidP="000077E3">
            <w:pPr>
              <w:spacing w:before="80" w:line="240" w:lineRule="atLeast"/>
            </w:pPr>
            <w:r w:rsidRPr="00404724">
              <w:t>SA</w:t>
            </w:r>
          </w:p>
        </w:tc>
        <w:tc>
          <w:tcPr>
            <w:tcW w:w="2463" w:type="dxa"/>
          </w:tcPr>
          <w:p w14:paraId="54C759D8" w14:textId="64D0B5D1" w:rsidR="000077E3" w:rsidRPr="00404724" w:rsidRDefault="000077E3" w:rsidP="00E85B60">
            <w:pPr>
              <w:spacing w:before="80" w:line="240" w:lineRule="atLeast"/>
              <w:jc w:val="right"/>
            </w:pPr>
            <w:r w:rsidRPr="00404724">
              <w:t>12</w:t>
            </w:r>
          </w:p>
        </w:tc>
        <w:tc>
          <w:tcPr>
            <w:tcW w:w="2464" w:type="dxa"/>
          </w:tcPr>
          <w:p w14:paraId="7ECE9A6B" w14:textId="555B3BBB" w:rsidR="000077E3" w:rsidRPr="00404724" w:rsidRDefault="000077E3" w:rsidP="00E85B60">
            <w:pPr>
              <w:spacing w:before="80" w:line="240" w:lineRule="atLeast"/>
              <w:jc w:val="right"/>
            </w:pPr>
            <w:r w:rsidRPr="00404724">
              <w:t>1</w:t>
            </w:r>
          </w:p>
        </w:tc>
        <w:tc>
          <w:tcPr>
            <w:tcW w:w="2464" w:type="dxa"/>
          </w:tcPr>
          <w:p w14:paraId="5706EABD" w14:textId="6F45087A" w:rsidR="000077E3" w:rsidRPr="00404724" w:rsidRDefault="000077E3" w:rsidP="00E85B60">
            <w:pPr>
              <w:spacing w:before="80" w:line="240" w:lineRule="atLeast"/>
              <w:jc w:val="right"/>
            </w:pPr>
            <w:r w:rsidRPr="00404724">
              <w:t>13</w:t>
            </w:r>
          </w:p>
        </w:tc>
      </w:tr>
      <w:tr w:rsidR="000077E3" w:rsidRPr="00404724" w14:paraId="65205E13" w14:textId="77777777" w:rsidTr="008F2B51">
        <w:trPr>
          <w:cantSplit/>
        </w:trPr>
        <w:tc>
          <w:tcPr>
            <w:tcW w:w="2463" w:type="dxa"/>
          </w:tcPr>
          <w:p w14:paraId="1BE66980" w14:textId="77777777" w:rsidR="000077E3" w:rsidRPr="00404724" w:rsidRDefault="000077E3" w:rsidP="000077E3">
            <w:pPr>
              <w:spacing w:before="80" w:line="240" w:lineRule="atLeast"/>
            </w:pPr>
            <w:r w:rsidRPr="00404724">
              <w:t>Tas</w:t>
            </w:r>
          </w:p>
        </w:tc>
        <w:tc>
          <w:tcPr>
            <w:tcW w:w="2463" w:type="dxa"/>
          </w:tcPr>
          <w:p w14:paraId="716A18A8" w14:textId="64D966FA" w:rsidR="000077E3" w:rsidRPr="00404724" w:rsidRDefault="000077E3" w:rsidP="00E85B60">
            <w:pPr>
              <w:spacing w:before="80" w:line="240" w:lineRule="atLeast"/>
              <w:jc w:val="right"/>
            </w:pPr>
            <w:r w:rsidRPr="00404724">
              <w:t>14</w:t>
            </w:r>
          </w:p>
        </w:tc>
        <w:tc>
          <w:tcPr>
            <w:tcW w:w="2464" w:type="dxa"/>
          </w:tcPr>
          <w:p w14:paraId="0E40D7FA" w14:textId="42962E27" w:rsidR="000077E3" w:rsidRPr="00404724" w:rsidRDefault="000077E3" w:rsidP="00E85B60">
            <w:pPr>
              <w:spacing w:before="80" w:line="240" w:lineRule="atLeast"/>
              <w:jc w:val="right"/>
            </w:pPr>
            <w:r w:rsidRPr="00404724">
              <w:t>0</w:t>
            </w:r>
          </w:p>
        </w:tc>
        <w:tc>
          <w:tcPr>
            <w:tcW w:w="2464" w:type="dxa"/>
          </w:tcPr>
          <w:p w14:paraId="68AA3782" w14:textId="3365C368" w:rsidR="000077E3" w:rsidRPr="00404724" w:rsidRDefault="000077E3" w:rsidP="00E85B60">
            <w:pPr>
              <w:spacing w:before="80" w:line="240" w:lineRule="atLeast"/>
              <w:jc w:val="right"/>
            </w:pPr>
            <w:r w:rsidRPr="00404724">
              <w:t>14</w:t>
            </w:r>
          </w:p>
        </w:tc>
      </w:tr>
      <w:tr w:rsidR="000077E3" w:rsidRPr="00404724" w14:paraId="5653703F" w14:textId="77777777" w:rsidTr="008F2B51">
        <w:trPr>
          <w:cantSplit/>
        </w:trPr>
        <w:tc>
          <w:tcPr>
            <w:tcW w:w="2463" w:type="dxa"/>
          </w:tcPr>
          <w:p w14:paraId="25C5F5AA" w14:textId="77777777" w:rsidR="000077E3" w:rsidRPr="00404724" w:rsidRDefault="000077E3" w:rsidP="000077E3">
            <w:pPr>
              <w:spacing w:before="80" w:line="240" w:lineRule="atLeast"/>
            </w:pPr>
            <w:r w:rsidRPr="00404724">
              <w:t>NT</w:t>
            </w:r>
          </w:p>
        </w:tc>
        <w:tc>
          <w:tcPr>
            <w:tcW w:w="2463" w:type="dxa"/>
          </w:tcPr>
          <w:p w14:paraId="366E50C7" w14:textId="26BBC8D5" w:rsidR="000077E3" w:rsidRPr="00404724" w:rsidRDefault="000077E3" w:rsidP="00E85B60">
            <w:pPr>
              <w:spacing w:before="80" w:line="240" w:lineRule="atLeast"/>
              <w:jc w:val="right"/>
            </w:pPr>
            <w:r w:rsidRPr="00404724">
              <w:t>1</w:t>
            </w:r>
          </w:p>
        </w:tc>
        <w:tc>
          <w:tcPr>
            <w:tcW w:w="2464" w:type="dxa"/>
          </w:tcPr>
          <w:p w14:paraId="411DA9DA" w14:textId="5EF78555" w:rsidR="000077E3" w:rsidRPr="00404724" w:rsidRDefault="000077E3" w:rsidP="00E85B60">
            <w:pPr>
              <w:spacing w:before="80" w:line="240" w:lineRule="atLeast"/>
              <w:jc w:val="right"/>
            </w:pPr>
            <w:r w:rsidRPr="00404724">
              <w:t>6</w:t>
            </w:r>
          </w:p>
        </w:tc>
        <w:tc>
          <w:tcPr>
            <w:tcW w:w="2464" w:type="dxa"/>
          </w:tcPr>
          <w:p w14:paraId="2A09D595" w14:textId="48DB8888" w:rsidR="000077E3" w:rsidRPr="00404724" w:rsidRDefault="000077E3" w:rsidP="00E85B60">
            <w:pPr>
              <w:spacing w:before="80" w:line="240" w:lineRule="atLeast"/>
              <w:jc w:val="right"/>
            </w:pPr>
            <w:r w:rsidRPr="00404724">
              <w:t>7</w:t>
            </w:r>
          </w:p>
        </w:tc>
      </w:tr>
      <w:tr w:rsidR="000077E3" w:rsidRPr="00404724" w14:paraId="567E4908" w14:textId="77777777" w:rsidTr="008F2B51">
        <w:trPr>
          <w:cantSplit/>
        </w:trPr>
        <w:tc>
          <w:tcPr>
            <w:tcW w:w="2463" w:type="dxa"/>
            <w:shd w:val="clear" w:color="auto" w:fill="C8ECFA" w:themeFill="accent3" w:themeFillTint="66"/>
          </w:tcPr>
          <w:p w14:paraId="5A0606CA" w14:textId="77777777" w:rsidR="000077E3" w:rsidRPr="00E85B60" w:rsidRDefault="000077E3" w:rsidP="000077E3">
            <w:pPr>
              <w:spacing w:before="80" w:line="240" w:lineRule="atLeast"/>
              <w:rPr>
                <w:b/>
                <w:bCs/>
              </w:rPr>
            </w:pPr>
            <w:r w:rsidRPr="00E85B60">
              <w:rPr>
                <w:b/>
                <w:bCs/>
              </w:rPr>
              <w:t>Total</w:t>
            </w:r>
          </w:p>
        </w:tc>
        <w:tc>
          <w:tcPr>
            <w:tcW w:w="2463" w:type="dxa"/>
            <w:shd w:val="clear" w:color="auto" w:fill="C8ECFA" w:themeFill="accent3" w:themeFillTint="66"/>
          </w:tcPr>
          <w:p w14:paraId="343F4E6C" w14:textId="25C46D25" w:rsidR="000077E3" w:rsidRPr="00E85B60" w:rsidRDefault="000077E3" w:rsidP="00E85B60">
            <w:pPr>
              <w:spacing w:before="80" w:line="240" w:lineRule="atLeast"/>
              <w:jc w:val="right"/>
              <w:rPr>
                <w:b/>
                <w:bCs/>
              </w:rPr>
            </w:pPr>
            <w:r w:rsidRPr="00E85B60">
              <w:rPr>
                <w:b/>
                <w:bCs/>
              </w:rPr>
              <w:t>327</w:t>
            </w:r>
          </w:p>
        </w:tc>
        <w:tc>
          <w:tcPr>
            <w:tcW w:w="2464" w:type="dxa"/>
            <w:shd w:val="clear" w:color="auto" w:fill="C8ECFA" w:themeFill="accent3" w:themeFillTint="66"/>
          </w:tcPr>
          <w:p w14:paraId="7BB0534E" w14:textId="2899B74C" w:rsidR="000077E3" w:rsidRPr="00E85B60" w:rsidRDefault="000077E3" w:rsidP="00E85B60">
            <w:pPr>
              <w:spacing w:before="80" w:line="240" w:lineRule="atLeast"/>
              <w:jc w:val="right"/>
              <w:rPr>
                <w:b/>
                <w:bCs/>
              </w:rPr>
            </w:pPr>
            <w:r w:rsidRPr="00E85B60">
              <w:rPr>
                <w:b/>
                <w:bCs/>
              </w:rPr>
              <w:t>54</w:t>
            </w:r>
          </w:p>
        </w:tc>
        <w:tc>
          <w:tcPr>
            <w:tcW w:w="2464" w:type="dxa"/>
            <w:shd w:val="clear" w:color="auto" w:fill="C8ECFA" w:themeFill="accent3" w:themeFillTint="66"/>
          </w:tcPr>
          <w:p w14:paraId="3678E1E1" w14:textId="70BD7158" w:rsidR="000077E3" w:rsidRPr="00E85B60" w:rsidRDefault="000077E3" w:rsidP="00E85B60">
            <w:pPr>
              <w:spacing w:before="80" w:line="240" w:lineRule="atLeast"/>
              <w:jc w:val="right"/>
              <w:rPr>
                <w:b/>
                <w:bCs/>
              </w:rPr>
            </w:pPr>
            <w:r w:rsidRPr="00E85B60">
              <w:rPr>
                <w:b/>
                <w:bCs/>
              </w:rPr>
              <w:t>381</w:t>
            </w:r>
          </w:p>
        </w:tc>
      </w:tr>
    </w:tbl>
    <w:p w14:paraId="20615818" w14:textId="4AF2438A" w:rsidR="000077E3" w:rsidRPr="00404724" w:rsidRDefault="00CF1735" w:rsidP="003979C3">
      <w:pPr>
        <w:pStyle w:val="Tablefigureheading"/>
      </w:pPr>
      <w:bookmarkStart w:id="376" w:name="_Ref208742990"/>
      <w:bookmarkStart w:id="377" w:name="_Toc210040374"/>
      <w:bookmarkStart w:id="378" w:name="_Toc210051910"/>
      <w:r w:rsidRPr="00404724">
        <w:lastRenderedPageBreak/>
        <w:t xml:space="preserve">Table </w:t>
      </w:r>
      <w:r w:rsidR="00EC39D5">
        <w:fldChar w:fldCharType="begin"/>
      </w:r>
      <w:r w:rsidR="00EC39D5">
        <w:instrText xml:space="preserve"> SEQ Table \* ARABIC </w:instrText>
      </w:r>
      <w:r w:rsidR="00EC39D5">
        <w:fldChar w:fldCharType="separate"/>
      </w:r>
      <w:r w:rsidR="00BF489D">
        <w:rPr>
          <w:noProof/>
        </w:rPr>
        <w:t>29</w:t>
      </w:r>
      <w:r w:rsidR="00EC39D5">
        <w:rPr>
          <w:noProof/>
        </w:rPr>
        <w:fldChar w:fldCharType="end"/>
      </w:r>
      <w:bookmarkEnd w:id="376"/>
      <w:r w:rsidRPr="00404724">
        <w:tab/>
      </w:r>
      <w:r w:rsidR="000077E3" w:rsidRPr="00404724">
        <w:t xml:space="preserve">Estimated annual weighted </w:t>
      </w:r>
      <w:r w:rsidR="006D4544" w:rsidRPr="00404724">
        <w:t xml:space="preserve">serious injuries (SI) </w:t>
      </w:r>
      <w:r w:rsidR="000077E3" w:rsidRPr="00404724">
        <w:t>(Jul 2015-Jun 2018) on sealed roads</w:t>
      </w:r>
      <w:r w:rsidR="006D4544" w:rsidRPr="00404724">
        <w:t xml:space="preserve"> outside of built-up areas</w:t>
      </w:r>
      <w:r w:rsidR="000077E3" w:rsidRPr="00404724">
        <w:t>, rounded</w:t>
      </w:r>
      <w:bookmarkEnd w:id="377"/>
      <w:bookmarkEnd w:id="378"/>
    </w:p>
    <w:tbl>
      <w:tblPr>
        <w:tblStyle w:val="TableGrid"/>
        <w:tblW w:w="0" w:type="auto"/>
        <w:tblLook w:val="04A0" w:firstRow="1" w:lastRow="0" w:firstColumn="1" w:lastColumn="0" w:noHBand="0" w:noVBand="1"/>
        <w:tblCaption w:val="Table 29 Estimated annual weighted serious injuries (SI) (Jul 2015-Jun 2018) on sealed roads outside of built-up areas, rounded"/>
        <w:tblDescription w:val="Table 29 Estimated annual weighted serious injuries (SI) (Jul 2015-Jun 2018) on sealed roads outside of built-up areas, rounded"/>
      </w:tblPr>
      <w:tblGrid>
        <w:gridCol w:w="2463"/>
        <w:gridCol w:w="2463"/>
        <w:gridCol w:w="2464"/>
        <w:gridCol w:w="2464"/>
      </w:tblGrid>
      <w:tr w:rsidR="000077E3" w:rsidRPr="00404724" w14:paraId="0BE328D2" w14:textId="77777777" w:rsidTr="008F2B51">
        <w:trPr>
          <w:cantSplit/>
          <w:tblHeader/>
        </w:trPr>
        <w:tc>
          <w:tcPr>
            <w:tcW w:w="2463" w:type="dxa"/>
            <w:shd w:val="clear" w:color="auto" w:fill="081E3E" w:themeFill="text2"/>
          </w:tcPr>
          <w:p w14:paraId="715B3EF4" w14:textId="77777777" w:rsidR="000077E3" w:rsidRPr="00404724" w:rsidRDefault="000077E3" w:rsidP="002008D3">
            <w:pPr>
              <w:keepNext/>
              <w:spacing w:before="80" w:line="240" w:lineRule="atLeast"/>
              <w:rPr>
                <w:b/>
                <w:bCs/>
                <w:color w:val="FFFFFF" w:themeColor="background1"/>
              </w:rPr>
            </w:pPr>
            <w:r w:rsidRPr="00404724">
              <w:rPr>
                <w:b/>
                <w:bCs/>
                <w:color w:val="FFFFFF" w:themeColor="background1"/>
              </w:rPr>
              <w:t>State</w:t>
            </w:r>
          </w:p>
        </w:tc>
        <w:tc>
          <w:tcPr>
            <w:tcW w:w="2463" w:type="dxa"/>
            <w:shd w:val="clear" w:color="auto" w:fill="081E3E" w:themeFill="text2"/>
          </w:tcPr>
          <w:p w14:paraId="548B0575" w14:textId="77777777" w:rsidR="000077E3" w:rsidRPr="00404724" w:rsidRDefault="000077E3" w:rsidP="00E85B60">
            <w:pPr>
              <w:keepNext/>
              <w:spacing w:before="80" w:line="240" w:lineRule="atLeast"/>
              <w:jc w:val="center"/>
              <w:rPr>
                <w:b/>
                <w:bCs/>
                <w:color w:val="FFFFFF" w:themeColor="background1"/>
              </w:rPr>
            </w:pPr>
            <w:r w:rsidRPr="00404724">
              <w:rPr>
                <w:b/>
                <w:bCs/>
                <w:color w:val="FFFFFF" w:themeColor="background1"/>
              </w:rPr>
              <w:t>Regional</w:t>
            </w:r>
          </w:p>
        </w:tc>
        <w:tc>
          <w:tcPr>
            <w:tcW w:w="2464" w:type="dxa"/>
            <w:shd w:val="clear" w:color="auto" w:fill="081E3E" w:themeFill="text2"/>
          </w:tcPr>
          <w:p w14:paraId="745D4C37" w14:textId="77777777" w:rsidR="000077E3" w:rsidRPr="00404724" w:rsidRDefault="000077E3" w:rsidP="00E85B60">
            <w:pPr>
              <w:keepNext/>
              <w:spacing w:before="80" w:line="240" w:lineRule="atLeast"/>
              <w:jc w:val="center"/>
              <w:rPr>
                <w:b/>
                <w:bCs/>
                <w:color w:val="FFFFFF" w:themeColor="background1"/>
              </w:rPr>
            </w:pPr>
            <w:r w:rsidRPr="00404724">
              <w:rPr>
                <w:b/>
                <w:bCs/>
                <w:color w:val="FFFFFF" w:themeColor="background1"/>
              </w:rPr>
              <w:t>Remote</w:t>
            </w:r>
          </w:p>
        </w:tc>
        <w:tc>
          <w:tcPr>
            <w:tcW w:w="2464" w:type="dxa"/>
            <w:shd w:val="clear" w:color="auto" w:fill="081E3E" w:themeFill="text2"/>
          </w:tcPr>
          <w:p w14:paraId="3A41DDB5" w14:textId="77777777" w:rsidR="000077E3" w:rsidRPr="00404724" w:rsidRDefault="000077E3" w:rsidP="00E85B60">
            <w:pPr>
              <w:keepNext/>
              <w:spacing w:before="80" w:line="240" w:lineRule="atLeast"/>
              <w:jc w:val="center"/>
              <w:rPr>
                <w:b/>
                <w:bCs/>
                <w:color w:val="FFFFFF" w:themeColor="background1"/>
              </w:rPr>
            </w:pPr>
            <w:r w:rsidRPr="00404724">
              <w:rPr>
                <w:b/>
                <w:bCs/>
                <w:color w:val="FFFFFF" w:themeColor="background1"/>
              </w:rPr>
              <w:t>Total</w:t>
            </w:r>
          </w:p>
        </w:tc>
      </w:tr>
      <w:tr w:rsidR="000077E3" w:rsidRPr="00404724" w14:paraId="558E53E8" w14:textId="77777777" w:rsidTr="008F2B51">
        <w:trPr>
          <w:cantSplit/>
        </w:trPr>
        <w:tc>
          <w:tcPr>
            <w:tcW w:w="2463" w:type="dxa"/>
          </w:tcPr>
          <w:p w14:paraId="24A1BF61" w14:textId="77777777" w:rsidR="000077E3" w:rsidRPr="00404724" w:rsidRDefault="000077E3" w:rsidP="000077E3">
            <w:pPr>
              <w:spacing w:before="80" w:line="240" w:lineRule="atLeast"/>
            </w:pPr>
            <w:r w:rsidRPr="00404724">
              <w:t>NSW</w:t>
            </w:r>
          </w:p>
        </w:tc>
        <w:tc>
          <w:tcPr>
            <w:tcW w:w="2463" w:type="dxa"/>
          </w:tcPr>
          <w:p w14:paraId="6C37C3D4" w14:textId="60F96E7E" w:rsidR="000077E3" w:rsidRPr="00404724" w:rsidRDefault="000077E3" w:rsidP="00E85B60">
            <w:pPr>
              <w:spacing w:before="80" w:line="240" w:lineRule="atLeast"/>
              <w:jc w:val="right"/>
            </w:pPr>
            <w:r w:rsidRPr="00404724">
              <w:t>817</w:t>
            </w:r>
          </w:p>
        </w:tc>
        <w:tc>
          <w:tcPr>
            <w:tcW w:w="2464" w:type="dxa"/>
          </w:tcPr>
          <w:p w14:paraId="326082D2" w14:textId="0BDE9325" w:rsidR="000077E3" w:rsidRPr="00404724" w:rsidRDefault="000077E3" w:rsidP="00E85B60">
            <w:pPr>
              <w:spacing w:before="80" w:line="240" w:lineRule="atLeast"/>
              <w:jc w:val="right"/>
            </w:pPr>
            <w:r w:rsidRPr="00404724">
              <w:t>21</w:t>
            </w:r>
          </w:p>
        </w:tc>
        <w:tc>
          <w:tcPr>
            <w:tcW w:w="2464" w:type="dxa"/>
          </w:tcPr>
          <w:p w14:paraId="3B876DDC" w14:textId="7738DAF2" w:rsidR="000077E3" w:rsidRPr="00404724" w:rsidRDefault="000077E3" w:rsidP="00E85B60">
            <w:pPr>
              <w:spacing w:before="80" w:line="240" w:lineRule="atLeast"/>
              <w:jc w:val="right"/>
            </w:pPr>
            <w:r w:rsidRPr="00404724">
              <w:t>837</w:t>
            </w:r>
          </w:p>
        </w:tc>
      </w:tr>
      <w:tr w:rsidR="000077E3" w:rsidRPr="00404724" w14:paraId="7A504937" w14:textId="77777777" w:rsidTr="008F2B51">
        <w:trPr>
          <w:cantSplit/>
        </w:trPr>
        <w:tc>
          <w:tcPr>
            <w:tcW w:w="2463" w:type="dxa"/>
          </w:tcPr>
          <w:p w14:paraId="5035D3F5" w14:textId="77777777" w:rsidR="000077E3" w:rsidRPr="00404724" w:rsidRDefault="000077E3" w:rsidP="000077E3">
            <w:pPr>
              <w:spacing w:before="80" w:line="240" w:lineRule="atLeast"/>
            </w:pPr>
            <w:r w:rsidRPr="00404724">
              <w:t>Vic</w:t>
            </w:r>
          </w:p>
        </w:tc>
        <w:tc>
          <w:tcPr>
            <w:tcW w:w="2463" w:type="dxa"/>
          </w:tcPr>
          <w:p w14:paraId="3C112E54" w14:textId="0528BFB8" w:rsidR="000077E3" w:rsidRPr="00404724" w:rsidRDefault="000077E3" w:rsidP="00E85B60">
            <w:pPr>
              <w:spacing w:before="80" w:line="240" w:lineRule="atLeast"/>
              <w:jc w:val="right"/>
            </w:pPr>
            <w:r w:rsidRPr="00404724">
              <w:t>788</w:t>
            </w:r>
          </w:p>
        </w:tc>
        <w:tc>
          <w:tcPr>
            <w:tcW w:w="2464" w:type="dxa"/>
          </w:tcPr>
          <w:p w14:paraId="7A2B1B90" w14:textId="18220950" w:rsidR="000077E3" w:rsidRPr="00404724" w:rsidRDefault="000077E3" w:rsidP="00E85B60">
            <w:pPr>
              <w:spacing w:before="80" w:line="240" w:lineRule="atLeast"/>
              <w:jc w:val="right"/>
            </w:pPr>
            <w:r w:rsidRPr="00404724">
              <w:t>0</w:t>
            </w:r>
          </w:p>
        </w:tc>
        <w:tc>
          <w:tcPr>
            <w:tcW w:w="2464" w:type="dxa"/>
          </w:tcPr>
          <w:p w14:paraId="62CD555A" w14:textId="6BF5AE7F" w:rsidR="000077E3" w:rsidRPr="00404724" w:rsidRDefault="000077E3" w:rsidP="00E85B60">
            <w:pPr>
              <w:spacing w:before="80" w:line="240" w:lineRule="atLeast"/>
              <w:jc w:val="right"/>
            </w:pPr>
            <w:r w:rsidRPr="00404724">
              <w:t>788</w:t>
            </w:r>
          </w:p>
        </w:tc>
      </w:tr>
      <w:tr w:rsidR="000077E3" w:rsidRPr="00404724" w14:paraId="3DAAB30E" w14:textId="77777777" w:rsidTr="008F2B51">
        <w:trPr>
          <w:cantSplit/>
        </w:trPr>
        <w:tc>
          <w:tcPr>
            <w:tcW w:w="2463" w:type="dxa"/>
          </w:tcPr>
          <w:p w14:paraId="7515B5EB" w14:textId="77777777" w:rsidR="000077E3" w:rsidRPr="00404724" w:rsidRDefault="000077E3" w:rsidP="000077E3">
            <w:pPr>
              <w:spacing w:before="80" w:line="240" w:lineRule="atLeast"/>
            </w:pPr>
            <w:r w:rsidRPr="00404724">
              <w:t>QLD</w:t>
            </w:r>
          </w:p>
        </w:tc>
        <w:tc>
          <w:tcPr>
            <w:tcW w:w="2463" w:type="dxa"/>
          </w:tcPr>
          <w:p w14:paraId="5CF0EAC9" w14:textId="29B3961E" w:rsidR="000077E3" w:rsidRPr="00404724" w:rsidRDefault="000077E3" w:rsidP="00E85B60">
            <w:pPr>
              <w:spacing w:before="80" w:line="240" w:lineRule="atLeast"/>
              <w:jc w:val="right"/>
            </w:pPr>
            <w:r w:rsidRPr="00404724">
              <w:t>965</w:t>
            </w:r>
          </w:p>
        </w:tc>
        <w:tc>
          <w:tcPr>
            <w:tcW w:w="2464" w:type="dxa"/>
          </w:tcPr>
          <w:p w14:paraId="216C08F2" w14:textId="41420276" w:rsidR="000077E3" w:rsidRPr="00404724" w:rsidRDefault="000077E3" w:rsidP="00E85B60">
            <w:pPr>
              <w:spacing w:before="80" w:line="240" w:lineRule="atLeast"/>
              <w:jc w:val="right"/>
            </w:pPr>
            <w:r w:rsidRPr="00404724">
              <w:t>288</w:t>
            </w:r>
          </w:p>
        </w:tc>
        <w:tc>
          <w:tcPr>
            <w:tcW w:w="2464" w:type="dxa"/>
          </w:tcPr>
          <w:p w14:paraId="48A00348" w14:textId="077A1C3B" w:rsidR="000077E3" w:rsidRPr="00404724" w:rsidRDefault="000077E3" w:rsidP="00E85B60">
            <w:pPr>
              <w:spacing w:before="80" w:line="240" w:lineRule="atLeast"/>
              <w:jc w:val="right"/>
            </w:pPr>
            <w:r w:rsidRPr="00404724">
              <w:t>1</w:t>
            </w:r>
            <w:r w:rsidR="001044BD" w:rsidRPr="00404724">
              <w:t>,</w:t>
            </w:r>
            <w:r w:rsidRPr="00404724">
              <w:t>253</w:t>
            </w:r>
          </w:p>
        </w:tc>
      </w:tr>
      <w:tr w:rsidR="000077E3" w:rsidRPr="00404724" w14:paraId="33B8A2FF" w14:textId="77777777" w:rsidTr="008F2B51">
        <w:trPr>
          <w:cantSplit/>
        </w:trPr>
        <w:tc>
          <w:tcPr>
            <w:tcW w:w="2463" w:type="dxa"/>
          </w:tcPr>
          <w:p w14:paraId="58A3E804" w14:textId="77777777" w:rsidR="000077E3" w:rsidRPr="00404724" w:rsidRDefault="000077E3" w:rsidP="000077E3">
            <w:pPr>
              <w:spacing w:before="80" w:line="240" w:lineRule="atLeast"/>
            </w:pPr>
            <w:r w:rsidRPr="00404724">
              <w:t>WA</w:t>
            </w:r>
          </w:p>
        </w:tc>
        <w:tc>
          <w:tcPr>
            <w:tcW w:w="2463" w:type="dxa"/>
          </w:tcPr>
          <w:p w14:paraId="2308C9AE" w14:textId="190F4B39" w:rsidR="000077E3" w:rsidRPr="00404724" w:rsidRDefault="000077E3" w:rsidP="00E85B60">
            <w:pPr>
              <w:spacing w:before="80" w:line="240" w:lineRule="atLeast"/>
              <w:jc w:val="right"/>
            </w:pPr>
            <w:r w:rsidRPr="00404724">
              <w:t>345</w:t>
            </w:r>
          </w:p>
        </w:tc>
        <w:tc>
          <w:tcPr>
            <w:tcW w:w="2464" w:type="dxa"/>
          </w:tcPr>
          <w:p w14:paraId="232DE517" w14:textId="083D44C6" w:rsidR="000077E3" w:rsidRPr="00404724" w:rsidRDefault="000077E3" w:rsidP="00E85B60">
            <w:pPr>
              <w:spacing w:before="80" w:line="240" w:lineRule="atLeast"/>
              <w:jc w:val="right"/>
            </w:pPr>
            <w:r w:rsidRPr="00404724">
              <w:t>195</w:t>
            </w:r>
          </w:p>
        </w:tc>
        <w:tc>
          <w:tcPr>
            <w:tcW w:w="2464" w:type="dxa"/>
          </w:tcPr>
          <w:p w14:paraId="32BA64C5" w14:textId="30992918" w:rsidR="000077E3" w:rsidRPr="00404724" w:rsidRDefault="000077E3" w:rsidP="00E85B60">
            <w:pPr>
              <w:spacing w:before="80" w:line="240" w:lineRule="atLeast"/>
              <w:jc w:val="right"/>
            </w:pPr>
            <w:r w:rsidRPr="00404724">
              <w:t>540</w:t>
            </w:r>
          </w:p>
        </w:tc>
      </w:tr>
      <w:tr w:rsidR="000077E3" w:rsidRPr="00404724" w14:paraId="4C4F2FC6" w14:textId="77777777" w:rsidTr="008F2B51">
        <w:trPr>
          <w:cantSplit/>
        </w:trPr>
        <w:tc>
          <w:tcPr>
            <w:tcW w:w="2463" w:type="dxa"/>
          </w:tcPr>
          <w:p w14:paraId="4D51EAC6" w14:textId="77777777" w:rsidR="000077E3" w:rsidRPr="00404724" w:rsidRDefault="000077E3" w:rsidP="000077E3">
            <w:pPr>
              <w:spacing w:before="80" w:line="240" w:lineRule="atLeast"/>
            </w:pPr>
            <w:r w:rsidRPr="00404724">
              <w:t>SA</w:t>
            </w:r>
          </w:p>
        </w:tc>
        <w:tc>
          <w:tcPr>
            <w:tcW w:w="2463" w:type="dxa"/>
          </w:tcPr>
          <w:p w14:paraId="5AA89B79" w14:textId="343A52DD" w:rsidR="000077E3" w:rsidRPr="00404724" w:rsidRDefault="000077E3" w:rsidP="00E85B60">
            <w:pPr>
              <w:spacing w:before="80" w:line="240" w:lineRule="atLeast"/>
              <w:jc w:val="right"/>
            </w:pPr>
            <w:r w:rsidRPr="00404724">
              <w:t>322</w:t>
            </w:r>
          </w:p>
        </w:tc>
        <w:tc>
          <w:tcPr>
            <w:tcW w:w="2464" w:type="dxa"/>
          </w:tcPr>
          <w:p w14:paraId="1161603B" w14:textId="094E354E" w:rsidR="000077E3" w:rsidRPr="00404724" w:rsidRDefault="000077E3" w:rsidP="00E85B60">
            <w:pPr>
              <w:spacing w:before="80" w:line="240" w:lineRule="atLeast"/>
              <w:jc w:val="right"/>
            </w:pPr>
            <w:r w:rsidRPr="00404724">
              <w:t>21</w:t>
            </w:r>
          </w:p>
        </w:tc>
        <w:tc>
          <w:tcPr>
            <w:tcW w:w="2464" w:type="dxa"/>
          </w:tcPr>
          <w:p w14:paraId="5FB560CB" w14:textId="27BE572F" w:rsidR="000077E3" w:rsidRPr="00404724" w:rsidRDefault="000077E3" w:rsidP="00E85B60">
            <w:pPr>
              <w:spacing w:before="80" w:line="240" w:lineRule="atLeast"/>
              <w:jc w:val="right"/>
            </w:pPr>
            <w:r w:rsidRPr="00404724">
              <w:t>343</w:t>
            </w:r>
          </w:p>
        </w:tc>
      </w:tr>
      <w:tr w:rsidR="000077E3" w:rsidRPr="00404724" w14:paraId="3A837439" w14:textId="77777777" w:rsidTr="008F2B51">
        <w:trPr>
          <w:cantSplit/>
        </w:trPr>
        <w:tc>
          <w:tcPr>
            <w:tcW w:w="2463" w:type="dxa"/>
          </w:tcPr>
          <w:p w14:paraId="14E8AB94" w14:textId="77777777" w:rsidR="000077E3" w:rsidRPr="00404724" w:rsidRDefault="000077E3" w:rsidP="000077E3">
            <w:pPr>
              <w:spacing w:before="80" w:line="240" w:lineRule="atLeast"/>
            </w:pPr>
            <w:r w:rsidRPr="00404724">
              <w:t>Tas</w:t>
            </w:r>
          </w:p>
        </w:tc>
        <w:tc>
          <w:tcPr>
            <w:tcW w:w="2463" w:type="dxa"/>
          </w:tcPr>
          <w:p w14:paraId="3D0B0EC7" w14:textId="08878A57" w:rsidR="000077E3" w:rsidRPr="00404724" w:rsidRDefault="000077E3" w:rsidP="00E85B60">
            <w:pPr>
              <w:spacing w:before="80" w:line="240" w:lineRule="atLeast"/>
              <w:jc w:val="right"/>
            </w:pPr>
            <w:r w:rsidRPr="00404724">
              <w:t>174</w:t>
            </w:r>
          </w:p>
        </w:tc>
        <w:tc>
          <w:tcPr>
            <w:tcW w:w="2464" w:type="dxa"/>
          </w:tcPr>
          <w:p w14:paraId="6C42C31B" w14:textId="7DF043DE" w:rsidR="000077E3" w:rsidRPr="00404724" w:rsidRDefault="000077E3" w:rsidP="00E85B60">
            <w:pPr>
              <w:spacing w:before="80" w:line="240" w:lineRule="atLeast"/>
              <w:jc w:val="right"/>
            </w:pPr>
            <w:r w:rsidRPr="00404724">
              <w:t>0</w:t>
            </w:r>
          </w:p>
        </w:tc>
        <w:tc>
          <w:tcPr>
            <w:tcW w:w="2464" w:type="dxa"/>
          </w:tcPr>
          <w:p w14:paraId="5843C257" w14:textId="18D3D015" w:rsidR="000077E3" w:rsidRPr="00404724" w:rsidRDefault="000077E3" w:rsidP="00E85B60">
            <w:pPr>
              <w:spacing w:before="80" w:line="240" w:lineRule="atLeast"/>
              <w:jc w:val="right"/>
            </w:pPr>
            <w:r w:rsidRPr="00404724">
              <w:t>174</w:t>
            </w:r>
          </w:p>
        </w:tc>
      </w:tr>
      <w:tr w:rsidR="000077E3" w:rsidRPr="00404724" w14:paraId="7084A319" w14:textId="77777777" w:rsidTr="008F2B51">
        <w:trPr>
          <w:cantSplit/>
        </w:trPr>
        <w:tc>
          <w:tcPr>
            <w:tcW w:w="2463" w:type="dxa"/>
          </w:tcPr>
          <w:p w14:paraId="600E88C5" w14:textId="77777777" w:rsidR="000077E3" w:rsidRPr="00404724" w:rsidRDefault="000077E3" w:rsidP="000077E3">
            <w:pPr>
              <w:spacing w:before="80" w:line="240" w:lineRule="atLeast"/>
            </w:pPr>
            <w:r w:rsidRPr="00404724">
              <w:t>NT</w:t>
            </w:r>
          </w:p>
        </w:tc>
        <w:tc>
          <w:tcPr>
            <w:tcW w:w="2463" w:type="dxa"/>
          </w:tcPr>
          <w:p w14:paraId="28A1D425" w14:textId="5C64FA42" w:rsidR="000077E3" w:rsidRPr="00404724" w:rsidRDefault="000077E3" w:rsidP="00E85B60">
            <w:pPr>
              <w:spacing w:before="80" w:line="240" w:lineRule="atLeast"/>
              <w:jc w:val="right"/>
            </w:pPr>
            <w:r w:rsidRPr="00404724">
              <w:t>3</w:t>
            </w:r>
          </w:p>
        </w:tc>
        <w:tc>
          <w:tcPr>
            <w:tcW w:w="2464" w:type="dxa"/>
          </w:tcPr>
          <w:p w14:paraId="63545C77" w14:textId="73ACD02F" w:rsidR="000077E3" w:rsidRPr="00404724" w:rsidRDefault="000077E3" w:rsidP="00E85B60">
            <w:pPr>
              <w:spacing w:before="80" w:line="240" w:lineRule="atLeast"/>
              <w:jc w:val="right"/>
            </w:pPr>
            <w:r w:rsidRPr="00404724">
              <w:t>50</w:t>
            </w:r>
          </w:p>
        </w:tc>
        <w:tc>
          <w:tcPr>
            <w:tcW w:w="2464" w:type="dxa"/>
          </w:tcPr>
          <w:p w14:paraId="366C36F2" w14:textId="03BC5F0F" w:rsidR="000077E3" w:rsidRPr="00404724" w:rsidRDefault="000077E3" w:rsidP="00E85B60">
            <w:pPr>
              <w:spacing w:before="80" w:line="240" w:lineRule="atLeast"/>
              <w:jc w:val="right"/>
            </w:pPr>
            <w:r w:rsidRPr="00404724">
              <w:t>53</w:t>
            </w:r>
          </w:p>
        </w:tc>
      </w:tr>
      <w:tr w:rsidR="000077E3" w:rsidRPr="00404724" w14:paraId="182DD6AB" w14:textId="77777777" w:rsidTr="008F2B51">
        <w:trPr>
          <w:cantSplit/>
        </w:trPr>
        <w:tc>
          <w:tcPr>
            <w:tcW w:w="2463" w:type="dxa"/>
            <w:shd w:val="clear" w:color="auto" w:fill="C8ECFA" w:themeFill="accent3" w:themeFillTint="66"/>
          </w:tcPr>
          <w:p w14:paraId="2B71F756" w14:textId="77777777" w:rsidR="000077E3" w:rsidRPr="00E85B60" w:rsidRDefault="000077E3" w:rsidP="000077E3">
            <w:pPr>
              <w:spacing w:before="80" w:line="240" w:lineRule="atLeast"/>
              <w:rPr>
                <w:b/>
                <w:bCs/>
              </w:rPr>
            </w:pPr>
            <w:r w:rsidRPr="00E85B60">
              <w:rPr>
                <w:b/>
                <w:bCs/>
              </w:rPr>
              <w:t>Total</w:t>
            </w:r>
          </w:p>
        </w:tc>
        <w:tc>
          <w:tcPr>
            <w:tcW w:w="2463" w:type="dxa"/>
            <w:shd w:val="clear" w:color="auto" w:fill="C8ECFA" w:themeFill="accent3" w:themeFillTint="66"/>
          </w:tcPr>
          <w:p w14:paraId="4E2A5E75" w14:textId="0C329A25" w:rsidR="000077E3" w:rsidRPr="00E85B60" w:rsidRDefault="000077E3" w:rsidP="00E85B60">
            <w:pPr>
              <w:spacing w:before="80" w:line="240" w:lineRule="atLeast"/>
              <w:jc w:val="right"/>
              <w:rPr>
                <w:b/>
                <w:bCs/>
              </w:rPr>
            </w:pPr>
            <w:r w:rsidRPr="00E85B60">
              <w:rPr>
                <w:b/>
                <w:bCs/>
              </w:rPr>
              <w:t>3</w:t>
            </w:r>
            <w:r w:rsidR="001044BD" w:rsidRPr="00E85B60">
              <w:rPr>
                <w:b/>
                <w:bCs/>
              </w:rPr>
              <w:t>,</w:t>
            </w:r>
            <w:r w:rsidRPr="00E85B60">
              <w:rPr>
                <w:b/>
                <w:bCs/>
              </w:rPr>
              <w:t>414</w:t>
            </w:r>
          </w:p>
        </w:tc>
        <w:tc>
          <w:tcPr>
            <w:tcW w:w="2464" w:type="dxa"/>
            <w:shd w:val="clear" w:color="auto" w:fill="C8ECFA" w:themeFill="accent3" w:themeFillTint="66"/>
          </w:tcPr>
          <w:p w14:paraId="4A767B88" w14:textId="53C6A552" w:rsidR="000077E3" w:rsidRPr="00E85B60" w:rsidRDefault="000077E3" w:rsidP="00E85B60">
            <w:pPr>
              <w:spacing w:before="80" w:line="240" w:lineRule="atLeast"/>
              <w:jc w:val="right"/>
              <w:rPr>
                <w:b/>
                <w:bCs/>
              </w:rPr>
            </w:pPr>
            <w:r w:rsidRPr="00E85B60">
              <w:rPr>
                <w:b/>
                <w:bCs/>
              </w:rPr>
              <w:t>574</w:t>
            </w:r>
          </w:p>
        </w:tc>
        <w:tc>
          <w:tcPr>
            <w:tcW w:w="2464" w:type="dxa"/>
            <w:shd w:val="clear" w:color="auto" w:fill="C8ECFA" w:themeFill="accent3" w:themeFillTint="66"/>
          </w:tcPr>
          <w:p w14:paraId="3E6DDFC1" w14:textId="2E7EBECC" w:rsidR="000077E3" w:rsidRPr="00E85B60" w:rsidRDefault="000077E3" w:rsidP="00E85B60">
            <w:pPr>
              <w:spacing w:before="80" w:line="240" w:lineRule="atLeast"/>
              <w:jc w:val="right"/>
              <w:rPr>
                <w:b/>
                <w:bCs/>
              </w:rPr>
            </w:pPr>
            <w:r w:rsidRPr="00E85B60">
              <w:rPr>
                <w:b/>
                <w:bCs/>
              </w:rPr>
              <w:t>3</w:t>
            </w:r>
            <w:r w:rsidR="001044BD" w:rsidRPr="00E85B60">
              <w:rPr>
                <w:b/>
                <w:bCs/>
              </w:rPr>
              <w:t>,</w:t>
            </w:r>
            <w:r w:rsidRPr="00E85B60">
              <w:rPr>
                <w:b/>
                <w:bCs/>
              </w:rPr>
              <w:t>988</w:t>
            </w:r>
          </w:p>
        </w:tc>
      </w:tr>
    </w:tbl>
    <w:p w14:paraId="51198F40" w14:textId="5D5094D3" w:rsidR="000077E3" w:rsidRPr="00404724" w:rsidRDefault="000077E3" w:rsidP="008F2B51">
      <w:pPr>
        <w:pStyle w:val="Heading5"/>
      </w:pPr>
      <w:bookmarkStart w:id="379" w:name="_uw9uri89kkds"/>
      <w:bookmarkEnd w:id="379"/>
      <w:r w:rsidRPr="00404724">
        <w:t>Unsealed roads</w:t>
      </w:r>
    </w:p>
    <w:p w14:paraId="5C996D3B" w14:textId="3DC0F290" w:rsidR="000077E3" w:rsidRPr="00404724" w:rsidRDefault="000077E3" w:rsidP="000077E3">
      <w:pPr>
        <w:rPr>
          <w:rFonts w:eastAsia="Calibri"/>
        </w:rPr>
      </w:pPr>
      <w:r w:rsidRPr="00404724">
        <w:t>On unsealed roads, FSI in 100</w:t>
      </w:r>
      <w:r w:rsidR="00C82E00" w:rsidRPr="00404724">
        <w:t xml:space="preserve"> km/h</w:t>
      </w:r>
      <w:r w:rsidRPr="00404724">
        <w:t xml:space="preserve"> (110</w:t>
      </w:r>
      <w:r w:rsidR="00C82E00" w:rsidRPr="00404724">
        <w:t xml:space="preserve"> km/h</w:t>
      </w:r>
      <w:r w:rsidRPr="00404724">
        <w:t xml:space="preserve"> for WA and NT) speed zones with surface type, ‘unsealed’ and in Regional and Remote areas was extracted. The resultant annual FSI are shown in </w:t>
      </w:r>
      <w:r w:rsidR="00CF1735" w:rsidRPr="00404724">
        <w:fldChar w:fldCharType="begin"/>
      </w:r>
      <w:r w:rsidR="00CF1735" w:rsidRPr="00404724">
        <w:instrText xml:space="preserve"> REF _Ref208742939 \h </w:instrText>
      </w:r>
      <w:r w:rsidR="00CF1735" w:rsidRPr="00404724">
        <w:fldChar w:fldCharType="separate"/>
      </w:r>
      <w:r w:rsidR="00BF489D" w:rsidRPr="00404724">
        <w:t xml:space="preserve">Table </w:t>
      </w:r>
      <w:r w:rsidR="00BF489D">
        <w:rPr>
          <w:noProof/>
        </w:rPr>
        <w:t>30</w:t>
      </w:r>
      <w:r w:rsidR="00CF1735" w:rsidRPr="00404724">
        <w:fldChar w:fldCharType="end"/>
      </w:r>
      <w:r w:rsidR="00CF1735" w:rsidRPr="00404724">
        <w:t xml:space="preserve"> and </w:t>
      </w:r>
      <w:r w:rsidR="00CF1735" w:rsidRPr="00404724">
        <w:fldChar w:fldCharType="begin"/>
      </w:r>
      <w:r w:rsidR="00CF1735" w:rsidRPr="00404724">
        <w:instrText xml:space="preserve"> REF _Ref208742943 \h  \* MERGEFORMAT </w:instrText>
      </w:r>
      <w:r w:rsidR="00CF1735" w:rsidRPr="00404724">
        <w:fldChar w:fldCharType="separate"/>
      </w:r>
      <w:r w:rsidR="00BF489D" w:rsidRPr="00BF489D">
        <w:t xml:space="preserve">Table </w:t>
      </w:r>
      <w:r w:rsidR="00BF489D" w:rsidRPr="00BF489D">
        <w:rPr>
          <w:noProof/>
        </w:rPr>
        <w:t>31</w:t>
      </w:r>
      <w:r w:rsidR="00CF1735" w:rsidRPr="00404724">
        <w:fldChar w:fldCharType="end"/>
      </w:r>
      <w:r w:rsidR="00CF1735" w:rsidRPr="00404724">
        <w:t xml:space="preserve">. </w:t>
      </w:r>
    </w:p>
    <w:p w14:paraId="76E09497" w14:textId="25EE1DB4" w:rsidR="000077E3" w:rsidRPr="00404724" w:rsidRDefault="00CF1735" w:rsidP="003979C3">
      <w:pPr>
        <w:pStyle w:val="Tablefigureheading"/>
      </w:pPr>
      <w:bookmarkStart w:id="380" w:name="_Ref208742939"/>
      <w:bookmarkStart w:id="381" w:name="_Toc210040375"/>
      <w:bookmarkStart w:id="382" w:name="_Toc210051911"/>
      <w:r w:rsidRPr="00404724">
        <w:t xml:space="preserve">Table </w:t>
      </w:r>
      <w:r w:rsidR="00EC39D5">
        <w:fldChar w:fldCharType="begin"/>
      </w:r>
      <w:r w:rsidR="00EC39D5">
        <w:instrText xml:space="preserve"> SEQ Table \* ARABIC </w:instrText>
      </w:r>
      <w:r w:rsidR="00EC39D5">
        <w:fldChar w:fldCharType="separate"/>
      </w:r>
      <w:r w:rsidR="00BF489D">
        <w:rPr>
          <w:noProof/>
        </w:rPr>
        <w:t>30</w:t>
      </w:r>
      <w:r w:rsidR="00EC39D5">
        <w:rPr>
          <w:noProof/>
        </w:rPr>
        <w:fldChar w:fldCharType="end"/>
      </w:r>
      <w:bookmarkEnd w:id="380"/>
      <w:r w:rsidRPr="00404724">
        <w:tab/>
      </w:r>
      <w:r w:rsidR="000077E3" w:rsidRPr="00404724">
        <w:t xml:space="preserve">Estimated annual fatalities (Jul 2015-Jun 2018) on unsealed </w:t>
      </w:r>
      <w:r w:rsidR="006D4544" w:rsidRPr="00404724">
        <w:t>roads outside of built-up areas</w:t>
      </w:r>
      <w:r w:rsidR="000077E3" w:rsidRPr="00404724">
        <w:t>, rounded</w:t>
      </w:r>
      <w:bookmarkEnd w:id="381"/>
      <w:bookmarkEnd w:id="382"/>
    </w:p>
    <w:tbl>
      <w:tblPr>
        <w:tblStyle w:val="TableGrid"/>
        <w:tblW w:w="0" w:type="auto"/>
        <w:tblLook w:val="04A0" w:firstRow="1" w:lastRow="0" w:firstColumn="1" w:lastColumn="0" w:noHBand="0" w:noVBand="1"/>
        <w:tblCaption w:val="Table 30 Estimated annual fatalities (Jul 2015-Jun 2018) on unsealed roads outside of built-up areas, rounded"/>
        <w:tblDescription w:val="Table 30 Estimated annual fatalities (Jul 2015-Jun 2018) on unsealed roads outside of built-up areas, rounded"/>
      </w:tblPr>
      <w:tblGrid>
        <w:gridCol w:w="2463"/>
        <w:gridCol w:w="2463"/>
        <w:gridCol w:w="2464"/>
        <w:gridCol w:w="2464"/>
      </w:tblGrid>
      <w:tr w:rsidR="000077E3" w:rsidRPr="00404724" w14:paraId="072A595C" w14:textId="77777777" w:rsidTr="008F2B51">
        <w:trPr>
          <w:cantSplit/>
          <w:tblHeader/>
        </w:trPr>
        <w:tc>
          <w:tcPr>
            <w:tcW w:w="2463" w:type="dxa"/>
            <w:shd w:val="clear" w:color="auto" w:fill="081E3E" w:themeFill="text2"/>
          </w:tcPr>
          <w:p w14:paraId="3EC18560" w14:textId="77777777" w:rsidR="000077E3" w:rsidRPr="00404724" w:rsidRDefault="000077E3" w:rsidP="00BB5FCD">
            <w:pPr>
              <w:spacing w:before="80" w:line="240" w:lineRule="atLeast"/>
              <w:rPr>
                <w:b/>
                <w:bCs/>
                <w:color w:val="FFFFFF" w:themeColor="background1"/>
              </w:rPr>
            </w:pPr>
            <w:r w:rsidRPr="00404724">
              <w:rPr>
                <w:b/>
                <w:bCs/>
                <w:color w:val="FFFFFF" w:themeColor="background1"/>
              </w:rPr>
              <w:t>State</w:t>
            </w:r>
          </w:p>
        </w:tc>
        <w:tc>
          <w:tcPr>
            <w:tcW w:w="2463" w:type="dxa"/>
            <w:shd w:val="clear" w:color="auto" w:fill="081E3E" w:themeFill="text2"/>
          </w:tcPr>
          <w:p w14:paraId="21268254" w14:textId="77777777" w:rsidR="000077E3" w:rsidRPr="00404724" w:rsidRDefault="000077E3" w:rsidP="00E85B60">
            <w:pPr>
              <w:spacing w:before="80" w:line="240" w:lineRule="atLeast"/>
              <w:jc w:val="center"/>
              <w:rPr>
                <w:b/>
                <w:bCs/>
                <w:color w:val="FFFFFF" w:themeColor="background1"/>
              </w:rPr>
            </w:pPr>
            <w:r w:rsidRPr="00404724">
              <w:rPr>
                <w:b/>
                <w:bCs/>
                <w:color w:val="FFFFFF" w:themeColor="background1"/>
              </w:rPr>
              <w:t>Regional</w:t>
            </w:r>
          </w:p>
        </w:tc>
        <w:tc>
          <w:tcPr>
            <w:tcW w:w="2464" w:type="dxa"/>
            <w:shd w:val="clear" w:color="auto" w:fill="081E3E" w:themeFill="text2"/>
          </w:tcPr>
          <w:p w14:paraId="5D628ACF" w14:textId="77777777" w:rsidR="000077E3" w:rsidRPr="00404724" w:rsidRDefault="000077E3" w:rsidP="00E85B60">
            <w:pPr>
              <w:spacing w:before="80" w:line="240" w:lineRule="atLeast"/>
              <w:jc w:val="center"/>
              <w:rPr>
                <w:b/>
                <w:bCs/>
                <w:color w:val="FFFFFF" w:themeColor="background1"/>
              </w:rPr>
            </w:pPr>
            <w:r w:rsidRPr="00404724">
              <w:rPr>
                <w:b/>
                <w:bCs/>
                <w:color w:val="FFFFFF" w:themeColor="background1"/>
              </w:rPr>
              <w:t>Remote</w:t>
            </w:r>
          </w:p>
        </w:tc>
        <w:tc>
          <w:tcPr>
            <w:tcW w:w="2464" w:type="dxa"/>
            <w:shd w:val="clear" w:color="auto" w:fill="081E3E" w:themeFill="text2"/>
          </w:tcPr>
          <w:p w14:paraId="28740D2E" w14:textId="77777777" w:rsidR="000077E3" w:rsidRPr="00404724" w:rsidRDefault="000077E3" w:rsidP="00E85B60">
            <w:pPr>
              <w:spacing w:before="80" w:line="240" w:lineRule="atLeast"/>
              <w:jc w:val="center"/>
              <w:rPr>
                <w:b/>
                <w:bCs/>
                <w:color w:val="FFFFFF" w:themeColor="background1"/>
              </w:rPr>
            </w:pPr>
            <w:r w:rsidRPr="00404724">
              <w:rPr>
                <w:b/>
                <w:bCs/>
                <w:color w:val="FFFFFF" w:themeColor="background1"/>
              </w:rPr>
              <w:t>Total</w:t>
            </w:r>
          </w:p>
        </w:tc>
      </w:tr>
      <w:tr w:rsidR="000077E3" w:rsidRPr="00404724" w14:paraId="21DFAF07" w14:textId="77777777" w:rsidTr="008F2B51">
        <w:trPr>
          <w:cantSplit/>
        </w:trPr>
        <w:tc>
          <w:tcPr>
            <w:tcW w:w="2463" w:type="dxa"/>
          </w:tcPr>
          <w:p w14:paraId="7EB2C202" w14:textId="77777777" w:rsidR="000077E3" w:rsidRPr="00404724" w:rsidRDefault="000077E3" w:rsidP="000077E3">
            <w:pPr>
              <w:spacing w:before="80" w:line="240" w:lineRule="atLeast"/>
            </w:pPr>
            <w:r w:rsidRPr="00404724">
              <w:t>NSW</w:t>
            </w:r>
          </w:p>
        </w:tc>
        <w:tc>
          <w:tcPr>
            <w:tcW w:w="2463" w:type="dxa"/>
          </w:tcPr>
          <w:p w14:paraId="2AC9D1A5" w14:textId="6226232B" w:rsidR="000077E3" w:rsidRPr="00404724" w:rsidRDefault="000077E3" w:rsidP="00E85B60">
            <w:pPr>
              <w:spacing w:before="80" w:line="240" w:lineRule="atLeast"/>
              <w:jc w:val="center"/>
            </w:pPr>
            <w:r w:rsidRPr="00404724">
              <w:t>5</w:t>
            </w:r>
          </w:p>
        </w:tc>
        <w:tc>
          <w:tcPr>
            <w:tcW w:w="2464" w:type="dxa"/>
          </w:tcPr>
          <w:p w14:paraId="1B7C77CB" w14:textId="23BD7286" w:rsidR="000077E3" w:rsidRPr="00404724" w:rsidRDefault="000077E3" w:rsidP="00E85B60">
            <w:pPr>
              <w:spacing w:before="80" w:line="240" w:lineRule="atLeast"/>
              <w:jc w:val="center"/>
            </w:pPr>
            <w:r w:rsidRPr="00404724">
              <w:t>2</w:t>
            </w:r>
          </w:p>
        </w:tc>
        <w:tc>
          <w:tcPr>
            <w:tcW w:w="2464" w:type="dxa"/>
          </w:tcPr>
          <w:p w14:paraId="110C59DA" w14:textId="5076E47A" w:rsidR="000077E3" w:rsidRPr="00404724" w:rsidRDefault="000077E3" w:rsidP="00E85B60">
            <w:pPr>
              <w:spacing w:before="80" w:line="240" w:lineRule="atLeast"/>
              <w:jc w:val="center"/>
            </w:pPr>
            <w:r w:rsidRPr="00404724">
              <w:t>7</w:t>
            </w:r>
          </w:p>
        </w:tc>
      </w:tr>
      <w:tr w:rsidR="000077E3" w:rsidRPr="00404724" w14:paraId="438B670A" w14:textId="77777777" w:rsidTr="008F2B51">
        <w:trPr>
          <w:cantSplit/>
        </w:trPr>
        <w:tc>
          <w:tcPr>
            <w:tcW w:w="2463" w:type="dxa"/>
          </w:tcPr>
          <w:p w14:paraId="1D4A672D" w14:textId="77777777" w:rsidR="000077E3" w:rsidRPr="00404724" w:rsidRDefault="000077E3" w:rsidP="000077E3">
            <w:pPr>
              <w:spacing w:before="80" w:line="240" w:lineRule="atLeast"/>
            </w:pPr>
            <w:r w:rsidRPr="00404724">
              <w:t>Vic</w:t>
            </w:r>
          </w:p>
        </w:tc>
        <w:tc>
          <w:tcPr>
            <w:tcW w:w="2463" w:type="dxa"/>
          </w:tcPr>
          <w:p w14:paraId="4A64F5B3" w14:textId="23C51873" w:rsidR="000077E3" w:rsidRPr="00404724" w:rsidRDefault="000077E3" w:rsidP="00E85B60">
            <w:pPr>
              <w:spacing w:before="80" w:line="240" w:lineRule="atLeast"/>
              <w:jc w:val="center"/>
            </w:pPr>
            <w:r w:rsidRPr="00404724">
              <w:t>7</w:t>
            </w:r>
          </w:p>
        </w:tc>
        <w:tc>
          <w:tcPr>
            <w:tcW w:w="2464" w:type="dxa"/>
          </w:tcPr>
          <w:p w14:paraId="1E32B164" w14:textId="681EAC51" w:rsidR="000077E3" w:rsidRPr="00404724" w:rsidRDefault="000077E3" w:rsidP="00E85B60">
            <w:pPr>
              <w:spacing w:before="80" w:line="240" w:lineRule="atLeast"/>
              <w:jc w:val="center"/>
            </w:pPr>
            <w:r w:rsidRPr="00404724">
              <w:t>0</w:t>
            </w:r>
          </w:p>
        </w:tc>
        <w:tc>
          <w:tcPr>
            <w:tcW w:w="2464" w:type="dxa"/>
          </w:tcPr>
          <w:p w14:paraId="19CC093F" w14:textId="64031DC4" w:rsidR="000077E3" w:rsidRPr="00404724" w:rsidRDefault="000077E3" w:rsidP="00E85B60">
            <w:pPr>
              <w:spacing w:before="80" w:line="240" w:lineRule="atLeast"/>
              <w:jc w:val="center"/>
            </w:pPr>
            <w:r w:rsidRPr="00404724">
              <w:t>7</w:t>
            </w:r>
          </w:p>
        </w:tc>
      </w:tr>
      <w:tr w:rsidR="000077E3" w:rsidRPr="00404724" w14:paraId="3CA0B201" w14:textId="77777777" w:rsidTr="008F2B51">
        <w:trPr>
          <w:cantSplit/>
        </w:trPr>
        <w:tc>
          <w:tcPr>
            <w:tcW w:w="2463" w:type="dxa"/>
          </w:tcPr>
          <w:p w14:paraId="55FCCA77" w14:textId="77777777" w:rsidR="000077E3" w:rsidRPr="00404724" w:rsidRDefault="000077E3" w:rsidP="000077E3">
            <w:pPr>
              <w:spacing w:before="80" w:line="240" w:lineRule="atLeast"/>
            </w:pPr>
            <w:r w:rsidRPr="00404724">
              <w:t>QLD</w:t>
            </w:r>
          </w:p>
        </w:tc>
        <w:tc>
          <w:tcPr>
            <w:tcW w:w="2463" w:type="dxa"/>
          </w:tcPr>
          <w:p w14:paraId="5DF01D48" w14:textId="37D7C214" w:rsidR="000077E3" w:rsidRPr="00404724" w:rsidRDefault="000077E3" w:rsidP="00E85B60">
            <w:pPr>
              <w:spacing w:before="80" w:line="240" w:lineRule="atLeast"/>
              <w:jc w:val="center"/>
            </w:pPr>
            <w:r w:rsidRPr="00404724">
              <w:t>1</w:t>
            </w:r>
          </w:p>
        </w:tc>
        <w:tc>
          <w:tcPr>
            <w:tcW w:w="2464" w:type="dxa"/>
          </w:tcPr>
          <w:p w14:paraId="5FA03C21" w14:textId="278AE86F" w:rsidR="000077E3" w:rsidRPr="00404724" w:rsidRDefault="000077E3" w:rsidP="00E85B60">
            <w:pPr>
              <w:spacing w:before="80" w:line="240" w:lineRule="atLeast"/>
              <w:jc w:val="center"/>
            </w:pPr>
            <w:r w:rsidRPr="00404724">
              <w:t>3</w:t>
            </w:r>
          </w:p>
        </w:tc>
        <w:tc>
          <w:tcPr>
            <w:tcW w:w="2464" w:type="dxa"/>
          </w:tcPr>
          <w:p w14:paraId="212FAA30" w14:textId="05AEDAC3" w:rsidR="000077E3" w:rsidRPr="00404724" w:rsidRDefault="000077E3" w:rsidP="00E85B60">
            <w:pPr>
              <w:spacing w:before="80" w:line="240" w:lineRule="atLeast"/>
              <w:jc w:val="center"/>
            </w:pPr>
            <w:r w:rsidRPr="00404724">
              <w:t>4</w:t>
            </w:r>
          </w:p>
        </w:tc>
      </w:tr>
      <w:tr w:rsidR="000077E3" w:rsidRPr="00404724" w14:paraId="1F1B6BAF" w14:textId="77777777" w:rsidTr="008F2B51">
        <w:trPr>
          <w:cantSplit/>
        </w:trPr>
        <w:tc>
          <w:tcPr>
            <w:tcW w:w="2463" w:type="dxa"/>
          </w:tcPr>
          <w:p w14:paraId="7BD99D89" w14:textId="77777777" w:rsidR="000077E3" w:rsidRPr="00404724" w:rsidRDefault="000077E3" w:rsidP="000077E3">
            <w:pPr>
              <w:spacing w:before="80" w:line="240" w:lineRule="atLeast"/>
            </w:pPr>
            <w:r w:rsidRPr="00404724">
              <w:t>WA</w:t>
            </w:r>
          </w:p>
        </w:tc>
        <w:tc>
          <w:tcPr>
            <w:tcW w:w="2463" w:type="dxa"/>
          </w:tcPr>
          <w:p w14:paraId="667D946B" w14:textId="66771102" w:rsidR="000077E3" w:rsidRPr="00404724" w:rsidRDefault="000077E3" w:rsidP="00E85B60">
            <w:pPr>
              <w:spacing w:before="80" w:line="240" w:lineRule="atLeast"/>
              <w:jc w:val="center"/>
            </w:pPr>
            <w:r w:rsidRPr="00404724">
              <w:t>2</w:t>
            </w:r>
          </w:p>
        </w:tc>
        <w:tc>
          <w:tcPr>
            <w:tcW w:w="2464" w:type="dxa"/>
          </w:tcPr>
          <w:p w14:paraId="7AB3AC40" w14:textId="70178AFF" w:rsidR="000077E3" w:rsidRPr="00404724" w:rsidRDefault="000077E3" w:rsidP="00E85B60">
            <w:pPr>
              <w:spacing w:before="80" w:line="240" w:lineRule="atLeast"/>
              <w:jc w:val="center"/>
            </w:pPr>
            <w:r w:rsidRPr="00404724">
              <w:t>4</w:t>
            </w:r>
          </w:p>
        </w:tc>
        <w:tc>
          <w:tcPr>
            <w:tcW w:w="2464" w:type="dxa"/>
          </w:tcPr>
          <w:p w14:paraId="59E41C38" w14:textId="6D20F04F" w:rsidR="000077E3" w:rsidRPr="00404724" w:rsidRDefault="000077E3" w:rsidP="00E85B60">
            <w:pPr>
              <w:spacing w:before="80" w:line="240" w:lineRule="atLeast"/>
              <w:jc w:val="center"/>
            </w:pPr>
            <w:r w:rsidRPr="00404724">
              <w:t>6</w:t>
            </w:r>
          </w:p>
        </w:tc>
      </w:tr>
      <w:tr w:rsidR="000077E3" w:rsidRPr="00404724" w14:paraId="7CED6A88" w14:textId="77777777" w:rsidTr="008F2B51">
        <w:trPr>
          <w:cantSplit/>
        </w:trPr>
        <w:tc>
          <w:tcPr>
            <w:tcW w:w="2463" w:type="dxa"/>
          </w:tcPr>
          <w:p w14:paraId="79FEDC28" w14:textId="77777777" w:rsidR="000077E3" w:rsidRPr="00404724" w:rsidRDefault="000077E3" w:rsidP="000077E3">
            <w:pPr>
              <w:spacing w:before="80" w:line="240" w:lineRule="atLeast"/>
            </w:pPr>
            <w:r w:rsidRPr="00404724">
              <w:t>SA</w:t>
            </w:r>
          </w:p>
        </w:tc>
        <w:tc>
          <w:tcPr>
            <w:tcW w:w="2463" w:type="dxa"/>
          </w:tcPr>
          <w:p w14:paraId="4150E497" w14:textId="2E1D7642" w:rsidR="000077E3" w:rsidRPr="00404724" w:rsidRDefault="000077E3" w:rsidP="00E85B60">
            <w:pPr>
              <w:spacing w:before="80" w:line="240" w:lineRule="atLeast"/>
              <w:jc w:val="center"/>
            </w:pPr>
            <w:r w:rsidRPr="00404724">
              <w:t>3</w:t>
            </w:r>
          </w:p>
        </w:tc>
        <w:tc>
          <w:tcPr>
            <w:tcW w:w="2464" w:type="dxa"/>
          </w:tcPr>
          <w:p w14:paraId="575E4AA6" w14:textId="4DAEC149" w:rsidR="000077E3" w:rsidRPr="00404724" w:rsidRDefault="000077E3" w:rsidP="00E85B60">
            <w:pPr>
              <w:spacing w:before="80" w:line="240" w:lineRule="atLeast"/>
              <w:jc w:val="center"/>
            </w:pPr>
            <w:r w:rsidRPr="00404724">
              <w:t>1</w:t>
            </w:r>
          </w:p>
        </w:tc>
        <w:tc>
          <w:tcPr>
            <w:tcW w:w="2464" w:type="dxa"/>
          </w:tcPr>
          <w:p w14:paraId="57629B52" w14:textId="7B17757B" w:rsidR="000077E3" w:rsidRPr="00404724" w:rsidRDefault="000077E3" w:rsidP="00E85B60">
            <w:pPr>
              <w:spacing w:before="80" w:line="240" w:lineRule="atLeast"/>
              <w:jc w:val="center"/>
            </w:pPr>
            <w:r w:rsidRPr="00404724">
              <w:t>4</w:t>
            </w:r>
          </w:p>
        </w:tc>
      </w:tr>
      <w:tr w:rsidR="000077E3" w:rsidRPr="00404724" w14:paraId="2B3FB6A4" w14:textId="77777777" w:rsidTr="008F2B51">
        <w:trPr>
          <w:cantSplit/>
        </w:trPr>
        <w:tc>
          <w:tcPr>
            <w:tcW w:w="2463" w:type="dxa"/>
          </w:tcPr>
          <w:p w14:paraId="3B1CEA21" w14:textId="77777777" w:rsidR="000077E3" w:rsidRPr="00404724" w:rsidRDefault="000077E3" w:rsidP="000077E3">
            <w:pPr>
              <w:spacing w:before="80" w:line="240" w:lineRule="atLeast"/>
            </w:pPr>
            <w:r w:rsidRPr="00404724">
              <w:t>Tas</w:t>
            </w:r>
          </w:p>
        </w:tc>
        <w:tc>
          <w:tcPr>
            <w:tcW w:w="2463" w:type="dxa"/>
          </w:tcPr>
          <w:p w14:paraId="5F4EBE3E" w14:textId="6069586A" w:rsidR="000077E3" w:rsidRPr="00404724" w:rsidRDefault="000077E3" w:rsidP="00E85B60">
            <w:pPr>
              <w:spacing w:before="80" w:line="240" w:lineRule="atLeast"/>
              <w:jc w:val="center"/>
            </w:pPr>
            <w:r w:rsidRPr="00404724">
              <w:t>0</w:t>
            </w:r>
          </w:p>
        </w:tc>
        <w:tc>
          <w:tcPr>
            <w:tcW w:w="2464" w:type="dxa"/>
          </w:tcPr>
          <w:p w14:paraId="6AE52A96" w14:textId="5E6A6F17" w:rsidR="000077E3" w:rsidRPr="00404724" w:rsidRDefault="000077E3" w:rsidP="00E85B60">
            <w:pPr>
              <w:spacing w:before="80" w:line="240" w:lineRule="atLeast"/>
              <w:jc w:val="center"/>
            </w:pPr>
            <w:r w:rsidRPr="00404724">
              <w:t>0</w:t>
            </w:r>
          </w:p>
        </w:tc>
        <w:tc>
          <w:tcPr>
            <w:tcW w:w="2464" w:type="dxa"/>
          </w:tcPr>
          <w:p w14:paraId="749FA311" w14:textId="640DD8D7" w:rsidR="000077E3" w:rsidRPr="00404724" w:rsidRDefault="000077E3" w:rsidP="00E85B60">
            <w:pPr>
              <w:spacing w:before="80" w:line="240" w:lineRule="atLeast"/>
              <w:jc w:val="center"/>
            </w:pPr>
            <w:r w:rsidRPr="00404724">
              <w:t>0</w:t>
            </w:r>
          </w:p>
        </w:tc>
      </w:tr>
      <w:tr w:rsidR="000077E3" w:rsidRPr="00404724" w14:paraId="1A857B15" w14:textId="77777777" w:rsidTr="008F2B51">
        <w:trPr>
          <w:cantSplit/>
        </w:trPr>
        <w:tc>
          <w:tcPr>
            <w:tcW w:w="2463" w:type="dxa"/>
          </w:tcPr>
          <w:p w14:paraId="464E87F8" w14:textId="77777777" w:rsidR="000077E3" w:rsidRPr="00404724" w:rsidRDefault="000077E3" w:rsidP="000077E3">
            <w:pPr>
              <w:spacing w:before="80" w:line="240" w:lineRule="atLeast"/>
            </w:pPr>
            <w:r w:rsidRPr="00404724">
              <w:t>NT</w:t>
            </w:r>
          </w:p>
        </w:tc>
        <w:tc>
          <w:tcPr>
            <w:tcW w:w="2463" w:type="dxa"/>
          </w:tcPr>
          <w:p w14:paraId="4DC31F7E" w14:textId="1CB46056" w:rsidR="000077E3" w:rsidRPr="00404724" w:rsidRDefault="000077E3" w:rsidP="00E85B60">
            <w:pPr>
              <w:spacing w:before="80" w:line="240" w:lineRule="atLeast"/>
              <w:jc w:val="center"/>
            </w:pPr>
            <w:r w:rsidRPr="00404724">
              <w:t>1</w:t>
            </w:r>
          </w:p>
        </w:tc>
        <w:tc>
          <w:tcPr>
            <w:tcW w:w="2464" w:type="dxa"/>
          </w:tcPr>
          <w:p w14:paraId="519BFBEA" w14:textId="1542AD7F" w:rsidR="000077E3" w:rsidRPr="00404724" w:rsidRDefault="000077E3" w:rsidP="00E85B60">
            <w:pPr>
              <w:spacing w:before="80" w:line="240" w:lineRule="atLeast"/>
              <w:jc w:val="center"/>
            </w:pPr>
            <w:r w:rsidRPr="00404724">
              <w:t>7</w:t>
            </w:r>
          </w:p>
        </w:tc>
        <w:tc>
          <w:tcPr>
            <w:tcW w:w="2464" w:type="dxa"/>
          </w:tcPr>
          <w:p w14:paraId="681C235C" w14:textId="28216C7D" w:rsidR="000077E3" w:rsidRPr="00404724" w:rsidRDefault="000077E3" w:rsidP="00E85B60">
            <w:pPr>
              <w:spacing w:before="80" w:line="240" w:lineRule="atLeast"/>
              <w:jc w:val="center"/>
            </w:pPr>
            <w:r w:rsidRPr="00404724">
              <w:t>7</w:t>
            </w:r>
          </w:p>
        </w:tc>
      </w:tr>
      <w:tr w:rsidR="000077E3" w:rsidRPr="00404724" w14:paraId="149FF1CC" w14:textId="77777777" w:rsidTr="008F2B51">
        <w:trPr>
          <w:cantSplit/>
        </w:trPr>
        <w:tc>
          <w:tcPr>
            <w:tcW w:w="2463" w:type="dxa"/>
            <w:shd w:val="clear" w:color="auto" w:fill="C8ECFA" w:themeFill="accent3" w:themeFillTint="66"/>
          </w:tcPr>
          <w:p w14:paraId="0DCF955F" w14:textId="77777777" w:rsidR="000077E3" w:rsidRPr="00E85B60" w:rsidRDefault="000077E3" w:rsidP="000077E3">
            <w:pPr>
              <w:spacing w:before="80" w:line="240" w:lineRule="atLeast"/>
              <w:rPr>
                <w:b/>
                <w:bCs/>
              </w:rPr>
            </w:pPr>
            <w:r w:rsidRPr="00E85B60">
              <w:rPr>
                <w:b/>
                <w:bCs/>
              </w:rPr>
              <w:t>Total</w:t>
            </w:r>
          </w:p>
        </w:tc>
        <w:tc>
          <w:tcPr>
            <w:tcW w:w="2463" w:type="dxa"/>
            <w:shd w:val="clear" w:color="auto" w:fill="C8ECFA" w:themeFill="accent3" w:themeFillTint="66"/>
          </w:tcPr>
          <w:p w14:paraId="6FA20E96" w14:textId="637191ED" w:rsidR="000077E3" w:rsidRPr="00E85B60" w:rsidRDefault="000077E3" w:rsidP="00E85B60">
            <w:pPr>
              <w:spacing w:before="80" w:line="240" w:lineRule="atLeast"/>
              <w:jc w:val="center"/>
              <w:rPr>
                <w:b/>
                <w:bCs/>
              </w:rPr>
            </w:pPr>
            <w:r w:rsidRPr="00E85B60">
              <w:rPr>
                <w:b/>
                <w:bCs/>
              </w:rPr>
              <w:t>19</w:t>
            </w:r>
          </w:p>
        </w:tc>
        <w:tc>
          <w:tcPr>
            <w:tcW w:w="2464" w:type="dxa"/>
            <w:shd w:val="clear" w:color="auto" w:fill="C8ECFA" w:themeFill="accent3" w:themeFillTint="66"/>
          </w:tcPr>
          <w:p w14:paraId="37168FB9" w14:textId="4990F3C4" w:rsidR="000077E3" w:rsidRPr="00E85B60" w:rsidRDefault="000077E3" w:rsidP="00E85B60">
            <w:pPr>
              <w:spacing w:before="80" w:line="240" w:lineRule="atLeast"/>
              <w:jc w:val="center"/>
              <w:rPr>
                <w:b/>
                <w:bCs/>
              </w:rPr>
            </w:pPr>
            <w:r w:rsidRPr="00E85B60">
              <w:rPr>
                <w:b/>
                <w:bCs/>
              </w:rPr>
              <w:t>16</w:t>
            </w:r>
          </w:p>
        </w:tc>
        <w:tc>
          <w:tcPr>
            <w:tcW w:w="2464" w:type="dxa"/>
            <w:shd w:val="clear" w:color="auto" w:fill="C8ECFA" w:themeFill="accent3" w:themeFillTint="66"/>
          </w:tcPr>
          <w:p w14:paraId="7794702A" w14:textId="525E68AA" w:rsidR="000077E3" w:rsidRPr="00E85B60" w:rsidRDefault="000077E3" w:rsidP="00E85B60">
            <w:pPr>
              <w:spacing w:before="80" w:line="240" w:lineRule="atLeast"/>
              <w:jc w:val="center"/>
              <w:rPr>
                <w:b/>
                <w:bCs/>
              </w:rPr>
            </w:pPr>
            <w:r w:rsidRPr="00E85B60">
              <w:rPr>
                <w:b/>
                <w:bCs/>
              </w:rPr>
              <w:t>35</w:t>
            </w:r>
          </w:p>
        </w:tc>
      </w:tr>
    </w:tbl>
    <w:p w14:paraId="21F868B6" w14:textId="1D523AE6" w:rsidR="000077E3" w:rsidRPr="00404724" w:rsidRDefault="00CF1735" w:rsidP="00A115DA">
      <w:pPr>
        <w:spacing w:before="240"/>
        <w:ind w:left="1400" w:hanging="1400"/>
        <w:rPr>
          <w:b/>
          <w:bCs/>
        </w:rPr>
      </w:pPr>
      <w:bookmarkStart w:id="383" w:name="_Ref208742943"/>
      <w:r w:rsidRPr="00404724">
        <w:rPr>
          <w:b/>
          <w:bCs/>
        </w:rPr>
        <w:t xml:space="preserve">Table </w:t>
      </w:r>
      <w:r w:rsidRPr="00404724">
        <w:rPr>
          <w:b/>
          <w:bCs/>
        </w:rPr>
        <w:fldChar w:fldCharType="begin"/>
      </w:r>
      <w:r w:rsidRPr="00404724">
        <w:rPr>
          <w:b/>
          <w:bCs/>
        </w:rPr>
        <w:instrText xml:space="preserve"> SEQ Table \* ARABIC </w:instrText>
      </w:r>
      <w:r w:rsidRPr="00404724">
        <w:rPr>
          <w:b/>
          <w:bCs/>
        </w:rPr>
        <w:fldChar w:fldCharType="separate"/>
      </w:r>
      <w:r w:rsidR="00BF489D">
        <w:rPr>
          <w:b/>
          <w:bCs/>
          <w:noProof/>
        </w:rPr>
        <w:t>31</w:t>
      </w:r>
      <w:r w:rsidRPr="00404724">
        <w:rPr>
          <w:b/>
          <w:bCs/>
        </w:rPr>
        <w:fldChar w:fldCharType="end"/>
      </w:r>
      <w:bookmarkEnd w:id="383"/>
      <w:r w:rsidRPr="00404724">
        <w:rPr>
          <w:b/>
          <w:bCs/>
        </w:rPr>
        <w:tab/>
      </w:r>
      <w:r w:rsidR="000077E3" w:rsidRPr="00404724">
        <w:rPr>
          <w:b/>
          <w:bCs/>
        </w:rPr>
        <w:t xml:space="preserve">Estimated annual weighted SI (Jul 2015-Jun 2018) on unsealed </w:t>
      </w:r>
      <w:r w:rsidR="006D4544" w:rsidRPr="00404724">
        <w:rPr>
          <w:b/>
          <w:bCs/>
        </w:rPr>
        <w:t>roads outside of built-up areas</w:t>
      </w:r>
      <w:r w:rsidR="000077E3" w:rsidRPr="00404724">
        <w:rPr>
          <w:b/>
          <w:bCs/>
        </w:rPr>
        <w:t>, rounded</w:t>
      </w:r>
    </w:p>
    <w:tbl>
      <w:tblPr>
        <w:tblStyle w:val="TableGrid"/>
        <w:tblW w:w="0" w:type="auto"/>
        <w:tblLook w:val="04A0" w:firstRow="1" w:lastRow="0" w:firstColumn="1" w:lastColumn="0" w:noHBand="0" w:noVBand="1"/>
        <w:tblCaption w:val="Table 31 Estimated annual weighted SI (Jul 2015-Jun 2018) on unsealed roads outside of built-up areas, rounded"/>
        <w:tblDescription w:val="Table 31 Estimated annual weighted SI (Jul 2015-Jun 2018) on unsealed roads outside of built-up areas, rounded"/>
      </w:tblPr>
      <w:tblGrid>
        <w:gridCol w:w="2463"/>
        <w:gridCol w:w="2463"/>
        <w:gridCol w:w="2464"/>
        <w:gridCol w:w="2464"/>
      </w:tblGrid>
      <w:tr w:rsidR="000077E3" w:rsidRPr="00404724" w14:paraId="43C6FBDC" w14:textId="77777777" w:rsidTr="008F2B51">
        <w:trPr>
          <w:cantSplit/>
          <w:tblHeader/>
        </w:trPr>
        <w:tc>
          <w:tcPr>
            <w:tcW w:w="2463" w:type="dxa"/>
            <w:shd w:val="clear" w:color="auto" w:fill="081E3E" w:themeFill="text2"/>
          </w:tcPr>
          <w:p w14:paraId="7A62403C" w14:textId="0E234F74" w:rsidR="000077E3" w:rsidRPr="00404724" w:rsidRDefault="000077E3" w:rsidP="000077E3">
            <w:pPr>
              <w:spacing w:before="80" w:line="240" w:lineRule="atLeast"/>
              <w:rPr>
                <w:b/>
                <w:bCs/>
                <w:color w:val="FFFFFF" w:themeColor="background1"/>
              </w:rPr>
            </w:pPr>
            <w:r w:rsidRPr="00404724">
              <w:rPr>
                <w:b/>
                <w:bCs/>
                <w:color w:val="FFFFFF" w:themeColor="background1"/>
              </w:rPr>
              <w:t>State</w:t>
            </w:r>
          </w:p>
        </w:tc>
        <w:tc>
          <w:tcPr>
            <w:tcW w:w="2463" w:type="dxa"/>
            <w:shd w:val="clear" w:color="auto" w:fill="081E3E" w:themeFill="text2"/>
          </w:tcPr>
          <w:p w14:paraId="26473250" w14:textId="7BABC983" w:rsidR="000077E3" w:rsidRPr="00404724" w:rsidRDefault="000077E3" w:rsidP="00E85B60">
            <w:pPr>
              <w:spacing w:before="80" w:line="240" w:lineRule="atLeast"/>
              <w:jc w:val="center"/>
              <w:rPr>
                <w:b/>
                <w:bCs/>
                <w:color w:val="FFFFFF" w:themeColor="background1"/>
              </w:rPr>
            </w:pPr>
            <w:r w:rsidRPr="00404724">
              <w:rPr>
                <w:b/>
                <w:bCs/>
                <w:color w:val="FFFFFF" w:themeColor="background1"/>
              </w:rPr>
              <w:t>Regional</w:t>
            </w:r>
          </w:p>
        </w:tc>
        <w:tc>
          <w:tcPr>
            <w:tcW w:w="2464" w:type="dxa"/>
            <w:shd w:val="clear" w:color="auto" w:fill="081E3E" w:themeFill="text2"/>
          </w:tcPr>
          <w:p w14:paraId="1461EBED" w14:textId="085EA586" w:rsidR="000077E3" w:rsidRPr="00404724" w:rsidRDefault="000077E3" w:rsidP="00E85B60">
            <w:pPr>
              <w:spacing w:before="80" w:line="240" w:lineRule="atLeast"/>
              <w:jc w:val="center"/>
              <w:rPr>
                <w:b/>
                <w:bCs/>
                <w:color w:val="FFFFFF" w:themeColor="background1"/>
              </w:rPr>
            </w:pPr>
            <w:r w:rsidRPr="00404724">
              <w:rPr>
                <w:b/>
                <w:bCs/>
                <w:color w:val="FFFFFF" w:themeColor="background1"/>
              </w:rPr>
              <w:t>Remote</w:t>
            </w:r>
          </w:p>
        </w:tc>
        <w:tc>
          <w:tcPr>
            <w:tcW w:w="2464" w:type="dxa"/>
            <w:shd w:val="clear" w:color="auto" w:fill="081E3E" w:themeFill="text2"/>
          </w:tcPr>
          <w:p w14:paraId="0BA493CE" w14:textId="3200ADC4" w:rsidR="000077E3" w:rsidRPr="00404724" w:rsidRDefault="000077E3" w:rsidP="00E85B60">
            <w:pPr>
              <w:spacing w:before="80" w:line="240" w:lineRule="atLeast"/>
              <w:jc w:val="center"/>
              <w:rPr>
                <w:b/>
                <w:bCs/>
                <w:color w:val="FFFFFF" w:themeColor="background1"/>
              </w:rPr>
            </w:pPr>
            <w:r w:rsidRPr="00404724">
              <w:rPr>
                <w:b/>
                <w:bCs/>
                <w:color w:val="FFFFFF" w:themeColor="background1"/>
              </w:rPr>
              <w:t>Total</w:t>
            </w:r>
          </w:p>
        </w:tc>
      </w:tr>
      <w:tr w:rsidR="000077E3" w:rsidRPr="00404724" w14:paraId="1D9C66E3" w14:textId="77777777" w:rsidTr="008F2B51">
        <w:trPr>
          <w:cantSplit/>
        </w:trPr>
        <w:tc>
          <w:tcPr>
            <w:tcW w:w="2463" w:type="dxa"/>
          </w:tcPr>
          <w:p w14:paraId="43B8FF56" w14:textId="5F1718DC" w:rsidR="000077E3" w:rsidRPr="00404724" w:rsidRDefault="000077E3" w:rsidP="000077E3">
            <w:pPr>
              <w:spacing w:before="80" w:line="240" w:lineRule="atLeast"/>
            </w:pPr>
            <w:r w:rsidRPr="00404724">
              <w:t>NSW</w:t>
            </w:r>
          </w:p>
        </w:tc>
        <w:tc>
          <w:tcPr>
            <w:tcW w:w="2463" w:type="dxa"/>
          </w:tcPr>
          <w:p w14:paraId="2B286CF8" w14:textId="142195E7" w:rsidR="000077E3" w:rsidRPr="00404724" w:rsidRDefault="000077E3" w:rsidP="009F6CA8">
            <w:pPr>
              <w:spacing w:before="80" w:line="240" w:lineRule="atLeast"/>
              <w:jc w:val="right"/>
            </w:pPr>
            <w:r w:rsidRPr="00404724">
              <w:t>92</w:t>
            </w:r>
          </w:p>
        </w:tc>
        <w:tc>
          <w:tcPr>
            <w:tcW w:w="2464" w:type="dxa"/>
          </w:tcPr>
          <w:p w14:paraId="48E9410E" w14:textId="67807A8F" w:rsidR="000077E3" w:rsidRPr="00404724" w:rsidRDefault="000077E3" w:rsidP="009F6CA8">
            <w:pPr>
              <w:spacing w:before="80" w:line="240" w:lineRule="atLeast"/>
              <w:jc w:val="right"/>
            </w:pPr>
            <w:r w:rsidRPr="00404724">
              <w:t>27</w:t>
            </w:r>
          </w:p>
        </w:tc>
        <w:tc>
          <w:tcPr>
            <w:tcW w:w="2464" w:type="dxa"/>
          </w:tcPr>
          <w:p w14:paraId="3771A38F" w14:textId="46EAB044" w:rsidR="000077E3" w:rsidRPr="00404724" w:rsidRDefault="000077E3" w:rsidP="009F6CA8">
            <w:pPr>
              <w:spacing w:before="80" w:line="240" w:lineRule="atLeast"/>
              <w:jc w:val="right"/>
            </w:pPr>
            <w:r w:rsidRPr="00404724">
              <w:t>119</w:t>
            </w:r>
          </w:p>
        </w:tc>
      </w:tr>
      <w:tr w:rsidR="000077E3" w:rsidRPr="00404724" w14:paraId="74384EDB" w14:textId="77777777" w:rsidTr="008F2B51">
        <w:trPr>
          <w:cantSplit/>
        </w:trPr>
        <w:tc>
          <w:tcPr>
            <w:tcW w:w="2463" w:type="dxa"/>
          </w:tcPr>
          <w:p w14:paraId="1423E650" w14:textId="34790542" w:rsidR="000077E3" w:rsidRPr="00404724" w:rsidRDefault="000077E3" w:rsidP="000077E3">
            <w:pPr>
              <w:spacing w:before="80" w:line="240" w:lineRule="atLeast"/>
            </w:pPr>
            <w:r w:rsidRPr="00404724">
              <w:t>Vic</w:t>
            </w:r>
          </w:p>
        </w:tc>
        <w:tc>
          <w:tcPr>
            <w:tcW w:w="2463" w:type="dxa"/>
          </w:tcPr>
          <w:p w14:paraId="4047485B" w14:textId="21CB85AD" w:rsidR="000077E3" w:rsidRPr="00404724" w:rsidRDefault="000077E3" w:rsidP="009F6CA8">
            <w:pPr>
              <w:spacing w:before="80" w:line="240" w:lineRule="atLeast"/>
              <w:jc w:val="right"/>
            </w:pPr>
            <w:r w:rsidRPr="00404724">
              <w:t>128</w:t>
            </w:r>
          </w:p>
        </w:tc>
        <w:tc>
          <w:tcPr>
            <w:tcW w:w="2464" w:type="dxa"/>
          </w:tcPr>
          <w:p w14:paraId="09AF94DE" w14:textId="17D40961" w:rsidR="000077E3" w:rsidRPr="00404724" w:rsidRDefault="000077E3" w:rsidP="009F6CA8">
            <w:pPr>
              <w:spacing w:before="80" w:line="240" w:lineRule="atLeast"/>
              <w:jc w:val="right"/>
            </w:pPr>
            <w:r w:rsidRPr="00404724">
              <w:t>0</w:t>
            </w:r>
          </w:p>
        </w:tc>
        <w:tc>
          <w:tcPr>
            <w:tcW w:w="2464" w:type="dxa"/>
          </w:tcPr>
          <w:p w14:paraId="2FEEB8E7" w14:textId="3C788550" w:rsidR="000077E3" w:rsidRPr="00404724" w:rsidRDefault="000077E3" w:rsidP="009F6CA8">
            <w:pPr>
              <w:spacing w:before="80" w:line="240" w:lineRule="atLeast"/>
              <w:jc w:val="right"/>
            </w:pPr>
            <w:r w:rsidRPr="00404724">
              <w:t>128</w:t>
            </w:r>
          </w:p>
        </w:tc>
      </w:tr>
      <w:tr w:rsidR="000077E3" w:rsidRPr="00404724" w14:paraId="69B9C122" w14:textId="77777777" w:rsidTr="008F2B51">
        <w:trPr>
          <w:cantSplit/>
        </w:trPr>
        <w:tc>
          <w:tcPr>
            <w:tcW w:w="2463" w:type="dxa"/>
          </w:tcPr>
          <w:p w14:paraId="2F3618B4" w14:textId="769F14F1" w:rsidR="000077E3" w:rsidRPr="00404724" w:rsidRDefault="000077E3" w:rsidP="000077E3">
            <w:pPr>
              <w:spacing w:before="80" w:line="240" w:lineRule="atLeast"/>
            </w:pPr>
            <w:r w:rsidRPr="00404724">
              <w:t>QLD</w:t>
            </w:r>
          </w:p>
        </w:tc>
        <w:tc>
          <w:tcPr>
            <w:tcW w:w="2463" w:type="dxa"/>
          </w:tcPr>
          <w:p w14:paraId="495E6FA8" w14:textId="4FF35B4F" w:rsidR="000077E3" w:rsidRPr="00404724" w:rsidRDefault="000077E3" w:rsidP="009F6CA8">
            <w:pPr>
              <w:spacing w:before="80" w:line="240" w:lineRule="atLeast"/>
              <w:jc w:val="right"/>
            </w:pPr>
            <w:r w:rsidRPr="00404724">
              <w:t>53</w:t>
            </w:r>
          </w:p>
        </w:tc>
        <w:tc>
          <w:tcPr>
            <w:tcW w:w="2464" w:type="dxa"/>
          </w:tcPr>
          <w:p w14:paraId="46EE57B2" w14:textId="4602C5FB" w:rsidR="000077E3" w:rsidRPr="00404724" w:rsidRDefault="000077E3" w:rsidP="009F6CA8">
            <w:pPr>
              <w:spacing w:before="80" w:line="240" w:lineRule="atLeast"/>
              <w:jc w:val="right"/>
            </w:pPr>
            <w:r w:rsidRPr="00404724">
              <w:t>42</w:t>
            </w:r>
          </w:p>
        </w:tc>
        <w:tc>
          <w:tcPr>
            <w:tcW w:w="2464" w:type="dxa"/>
          </w:tcPr>
          <w:p w14:paraId="40A7356F" w14:textId="737217AE" w:rsidR="000077E3" w:rsidRPr="00404724" w:rsidRDefault="000077E3" w:rsidP="009F6CA8">
            <w:pPr>
              <w:spacing w:before="80" w:line="240" w:lineRule="atLeast"/>
              <w:jc w:val="right"/>
            </w:pPr>
            <w:r w:rsidRPr="00404724">
              <w:t>96</w:t>
            </w:r>
          </w:p>
        </w:tc>
      </w:tr>
      <w:tr w:rsidR="000077E3" w:rsidRPr="00404724" w14:paraId="5EF2C6ED" w14:textId="77777777" w:rsidTr="008F2B51">
        <w:trPr>
          <w:cantSplit/>
        </w:trPr>
        <w:tc>
          <w:tcPr>
            <w:tcW w:w="2463" w:type="dxa"/>
          </w:tcPr>
          <w:p w14:paraId="16331F14" w14:textId="7B0364D2" w:rsidR="000077E3" w:rsidRPr="00404724" w:rsidRDefault="000077E3" w:rsidP="000077E3">
            <w:pPr>
              <w:spacing w:before="80" w:line="240" w:lineRule="atLeast"/>
            </w:pPr>
            <w:r w:rsidRPr="00404724">
              <w:t>WA</w:t>
            </w:r>
          </w:p>
        </w:tc>
        <w:tc>
          <w:tcPr>
            <w:tcW w:w="2463" w:type="dxa"/>
          </w:tcPr>
          <w:p w14:paraId="423C010E" w14:textId="4C3FBACF" w:rsidR="000077E3" w:rsidRPr="00404724" w:rsidRDefault="000077E3" w:rsidP="009F6CA8">
            <w:pPr>
              <w:spacing w:before="80" w:line="240" w:lineRule="atLeast"/>
              <w:jc w:val="right"/>
            </w:pPr>
            <w:r w:rsidRPr="00404724">
              <w:t>36</w:t>
            </w:r>
          </w:p>
        </w:tc>
        <w:tc>
          <w:tcPr>
            <w:tcW w:w="2464" w:type="dxa"/>
          </w:tcPr>
          <w:p w14:paraId="1301582C" w14:textId="43EE6E0B" w:rsidR="000077E3" w:rsidRPr="00404724" w:rsidRDefault="000077E3" w:rsidP="009F6CA8">
            <w:pPr>
              <w:spacing w:before="80" w:line="240" w:lineRule="atLeast"/>
              <w:jc w:val="right"/>
            </w:pPr>
            <w:r w:rsidRPr="00404724">
              <w:t>69</w:t>
            </w:r>
          </w:p>
        </w:tc>
        <w:tc>
          <w:tcPr>
            <w:tcW w:w="2464" w:type="dxa"/>
          </w:tcPr>
          <w:p w14:paraId="35A03A8B" w14:textId="2D00637B" w:rsidR="000077E3" w:rsidRPr="00404724" w:rsidRDefault="000077E3" w:rsidP="009F6CA8">
            <w:pPr>
              <w:spacing w:before="80" w:line="240" w:lineRule="atLeast"/>
              <w:jc w:val="right"/>
            </w:pPr>
            <w:r w:rsidRPr="00404724">
              <w:t>106</w:t>
            </w:r>
          </w:p>
        </w:tc>
      </w:tr>
      <w:tr w:rsidR="000077E3" w:rsidRPr="00404724" w14:paraId="7CF22C63" w14:textId="77777777" w:rsidTr="008F2B51">
        <w:trPr>
          <w:cantSplit/>
        </w:trPr>
        <w:tc>
          <w:tcPr>
            <w:tcW w:w="2463" w:type="dxa"/>
          </w:tcPr>
          <w:p w14:paraId="22C66989" w14:textId="02F5241A" w:rsidR="000077E3" w:rsidRPr="00404724" w:rsidRDefault="000077E3" w:rsidP="000077E3">
            <w:pPr>
              <w:spacing w:before="80" w:line="240" w:lineRule="atLeast"/>
            </w:pPr>
            <w:r w:rsidRPr="00404724">
              <w:t>SA</w:t>
            </w:r>
          </w:p>
        </w:tc>
        <w:tc>
          <w:tcPr>
            <w:tcW w:w="2463" w:type="dxa"/>
          </w:tcPr>
          <w:p w14:paraId="30CB74C7" w14:textId="1176B8B0" w:rsidR="000077E3" w:rsidRPr="00404724" w:rsidRDefault="000077E3" w:rsidP="009F6CA8">
            <w:pPr>
              <w:spacing w:before="80" w:line="240" w:lineRule="atLeast"/>
              <w:jc w:val="right"/>
            </w:pPr>
            <w:r w:rsidRPr="00404724">
              <w:t>121</w:t>
            </w:r>
          </w:p>
        </w:tc>
        <w:tc>
          <w:tcPr>
            <w:tcW w:w="2464" w:type="dxa"/>
          </w:tcPr>
          <w:p w14:paraId="084BBF21" w14:textId="1297F71C" w:rsidR="000077E3" w:rsidRPr="00404724" w:rsidRDefault="000077E3" w:rsidP="009F6CA8">
            <w:pPr>
              <w:spacing w:before="80" w:line="240" w:lineRule="atLeast"/>
              <w:jc w:val="right"/>
            </w:pPr>
            <w:r w:rsidRPr="00404724">
              <w:t>32</w:t>
            </w:r>
          </w:p>
        </w:tc>
        <w:tc>
          <w:tcPr>
            <w:tcW w:w="2464" w:type="dxa"/>
          </w:tcPr>
          <w:p w14:paraId="5CEFF761" w14:textId="6AEF9601" w:rsidR="000077E3" w:rsidRPr="00404724" w:rsidRDefault="000077E3" w:rsidP="009F6CA8">
            <w:pPr>
              <w:spacing w:before="80" w:line="240" w:lineRule="atLeast"/>
              <w:jc w:val="right"/>
            </w:pPr>
            <w:r w:rsidRPr="00404724">
              <w:t>152</w:t>
            </w:r>
          </w:p>
        </w:tc>
      </w:tr>
      <w:tr w:rsidR="000077E3" w:rsidRPr="00404724" w14:paraId="530F22BE" w14:textId="77777777" w:rsidTr="008F2B51">
        <w:trPr>
          <w:cantSplit/>
        </w:trPr>
        <w:tc>
          <w:tcPr>
            <w:tcW w:w="2463" w:type="dxa"/>
          </w:tcPr>
          <w:p w14:paraId="719DBE3C" w14:textId="045AA458" w:rsidR="000077E3" w:rsidRPr="00404724" w:rsidRDefault="000077E3" w:rsidP="000077E3">
            <w:pPr>
              <w:spacing w:before="80" w:line="240" w:lineRule="atLeast"/>
            </w:pPr>
            <w:r w:rsidRPr="00404724">
              <w:t>Tas</w:t>
            </w:r>
          </w:p>
        </w:tc>
        <w:tc>
          <w:tcPr>
            <w:tcW w:w="2463" w:type="dxa"/>
          </w:tcPr>
          <w:p w14:paraId="4B97EFC5" w14:textId="245F80BD" w:rsidR="000077E3" w:rsidRPr="00404724" w:rsidRDefault="000077E3" w:rsidP="009F6CA8">
            <w:pPr>
              <w:spacing w:before="80" w:line="240" w:lineRule="atLeast"/>
              <w:jc w:val="right"/>
            </w:pPr>
            <w:r w:rsidRPr="00404724">
              <w:t>4</w:t>
            </w:r>
          </w:p>
        </w:tc>
        <w:tc>
          <w:tcPr>
            <w:tcW w:w="2464" w:type="dxa"/>
          </w:tcPr>
          <w:p w14:paraId="1ED628AB" w14:textId="7EDA920C" w:rsidR="000077E3" w:rsidRPr="00404724" w:rsidRDefault="000077E3" w:rsidP="009F6CA8">
            <w:pPr>
              <w:spacing w:before="80" w:line="240" w:lineRule="atLeast"/>
              <w:jc w:val="right"/>
            </w:pPr>
            <w:r w:rsidRPr="00404724">
              <w:t>0</w:t>
            </w:r>
          </w:p>
        </w:tc>
        <w:tc>
          <w:tcPr>
            <w:tcW w:w="2464" w:type="dxa"/>
          </w:tcPr>
          <w:p w14:paraId="18E2E245" w14:textId="2221C9D3" w:rsidR="000077E3" w:rsidRPr="00404724" w:rsidRDefault="000077E3" w:rsidP="009F6CA8">
            <w:pPr>
              <w:spacing w:before="80" w:line="240" w:lineRule="atLeast"/>
              <w:jc w:val="right"/>
            </w:pPr>
            <w:r w:rsidRPr="00404724">
              <w:t>4</w:t>
            </w:r>
          </w:p>
        </w:tc>
      </w:tr>
      <w:tr w:rsidR="000077E3" w:rsidRPr="00404724" w14:paraId="391A97EF" w14:textId="77777777" w:rsidTr="008F2B51">
        <w:trPr>
          <w:cantSplit/>
        </w:trPr>
        <w:tc>
          <w:tcPr>
            <w:tcW w:w="2463" w:type="dxa"/>
          </w:tcPr>
          <w:p w14:paraId="06B4BD47" w14:textId="05487A0C" w:rsidR="000077E3" w:rsidRPr="00404724" w:rsidRDefault="000077E3" w:rsidP="000077E3">
            <w:pPr>
              <w:spacing w:before="80" w:line="240" w:lineRule="atLeast"/>
            </w:pPr>
            <w:r w:rsidRPr="00404724">
              <w:t>NT</w:t>
            </w:r>
          </w:p>
        </w:tc>
        <w:tc>
          <w:tcPr>
            <w:tcW w:w="2463" w:type="dxa"/>
          </w:tcPr>
          <w:p w14:paraId="5ECDEFA2" w14:textId="487EE265" w:rsidR="000077E3" w:rsidRPr="00404724" w:rsidRDefault="000077E3" w:rsidP="009F6CA8">
            <w:pPr>
              <w:spacing w:before="80" w:line="240" w:lineRule="atLeast"/>
              <w:jc w:val="right"/>
            </w:pPr>
            <w:r w:rsidRPr="00404724">
              <w:t>4</w:t>
            </w:r>
          </w:p>
        </w:tc>
        <w:tc>
          <w:tcPr>
            <w:tcW w:w="2464" w:type="dxa"/>
          </w:tcPr>
          <w:p w14:paraId="1D6F0573" w14:textId="46C013D5" w:rsidR="000077E3" w:rsidRPr="00404724" w:rsidRDefault="000077E3" w:rsidP="009F6CA8">
            <w:pPr>
              <w:spacing w:before="80" w:line="240" w:lineRule="atLeast"/>
              <w:jc w:val="right"/>
            </w:pPr>
            <w:r w:rsidRPr="00404724">
              <w:t>53</w:t>
            </w:r>
          </w:p>
        </w:tc>
        <w:tc>
          <w:tcPr>
            <w:tcW w:w="2464" w:type="dxa"/>
          </w:tcPr>
          <w:p w14:paraId="4730E053" w14:textId="51C5B5BC" w:rsidR="000077E3" w:rsidRPr="00404724" w:rsidRDefault="000077E3" w:rsidP="009F6CA8">
            <w:pPr>
              <w:spacing w:before="80" w:line="240" w:lineRule="atLeast"/>
              <w:jc w:val="right"/>
            </w:pPr>
            <w:r w:rsidRPr="00404724">
              <w:t>56</w:t>
            </w:r>
          </w:p>
        </w:tc>
      </w:tr>
      <w:tr w:rsidR="000077E3" w:rsidRPr="00404724" w14:paraId="3040E0B4" w14:textId="77777777" w:rsidTr="008F2B51">
        <w:trPr>
          <w:cantSplit/>
        </w:trPr>
        <w:tc>
          <w:tcPr>
            <w:tcW w:w="2463" w:type="dxa"/>
            <w:shd w:val="clear" w:color="auto" w:fill="C8ECFA" w:themeFill="accent3" w:themeFillTint="66"/>
          </w:tcPr>
          <w:p w14:paraId="4C43861D" w14:textId="28D9C198" w:rsidR="000077E3" w:rsidRPr="00E85B60" w:rsidRDefault="000077E3" w:rsidP="000077E3">
            <w:pPr>
              <w:spacing w:before="80" w:line="240" w:lineRule="atLeast"/>
              <w:rPr>
                <w:b/>
                <w:bCs/>
              </w:rPr>
            </w:pPr>
            <w:r w:rsidRPr="00E85B60">
              <w:rPr>
                <w:b/>
                <w:bCs/>
              </w:rPr>
              <w:t>Total</w:t>
            </w:r>
          </w:p>
        </w:tc>
        <w:tc>
          <w:tcPr>
            <w:tcW w:w="2463" w:type="dxa"/>
            <w:shd w:val="clear" w:color="auto" w:fill="C8ECFA" w:themeFill="accent3" w:themeFillTint="66"/>
          </w:tcPr>
          <w:p w14:paraId="557CDBA7" w14:textId="44E4A4F5" w:rsidR="000077E3" w:rsidRPr="00E85B60" w:rsidRDefault="000077E3" w:rsidP="009F6CA8">
            <w:pPr>
              <w:spacing w:before="80" w:line="240" w:lineRule="atLeast"/>
              <w:jc w:val="right"/>
              <w:rPr>
                <w:b/>
                <w:bCs/>
              </w:rPr>
            </w:pPr>
            <w:r w:rsidRPr="00E85B60">
              <w:rPr>
                <w:b/>
                <w:bCs/>
              </w:rPr>
              <w:t>438</w:t>
            </w:r>
          </w:p>
        </w:tc>
        <w:tc>
          <w:tcPr>
            <w:tcW w:w="2464" w:type="dxa"/>
            <w:shd w:val="clear" w:color="auto" w:fill="C8ECFA" w:themeFill="accent3" w:themeFillTint="66"/>
          </w:tcPr>
          <w:p w14:paraId="32037CB2" w14:textId="12992273" w:rsidR="000077E3" w:rsidRPr="00E85B60" w:rsidRDefault="000077E3" w:rsidP="009F6CA8">
            <w:pPr>
              <w:spacing w:before="80" w:line="240" w:lineRule="atLeast"/>
              <w:jc w:val="right"/>
              <w:rPr>
                <w:b/>
                <w:bCs/>
              </w:rPr>
            </w:pPr>
            <w:r w:rsidRPr="00E85B60">
              <w:rPr>
                <w:b/>
                <w:bCs/>
              </w:rPr>
              <w:t>224</w:t>
            </w:r>
          </w:p>
        </w:tc>
        <w:tc>
          <w:tcPr>
            <w:tcW w:w="2464" w:type="dxa"/>
            <w:shd w:val="clear" w:color="auto" w:fill="C8ECFA" w:themeFill="accent3" w:themeFillTint="66"/>
          </w:tcPr>
          <w:p w14:paraId="4AD38923" w14:textId="17CB4848" w:rsidR="000077E3" w:rsidRPr="00E85B60" w:rsidRDefault="000077E3" w:rsidP="009F6CA8">
            <w:pPr>
              <w:spacing w:before="80" w:line="240" w:lineRule="atLeast"/>
              <w:jc w:val="right"/>
              <w:rPr>
                <w:b/>
                <w:bCs/>
              </w:rPr>
            </w:pPr>
            <w:r w:rsidRPr="00E85B60">
              <w:rPr>
                <w:b/>
                <w:bCs/>
              </w:rPr>
              <w:t>661</w:t>
            </w:r>
          </w:p>
        </w:tc>
      </w:tr>
    </w:tbl>
    <w:p w14:paraId="577040F2" w14:textId="62123E1D" w:rsidR="000077E3" w:rsidRPr="00404724" w:rsidRDefault="000077E3" w:rsidP="008F2B51">
      <w:pPr>
        <w:pStyle w:val="Heading5"/>
      </w:pPr>
      <w:bookmarkStart w:id="384" w:name="_8wt5yt6aowlk"/>
      <w:bookmarkEnd w:id="384"/>
      <w:r w:rsidRPr="00404724">
        <w:lastRenderedPageBreak/>
        <w:t>Pre-implementation travel speeds</w:t>
      </w:r>
    </w:p>
    <w:p w14:paraId="08785CDC" w14:textId="5AE6DF28" w:rsidR="000077E3" w:rsidRPr="00404724" w:rsidRDefault="000077E3" w:rsidP="000077E3">
      <w:r w:rsidRPr="00404724">
        <w:t>Estimates of pre-change travel speeds were derived from a previous modelling exercise undertaken for the Department</w:t>
      </w:r>
      <w:r w:rsidR="000943D4" w:rsidRPr="00404724">
        <w:t xml:space="preserve">. </w:t>
      </w:r>
      <w:r w:rsidRPr="00404724">
        <w:t>Additionally, a Western Australian report</w:t>
      </w:r>
      <w:r w:rsidR="003D2DA1" w:rsidRPr="00404724">
        <w:rPr>
          <w:rStyle w:val="FootnoteReference"/>
        </w:rPr>
        <w:footnoteReference w:id="100"/>
      </w:r>
      <w:r w:rsidR="003D2DA1" w:rsidRPr="00404724">
        <w:t xml:space="preserve"> </w:t>
      </w:r>
      <w:r w:rsidRPr="00404724">
        <w:t>provided travel speed estimates for sealed rural default and unsealed default roads in WA.</w:t>
      </w:r>
    </w:p>
    <w:p w14:paraId="0C8F0857" w14:textId="3BD209A4" w:rsidR="000077E3" w:rsidRPr="00404724" w:rsidRDefault="000077E3" w:rsidP="000077E3">
      <w:r w:rsidRPr="00404724">
        <w:t>From these sources, a mean of 91.0</w:t>
      </w:r>
      <w:r w:rsidR="00C82E00" w:rsidRPr="00404724">
        <w:t xml:space="preserve"> km/h</w:t>
      </w:r>
      <w:r w:rsidRPr="00404724">
        <w:t xml:space="preserve"> (95% C.I. 86.9-95.1</w:t>
      </w:r>
      <w:r w:rsidR="00C82E00" w:rsidRPr="00404724">
        <w:t xml:space="preserve"> km/h</w:t>
      </w:r>
      <w:r w:rsidRPr="00404724">
        <w:t xml:space="preserve">) was used for sealed </w:t>
      </w:r>
      <w:r w:rsidR="00F4602C" w:rsidRPr="00404724">
        <w:t xml:space="preserve">default speed-limited </w:t>
      </w:r>
      <w:r w:rsidRPr="00404724">
        <w:t>roads</w:t>
      </w:r>
      <w:r w:rsidR="00F4602C" w:rsidRPr="00404724">
        <w:t xml:space="preserve"> outside of built-up areas</w:t>
      </w:r>
      <w:r w:rsidRPr="00404724">
        <w:t xml:space="preserve"> and 61</w:t>
      </w:r>
      <w:r w:rsidR="00C82E00" w:rsidRPr="00404724">
        <w:t xml:space="preserve"> km/h</w:t>
      </w:r>
      <w:r w:rsidRPr="00404724">
        <w:t xml:space="preserve"> (95% C.I. 48.7-73.3</w:t>
      </w:r>
      <w:r w:rsidR="00C82E00" w:rsidRPr="00404724">
        <w:t xml:space="preserve"> km/h</w:t>
      </w:r>
      <w:r w:rsidRPr="00404724">
        <w:t xml:space="preserve">) for unsealed </w:t>
      </w:r>
      <w:r w:rsidR="00F4602C" w:rsidRPr="00404724">
        <w:t xml:space="preserve">default speed-limited </w:t>
      </w:r>
      <w:r w:rsidRPr="00404724">
        <w:t>roads</w:t>
      </w:r>
      <w:r w:rsidR="00F4602C" w:rsidRPr="00404724">
        <w:t xml:space="preserve"> outside of built-up areas</w:t>
      </w:r>
      <w:r w:rsidRPr="00404724">
        <w:t>. A higher standard deviation was applied to the unsealed road estimates to reflect the diversity of such roads across Australia.</w:t>
      </w:r>
    </w:p>
    <w:p w14:paraId="663FAFB8" w14:textId="22896B91" w:rsidR="000077E3" w:rsidRPr="00404724" w:rsidRDefault="000077E3" w:rsidP="008F2B51">
      <w:pPr>
        <w:pStyle w:val="Heading5"/>
      </w:pPr>
      <w:bookmarkStart w:id="385" w:name="_64snwqtlgiu7"/>
      <w:bookmarkEnd w:id="385"/>
      <w:r w:rsidRPr="00404724">
        <w:t>Post-implementation travel speed changes</w:t>
      </w:r>
    </w:p>
    <w:p w14:paraId="344515F0" w14:textId="33D65523" w:rsidR="000077E3" w:rsidRPr="00404724" w:rsidRDefault="000077E3" w:rsidP="000077E3">
      <w:r w:rsidRPr="00404724">
        <w:t>Several default speed limit reductions were requested to be investigated for each of the default road types. Based on previous experience and in consultation with Dr Strandroth, the speed reductions detailed in the following sections were thought to be realistic in the absence of changed signage or increased police enforcement, as would be expected for speed limit changes on other classes of road.</w:t>
      </w:r>
    </w:p>
    <w:p w14:paraId="596767D6" w14:textId="24C11ED3" w:rsidR="000077E3" w:rsidRPr="00404724" w:rsidRDefault="000077E3" w:rsidP="000077E3">
      <w:r w:rsidRPr="00404724">
        <w:t xml:space="preserve">The presence of a higher current default in WA and the NT was not considered separately, with the assumption implicit in the model that the </w:t>
      </w:r>
      <w:r w:rsidRPr="00404724">
        <w:rPr>
          <w:i/>
        </w:rPr>
        <w:t xml:space="preserve">proportional reductions </w:t>
      </w:r>
      <w:r w:rsidRPr="00404724">
        <w:t xml:space="preserve">would be similar in these </w:t>
      </w:r>
      <w:r w:rsidR="002956CB" w:rsidRPr="00404724">
        <w:t xml:space="preserve">2 </w:t>
      </w:r>
      <w:r w:rsidRPr="00404724">
        <w:t>jurisdictions.</w:t>
      </w:r>
    </w:p>
    <w:p w14:paraId="6F0759CD" w14:textId="03C89A12" w:rsidR="000077E3" w:rsidRPr="00404724" w:rsidRDefault="00F4602C" w:rsidP="008F2B51">
      <w:pPr>
        <w:pStyle w:val="Heading5"/>
      </w:pPr>
      <w:bookmarkStart w:id="386" w:name="_58w6whv62lxe"/>
      <w:bookmarkEnd w:id="386"/>
      <w:r w:rsidRPr="00404724">
        <w:t>Sealed roads where the default speed limit applies</w:t>
      </w:r>
    </w:p>
    <w:p w14:paraId="080CFE3E" w14:textId="15765B84" w:rsidR="000077E3" w:rsidRPr="00404724" w:rsidRDefault="000077E3" w:rsidP="000077E3">
      <w:pPr>
        <w:rPr>
          <w:rFonts w:eastAsia="Calibri"/>
        </w:rPr>
      </w:pPr>
      <w:r w:rsidRPr="00404724">
        <w:t xml:space="preserve">Three scenarios were provided for modelling involving a reduction in the default </w:t>
      </w:r>
      <w:r w:rsidR="00F4602C" w:rsidRPr="00404724">
        <w:t xml:space="preserve">speed limit on </w:t>
      </w:r>
      <w:r w:rsidRPr="00404724">
        <w:t xml:space="preserve">sealed </w:t>
      </w:r>
      <w:r w:rsidR="00C94374" w:rsidRPr="00404724">
        <w:t>roads to</w:t>
      </w:r>
      <w:r w:rsidRPr="00404724">
        <w:t xml:space="preserve"> 90, 80 or 70</w:t>
      </w:r>
      <w:r w:rsidR="00C82E00" w:rsidRPr="00404724">
        <w:t xml:space="preserve"> km/h</w:t>
      </w:r>
      <w:r w:rsidRPr="00404724">
        <w:t>.  The corresponding travel speed reductions used were 3.0</w:t>
      </w:r>
      <w:r w:rsidR="00C82E00" w:rsidRPr="00404724">
        <w:t xml:space="preserve"> km/h</w:t>
      </w:r>
      <w:r w:rsidRPr="00404724">
        <w:t xml:space="preserve"> (95% C.I. 0.5-5.5</w:t>
      </w:r>
      <w:r w:rsidR="00C82E00" w:rsidRPr="00404724">
        <w:t xml:space="preserve"> km/h</w:t>
      </w:r>
      <w:r w:rsidRPr="00404724">
        <w:t>), 7.0</w:t>
      </w:r>
      <w:r w:rsidR="00C82E00" w:rsidRPr="00404724">
        <w:t xml:space="preserve"> km/h</w:t>
      </w:r>
      <w:r w:rsidRPr="00404724">
        <w:t xml:space="preserve"> (95% C.I. 4.5-9.5</w:t>
      </w:r>
      <w:r w:rsidR="00C82E00" w:rsidRPr="00404724">
        <w:t xml:space="preserve"> km/h</w:t>
      </w:r>
      <w:r w:rsidRPr="00404724">
        <w:t>) and 11.0</w:t>
      </w:r>
      <w:r w:rsidR="00C82E00" w:rsidRPr="00404724">
        <w:t xml:space="preserve"> km/h</w:t>
      </w:r>
      <w:r w:rsidRPr="00404724">
        <w:t xml:space="preserve"> (95% C.I. 8.5-13.5</w:t>
      </w:r>
      <w:r w:rsidR="00C82E00" w:rsidRPr="00404724">
        <w:t xml:space="preserve"> km/h</w:t>
      </w:r>
      <w:r w:rsidRPr="00404724">
        <w:t>) respectively. It was noted that the large reduction to 70</w:t>
      </w:r>
      <w:r w:rsidR="00C82E00" w:rsidRPr="00404724">
        <w:t xml:space="preserve"> km/h</w:t>
      </w:r>
      <w:r w:rsidRPr="00404724">
        <w:t xml:space="preserve"> has few precedents, so the reductions were selected to be conservative.</w:t>
      </w:r>
      <w:r w:rsidR="007B458D" w:rsidRPr="00404724">
        <w:t xml:space="preserve"> For comparison, the Norwegian Road Safety Handbook</w:t>
      </w:r>
      <w:r w:rsidR="007B458D" w:rsidRPr="00404724">
        <w:rPr>
          <w:rStyle w:val="FootnoteReference"/>
        </w:rPr>
        <w:footnoteReference w:id="101"/>
      </w:r>
      <w:r w:rsidR="007B458D" w:rsidRPr="00404724">
        <w:t xml:space="preserve"> evaluated 143 speed limit changes in Norway within the range -35</w:t>
      </w:r>
      <w:r w:rsidR="00C82E00" w:rsidRPr="00404724">
        <w:t xml:space="preserve"> km/h</w:t>
      </w:r>
      <w:r w:rsidR="007B458D" w:rsidRPr="00404724">
        <w:t xml:space="preserve"> to +25</w:t>
      </w:r>
      <w:r w:rsidR="00C82E00" w:rsidRPr="00404724">
        <w:t xml:space="preserve"> km/h</w:t>
      </w:r>
      <w:r w:rsidR="007B458D" w:rsidRPr="00404724">
        <w:t>, with the resultant relationship suggesting speed reductions of 3.5, 7.6 and 12.6</w:t>
      </w:r>
      <w:r w:rsidR="00C82E00" w:rsidRPr="00404724">
        <w:t xml:space="preserve"> km/h</w:t>
      </w:r>
      <w:r w:rsidR="007B458D" w:rsidRPr="00404724">
        <w:t xml:space="preserve"> would be expected for speed limit reductions of 10, 20 and 30</w:t>
      </w:r>
      <w:r w:rsidR="00C82E00" w:rsidRPr="00404724">
        <w:t xml:space="preserve"> km/h</w:t>
      </w:r>
      <w:r w:rsidR="007B458D" w:rsidRPr="00404724">
        <w:t xml:space="preserve"> respectively.</w:t>
      </w:r>
    </w:p>
    <w:p w14:paraId="7582523C" w14:textId="5597AEA3" w:rsidR="000077E3" w:rsidRPr="00404724" w:rsidRDefault="000077E3" w:rsidP="008F2B51">
      <w:pPr>
        <w:pStyle w:val="Heading5"/>
      </w:pPr>
      <w:bookmarkStart w:id="387" w:name="_fi2w4die7in6"/>
      <w:bookmarkEnd w:id="387"/>
      <w:r w:rsidRPr="00404724">
        <w:t>Unsealed roads</w:t>
      </w:r>
      <w:r w:rsidR="00F4602C" w:rsidRPr="00404724">
        <w:t xml:space="preserve"> where the default speed limit applies</w:t>
      </w:r>
    </w:p>
    <w:p w14:paraId="2399AD1A" w14:textId="31C4916F" w:rsidR="000077E3" w:rsidRPr="00404724" w:rsidRDefault="000077E3" w:rsidP="000077E3">
      <w:pPr>
        <w:rPr>
          <w:rFonts w:eastAsia="Calibri"/>
        </w:rPr>
      </w:pPr>
      <w:r w:rsidRPr="00404724">
        <w:t>On unsealed default</w:t>
      </w:r>
      <w:r w:rsidR="00F4602C" w:rsidRPr="00404724">
        <w:t xml:space="preserve"> speed-limited</w:t>
      </w:r>
      <w:r w:rsidRPr="00404724">
        <w:t xml:space="preserve"> roads, reductions to 80 and 70</w:t>
      </w:r>
      <w:r w:rsidR="00C82E00" w:rsidRPr="00404724">
        <w:t xml:space="preserve"> km/h</w:t>
      </w:r>
      <w:r w:rsidRPr="00404724">
        <w:t xml:space="preserve"> were modelled, with corresponding travel speed reductions used were 3.0</w:t>
      </w:r>
      <w:r w:rsidR="00C82E00" w:rsidRPr="00404724">
        <w:t xml:space="preserve"> km/h</w:t>
      </w:r>
      <w:r w:rsidRPr="00404724">
        <w:t xml:space="preserve"> (95% C.I. 0.5-5.5</w:t>
      </w:r>
      <w:r w:rsidR="00C82E00" w:rsidRPr="00404724">
        <w:t xml:space="preserve"> km/h</w:t>
      </w:r>
      <w:r w:rsidRPr="00404724">
        <w:t>), 7.0</w:t>
      </w:r>
      <w:r w:rsidR="00C82E00" w:rsidRPr="00404724">
        <w:t xml:space="preserve"> km/h</w:t>
      </w:r>
      <w:r w:rsidRPr="00404724">
        <w:t xml:space="preserve"> (95% C.I. 4.5-9.5</w:t>
      </w:r>
      <w:r w:rsidR="00C82E00" w:rsidRPr="00404724">
        <w:t xml:space="preserve"> km/h</w:t>
      </w:r>
      <w:r w:rsidRPr="00404724">
        <w:t>) respectively. Despite representing nominal reductions of 20</w:t>
      </w:r>
      <w:r w:rsidR="00C82E00" w:rsidRPr="00404724">
        <w:t xml:space="preserve"> km/h</w:t>
      </w:r>
      <w:r w:rsidRPr="00404724">
        <w:t xml:space="preserve"> and 30</w:t>
      </w:r>
      <w:r w:rsidR="00C82E00" w:rsidRPr="00404724">
        <w:t xml:space="preserve"> km/h</w:t>
      </w:r>
      <w:r w:rsidRPr="00404724">
        <w:t xml:space="preserve"> from the 100</w:t>
      </w:r>
      <w:r w:rsidR="00C82E00" w:rsidRPr="00404724">
        <w:t xml:space="preserve"> km/h</w:t>
      </w:r>
      <w:r w:rsidRPr="00404724">
        <w:t xml:space="preserve"> default, these reductions were chosen conservatively given the typically lower travel speeds on unsealed roads and even lower perception of enforcement compared with sealed roads.</w:t>
      </w:r>
      <w:r w:rsidR="007B458D" w:rsidRPr="00404724">
        <w:t xml:space="preserve"> It should be noted that, despite mean travel speeds on unsealed roads being assumed to be lower than the proposed new limits, a reduction in travel speeds has still been applied. The reason for this is that the nature of unsealed roads varies substantially across Australia and higher speeds are likely on a substantial proportion of them, particularly in those jurisdictions with substantial remote region networks like WA, Qld and NSW. Furthermore, the associated national publicity campaigns that would necessarily accompany any future changes will increase speed awareness and likely lead to lower speed choices by drivers.</w:t>
      </w:r>
    </w:p>
    <w:p w14:paraId="59928819" w14:textId="2E853A5D" w:rsidR="000077E3" w:rsidRPr="00404724" w:rsidRDefault="000077E3" w:rsidP="008F2B51">
      <w:pPr>
        <w:pStyle w:val="Heading5"/>
      </w:pPr>
      <w:bookmarkStart w:id="388" w:name="_vwhhx6f14eu7"/>
      <w:bookmarkEnd w:id="388"/>
      <w:r w:rsidRPr="00404724">
        <w:lastRenderedPageBreak/>
        <w:t>Savings in fatalities and serious injuries</w:t>
      </w:r>
    </w:p>
    <w:p w14:paraId="657C1620" w14:textId="19B5E4B4" w:rsidR="000077E3" w:rsidRPr="00404724" w:rsidRDefault="000077E3" w:rsidP="00A115DA">
      <w:pPr>
        <w:keepLines/>
      </w:pPr>
      <w:r w:rsidRPr="00404724">
        <w:t xml:space="preserve">Using the method described in the above, crash reduction factors were determined from the power model and are shown in </w:t>
      </w:r>
      <w:r w:rsidR="00CF1735" w:rsidRPr="00404724">
        <w:fldChar w:fldCharType="begin"/>
      </w:r>
      <w:r w:rsidR="00CF1735" w:rsidRPr="00404724">
        <w:instrText xml:space="preserve"> REF _Ref208742895 \h </w:instrText>
      </w:r>
      <w:r w:rsidR="00A115DA">
        <w:instrText xml:space="preserve"> \* MERGEFORMAT </w:instrText>
      </w:r>
      <w:r w:rsidR="00CF1735" w:rsidRPr="00404724">
        <w:fldChar w:fldCharType="separate"/>
      </w:r>
      <w:r w:rsidR="00BF489D" w:rsidRPr="00404724">
        <w:t xml:space="preserve">Table </w:t>
      </w:r>
      <w:r w:rsidR="00BF489D">
        <w:rPr>
          <w:noProof/>
        </w:rPr>
        <w:t>32</w:t>
      </w:r>
      <w:r w:rsidR="00CF1735" w:rsidRPr="00404724">
        <w:fldChar w:fldCharType="end"/>
      </w:r>
      <w:r w:rsidR="00CF1735" w:rsidRPr="00404724">
        <w:t xml:space="preserve"> and </w:t>
      </w:r>
      <w:r w:rsidR="00CF1735" w:rsidRPr="00404724">
        <w:fldChar w:fldCharType="begin"/>
      </w:r>
      <w:r w:rsidR="00CF1735" w:rsidRPr="00404724">
        <w:instrText xml:space="preserve"> REF _Ref208742896 \h  \* MERGEFORMAT </w:instrText>
      </w:r>
      <w:r w:rsidR="00CF1735" w:rsidRPr="00404724">
        <w:fldChar w:fldCharType="separate"/>
      </w:r>
      <w:r w:rsidR="00BF489D" w:rsidRPr="00BF489D">
        <w:t xml:space="preserve">Table </w:t>
      </w:r>
      <w:r w:rsidR="00BF489D" w:rsidRPr="00BF489D">
        <w:rPr>
          <w:noProof/>
        </w:rPr>
        <w:t>33</w:t>
      </w:r>
      <w:r w:rsidR="00CF1735" w:rsidRPr="00404724">
        <w:fldChar w:fldCharType="end"/>
      </w:r>
      <w:r w:rsidR="00CF1735" w:rsidRPr="00404724">
        <w:t xml:space="preserve"> </w:t>
      </w:r>
      <w:r w:rsidRPr="00404724">
        <w:t>below. These were then applied to the corresponding scaled casualty pools (in accordance with the BTTM or by extrapolation as discussed earlier) to determine FSI saved per scenario per road type in the desired year.</w:t>
      </w:r>
    </w:p>
    <w:p w14:paraId="44CA913A" w14:textId="1986533D" w:rsidR="000077E3" w:rsidRPr="00404724" w:rsidRDefault="00CF1735" w:rsidP="00A115DA">
      <w:pPr>
        <w:pStyle w:val="Tablefigureheading"/>
        <w:spacing w:before="120"/>
      </w:pPr>
      <w:bookmarkStart w:id="389" w:name="_Ref208742895"/>
      <w:bookmarkStart w:id="390" w:name="_Toc210040376"/>
      <w:bookmarkStart w:id="391" w:name="_Toc210051912"/>
      <w:r w:rsidRPr="00404724">
        <w:t xml:space="preserve">Table </w:t>
      </w:r>
      <w:r w:rsidR="00EC39D5">
        <w:fldChar w:fldCharType="begin"/>
      </w:r>
      <w:r w:rsidR="00EC39D5">
        <w:instrText xml:space="preserve"> SEQ Table \* ARABIC </w:instrText>
      </w:r>
      <w:r w:rsidR="00EC39D5">
        <w:fldChar w:fldCharType="separate"/>
      </w:r>
      <w:r w:rsidR="00BF489D">
        <w:rPr>
          <w:noProof/>
        </w:rPr>
        <w:t>32</w:t>
      </w:r>
      <w:r w:rsidR="00EC39D5">
        <w:rPr>
          <w:noProof/>
        </w:rPr>
        <w:fldChar w:fldCharType="end"/>
      </w:r>
      <w:bookmarkEnd w:id="389"/>
      <w:r w:rsidRPr="00404724">
        <w:tab/>
      </w:r>
      <w:r w:rsidR="000077E3" w:rsidRPr="00404724">
        <w:t>Crash reduction factors, sealed roads</w:t>
      </w:r>
      <w:r w:rsidR="00F4602C" w:rsidRPr="00404724">
        <w:t xml:space="preserve"> where the default speed limit applies</w:t>
      </w:r>
      <w:bookmarkEnd w:id="390"/>
      <w:bookmarkEnd w:id="391"/>
    </w:p>
    <w:tbl>
      <w:tblPr>
        <w:tblStyle w:val="TableGrid"/>
        <w:tblW w:w="0" w:type="auto"/>
        <w:tblLook w:val="04A0" w:firstRow="1" w:lastRow="0" w:firstColumn="1" w:lastColumn="0" w:noHBand="0" w:noVBand="1"/>
        <w:tblCaption w:val="Table 32 Crash reduction factors, sealed roads where the default speed limit applies"/>
        <w:tblDescription w:val="Table 32 Crash reduction factors, sealed roads where the default speed limit applies"/>
      </w:tblPr>
      <w:tblGrid>
        <w:gridCol w:w="3284"/>
        <w:gridCol w:w="3285"/>
        <w:gridCol w:w="3285"/>
      </w:tblGrid>
      <w:tr w:rsidR="000077E3" w:rsidRPr="00404724" w14:paraId="1BAE9087" w14:textId="77777777" w:rsidTr="006526CD">
        <w:trPr>
          <w:cantSplit/>
          <w:tblHeader/>
        </w:trPr>
        <w:tc>
          <w:tcPr>
            <w:tcW w:w="3284" w:type="dxa"/>
            <w:shd w:val="clear" w:color="auto" w:fill="081E3E" w:themeFill="accent1"/>
          </w:tcPr>
          <w:p w14:paraId="5EBB1F2B" w14:textId="01C4A4A5" w:rsidR="000077E3" w:rsidRPr="00404724" w:rsidRDefault="000077E3" w:rsidP="000077E3">
            <w:pPr>
              <w:spacing w:before="80" w:line="240" w:lineRule="atLeast"/>
              <w:rPr>
                <w:b/>
                <w:bCs/>
                <w:color w:val="FFFFFF" w:themeColor="background1"/>
              </w:rPr>
            </w:pPr>
            <w:r w:rsidRPr="00404724">
              <w:rPr>
                <w:b/>
                <w:bCs/>
                <w:color w:val="FFFFFF" w:themeColor="background1"/>
              </w:rPr>
              <w:t>Speed reduction scenario</w:t>
            </w:r>
          </w:p>
        </w:tc>
        <w:tc>
          <w:tcPr>
            <w:tcW w:w="3285" w:type="dxa"/>
            <w:shd w:val="clear" w:color="auto" w:fill="081E3E" w:themeFill="accent1"/>
          </w:tcPr>
          <w:p w14:paraId="4BA79CFF" w14:textId="1E245336" w:rsidR="000077E3" w:rsidRPr="00404724" w:rsidRDefault="000077E3" w:rsidP="000077E3">
            <w:pPr>
              <w:spacing w:before="80" w:line="240" w:lineRule="atLeast"/>
              <w:rPr>
                <w:b/>
                <w:bCs/>
                <w:color w:val="FFFFFF" w:themeColor="background1"/>
              </w:rPr>
            </w:pPr>
            <w:r w:rsidRPr="00404724">
              <w:rPr>
                <w:b/>
                <w:bCs/>
                <w:color w:val="FFFFFF" w:themeColor="background1"/>
              </w:rPr>
              <w:t>Fatalities</w:t>
            </w:r>
          </w:p>
        </w:tc>
        <w:tc>
          <w:tcPr>
            <w:tcW w:w="3285" w:type="dxa"/>
            <w:shd w:val="clear" w:color="auto" w:fill="081E3E" w:themeFill="accent1"/>
          </w:tcPr>
          <w:p w14:paraId="783EC8E9" w14:textId="445C463E" w:rsidR="000077E3" w:rsidRPr="00404724" w:rsidRDefault="000077E3" w:rsidP="000077E3">
            <w:pPr>
              <w:spacing w:before="80" w:line="240" w:lineRule="atLeast"/>
              <w:rPr>
                <w:b/>
                <w:bCs/>
                <w:color w:val="FFFFFF" w:themeColor="background1"/>
              </w:rPr>
            </w:pPr>
            <w:r w:rsidRPr="00404724">
              <w:rPr>
                <w:b/>
                <w:bCs/>
                <w:color w:val="FFFFFF" w:themeColor="background1"/>
              </w:rPr>
              <w:t>Serious injuries</w:t>
            </w:r>
          </w:p>
        </w:tc>
      </w:tr>
      <w:tr w:rsidR="000077E3" w:rsidRPr="00404724" w14:paraId="49156C6B" w14:textId="77777777" w:rsidTr="006526CD">
        <w:trPr>
          <w:cantSplit/>
        </w:trPr>
        <w:tc>
          <w:tcPr>
            <w:tcW w:w="3284" w:type="dxa"/>
          </w:tcPr>
          <w:p w14:paraId="12EB4484" w14:textId="335DE6EB" w:rsidR="000077E3" w:rsidRPr="00404724" w:rsidRDefault="000077E3" w:rsidP="000077E3">
            <w:pPr>
              <w:spacing w:before="80" w:line="240" w:lineRule="atLeast"/>
            </w:pPr>
            <w:r w:rsidRPr="00404724">
              <w:t>100/110-90</w:t>
            </w:r>
            <w:r w:rsidR="00C82E00" w:rsidRPr="00404724">
              <w:t xml:space="preserve"> km/h</w:t>
            </w:r>
          </w:p>
        </w:tc>
        <w:tc>
          <w:tcPr>
            <w:tcW w:w="3285" w:type="dxa"/>
          </w:tcPr>
          <w:p w14:paraId="66B03BA4" w14:textId="1BA826EB" w:rsidR="000077E3" w:rsidRPr="00404724" w:rsidRDefault="000077E3" w:rsidP="000077E3">
            <w:pPr>
              <w:spacing w:before="80" w:line="240" w:lineRule="atLeast"/>
            </w:pPr>
            <w:r w:rsidRPr="00404724">
              <w:t>0.17 (95% C.I. 0.03-0.29)</w:t>
            </w:r>
          </w:p>
        </w:tc>
        <w:tc>
          <w:tcPr>
            <w:tcW w:w="3285" w:type="dxa"/>
          </w:tcPr>
          <w:p w14:paraId="11ECEB8E" w14:textId="1CE9BD7F" w:rsidR="000077E3" w:rsidRPr="00404724" w:rsidRDefault="000077E3" w:rsidP="000077E3">
            <w:pPr>
              <w:spacing w:before="80" w:line="240" w:lineRule="atLeast"/>
            </w:pPr>
            <w:r w:rsidRPr="00404724">
              <w:t>0.12 (95% C.I. 0.02-0.22)</w:t>
            </w:r>
          </w:p>
        </w:tc>
      </w:tr>
      <w:tr w:rsidR="000077E3" w:rsidRPr="00404724" w14:paraId="03ED632B" w14:textId="77777777" w:rsidTr="006526CD">
        <w:trPr>
          <w:cantSplit/>
        </w:trPr>
        <w:tc>
          <w:tcPr>
            <w:tcW w:w="3284" w:type="dxa"/>
          </w:tcPr>
          <w:p w14:paraId="55ED29CC" w14:textId="5DEF3F6E" w:rsidR="000077E3" w:rsidRPr="00404724" w:rsidRDefault="000077E3" w:rsidP="000077E3">
            <w:pPr>
              <w:spacing w:before="80" w:line="240" w:lineRule="atLeast"/>
            </w:pPr>
            <w:r w:rsidRPr="00404724">
              <w:t>100/110-80</w:t>
            </w:r>
            <w:r w:rsidR="00C82E00" w:rsidRPr="00404724">
              <w:t xml:space="preserve"> km/h</w:t>
            </w:r>
          </w:p>
        </w:tc>
        <w:tc>
          <w:tcPr>
            <w:tcW w:w="3285" w:type="dxa"/>
          </w:tcPr>
          <w:p w14:paraId="06696AA7" w14:textId="72C38979" w:rsidR="000077E3" w:rsidRPr="00404724" w:rsidRDefault="000077E3" w:rsidP="000077E3">
            <w:pPr>
              <w:spacing w:before="80" w:line="240" w:lineRule="atLeast"/>
            </w:pPr>
            <w:r w:rsidRPr="00404724">
              <w:t>0.36 (95% C.I. 0.25-0.46)</w:t>
            </w:r>
          </w:p>
        </w:tc>
        <w:tc>
          <w:tcPr>
            <w:tcW w:w="3285" w:type="dxa"/>
          </w:tcPr>
          <w:p w14:paraId="152D3F98" w14:textId="527DCC69" w:rsidR="000077E3" w:rsidRPr="00404724" w:rsidRDefault="000077E3" w:rsidP="000077E3">
            <w:pPr>
              <w:spacing w:before="80" w:line="240" w:lineRule="atLeast"/>
            </w:pPr>
            <w:r w:rsidRPr="00404724">
              <w:t>0.27 (95% C.I. 0.18-0.36)</w:t>
            </w:r>
          </w:p>
        </w:tc>
      </w:tr>
      <w:tr w:rsidR="000077E3" w:rsidRPr="00404724" w14:paraId="78EDD507" w14:textId="77777777" w:rsidTr="006526CD">
        <w:trPr>
          <w:cantSplit/>
        </w:trPr>
        <w:tc>
          <w:tcPr>
            <w:tcW w:w="3284" w:type="dxa"/>
          </w:tcPr>
          <w:p w14:paraId="45021DE5" w14:textId="322629A6" w:rsidR="000077E3" w:rsidRPr="00404724" w:rsidRDefault="000077E3" w:rsidP="000077E3">
            <w:pPr>
              <w:spacing w:before="80" w:line="240" w:lineRule="atLeast"/>
            </w:pPr>
            <w:r w:rsidRPr="00404724">
              <w:t>100/110-70</w:t>
            </w:r>
            <w:r w:rsidR="00C82E00" w:rsidRPr="00404724">
              <w:t xml:space="preserve"> km/h</w:t>
            </w:r>
          </w:p>
        </w:tc>
        <w:tc>
          <w:tcPr>
            <w:tcW w:w="3285" w:type="dxa"/>
          </w:tcPr>
          <w:p w14:paraId="7D41B9A6" w14:textId="0AC365D8" w:rsidR="000077E3" w:rsidRPr="00404724" w:rsidRDefault="000077E3" w:rsidP="000077E3">
            <w:pPr>
              <w:spacing w:before="80" w:line="240" w:lineRule="atLeast"/>
            </w:pPr>
            <w:r w:rsidRPr="00404724">
              <w:t>0.51 (95% C.I. 0.42-0.59)</w:t>
            </w:r>
          </w:p>
        </w:tc>
        <w:tc>
          <w:tcPr>
            <w:tcW w:w="3285" w:type="dxa"/>
          </w:tcPr>
          <w:p w14:paraId="5D7BFEE1" w14:textId="0526C2CC" w:rsidR="000077E3" w:rsidRPr="00404724" w:rsidRDefault="000077E3" w:rsidP="000077E3">
            <w:pPr>
              <w:spacing w:before="80" w:line="240" w:lineRule="atLeast"/>
            </w:pPr>
            <w:r w:rsidRPr="00404724">
              <w:t>0.40 (95% C.I. 0.32-0.47)</w:t>
            </w:r>
          </w:p>
        </w:tc>
      </w:tr>
    </w:tbl>
    <w:p w14:paraId="472D18BB" w14:textId="2EA8C027" w:rsidR="000077E3" w:rsidRPr="00404724" w:rsidRDefault="00CF1735" w:rsidP="00A115DA">
      <w:pPr>
        <w:keepNext/>
        <w:spacing w:before="240"/>
        <w:rPr>
          <w:b/>
          <w:bCs/>
        </w:rPr>
      </w:pPr>
      <w:bookmarkStart w:id="392" w:name="_Ref208742896"/>
      <w:r w:rsidRPr="00404724">
        <w:rPr>
          <w:b/>
          <w:bCs/>
        </w:rPr>
        <w:t xml:space="preserve">Table </w:t>
      </w:r>
      <w:r w:rsidRPr="00404724">
        <w:rPr>
          <w:b/>
          <w:bCs/>
        </w:rPr>
        <w:fldChar w:fldCharType="begin"/>
      </w:r>
      <w:r w:rsidRPr="00404724">
        <w:rPr>
          <w:b/>
          <w:bCs/>
        </w:rPr>
        <w:instrText xml:space="preserve"> SEQ Table \* ARABIC </w:instrText>
      </w:r>
      <w:r w:rsidRPr="00404724">
        <w:rPr>
          <w:b/>
          <w:bCs/>
        </w:rPr>
        <w:fldChar w:fldCharType="separate"/>
      </w:r>
      <w:r w:rsidR="00BF489D">
        <w:rPr>
          <w:b/>
          <w:bCs/>
          <w:noProof/>
        </w:rPr>
        <w:t>33</w:t>
      </w:r>
      <w:r w:rsidRPr="00404724">
        <w:rPr>
          <w:b/>
          <w:bCs/>
        </w:rPr>
        <w:fldChar w:fldCharType="end"/>
      </w:r>
      <w:bookmarkEnd w:id="392"/>
      <w:r w:rsidRPr="00404724">
        <w:rPr>
          <w:b/>
          <w:bCs/>
        </w:rPr>
        <w:tab/>
      </w:r>
      <w:r w:rsidR="000077E3" w:rsidRPr="00404724">
        <w:rPr>
          <w:b/>
          <w:bCs/>
        </w:rPr>
        <w:t>Crash reduction factors, unsealed roads</w:t>
      </w:r>
      <w:r w:rsidR="00F4602C" w:rsidRPr="00404724">
        <w:rPr>
          <w:b/>
          <w:bCs/>
        </w:rPr>
        <w:t xml:space="preserve"> where the default speed limit applies</w:t>
      </w:r>
    </w:p>
    <w:tbl>
      <w:tblPr>
        <w:tblStyle w:val="TableGrid"/>
        <w:tblW w:w="0" w:type="auto"/>
        <w:tblLook w:val="04A0" w:firstRow="1" w:lastRow="0" w:firstColumn="1" w:lastColumn="0" w:noHBand="0" w:noVBand="1"/>
        <w:tblCaption w:val="Table 33 Crash reduction factors, unsealed roads where the default speed limit applies"/>
        <w:tblDescription w:val="Table 33 Crash reduction factors, unsealed roads where the default speed limit applies"/>
      </w:tblPr>
      <w:tblGrid>
        <w:gridCol w:w="3284"/>
        <w:gridCol w:w="3285"/>
        <w:gridCol w:w="3285"/>
      </w:tblGrid>
      <w:tr w:rsidR="000077E3" w:rsidRPr="00404724" w14:paraId="450FC9E5" w14:textId="77777777" w:rsidTr="006526CD">
        <w:trPr>
          <w:cantSplit/>
          <w:tblHeader/>
        </w:trPr>
        <w:tc>
          <w:tcPr>
            <w:tcW w:w="3284" w:type="dxa"/>
            <w:shd w:val="clear" w:color="auto" w:fill="081E3E" w:themeFill="accent1"/>
          </w:tcPr>
          <w:p w14:paraId="6A34BD51" w14:textId="3157C00F" w:rsidR="000077E3" w:rsidRPr="00404724" w:rsidRDefault="000077E3" w:rsidP="000077E3">
            <w:pPr>
              <w:spacing w:before="80" w:line="240" w:lineRule="atLeast"/>
              <w:rPr>
                <w:color w:val="FFFFFF" w:themeColor="background1"/>
              </w:rPr>
            </w:pPr>
            <w:r w:rsidRPr="00404724">
              <w:rPr>
                <w:b/>
                <w:bCs/>
                <w:color w:val="FFFFFF" w:themeColor="background1"/>
              </w:rPr>
              <w:t>Speed reduction scenario</w:t>
            </w:r>
          </w:p>
        </w:tc>
        <w:tc>
          <w:tcPr>
            <w:tcW w:w="3285" w:type="dxa"/>
            <w:shd w:val="clear" w:color="auto" w:fill="081E3E" w:themeFill="accent1"/>
          </w:tcPr>
          <w:p w14:paraId="044FB2DB" w14:textId="73406571" w:rsidR="000077E3" w:rsidRPr="00404724" w:rsidRDefault="000077E3" w:rsidP="000077E3">
            <w:pPr>
              <w:spacing w:before="80" w:line="240" w:lineRule="atLeast"/>
              <w:rPr>
                <w:color w:val="FFFFFF" w:themeColor="background1"/>
              </w:rPr>
            </w:pPr>
            <w:r w:rsidRPr="00404724">
              <w:rPr>
                <w:b/>
                <w:bCs/>
                <w:color w:val="FFFFFF" w:themeColor="background1"/>
              </w:rPr>
              <w:t>Fatalities</w:t>
            </w:r>
          </w:p>
        </w:tc>
        <w:tc>
          <w:tcPr>
            <w:tcW w:w="3285" w:type="dxa"/>
            <w:shd w:val="clear" w:color="auto" w:fill="081E3E" w:themeFill="accent1"/>
          </w:tcPr>
          <w:p w14:paraId="008D3AA7" w14:textId="46ED2DAD" w:rsidR="000077E3" w:rsidRPr="00404724" w:rsidRDefault="000077E3" w:rsidP="000077E3">
            <w:pPr>
              <w:spacing w:before="80" w:line="240" w:lineRule="atLeast"/>
              <w:rPr>
                <w:color w:val="FFFFFF" w:themeColor="background1"/>
              </w:rPr>
            </w:pPr>
            <w:r w:rsidRPr="00404724">
              <w:rPr>
                <w:b/>
                <w:bCs/>
                <w:color w:val="FFFFFF" w:themeColor="background1"/>
              </w:rPr>
              <w:t>Serious injuries</w:t>
            </w:r>
          </w:p>
        </w:tc>
      </w:tr>
      <w:tr w:rsidR="000077E3" w:rsidRPr="00404724" w14:paraId="0DB8E81C" w14:textId="77777777" w:rsidTr="006526CD">
        <w:trPr>
          <w:cantSplit/>
        </w:trPr>
        <w:tc>
          <w:tcPr>
            <w:tcW w:w="3284" w:type="dxa"/>
          </w:tcPr>
          <w:p w14:paraId="09C13CFF" w14:textId="302053D8" w:rsidR="000077E3" w:rsidRPr="00404724" w:rsidRDefault="000077E3" w:rsidP="000077E3">
            <w:pPr>
              <w:spacing w:before="80" w:line="240" w:lineRule="atLeast"/>
            </w:pPr>
            <w:r w:rsidRPr="00404724">
              <w:t>100/110-80</w:t>
            </w:r>
            <w:r w:rsidR="00C82E00" w:rsidRPr="00404724">
              <w:t xml:space="preserve"> km/h</w:t>
            </w:r>
          </w:p>
        </w:tc>
        <w:tc>
          <w:tcPr>
            <w:tcW w:w="3285" w:type="dxa"/>
          </w:tcPr>
          <w:p w14:paraId="554DC9AB" w14:textId="0F921688" w:rsidR="000077E3" w:rsidRPr="00404724" w:rsidRDefault="000077E3" w:rsidP="000077E3">
            <w:pPr>
              <w:spacing w:before="80" w:line="240" w:lineRule="atLeast"/>
            </w:pPr>
            <w:r w:rsidRPr="00404724">
              <w:t>0.24 (95% C.I. 0.05-0.42)</w:t>
            </w:r>
          </w:p>
        </w:tc>
        <w:tc>
          <w:tcPr>
            <w:tcW w:w="3285" w:type="dxa"/>
          </w:tcPr>
          <w:p w14:paraId="243E8674" w14:textId="72770791" w:rsidR="000077E3" w:rsidRPr="00404724" w:rsidRDefault="000077E3" w:rsidP="000077E3">
            <w:pPr>
              <w:spacing w:before="80" w:line="240" w:lineRule="atLeast"/>
            </w:pPr>
            <w:r w:rsidRPr="00404724">
              <w:t>0.18 (95% C.I. 0.03-0.32)</w:t>
            </w:r>
          </w:p>
        </w:tc>
      </w:tr>
      <w:tr w:rsidR="000077E3" w:rsidRPr="00404724" w14:paraId="599A4964" w14:textId="77777777" w:rsidTr="006526CD">
        <w:trPr>
          <w:cantSplit/>
        </w:trPr>
        <w:tc>
          <w:tcPr>
            <w:tcW w:w="3284" w:type="dxa"/>
          </w:tcPr>
          <w:p w14:paraId="09AD3718" w14:textId="4444ADF5" w:rsidR="000077E3" w:rsidRPr="00404724" w:rsidRDefault="000077E3" w:rsidP="000077E3">
            <w:pPr>
              <w:spacing w:before="80" w:line="240" w:lineRule="atLeast"/>
            </w:pPr>
            <w:r w:rsidRPr="00404724">
              <w:t>100/110-70</w:t>
            </w:r>
            <w:r w:rsidR="00C82E00" w:rsidRPr="00404724">
              <w:t xml:space="preserve"> km/h</w:t>
            </w:r>
          </w:p>
        </w:tc>
        <w:tc>
          <w:tcPr>
            <w:tcW w:w="3285" w:type="dxa"/>
          </w:tcPr>
          <w:p w14:paraId="55273AAE" w14:textId="1358C4E8" w:rsidR="000077E3" w:rsidRPr="00404724" w:rsidRDefault="000077E3" w:rsidP="000077E3">
            <w:pPr>
              <w:spacing w:before="80" w:line="240" w:lineRule="atLeast"/>
            </w:pPr>
            <w:r w:rsidRPr="00404724">
              <w:t>0.49 (95% C.I. 0.33-0.64)</w:t>
            </w:r>
          </w:p>
        </w:tc>
        <w:tc>
          <w:tcPr>
            <w:tcW w:w="3285" w:type="dxa"/>
          </w:tcPr>
          <w:p w14:paraId="5D03106F" w14:textId="4F86BB44" w:rsidR="000077E3" w:rsidRPr="00404724" w:rsidRDefault="000077E3" w:rsidP="000077E3">
            <w:pPr>
              <w:spacing w:before="80" w:line="240" w:lineRule="atLeast"/>
            </w:pPr>
            <w:r w:rsidRPr="00404724">
              <w:t>0.38 (95% C.I. 0.25-0.52)</w:t>
            </w:r>
          </w:p>
        </w:tc>
      </w:tr>
    </w:tbl>
    <w:p w14:paraId="769D4BBD" w14:textId="338D8003" w:rsidR="001E3DFF" w:rsidRPr="00404724" w:rsidRDefault="001E3DFF" w:rsidP="006526CD">
      <w:pPr>
        <w:pStyle w:val="Heading5"/>
      </w:pPr>
      <w:r w:rsidRPr="00404724">
        <w:t>Costs of Fatal and Serious Injuries</w:t>
      </w:r>
    </w:p>
    <w:p w14:paraId="11AD208A" w14:textId="4112503F" w:rsidR="0090234D" w:rsidRPr="00404724" w:rsidRDefault="0090234D" w:rsidP="0090234D">
      <w:pPr>
        <w:pStyle w:val="ListBullet"/>
        <w:rPr>
          <w:rFonts w:ascii="Calibri" w:hAnsi="Calibri" w:cs="Calibri"/>
        </w:rPr>
      </w:pPr>
      <w:r w:rsidRPr="00404724">
        <w:rPr>
          <w:rFonts w:ascii="Calibri" w:hAnsi="Calibri" w:cs="Calibri"/>
        </w:rPr>
        <w:t>The reduction in occurrence and severity of vehicle crashes has a myriad of benefits, not least of which is the saving of human life. In Australia, as specified by the OIA, the value of a statistical life (VSL) is $5.7m and the value of statistical life year is $245,000 in 2024 dollars.</w:t>
      </w:r>
      <w:r w:rsidRPr="00404724">
        <w:rPr>
          <w:rStyle w:val="FootnoteReference"/>
          <w:rFonts w:ascii="Calibri" w:hAnsi="Calibri" w:cs="Calibri"/>
        </w:rPr>
        <w:footnoteReference w:id="102"/>
      </w:r>
      <w:r w:rsidRPr="00404724">
        <w:rPr>
          <w:rFonts w:ascii="Calibri" w:hAnsi="Calibri" w:cs="Calibri"/>
        </w:rPr>
        <w:t xml:space="preserve"> </w:t>
      </w:r>
    </w:p>
    <w:p w14:paraId="73625568" w14:textId="0C625F1C" w:rsidR="00F2064E" w:rsidRPr="00404724" w:rsidRDefault="0090234D" w:rsidP="0090234D">
      <w:pPr>
        <w:pStyle w:val="ListBullet"/>
        <w:rPr>
          <w:rFonts w:ascii="Calibri" w:hAnsi="Calibri" w:cs="Calibri"/>
        </w:rPr>
      </w:pPr>
      <w:r w:rsidRPr="00404724">
        <w:rPr>
          <w:rFonts w:ascii="Calibri" w:hAnsi="Calibri" w:cs="Calibri"/>
        </w:rPr>
        <w:t>However, there are alternative values for the VSL. One of these, as calculated by Australian Transport Assessment and Planning (ATAP) Guidelines, quantify a range of costs of vehicle crashes disaggregated by severity.</w:t>
      </w:r>
      <w:r w:rsidRPr="00404724">
        <w:rPr>
          <w:rStyle w:val="FootnoteReference"/>
          <w:rFonts w:ascii="Calibri" w:hAnsi="Calibri" w:cs="Calibri"/>
        </w:rPr>
        <w:footnoteReference w:id="103"/>
      </w:r>
      <w:r w:rsidRPr="00404724">
        <w:rPr>
          <w:rFonts w:ascii="Calibri" w:hAnsi="Calibri" w:cs="Calibri"/>
        </w:rPr>
        <w:t xml:space="preserve"> The table below outlines the breakdown of costs associated with fatal crashes and serious injury crashes.</w:t>
      </w:r>
    </w:p>
    <w:p w14:paraId="7A7DE342" w14:textId="25793010" w:rsidR="0090234D" w:rsidRPr="00404724" w:rsidRDefault="0090234D" w:rsidP="003979C3">
      <w:pPr>
        <w:pStyle w:val="Tablefigureheading"/>
      </w:pPr>
      <w:bookmarkStart w:id="393" w:name="_Ref206161326"/>
      <w:bookmarkStart w:id="394" w:name="_Toc210040377"/>
      <w:bookmarkStart w:id="395" w:name="_Toc210051913"/>
      <w:r w:rsidRPr="00404724">
        <w:t>Table </w:t>
      </w:r>
      <w:r w:rsidR="00EC39D5">
        <w:fldChar w:fldCharType="begin"/>
      </w:r>
      <w:r w:rsidR="00EC39D5">
        <w:instrText xml:space="preserve"> SEQ Table \* ARABIC </w:instrText>
      </w:r>
      <w:r w:rsidR="00EC39D5">
        <w:fldChar w:fldCharType="separate"/>
      </w:r>
      <w:r w:rsidR="00BF489D">
        <w:rPr>
          <w:noProof/>
        </w:rPr>
        <w:t>34</w:t>
      </w:r>
      <w:r w:rsidR="00EC39D5">
        <w:rPr>
          <w:noProof/>
        </w:rPr>
        <w:fldChar w:fldCharType="end"/>
      </w:r>
      <w:bookmarkEnd w:id="393"/>
      <w:r w:rsidRPr="00404724">
        <w:tab/>
        <w:t>Average casualty costs per person</w:t>
      </w:r>
      <w:bookmarkEnd w:id="394"/>
      <w:bookmarkEnd w:id="395"/>
    </w:p>
    <w:tbl>
      <w:tblPr>
        <w:tblStyle w:val="aacTableBasic"/>
        <w:tblW w:w="5000" w:type="pct"/>
        <w:tblLayout w:type="fixed"/>
        <w:tblLook w:val="04A0" w:firstRow="1" w:lastRow="0" w:firstColumn="1" w:lastColumn="0" w:noHBand="0" w:noVBand="1"/>
        <w:tblCaption w:val="Table 34 Average casualty costs per person"/>
        <w:tblDescription w:val="Table 34 Average casualty costs per person"/>
      </w:tblPr>
      <w:tblGrid>
        <w:gridCol w:w="1972"/>
        <w:gridCol w:w="1972"/>
        <w:gridCol w:w="1973"/>
        <w:gridCol w:w="1973"/>
        <w:gridCol w:w="1974"/>
      </w:tblGrid>
      <w:tr w:rsidR="009F6CA8" w:rsidRPr="00404724" w14:paraId="57A42CB9" w14:textId="77777777" w:rsidTr="00846F1D">
        <w:trPr>
          <w:cnfStyle w:val="100000000000" w:firstRow="1" w:lastRow="0" w:firstColumn="0" w:lastColumn="0" w:oddVBand="0" w:evenVBand="0" w:oddHBand="0" w:evenHBand="0" w:firstRowFirstColumn="0" w:firstRowLastColumn="0" w:lastRowFirstColumn="0" w:lastRowLastColumn="0"/>
          <w:cantSplit/>
          <w:tblHeader/>
        </w:trPr>
        <w:tc>
          <w:tcPr>
            <w:tcW w:w="1972" w:type="dxa"/>
            <w:vMerge w:val="restart"/>
            <w:shd w:val="clear" w:color="auto" w:fill="081E3E" w:themeFill="text2"/>
          </w:tcPr>
          <w:p w14:paraId="4A844932" w14:textId="77777777" w:rsidR="009F6CA8" w:rsidRPr="00404724" w:rsidRDefault="009F6CA8" w:rsidP="00AF3303">
            <w:pPr>
              <w:spacing w:before="80"/>
              <w:rPr>
                <w:rFonts w:asciiTheme="minorHAnsi" w:hAnsiTheme="minorHAnsi"/>
                <w:b/>
                <w:bCs/>
                <w:lang w:val="en-AU"/>
              </w:rPr>
            </w:pPr>
            <w:r w:rsidRPr="00404724">
              <w:rPr>
                <w:rFonts w:asciiTheme="minorHAnsi" w:hAnsiTheme="minorHAnsi"/>
                <w:b/>
                <w:bCs/>
                <w:lang w:val="en-AU"/>
              </w:rPr>
              <w:t>Cost component</w:t>
            </w:r>
          </w:p>
        </w:tc>
        <w:tc>
          <w:tcPr>
            <w:tcW w:w="3945" w:type="dxa"/>
            <w:gridSpan w:val="2"/>
            <w:shd w:val="clear" w:color="auto" w:fill="081E3E" w:themeFill="text2"/>
          </w:tcPr>
          <w:p w14:paraId="4FF8E47F" w14:textId="7CBCF330" w:rsidR="009F6CA8" w:rsidRPr="00404724" w:rsidRDefault="009F6CA8" w:rsidP="009F6CA8">
            <w:pPr>
              <w:spacing w:before="80"/>
              <w:jc w:val="center"/>
              <w:rPr>
                <w:rFonts w:asciiTheme="minorHAnsi" w:hAnsiTheme="minorHAnsi"/>
                <w:b/>
                <w:bCs/>
                <w:lang w:val="en-AU"/>
              </w:rPr>
            </w:pPr>
            <w:r w:rsidRPr="00404724">
              <w:rPr>
                <w:rFonts w:asciiTheme="minorHAnsi" w:hAnsiTheme="minorHAnsi"/>
                <w:b/>
                <w:bCs/>
                <w:lang w:val="en-AU"/>
              </w:rPr>
              <w:t>Fatal crash</w:t>
            </w:r>
          </w:p>
        </w:tc>
        <w:tc>
          <w:tcPr>
            <w:tcW w:w="3947" w:type="dxa"/>
            <w:gridSpan w:val="2"/>
            <w:tcBorders>
              <w:bottom w:val="single" w:sz="4" w:space="0" w:color="auto"/>
            </w:tcBorders>
            <w:shd w:val="clear" w:color="auto" w:fill="081E3E" w:themeFill="text2"/>
          </w:tcPr>
          <w:p w14:paraId="1A62B41B" w14:textId="5AC710B2" w:rsidR="009F6CA8" w:rsidRPr="00404724" w:rsidRDefault="009F6CA8" w:rsidP="009F6CA8">
            <w:pPr>
              <w:spacing w:before="80"/>
              <w:jc w:val="center"/>
              <w:rPr>
                <w:rFonts w:asciiTheme="minorHAnsi" w:hAnsiTheme="minorHAnsi"/>
                <w:b/>
                <w:bCs/>
                <w:lang w:val="en-AU"/>
              </w:rPr>
            </w:pPr>
            <w:r w:rsidRPr="00404724">
              <w:rPr>
                <w:rFonts w:asciiTheme="minorHAnsi" w:hAnsiTheme="minorHAnsi"/>
                <w:b/>
                <w:bCs/>
                <w:lang w:val="en-AU"/>
              </w:rPr>
              <w:t>Serious injury crash</w:t>
            </w:r>
          </w:p>
        </w:tc>
      </w:tr>
      <w:tr w:rsidR="0090234D" w:rsidRPr="00404724" w14:paraId="2CA95DD6" w14:textId="77777777" w:rsidTr="00BB3FB3">
        <w:trPr>
          <w:cantSplit/>
        </w:trPr>
        <w:tc>
          <w:tcPr>
            <w:tcW w:w="1972" w:type="dxa"/>
            <w:vMerge/>
            <w:shd w:val="clear" w:color="auto" w:fill="081E3E" w:themeFill="text2"/>
          </w:tcPr>
          <w:p w14:paraId="5054A8E5" w14:textId="77777777" w:rsidR="0090234D" w:rsidRPr="00404724" w:rsidRDefault="0090234D" w:rsidP="00AF3303">
            <w:pPr>
              <w:spacing w:before="80"/>
              <w:rPr>
                <w:rFonts w:asciiTheme="minorHAnsi" w:hAnsiTheme="minorHAnsi"/>
                <w:b/>
                <w:bCs/>
                <w:lang w:val="en-AU"/>
              </w:rPr>
            </w:pPr>
          </w:p>
        </w:tc>
        <w:tc>
          <w:tcPr>
            <w:tcW w:w="1972" w:type="dxa"/>
            <w:shd w:val="clear" w:color="auto" w:fill="081E3E" w:themeFill="text2"/>
          </w:tcPr>
          <w:p w14:paraId="5AE0446A" w14:textId="77777777" w:rsidR="0090234D" w:rsidRPr="00404724" w:rsidRDefault="0090234D" w:rsidP="009F6CA8">
            <w:pPr>
              <w:spacing w:before="80"/>
              <w:jc w:val="center"/>
              <w:rPr>
                <w:rFonts w:asciiTheme="minorHAnsi" w:hAnsiTheme="minorHAnsi"/>
                <w:b/>
                <w:bCs/>
                <w:lang w:val="en-AU"/>
              </w:rPr>
            </w:pPr>
            <w:r w:rsidRPr="00404724">
              <w:rPr>
                <w:rFonts w:asciiTheme="minorHAnsi" w:hAnsiTheme="minorHAnsi"/>
                <w:b/>
                <w:bCs/>
                <w:lang w:val="en-AU"/>
              </w:rPr>
              <w:t>2013($)</w:t>
            </w:r>
          </w:p>
        </w:tc>
        <w:tc>
          <w:tcPr>
            <w:tcW w:w="1973" w:type="dxa"/>
            <w:tcBorders>
              <w:right w:val="single" w:sz="4" w:space="0" w:color="auto"/>
            </w:tcBorders>
            <w:shd w:val="clear" w:color="auto" w:fill="081E3E" w:themeFill="text2"/>
          </w:tcPr>
          <w:p w14:paraId="68AD6D93" w14:textId="77777777" w:rsidR="0090234D" w:rsidRPr="00404724" w:rsidRDefault="0090234D" w:rsidP="009F6CA8">
            <w:pPr>
              <w:spacing w:before="80"/>
              <w:jc w:val="center"/>
              <w:rPr>
                <w:rFonts w:asciiTheme="minorHAnsi" w:hAnsiTheme="minorHAnsi"/>
                <w:b/>
                <w:bCs/>
                <w:lang w:val="en-AU"/>
              </w:rPr>
            </w:pPr>
            <w:r w:rsidRPr="00404724">
              <w:rPr>
                <w:rFonts w:asciiTheme="minorHAnsi" w:hAnsiTheme="minorHAnsi"/>
                <w:b/>
                <w:bCs/>
                <w:lang w:val="en-AU"/>
              </w:rPr>
              <w:t>2025($)</w:t>
            </w:r>
          </w:p>
        </w:tc>
        <w:tc>
          <w:tcPr>
            <w:tcW w:w="1973" w:type="dxa"/>
            <w:tcBorders>
              <w:top w:val="single" w:sz="4" w:space="0" w:color="auto"/>
              <w:left w:val="single" w:sz="4" w:space="0" w:color="auto"/>
            </w:tcBorders>
            <w:shd w:val="clear" w:color="auto" w:fill="081E3E" w:themeFill="text2"/>
          </w:tcPr>
          <w:p w14:paraId="60517CCA" w14:textId="77777777" w:rsidR="0090234D" w:rsidRPr="00404724" w:rsidRDefault="0090234D" w:rsidP="009F6CA8">
            <w:pPr>
              <w:spacing w:before="80"/>
              <w:jc w:val="center"/>
              <w:rPr>
                <w:rFonts w:asciiTheme="minorHAnsi" w:hAnsiTheme="minorHAnsi"/>
                <w:b/>
                <w:bCs/>
                <w:lang w:val="en-AU"/>
              </w:rPr>
            </w:pPr>
            <w:r w:rsidRPr="00404724">
              <w:rPr>
                <w:rFonts w:asciiTheme="minorHAnsi" w:hAnsiTheme="minorHAnsi"/>
                <w:b/>
                <w:bCs/>
                <w:lang w:val="en-AU"/>
              </w:rPr>
              <w:t>2013($)</w:t>
            </w:r>
          </w:p>
        </w:tc>
        <w:tc>
          <w:tcPr>
            <w:tcW w:w="1974" w:type="dxa"/>
            <w:tcBorders>
              <w:top w:val="single" w:sz="4" w:space="0" w:color="auto"/>
            </w:tcBorders>
            <w:shd w:val="clear" w:color="auto" w:fill="081E3E" w:themeFill="text2"/>
          </w:tcPr>
          <w:p w14:paraId="312D29CD" w14:textId="77777777" w:rsidR="0090234D" w:rsidRPr="00404724" w:rsidRDefault="0090234D" w:rsidP="009F6CA8">
            <w:pPr>
              <w:spacing w:before="80"/>
              <w:jc w:val="center"/>
              <w:rPr>
                <w:rFonts w:asciiTheme="minorHAnsi" w:hAnsiTheme="minorHAnsi"/>
                <w:b/>
                <w:bCs/>
                <w:lang w:val="en-AU"/>
              </w:rPr>
            </w:pPr>
            <w:r w:rsidRPr="00404724">
              <w:rPr>
                <w:rFonts w:asciiTheme="minorHAnsi" w:hAnsiTheme="minorHAnsi"/>
                <w:b/>
                <w:bCs/>
                <w:lang w:val="en-AU"/>
              </w:rPr>
              <w:t>2025($)</w:t>
            </w:r>
          </w:p>
        </w:tc>
      </w:tr>
      <w:tr w:rsidR="0090234D" w:rsidRPr="00404724" w14:paraId="019DCAC0" w14:textId="77777777" w:rsidTr="00BB3FB3">
        <w:trPr>
          <w:cantSplit/>
        </w:trPr>
        <w:tc>
          <w:tcPr>
            <w:tcW w:w="1972" w:type="dxa"/>
            <w:shd w:val="clear" w:color="auto" w:fill="B1CCF5" w:themeFill="accent1" w:themeFillTint="33"/>
          </w:tcPr>
          <w:p w14:paraId="7881B5B4" w14:textId="77777777" w:rsidR="0090234D" w:rsidRPr="00404724" w:rsidRDefault="0090234D" w:rsidP="00AF3303">
            <w:pPr>
              <w:spacing w:before="80"/>
              <w:rPr>
                <w:rFonts w:asciiTheme="minorHAnsi" w:hAnsiTheme="minorHAnsi"/>
                <w:lang w:val="en-AU"/>
              </w:rPr>
            </w:pPr>
            <w:r w:rsidRPr="00404724">
              <w:rPr>
                <w:rFonts w:asciiTheme="minorHAnsi" w:hAnsiTheme="minorHAnsi"/>
                <w:lang w:val="en-AU"/>
              </w:rPr>
              <w:t>Human costs</w:t>
            </w:r>
          </w:p>
        </w:tc>
        <w:tc>
          <w:tcPr>
            <w:tcW w:w="1972" w:type="dxa"/>
            <w:shd w:val="clear" w:color="auto" w:fill="B1CCF5" w:themeFill="accent1" w:themeFillTint="33"/>
          </w:tcPr>
          <w:p w14:paraId="2324A7DD" w14:textId="77777777" w:rsidR="0090234D" w:rsidRPr="00404724" w:rsidRDefault="0090234D" w:rsidP="00AF3303">
            <w:pPr>
              <w:spacing w:before="80"/>
              <w:rPr>
                <w:rFonts w:asciiTheme="minorHAnsi" w:hAnsiTheme="minorHAnsi"/>
                <w:lang w:val="en-AU"/>
              </w:rPr>
            </w:pPr>
          </w:p>
        </w:tc>
        <w:tc>
          <w:tcPr>
            <w:tcW w:w="1973" w:type="dxa"/>
            <w:tcBorders>
              <w:right w:val="single" w:sz="4" w:space="0" w:color="auto"/>
            </w:tcBorders>
            <w:shd w:val="clear" w:color="auto" w:fill="B1CCF5" w:themeFill="accent1" w:themeFillTint="33"/>
          </w:tcPr>
          <w:p w14:paraId="50488B4C" w14:textId="77777777" w:rsidR="0090234D" w:rsidRPr="00404724" w:rsidRDefault="0090234D" w:rsidP="00AF3303">
            <w:pPr>
              <w:spacing w:before="80"/>
              <w:rPr>
                <w:rFonts w:asciiTheme="minorHAnsi" w:hAnsiTheme="minorHAnsi"/>
                <w:lang w:val="en-AU"/>
              </w:rPr>
            </w:pPr>
          </w:p>
        </w:tc>
        <w:tc>
          <w:tcPr>
            <w:tcW w:w="1973" w:type="dxa"/>
            <w:tcBorders>
              <w:top w:val="single" w:sz="4" w:space="0" w:color="auto"/>
              <w:left w:val="single" w:sz="4" w:space="0" w:color="auto"/>
            </w:tcBorders>
            <w:shd w:val="clear" w:color="auto" w:fill="B1CCF5" w:themeFill="accent1" w:themeFillTint="33"/>
          </w:tcPr>
          <w:p w14:paraId="0A14BD6D" w14:textId="77777777" w:rsidR="0090234D" w:rsidRPr="00404724" w:rsidRDefault="0090234D" w:rsidP="00AF3303">
            <w:pPr>
              <w:spacing w:before="80"/>
              <w:rPr>
                <w:rFonts w:asciiTheme="minorHAnsi" w:hAnsiTheme="minorHAnsi"/>
                <w:lang w:val="en-AU"/>
              </w:rPr>
            </w:pPr>
          </w:p>
        </w:tc>
        <w:tc>
          <w:tcPr>
            <w:tcW w:w="1974" w:type="dxa"/>
            <w:tcBorders>
              <w:top w:val="single" w:sz="4" w:space="0" w:color="auto"/>
            </w:tcBorders>
            <w:shd w:val="clear" w:color="auto" w:fill="B1CCF5" w:themeFill="accent1" w:themeFillTint="33"/>
          </w:tcPr>
          <w:p w14:paraId="58B3B7C4" w14:textId="77777777" w:rsidR="0090234D" w:rsidRPr="00404724" w:rsidRDefault="0090234D" w:rsidP="00AF3303">
            <w:pPr>
              <w:spacing w:before="80"/>
              <w:rPr>
                <w:rFonts w:asciiTheme="minorHAnsi" w:hAnsiTheme="minorHAnsi"/>
                <w:lang w:val="en-AU"/>
              </w:rPr>
            </w:pPr>
          </w:p>
        </w:tc>
      </w:tr>
      <w:tr w:rsidR="0090234D" w:rsidRPr="00404724" w14:paraId="2C09A350" w14:textId="77777777" w:rsidTr="00BB3FB3">
        <w:trPr>
          <w:cantSplit/>
        </w:trPr>
        <w:tc>
          <w:tcPr>
            <w:tcW w:w="1972" w:type="dxa"/>
          </w:tcPr>
          <w:p w14:paraId="1D77D47C" w14:textId="77777777" w:rsidR="0090234D" w:rsidRPr="00404724" w:rsidRDefault="0090234D" w:rsidP="00AF3303">
            <w:pPr>
              <w:spacing w:before="80"/>
              <w:rPr>
                <w:rFonts w:asciiTheme="minorHAnsi" w:hAnsiTheme="minorHAnsi"/>
                <w:lang w:val="en-AU"/>
              </w:rPr>
            </w:pPr>
            <w:r w:rsidRPr="00404724">
              <w:rPr>
                <w:rFonts w:asciiTheme="minorHAnsi" w:hAnsiTheme="minorHAnsi"/>
                <w:lang w:val="en-AU"/>
              </w:rPr>
              <w:t>Ambulance costs</w:t>
            </w:r>
          </w:p>
        </w:tc>
        <w:tc>
          <w:tcPr>
            <w:tcW w:w="1972" w:type="dxa"/>
          </w:tcPr>
          <w:p w14:paraId="191F5D63"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$510</w:t>
            </w:r>
          </w:p>
        </w:tc>
        <w:tc>
          <w:tcPr>
            <w:tcW w:w="1973" w:type="dxa"/>
            <w:tcBorders>
              <w:right w:val="single" w:sz="4" w:space="0" w:color="auto"/>
            </w:tcBorders>
          </w:tcPr>
          <w:p w14:paraId="634E50C1"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$703</w:t>
            </w:r>
          </w:p>
        </w:tc>
        <w:tc>
          <w:tcPr>
            <w:tcW w:w="1973" w:type="dxa"/>
            <w:tcBorders>
              <w:top w:val="single" w:sz="4" w:space="0" w:color="auto"/>
              <w:left w:val="single" w:sz="4" w:space="0" w:color="auto"/>
            </w:tcBorders>
          </w:tcPr>
          <w:p w14:paraId="4E7CDDA2"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$510</w:t>
            </w:r>
          </w:p>
        </w:tc>
        <w:tc>
          <w:tcPr>
            <w:tcW w:w="1974" w:type="dxa"/>
            <w:tcBorders>
              <w:top w:val="single" w:sz="4" w:space="0" w:color="auto"/>
            </w:tcBorders>
          </w:tcPr>
          <w:p w14:paraId="274F6605"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$703</w:t>
            </w:r>
          </w:p>
        </w:tc>
      </w:tr>
      <w:tr w:rsidR="0090234D" w:rsidRPr="00404724" w14:paraId="451E32A0" w14:textId="77777777" w:rsidTr="00BB3FB3">
        <w:trPr>
          <w:cantSplit/>
        </w:trPr>
        <w:tc>
          <w:tcPr>
            <w:tcW w:w="1972" w:type="dxa"/>
          </w:tcPr>
          <w:p w14:paraId="08CAF135" w14:textId="77777777" w:rsidR="0090234D" w:rsidRPr="00404724" w:rsidRDefault="0090234D" w:rsidP="00AF3303">
            <w:pPr>
              <w:spacing w:before="80"/>
              <w:rPr>
                <w:rFonts w:asciiTheme="minorHAnsi" w:hAnsiTheme="minorHAnsi"/>
                <w:lang w:val="en-AU"/>
              </w:rPr>
            </w:pPr>
            <w:r w:rsidRPr="00404724">
              <w:rPr>
                <w:rFonts w:asciiTheme="minorHAnsi" w:hAnsiTheme="minorHAnsi"/>
                <w:lang w:val="en-AU"/>
              </w:rPr>
              <w:t>Hospital in-patient costs</w:t>
            </w:r>
          </w:p>
        </w:tc>
        <w:tc>
          <w:tcPr>
            <w:tcW w:w="1972" w:type="dxa"/>
          </w:tcPr>
          <w:p w14:paraId="6C943A1F"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$2,756</w:t>
            </w:r>
          </w:p>
        </w:tc>
        <w:tc>
          <w:tcPr>
            <w:tcW w:w="1973" w:type="dxa"/>
            <w:tcBorders>
              <w:right w:val="single" w:sz="4" w:space="0" w:color="auto"/>
            </w:tcBorders>
          </w:tcPr>
          <w:p w14:paraId="0D869620"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$3,799</w:t>
            </w:r>
          </w:p>
        </w:tc>
        <w:tc>
          <w:tcPr>
            <w:tcW w:w="1973" w:type="dxa"/>
            <w:tcBorders>
              <w:top w:val="single" w:sz="4" w:space="0" w:color="auto"/>
              <w:left w:val="single" w:sz="4" w:space="0" w:color="auto"/>
            </w:tcBorders>
          </w:tcPr>
          <w:p w14:paraId="7F39FB99"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$11,026</w:t>
            </w:r>
          </w:p>
        </w:tc>
        <w:tc>
          <w:tcPr>
            <w:tcW w:w="1974" w:type="dxa"/>
            <w:tcBorders>
              <w:top w:val="single" w:sz="4" w:space="0" w:color="auto"/>
            </w:tcBorders>
          </w:tcPr>
          <w:p w14:paraId="6E7622B4"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$15,198</w:t>
            </w:r>
          </w:p>
        </w:tc>
      </w:tr>
      <w:tr w:rsidR="0090234D" w:rsidRPr="00404724" w14:paraId="5A68B109" w14:textId="77777777" w:rsidTr="00BB3FB3">
        <w:trPr>
          <w:cantSplit/>
        </w:trPr>
        <w:tc>
          <w:tcPr>
            <w:tcW w:w="1972" w:type="dxa"/>
          </w:tcPr>
          <w:p w14:paraId="3288F8DF" w14:textId="77777777" w:rsidR="0090234D" w:rsidRPr="00404724" w:rsidRDefault="0090234D" w:rsidP="00AF3303">
            <w:pPr>
              <w:spacing w:before="80"/>
              <w:rPr>
                <w:rFonts w:asciiTheme="minorHAnsi" w:hAnsiTheme="minorHAnsi"/>
                <w:lang w:val="en-AU"/>
              </w:rPr>
            </w:pPr>
            <w:r w:rsidRPr="00404724">
              <w:rPr>
                <w:rFonts w:asciiTheme="minorHAnsi" w:hAnsiTheme="minorHAnsi"/>
                <w:lang w:val="en-AU"/>
              </w:rPr>
              <w:t>Other medical costs</w:t>
            </w:r>
          </w:p>
        </w:tc>
        <w:tc>
          <w:tcPr>
            <w:tcW w:w="1972" w:type="dxa"/>
          </w:tcPr>
          <w:p w14:paraId="4BC04732"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$2,043</w:t>
            </w:r>
          </w:p>
        </w:tc>
        <w:tc>
          <w:tcPr>
            <w:tcW w:w="1973" w:type="dxa"/>
            <w:tcBorders>
              <w:right w:val="single" w:sz="4" w:space="0" w:color="auto"/>
            </w:tcBorders>
          </w:tcPr>
          <w:p w14:paraId="2A782E3E"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$2,816</w:t>
            </w:r>
          </w:p>
        </w:tc>
        <w:tc>
          <w:tcPr>
            <w:tcW w:w="1973" w:type="dxa"/>
            <w:tcBorders>
              <w:top w:val="single" w:sz="4" w:space="0" w:color="auto"/>
              <w:left w:val="single" w:sz="4" w:space="0" w:color="auto"/>
            </w:tcBorders>
          </w:tcPr>
          <w:p w14:paraId="5F92DBA2"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$16,552</w:t>
            </w:r>
          </w:p>
        </w:tc>
        <w:tc>
          <w:tcPr>
            <w:tcW w:w="1974" w:type="dxa"/>
            <w:tcBorders>
              <w:top w:val="single" w:sz="4" w:space="0" w:color="auto"/>
            </w:tcBorders>
          </w:tcPr>
          <w:p w14:paraId="2000D143"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$22,815</w:t>
            </w:r>
          </w:p>
        </w:tc>
      </w:tr>
      <w:tr w:rsidR="0090234D" w:rsidRPr="00404724" w14:paraId="3D24D37A" w14:textId="77777777" w:rsidTr="00BB3FB3">
        <w:trPr>
          <w:cantSplit/>
        </w:trPr>
        <w:tc>
          <w:tcPr>
            <w:tcW w:w="1972" w:type="dxa"/>
          </w:tcPr>
          <w:p w14:paraId="7D5C7ADC" w14:textId="77777777" w:rsidR="0090234D" w:rsidRPr="00404724" w:rsidRDefault="0090234D" w:rsidP="00AF3303">
            <w:pPr>
              <w:spacing w:before="80"/>
              <w:rPr>
                <w:rFonts w:asciiTheme="minorHAnsi" w:hAnsiTheme="minorHAnsi"/>
                <w:lang w:val="en-AU"/>
              </w:rPr>
            </w:pPr>
            <w:r w:rsidRPr="00404724">
              <w:rPr>
                <w:rFonts w:asciiTheme="minorHAnsi" w:hAnsiTheme="minorHAnsi"/>
                <w:lang w:val="en-AU"/>
              </w:rPr>
              <w:t>Long-term care</w:t>
            </w:r>
          </w:p>
        </w:tc>
        <w:tc>
          <w:tcPr>
            <w:tcW w:w="1972" w:type="dxa"/>
          </w:tcPr>
          <w:p w14:paraId="5FE24CE5"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w:t>
            </w:r>
          </w:p>
        </w:tc>
        <w:tc>
          <w:tcPr>
            <w:tcW w:w="1973" w:type="dxa"/>
            <w:tcBorders>
              <w:right w:val="single" w:sz="4" w:space="0" w:color="auto"/>
            </w:tcBorders>
          </w:tcPr>
          <w:p w14:paraId="07ACDA84"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w:t>
            </w:r>
          </w:p>
        </w:tc>
        <w:tc>
          <w:tcPr>
            <w:tcW w:w="1973" w:type="dxa"/>
            <w:tcBorders>
              <w:top w:val="single" w:sz="4" w:space="0" w:color="auto"/>
              <w:left w:val="single" w:sz="4" w:space="0" w:color="auto"/>
            </w:tcBorders>
          </w:tcPr>
          <w:p w14:paraId="0D47ADF5"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$125,246</w:t>
            </w:r>
          </w:p>
        </w:tc>
        <w:tc>
          <w:tcPr>
            <w:tcW w:w="1974" w:type="dxa"/>
            <w:tcBorders>
              <w:top w:val="single" w:sz="4" w:space="0" w:color="auto"/>
            </w:tcBorders>
          </w:tcPr>
          <w:p w14:paraId="11E945BB"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$172,640</w:t>
            </w:r>
          </w:p>
        </w:tc>
      </w:tr>
      <w:tr w:rsidR="0090234D" w:rsidRPr="00404724" w14:paraId="0A3BEF31" w14:textId="77777777" w:rsidTr="00BB3FB3">
        <w:trPr>
          <w:cantSplit/>
        </w:trPr>
        <w:tc>
          <w:tcPr>
            <w:tcW w:w="1972" w:type="dxa"/>
          </w:tcPr>
          <w:p w14:paraId="48D1C02B" w14:textId="77777777" w:rsidR="0090234D" w:rsidRPr="00404724" w:rsidRDefault="0090234D" w:rsidP="00AF3303">
            <w:pPr>
              <w:spacing w:before="80"/>
              <w:rPr>
                <w:rFonts w:asciiTheme="minorHAnsi" w:hAnsiTheme="minorHAnsi"/>
                <w:lang w:val="en-AU"/>
              </w:rPr>
            </w:pPr>
            <w:r w:rsidRPr="00404724">
              <w:rPr>
                <w:rFonts w:asciiTheme="minorHAnsi" w:hAnsiTheme="minorHAnsi"/>
                <w:lang w:val="en-AU"/>
              </w:rPr>
              <w:t>Labour in the workplace</w:t>
            </w:r>
          </w:p>
        </w:tc>
        <w:tc>
          <w:tcPr>
            <w:tcW w:w="1972" w:type="dxa"/>
          </w:tcPr>
          <w:p w14:paraId="31C60B16"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$732,187</w:t>
            </w:r>
          </w:p>
        </w:tc>
        <w:tc>
          <w:tcPr>
            <w:tcW w:w="1973" w:type="dxa"/>
            <w:tcBorders>
              <w:right w:val="single" w:sz="4" w:space="0" w:color="auto"/>
            </w:tcBorders>
          </w:tcPr>
          <w:p w14:paraId="15A42030"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$1,009,250</w:t>
            </w:r>
          </w:p>
        </w:tc>
        <w:tc>
          <w:tcPr>
            <w:tcW w:w="1973" w:type="dxa"/>
            <w:tcBorders>
              <w:top w:val="single" w:sz="4" w:space="0" w:color="auto"/>
              <w:left w:val="single" w:sz="4" w:space="0" w:color="auto"/>
            </w:tcBorders>
          </w:tcPr>
          <w:p w14:paraId="54739911"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$34,620</w:t>
            </w:r>
          </w:p>
        </w:tc>
        <w:tc>
          <w:tcPr>
            <w:tcW w:w="1974" w:type="dxa"/>
            <w:tcBorders>
              <w:top w:val="single" w:sz="4" w:space="0" w:color="auto"/>
            </w:tcBorders>
          </w:tcPr>
          <w:p w14:paraId="71C413E3"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$47,720</w:t>
            </w:r>
          </w:p>
        </w:tc>
      </w:tr>
      <w:tr w:rsidR="0090234D" w:rsidRPr="00404724" w14:paraId="389AC905" w14:textId="77777777" w:rsidTr="00BB3FB3">
        <w:trPr>
          <w:cantSplit/>
        </w:trPr>
        <w:tc>
          <w:tcPr>
            <w:tcW w:w="1972" w:type="dxa"/>
          </w:tcPr>
          <w:p w14:paraId="3853EADE" w14:textId="77777777" w:rsidR="0090234D" w:rsidRPr="00404724" w:rsidRDefault="0090234D" w:rsidP="00AF3303">
            <w:pPr>
              <w:spacing w:before="80"/>
              <w:rPr>
                <w:rFonts w:asciiTheme="minorHAnsi" w:hAnsiTheme="minorHAnsi"/>
                <w:lang w:val="en-AU"/>
              </w:rPr>
            </w:pPr>
            <w:r w:rsidRPr="00404724">
              <w:rPr>
                <w:rFonts w:asciiTheme="minorHAnsi" w:hAnsiTheme="minorHAnsi"/>
                <w:lang w:val="en-AU"/>
              </w:rPr>
              <w:t>Labour in the household</w:t>
            </w:r>
          </w:p>
        </w:tc>
        <w:tc>
          <w:tcPr>
            <w:tcW w:w="1972" w:type="dxa"/>
          </w:tcPr>
          <w:p w14:paraId="066605BE"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$609,085</w:t>
            </w:r>
          </w:p>
        </w:tc>
        <w:tc>
          <w:tcPr>
            <w:tcW w:w="1973" w:type="dxa"/>
            <w:tcBorders>
              <w:right w:val="single" w:sz="4" w:space="0" w:color="auto"/>
            </w:tcBorders>
          </w:tcPr>
          <w:p w14:paraId="12F6FB41"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$839,566</w:t>
            </w:r>
          </w:p>
        </w:tc>
        <w:tc>
          <w:tcPr>
            <w:tcW w:w="1973" w:type="dxa"/>
            <w:tcBorders>
              <w:top w:val="single" w:sz="4" w:space="0" w:color="auto"/>
              <w:left w:val="single" w:sz="4" w:space="0" w:color="auto"/>
            </w:tcBorders>
          </w:tcPr>
          <w:p w14:paraId="2811AD0E"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$28,867</w:t>
            </w:r>
          </w:p>
        </w:tc>
        <w:tc>
          <w:tcPr>
            <w:tcW w:w="1974" w:type="dxa"/>
            <w:tcBorders>
              <w:top w:val="single" w:sz="4" w:space="0" w:color="auto"/>
            </w:tcBorders>
          </w:tcPr>
          <w:p w14:paraId="4928ADA7"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$39,790</w:t>
            </w:r>
          </w:p>
        </w:tc>
      </w:tr>
      <w:tr w:rsidR="0090234D" w:rsidRPr="00404724" w14:paraId="67FFE5A7" w14:textId="77777777" w:rsidTr="00BB3FB3">
        <w:trPr>
          <w:cantSplit/>
        </w:trPr>
        <w:tc>
          <w:tcPr>
            <w:tcW w:w="1972" w:type="dxa"/>
          </w:tcPr>
          <w:p w14:paraId="251E8721" w14:textId="77777777" w:rsidR="0090234D" w:rsidRPr="00404724" w:rsidRDefault="0090234D" w:rsidP="00AF3303">
            <w:pPr>
              <w:spacing w:before="80"/>
              <w:rPr>
                <w:rFonts w:asciiTheme="minorHAnsi" w:hAnsiTheme="minorHAnsi"/>
                <w:lang w:val="en-AU"/>
              </w:rPr>
            </w:pPr>
            <w:r w:rsidRPr="00404724">
              <w:rPr>
                <w:rFonts w:asciiTheme="minorHAnsi" w:hAnsiTheme="minorHAnsi"/>
                <w:lang w:val="en-AU"/>
              </w:rPr>
              <w:t>Quality of life</w:t>
            </w:r>
          </w:p>
        </w:tc>
        <w:tc>
          <w:tcPr>
            <w:tcW w:w="1972" w:type="dxa"/>
          </w:tcPr>
          <w:p w14:paraId="1F32CD50"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$672,766</w:t>
            </w:r>
          </w:p>
        </w:tc>
        <w:tc>
          <w:tcPr>
            <w:tcW w:w="1973" w:type="dxa"/>
            <w:tcBorders>
              <w:right w:val="single" w:sz="4" w:space="0" w:color="auto"/>
            </w:tcBorders>
          </w:tcPr>
          <w:p w14:paraId="7AFB451C"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$927,344</w:t>
            </w:r>
          </w:p>
        </w:tc>
        <w:tc>
          <w:tcPr>
            <w:tcW w:w="1973" w:type="dxa"/>
            <w:tcBorders>
              <w:top w:val="single" w:sz="4" w:space="0" w:color="auto"/>
              <w:left w:val="single" w:sz="4" w:space="0" w:color="auto"/>
            </w:tcBorders>
          </w:tcPr>
          <w:p w14:paraId="14973537"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$72,180</w:t>
            </w:r>
          </w:p>
        </w:tc>
        <w:tc>
          <w:tcPr>
            <w:tcW w:w="1974" w:type="dxa"/>
            <w:tcBorders>
              <w:top w:val="single" w:sz="4" w:space="0" w:color="auto"/>
            </w:tcBorders>
          </w:tcPr>
          <w:p w14:paraId="07E14425"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$99,493</w:t>
            </w:r>
          </w:p>
        </w:tc>
      </w:tr>
      <w:tr w:rsidR="0090234D" w:rsidRPr="00404724" w14:paraId="27EED5DC" w14:textId="77777777" w:rsidTr="00BB3FB3">
        <w:trPr>
          <w:cantSplit/>
        </w:trPr>
        <w:tc>
          <w:tcPr>
            <w:tcW w:w="1972" w:type="dxa"/>
          </w:tcPr>
          <w:p w14:paraId="5F1A29EF" w14:textId="77777777" w:rsidR="0090234D" w:rsidRPr="00404724" w:rsidRDefault="0090234D" w:rsidP="00AF3303">
            <w:pPr>
              <w:spacing w:before="80"/>
              <w:rPr>
                <w:rFonts w:asciiTheme="minorHAnsi" w:hAnsiTheme="minorHAnsi"/>
                <w:lang w:val="en-AU"/>
              </w:rPr>
            </w:pPr>
            <w:r w:rsidRPr="00404724">
              <w:rPr>
                <w:rFonts w:asciiTheme="minorHAnsi" w:hAnsiTheme="minorHAnsi"/>
                <w:lang w:val="en-AU"/>
              </w:rPr>
              <w:t>Insurance claims</w:t>
            </w:r>
          </w:p>
        </w:tc>
        <w:tc>
          <w:tcPr>
            <w:tcW w:w="1972" w:type="dxa"/>
          </w:tcPr>
          <w:p w14:paraId="09C78FBE"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$18,495</w:t>
            </w:r>
          </w:p>
        </w:tc>
        <w:tc>
          <w:tcPr>
            <w:tcW w:w="1973" w:type="dxa"/>
            <w:tcBorders>
              <w:right w:val="single" w:sz="4" w:space="0" w:color="auto"/>
            </w:tcBorders>
          </w:tcPr>
          <w:p w14:paraId="47E21E4D"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$25,494</w:t>
            </w:r>
          </w:p>
        </w:tc>
        <w:tc>
          <w:tcPr>
            <w:tcW w:w="1973" w:type="dxa"/>
            <w:tcBorders>
              <w:top w:val="single" w:sz="4" w:space="0" w:color="auto"/>
              <w:left w:val="single" w:sz="4" w:space="0" w:color="auto"/>
            </w:tcBorders>
          </w:tcPr>
          <w:p w14:paraId="48B1453E"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$32,592</w:t>
            </w:r>
          </w:p>
        </w:tc>
        <w:tc>
          <w:tcPr>
            <w:tcW w:w="1974" w:type="dxa"/>
            <w:tcBorders>
              <w:top w:val="single" w:sz="4" w:space="0" w:color="auto"/>
            </w:tcBorders>
          </w:tcPr>
          <w:p w14:paraId="53BA2A1F"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$44,925</w:t>
            </w:r>
          </w:p>
        </w:tc>
      </w:tr>
      <w:tr w:rsidR="0090234D" w:rsidRPr="00404724" w14:paraId="46FEEE92" w14:textId="77777777" w:rsidTr="00BB3FB3">
        <w:trPr>
          <w:cantSplit/>
        </w:trPr>
        <w:tc>
          <w:tcPr>
            <w:tcW w:w="1972" w:type="dxa"/>
          </w:tcPr>
          <w:p w14:paraId="108F104C" w14:textId="77777777" w:rsidR="0090234D" w:rsidRPr="00404724" w:rsidRDefault="0090234D" w:rsidP="00AF3303">
            <w:pPr>
              <w:spacing w:before="80"/>
              <w:rPr>
                <w:rFonts w:asciiTheme="minorHAnsi" w:hAnsiTheme="minorHAnsi"/>
                <w:lang w:val="en-AU"/>
              </w:rPr>
            </w:pPr>
            <w:r w:rsidRPr="00404724">
              <w:rPr>
                <w:rFonts w:asciiTheme="minorHAnsi" w:hAnsiTheme="minorHAnsi"/>
                <w:lang w:val="en-AU"/>
              </w:rPr>
              <w:t>Criminal prosecution</w:t>
            </w:r>
          </w:p>
        </w:tc>
        <w:tc>
          <w:tcPr>
            <w:tcW w:w="1972" w:type="dxa"/>
          </w:tcPr>
          <w:p w14:paraId="5B70F000"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$2,386</w:t>
            </w:r>
          </w:p>
        </w:tc>
        <w:tc>
          <w:tcPr>
            <w:tcW w:w="1973" w:type="dxa"/>
            <w:tcBorders>
              <w:right w:val="single" w:sz="4" w:space="0" w:color="auto"/>
            </w:tcBorders>
          </w:tcPr>
          <w:p w14:paraId="16B41947"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$3,289</w:t>
            </w:r>
          </w:p>
        </w:tc>
        <w:tc>
          <w:tcPr>
            <w:tcW w:w="1973" w:type="dxa"/>
            <w:tcBorders>
              <w:top w:val="single" w:sz="4" w:space="0" w:color="auto"/>
              <w:left w:val="single" w:sz="4" w:space="0" w:color="auto"/>
            </w:tcBorders>
          </w:tcPr>
          <w:p w14:paraId="163A7424"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$690</w:t>
            </w:r>
          </w:p>
        </w:tc>
        <w:tc>
          <w:tcPr>
            <w:tcW w:w="1974" w:type="dxa"/>
            <w:tcBorders>
              <w:top w:val="single" w:sz="4" w:space="0" w:color="auto"/>
            </w:tcBorders>
          </w:tcPr>
          <w:p w14:paraId="5B863728"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$951</w:t>
            </w:r>
          </w:p>
        </w:tc>
      </w:tr>
      <w:tr w:rsidR="0090234D" w:rsidRPr="00404724" w14:paraId="313A5498" w14:textId="77777777" w:rsidTr="00BB3FB3">
        <w:trPr>
          <w:cantSplit/>
        </w:trPr>
        <w:tc>
          <w:tcPr>
            <w:tcW w:w="1972" w:type="dxa"/>
          </w:tcPr>
          <w:p w14:paraId="3D13263D" w14:textId="77777777" w:rsidR="0090234D" w:rsidRPr="00404724" w:rsidRDefault="0090234D" w:rsidP="00AF3303">
            <w:pPr>
              <w:spacing w:before="80"/>
              <w:rPr>
                <w:rFonts w:asciiTheme="minorHAnsi" w:hAnsiTheme="minorHAnsi"/>
                <w:lang w:val="en-AU"/>
              </w:rPr>
            </w:pPr>
            <w:r w:rsidRPr="00404724">
              <w:rPr>
                <w:rFonts w:asciiTheme="minorHAnsi" w:hAnsiTheme="minorHAnsi"/>
                <w:lang w:val="en-AU"/>
              </w:rPr>
              <w:lastRenderedPageBreak/>
              <w:t>Correctional services</w:t>
            </w:r>
          </w:p>
        </w:tc>
        <w:tc>
          <w:tcPr>
            <w:tcW w:w="1972" w:type="dxa"/>
          </w:tcPr>
          <w:p w14:paraId="22AECBC7"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$13,117</w:t>
            </w:r>
          </w:p>
        </w:tc>
        <w:tc>
          <w:tcPr>
            <w:tcW w:w="1973" w:type="dxa"/>
            <w:tcBorders>
              <w:right w:val="single" w:sz="4" w:space="0" w:color="auto"/>
            </w:tcBorders>
          </w:tcPr>
          <w:p w14:paraId="26CC4E10"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$18,081</w:t>
            </w:r>
          </w:p>
        </w:tc>
        <w:tc>
          <w:tcPr>
            <w:tcW w:w="1973" w:type="dxa"/>
            <w:tcBorders>
              <w:top w:val="single" w:sz="4" w:space="0" w:color="auto"/>
              <w:left w:val="single" w:sz="4" w:space="0" w:color="auto"/>
            </w:tcBorders>
          </w:tcPr>
          <w:p w14:paraId="06DB7B35"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w:t>
            </w:r>
          </w:p>
        </w:tc>
        <w:tc>
          <w:tcPr>
            <w:tcW w:w="1974" w:type="dxa"/>
            <w:tcBorders>
              <w:top w:val="single" w:sz="4" w:space="0" w:color="auto"/>
            </w:tcBorders>
          </w:tcPr>
          <w:p w14:paraId="2D1246FE"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w:t>
            </w:r>
          </w:p>
        </w:tc>
      </w:tr>
      <w:tr w:rsidR="0090234D" w:rsidRPr="00404724" w14:paraId="2C5EEBD2" w14:textId="77777777" w:rsidTr="00BB3FB3">
        <w:trPr>
          <w:cantSplit/>
        </w:trPr>
        <w:tc>
          <w:tcPr>
            <w:tcW w:w="1972" w:type="dxa"/>
          </w:tcPr>
          <w:p w14:paraId="25CC084A" w14:textId="77777777" w:rsidR="0090234D" w:rsidRPr="00404724" w:rsidRDefault="0090234D" w:rsidP="00AF3303">
            <w:pPr>
              <w:spacing w:before="80"/>
              <w:rPr>
                <w:rFonts w:asciiTheme="minorHAnsi" w:hAnsiTheme="minorHAnsi"/>
                <w:lang w:val="en-AU"/>
              </w:rPr>
            </w:pPr>
            <w:r w:rsidRPr="00404724">
              <w:rPr>
                <w:rFonts w:asciiTheme="minorHAnsi" w:hAnsiTheme="minorHAnsi"/>
                <w:lang w:val="en-AU"/>
              </w:rPr>
              <w:t>Workplace disruptions</w:t>
            </w:r>
          </w:p>
        </w:tc>
        <w:tc>
          <w:tcPr>
            <w:tcW w:w="1972" w:type="dxa"/>
          </w:tcPr>
          <w:p w14:paraId="1F66B3C9"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$12,449</w:t>
            </w:r>
          </w:p>
        </w:tc>
        <w:tc>
          <w:tcPr>
            <w:tcW w:w="1973" w:type="dxa"/>
            <w:tcBorders>
              <w:right w:val="single" w:sz="4" w:space="0" w:color="auto"/>
            </w:tcBorders>
          </w:tcPr>
          <w:p w14:paraId="420BE2A3"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$17,160</w:t>
            </w:r>
          </w:p>
        </w:tc>
        <w:tc>
          <w:tcPr>
            <w:tcW w:w="1973" w:type="dxa"/>
            <w:tcBorders>
              <w:top w:val="single" w:sz="4" w:space="0" w:color="auto"/>
              <w:left w:val="single" w:sz="4" w:space="0" w:color="auto"/>
            </w:tcBorders>
          </w:tcPr>
          <w:p w14:paraId="5D025F08"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$12,794</w:t>
            </w:r>
          </w:p>
        </w:tc>
        <w:tc>
          <w:tcPr>
            <w:tcW w:w="1974" w:type="dxa"/>
            <w:tcBorders>
              <w:top w:val="single" w:sz="4" w:space="0" w:color="auto"/>
            </w:tcBorders>
          </w:tcPr>
          <w:p w14:paraId="3F048B40"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$17,635</w:t>
            </w:r>
          </w:p>
        </w:tc>
      </w:tr>
      <w:tr w:rsidR="0090234D" w:rsidRPr="00404724" w14:paraId="4C7F61B0" w14:textId="77777777" w:rsidTr="00BB3FB3">
        <w:trPr>
          <w:cantSplit/>
        </w:trPr>
        <w:tc>
          <w:tcPr>
            <w:tcW w:w="1972" w:type="dxa"/>
          </w:tcPr>
          <w:p w14:paraId="50899B66" w14:textId="77777777" w:rsidR="0090234D" w:rsidRPr="00404724" w:rsidRDefault="0090234D" w:rsidP="00AF3303">
            <w:pPr>
              <w:spacing w:before="80"/>
              <w:rPr>
                <w:rFonts w:asciiTheme="minorHAnsi" w:hAnsiTheme="minorHAnsi"/>
                <w:lang w:val="en-AU"/>
              </w:rPr>
            </w:pPr>
            <w:r w:rsidRPr="00404724">
              <w:rPr>
                <w:rFonts w:asciiTheme="minorHAnsi" w:hAnsiTheme="minorHAnsi"/>
                <w:lang w:val="en-AU"/>
              </w:rPr>
              <w:t>Funeral</w:t>
            </w:r>
          </w:p>
        </w:tc>
        <w:tc>
          <w:tcPr>
            <w:tcW w:w="1972" w:type="dxa"/>
          </w:tcPr>
          <w:p w14:paraId="4A1B762A"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$2,620</w:t>
            </w:r>
          </w:p>
        </w:tc>
        <w:tc>
          <w:tcPr>
            <w:tcW w:w="1973" w:type="dxa"/>
            <w:tcBorders>
              <w:right w:val="single" w:sz="4" w:space="0" w:color="auto"/>
            </w:tcBorders>
          </w:tcPr>
          <w:p w14:paraId="1A91087F"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$3,611</w:t>
            </w:r>
          </w:p>
        </w:tc>
        <w:tc>
          <w:tcPr>
            <w:tcW w:w="1973" w:type="dxa"/>
            <w:tcBorders>
              <w:top w:val="single" w:sz="4" w:space="0" w:color="auto"/>
              <w:left w:val="single" w:sz="4" w:space="0" w:color="auto"/>
            </w:tcBorders>
          </w:tcPr>
          <w:p w14:paraId="48FF9E71"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w:t>
            </w:r>
          </w:p>
        </w:tc>
        <w:tc>
          <w:tcPr>
            <w:tcW w:w="1974" w:type="dxa"/>
            <w:tcBorders>
              <w:top w:val="single" w:sz="4" w:space="0" w:color="auto"/>
            </w:tcBorders>
          </w:tcPr>
          <w:p w14:paraId="116E38A2"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w:t>
            </w:r>
          </w:p>
        </w:tc>
      </w:tr>
      <w:tr w:rsidR="0090234D" w:rsidRPr="00404724" w14:paraId="5C683230" w14:textId="77777777" w:rsidTr="00BB3FB3">
        <w:trPr>
          <w:cantSplit/>
        </w:trPr>
        <w:tc>
          <w:tcPr>
            <w:tcW w:w="1972" w:type="dxa"/>
          </w:tcPr>
          <w:p w14:paraId="4DD377AD" w14:textId="77777777" w:rsidR="0090234D" w:rsidRPr="00404724" w:rsidRDefault="0090234D" w:rsidP="00AF3303">
            <w:pPr>
              <w:spacing w:before="80"/>
              <w:rPr>
                <w:rFonts w:asciiTheme="minorHAnsi" w:hAnsiTheme="minorHAnsi"/>
                <w:lang w:val="en-AU"/>
              </w:rPr>
            </w:pPr>
            <w:r w:rsidRPr="00404724">
              <w:rPr>
                <w:rFonts w:asciiTheme="minorHAnsi" w:hAnsiTheme="minorHAnsi"/>
                <w:lang w:val="en-AU"/>
              </w:rPr>
              <w:t>Coroner</w:t>
            </w:r>
          </w:p>
        </w:tc>
        <w:tc>
          <w:tcPr>
            <w:tcW w:w="1972" w:type="dxa"/>
          </w:tcPr>
          <w:p w14:paraId="44A3006A"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$860</w:t>
            </w:r>
          </w:p>
        </w:tc>
        <w:tc>
          <w:tcPr>
            <w:tcW w:w="1973" w:type="dxa"/>
            <w:tcBorders>
              <w:right w:val="single" w:sz="4" w:space="0" w:color="auto"/>
            </w:tcBorders>
          </w:tcPr>
          <w:p w14:paraId="3C53B0CF"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$1,185</w:t>
            </w:r>
          </w:p>
        </w:tc>
        <w:tc>
          <w:tcPr>
            <w:tcW w:w="1973" w:type="dxa"/>
            <w:tcBorders>
              <w:top w:val="single" w:sz="4" w:space="0" w:color="auto"/>
              <w:left w:val="single" w:sz="4" w:space="0" w:color="auto"/>
            </w:tcBorders>
          </w:tcPr>
          <w:p w14:paraId="71B2C7EB"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w:t>
            </w:r>
          </w:p>
        </w:tc>
        <w:tc>
          <w:tcPr>
            <w:tcW w:w="1974" w:type="dxa"/>
            <w:tcBorders>
              <w:top w:val="single" w:sz="4" w:space="0" w:color="auto"/>
            </w:tcBorders>
          </w:tcPr>
          <w:p w14:paraId="72AC7096"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w:t>
            </w:r>
          </w:p>
        </w:tc>
      </w:tr>
      <w:tr w:rsidR="0090234D" w:rsidRPr="00404724" w14:paraId="37AB260E" w14:textId="77777777" w:rsidTr="00BB3FB3">
        <w:trPr>
          <w:cantSplit/>
        </w:trPr>
        <w:tc>
          <w:tcPr>
            <w:tcW w:w="1972" w:type="dxa"/>
            <w:shd w:val="clear" w:color="auto" w:fill="C8ECFA" w:themeFill="accent3" w:themeFillTint="66"/>
          </w:tcPr>
          <w:p w14:paraId="245A337B" w14:textId="77777777" w:rsidR="0090234D" w:rsidRPr="00404724" w:rsidRDefault="0090234D" w:rsidP="00AF3303">
            <w:pPr>
              <w:spacing w:before="80"/>
              <w:rPr>
                <w:rFonts w:asciiTheme="minorHAnsi" w:hAnsiTheme="minorHAnsi"/>
                <w:lang w:val="en-AU"/>
              </w:rPr>
            </w:pPr>
            <w:r w:rsidRPr="00404724">
              <w:rPr>
                <w:rFonts w:asciiTheme="minorHAnsi" w:hAnsiTheme="minorHAnsi"/>
                <w:lang w:val="en-AU"/>
              </w:rPr>
              <w:t>Total human cost</w:t>
            </w:r>
          </w:p>
        </w:tc>
        <w:tc>
          <w:tcPr>
            <w:tcW w:w="1972" w:type="dxa"/>
            <w:shd w:val="clear" w:color="auto" w:fill="C8ECFA" w:themeFill="accent3" w:themeFillTint="66"/>
          </w:tcPr>
          <w:p w14:paraId="3375B992"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$2,069,274</w:t>
            </w:r>
          </w:p>
        </w:tc>
        <w:tc>
          <w:tcPr>
            <w:tcW w:w="1973" w:type="dxa"/>
            <w:tcBorders>
              <w:right w:val="single" w:sz="4" w:space="0" w:color="auto"/>
            </w:tcBorders>
            <w:shd w:val="clear" w:color="auto" w:fill="C8ECFA" w:themeFill="accent3" w:themeFillTint="66"/>
          </w:tcPr>
          <w:p w14:paraId="465CDF3E"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$2,852,297</w:t>
            </w:r>
          </w:p>
        </w:tc>
        <w:tc>
          <w:tcPr>
            <w:tcW w:w="1973" w:type="dxa"/>
            <w:tcBorders>
              <w:top w:val="single" w:sz="4" w:space="0" w:color="auto"/>
              <w:left w:val="single" w:sz="4" w:space="0" w:color="auto"/>
            </w:tcBorders>
            <w:shd w:val="clear" w:color="auto" w:fill="C8ECFA" w:themeFill="accent3" w:themeFillTint="66"/>
          </w:tcPr>
          <w:p w14:paraId="73ED391E"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$335,077</w:t>
            </w:r>
          </w:p>
        </w:tc>
        <w:tc>
          <w:tcPr>
            <w:tcW w:w="1974" w:type="dxa"/>
            <w:tcBorders>
              <w:top w:val="single" w:sz="4" w:space="0" w:color="auto"/>
            </w:tcBorders>
            <w:shd w:val="clear" w:color="auto" w:fill="C8ECFA" w:themeFill="accent3" w:themeFillTint="66"/>
          </w:tcPr>
          <w:p w14:paraId="6EB52DCE"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$461,872</w:t>
            </w:r>
          </w:p>
        </w:tc>
      </w:tr>
      <w:tr w:rsidR="0090234D" w:rsidRPr="00404724" w14:paraId="3337BF0F" w14:textId="77777777" w:rsidTr="00BB3FB3">
        <w:trPr>
          <w:cantSplit/>
        </w:trPr>
        <w:tc>
          <w:tcPr>
            <w:tcW w:w="1972" w:type="dxa"/>
            <w:shd w:val="clear" w:color="auto" w:fill="B1CCF5" w:themeFill="accent1" w:themeFillTint="33"/>
          </w:tcPr>
          <w:p w14:paraId="3BDFC86B" w14:textId="77777777" w:rsidR="0090234D" w:rsidRPr="00404724" w:rsidRDefault="0090234D" w:rsidP="00AF3303">
            <w:pPr>
              <w:spacing w:before="80"/>
              <w:rPr>
                <w:rFonts w:asciiTheme="minorHAnsi" w:hAnsiTheme="minorHAnsi"/>
                <w:lang w:val="en-AU"/>
              </w:rPr>
            </w:pPr>
            <w:r w:rsidRPr="00404724">
              <w:rPr>
                <w:rFonts w:asciiTheme="minorHAnsi" w:hAnsiTheme="minorHAnsi"/>
                <w:lang w:val="en-AU"/>
              </w:rPr>
              <w:t>Vehicle costs</w:t>
            </w:r>
          </w:p>
        </w:tc>
        <w:tc>
          <w:tcPr>
            <w:tcW w:w="1972" w:type="dxa"/>
            <w:shd w:val="clear" w:color="auto" w:fill="B1CCF5" w:themeFill="accent1" w:themeFillTint="33"/>
          </w:tcPr>
          <w:p w14:paraId="131888D7" w14:textId="77777777" w:rsidR="0090234D" w:rsidRPr="00404724" w:rsidRDefault="0090234D" w:rsidP="009F6CA8">
            <w:pPr>
              <w:spacing w:before="80"/>
              <w:jc w:val="right"/>
              <w:rPr>
                <w:rFonts w:asciiTheme="minorHAnsi" w:hAnsiTheme="minorHAnsi"/>
                <w:lang w:val="en-AU"/>
              </w:rPr>
            </w:pPr>
          </w:p>
        </w:tc>
        <w:tc>
          <w:tcPr>
            <w:tcW w:w="1973" w:type="dxa"/>
            <w:tcBorders>
              <w:right w:val="single" w:sz="4" w:space="0" w:color="auto"/>
            </w:tcBorders>
            <w:shd w:val="clear" w:color="auto" w:fill="B1CCF5" w:themeFill="accent1" w:themeFillTint="33"/>
          </w:tcPr>
          <w:p w14:paraId="2F465D06" w14:textId="77777777" w:rsidR="0090234D" w:rsidRPr="00404724" w:rsidRDefault="0090234D" w:rsidP="009F6CA8">
            <w:pPr>
              <w:spacing w:before="80"/>
              <w:jc w:val="right"/>
              <w:rPr>
                <w:rFonts w:asciiTheme="minorHAnsi" w:hAnsiTheme="minorHAnsi"/>
                <w:lang w:val="en-AU"/>
              </w:rPr>
            </w:pPr>
          </w:p>
        </w:tc>
        <w:tc>
          <w:tcPr>
            <w:tcW w:w="1973" w:type="dxa"/>
            <w:tcBorders>
              <w:top w:val="single" w:sz="4" w:space="0" w:color="auto"/>
              <w:left w:val="single" w:sz="4" w:space="0" w:color="auto"/>
            </w:tcBorders>
            <w:shd w:val="clear" w:color="auto" w:fill="B1CCF5" w:themeFill="accent1" w:themeFillTint="33"/>
          </w:tcPr>
          <w:p w14:paraId="396B7C82" w14:textId="77777777" w:rsidR="0090234D" w:rsidRPr="00404724" w:rsidRDefault="0090234D" w:rsidP="009F6CA8">
            <w:pPr>
              <w:spacing w:before="80"/>
              <w:jc w:val="right"/>
              <w:rPr>
                <w:rFonts w:asciiTheme="minorHAnsi" w:hAnsiTheme="minorHAnsi"/>
                <w:lang w:val="en-AU"/>
              </w:rPr>
            </w:pPr>
          </w:p>
        </w:tc>
        <w:tc>
          <w:tcPr>
            <w:tcW w:w="1974" w:type="dxa"/>
            <w:tcBorders>
              <w:top w:val="single" w:sz="4" w:space="0" w:color="auto"/>
            </w:tcBorders>
            <w:shd w:val="clear" w:color="auto" w:fill="B1CCF5" w:themeFill="accent1" w:themeFillTint="33"/>
          </w:tcPr>
          <w:p w14:paraId="6B944C15" w14:textId="77777777" w:rsidR="0090234D" w:rsidRPr="00404724" w:rsidRDefault="0090234D" w:rsidP="009F6CA8">
            <w:pPr>
              <w:spacing w:before="80"/>
              <w:jc w:val="right"/>
              <w:rPr>
                <w:rFonts w:asciiTheme="minorHAnsi" w:hAnsiTheme="minorHAnsi"/>
                <w:lang w:val="en-AU"/>
              </w:rPr>
            </w:pPr>
          </w:p>
        </w:tc>
      </w:tr>
      <w:tr w:rsidR="0090234D" w:rsidRPr="00404724" w14:paraId="36D0668D" w14:textId="77777777" w:rsidTr="00BB3FB3">
        <w:trPr>
          <w:cantSplit/>
        </w:trPr>
        <w:tc>
          <w:tcPr>
            <w:tcW w:w="1972" w:type="dxa"/>
          </w:tcPr>
          <w:p w14:paraId="7CA97EFB" w14:textId="77777777" w:rsidR="0090234D" w:rsidRPr="00404724" w:rsidRDefault="0090234D" w:rsidP="00AF3303">
            <w:pPr>
              <w:spacing w:before="80"/>
              <w:rPr>
                <w:rFonts w:asciiTheme="minorHAnsi" w:hAnsiTheme="minorHAnsi"/>
                <w:lang w:val="en-AU"/>
              </w:rPr>
            </w:pPr>
            <w:r w:rsidRPr="00404724">
              <w:rPr>
                <w:rFonts w:asciiTheme="minorHAnsi" w:hAnsiTheme="minorHAnsi"/>
                <w:lang w:val="en-AU"/>
              </w:rPr>
              <w:t>Repairs</w:t>
            </w:r>
          </w:p>
        </w:tc>
        <w:tc>
          <w:tcPr>
            <w:tcW w:w="1972" w:type="dxa"/>
          </w:tcPr>
          <w:p w14:paraId="0D796FE7"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$13,585</w:t>
            </w:r>
          </w:p>
        </w:tc>
        <w:tc>
          <w:tcPr>
            <w:tcW w:w="1973" w:type="dxa"/>
            <w:tcBorders>
              <w:right w:val="single" w:sz="4" w:space="0" w:color="auto"/>
            </w:tcBorders>
          </w:tcPr>
          <w:p w14:paraId="06C6A931"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$18,726</w:t>
            </w:r>
          </w:p>
        </w:tc>
        <w:tc>
          <w:tcPr>
            <w:tcW w:w="1973" w:type="dxa"/>
            <w:tcBorders>
              <w:top w:val="single" w:sz="4" w:space="0" w:color="auto"/>
              <w:left w:val="single" w:sz="4" w:space="0" w:color="auto"/>
            </w:tcBorders>
          </w:tcPr>
          <w:p w14:paraId="0E558017"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$11,352</w:t>
            </w:r>
          </w:p>
        </w:tc>
        <w:tc>
          <w:tcPr>
            <w:tcW w:w="1974" w:type="dxa"/>
            <w:tcBorders>
              <w:top w:val="single" w:sz="4" w:space="0" w:color="auto"/>
            </w:tcBorders>
          </w:tcPr>
          <w:p w14:paraId="011FAA2E"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$15,648</w:t>
            </w:r>
          </w:p>
        </w:tc>
      </w:tr>
      <w:tr w:rsidR="0090234D" w:rsidRPr="00404724" w14:paraId="267621F8" w14:textId="77777777" w:rsidTr="00BB3FB3">
        <w:trPr>
          <w:cantSplit/>
        </w:trPr>
        <w:tc>
          <w:tcPr>
            <w:tcW w:w="1972" w:type="dxa"/>
          </w:tcPr>
          <w:p w14:paraId="73FAFFC5" w14:textId="77777777" w:rsidR="0090234D" w:rsidRPr="00404724" w:rsidRDefault="0090234D" w:rsidP="00AF3303">
            <w:pPr>
              <w:spacing w:before="80"/>
              <w:rPr>
                <w:rFonts w:asciiTheme="minorHAnsi" w:hAnsiTheme="minorHAnsi"/>
                <w:lang w:val="en-AU"/>
              </w:rPr>
            </w:pPr>
            <w:r w:rsidRPr="00404724">
              <w:rPr>
                <w:rFonts w:asciiTheme="minorHAnsi" w:hAnsiTheme="minorHAnsi"/>
                <w:lang w:val="en-AU"/>
              </w:rPr>
              <w:t>Unavailability of vehicles</w:t>
            </w:r>
          </w:p>
        </w:tc>
        <w:tc>
          <w:tcPr>
            <w:tcW w:w="1972" w:type="dxa"/>
          </w:tcPr>
          <w:p w14:paraId="7F3317FB"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$1,724</w:t>
            </w:r>
          </w:p>
        </w:tc>
        <w:tc>
          <w:tcPr>
            <w:tcW w:w="1973" w:type="dxa"/>
            <w:tcBorders>
              <w:right w:val="single" w:sz="4" w:space="0" w:color="auto"/>
            </w:tcBorders>
          </w:tcPr>
          <w:p w14:paraId="662BFC48"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$2,376</w:t>
            </w:r>
          </w:p>
        </w:tc>
        <w:tc>
          <w:tcPr>
            <w:tcW w:w="1973" w:type="dxa"/>
            <w:tcBorders>
              <w:top w:val="single" w:sz="4" w:space="0" w:color="auto"/>
              <w:left w:val="single" w:sz="4" w:space="0" w:color="auto"/>
            </w:tcBorders>
          </w:tcPr>
          <w:p w14:paraId="407A38FD"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$1,529</w:t>
            </w:r>
          </w:p>
        </w:tc>
        <w:tc>
          <w:tcPr>
            <w:tcW w:w="1974" w:type="dxa"/>
            <w:tcBorders>
              <w:top w:val="single" w:sz="4" w:space="0" w:color="auto"/>
            </w:tcBorders>
          </w:tcPr>
          <w:p w14:paraId="2BE90BCA"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$2,108</w:t>
            </w:r>
          </w:p>
        </w:tc>
      </w:tr>
      <w:tr w:rsidR="0090234D" w:rsidRPr="00404724" w14:paraId="6C21A750" w14:textId="77777777" w:rsidTr="00BB3FB3">
        <w:trPr>
          <w:cantSplit/>
        </w:trPr>
        <w:tc>
          <w:tcPr>
            <w:tcW w:w="1972" w:type="dxa"/>
          </w:tcPr>
          <w:p w14:paraId="1D01FBEA" w14:textId="77777777" w:rsidR="0090234D" w:rsidRPr="00404724" w:rsidRDefault="0090234D" w:rsidP="00AF3303">
            <w:pPr>
              <w:spacing w:before="80"/>
              <w:rPr>
                <w:rFonts w:asciiTheme="minorHAnsi" w:hAnsiTheme="minorHAnsi"/>
                <w:lang w:val="en-AU"/>
              </w:rPr>
            </w:pPr>
            <w:r w:rsidRPr="00404724">
              <w:rPr>
                <w:rFonts w:asciiTheme="minorHAnsi" w:hAnsiTheme="minorHAnsi"/>
                <w:lang w:val="en-AU"/>
              </w:rPr>
              <w:t>Towing</w:t>
            </w:r>
          </w:p>
        </w:tc>
        <w:tc>
          <w:tcPr>
            <w:tcW w:w="1972" w:type="dxa"/>
          </w:tcPr>
          <w:p w14:paraId="702A0B29"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$405</w:t>
            </w:r>
          </w:p>
        </w:tc>
        <w:tc>
          <w:tcPr>
            <w:tcW w:w="1973" w:type="dxa"/>
            <w:tcBorders>
              <w:right w:val="single" w:sz="4" w:space="0" w:color="auto"/>
            </w:tcBorders>
          </w:tcPr>
          <w:p w14:paraId="17FB04DB"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$558</w:t>
            </w:r>
          </w:p>
        </w:tc>
        <w:tc>
          <w:tcPr>
            <w:tcW w:w="1973" w:type="dxa"/>
            <w:tcBorders>
              <w:top w:val="single" w:sz="4" w:space="0" w:color="auto"/>
              <w:left w:val="single" w:sz="4" w:space="0" w:color="auto"/>
            </w:tcBorders>
          </w:tcPr>
          <w:p w14:paraId="13F5FAD6"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$360</w:t>
            </w:r>
          </w:p>
        </w:tc>
        <w:tc>
          <w:tcPr>
            <w:tcW w:w="1974" w:type="dxa"/>
            <w:tcBorders>
              <w:top w:val="single" w:sz="4" w:space="0" w:color="auto"/>
            </w:tcBorders>
          </w:tcPr>
          <w:p w14:paraId="5EA49CD6"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$496</w:t>
            </w:r>
          </w:p>
        </w:tc>
      </w:tr>
      <w:tr w:rsidR="0090234D" w:rsidRPr="00404724" w14:paraId="7BBDAEB1" w14:textId="77777777" w:rsidTr="00BB3FB3">
        <w:trPr>
          <w:cantSplit/>
        </w:trPr>
        <w:tc>
          <w:tcPr>
            <w:tcW w:w="1972" w:type="dxa"/>
            <w:shd w:val="clear" w:color="auto" w:fill="C8ECFA" w:themeFill="accent3" w:themeFillTint="66"/>
          </w:tcPr>
          <w:p w14:paraId="621CA5A4" w14:textId="77777777" w:rsidR="0090234D" w:rsidRPr="00404724" w:rsidRDefault="0090234D" w:rsidP="00AF3303">
            <w:pPr>
              <w:spacing w:before="80"/>
              <w:rPr>
                <w:rFonts w:asciiTheme="minorHAnsi" w:hAnsiTheme="minorHAnsi"/>
                <w:lang w:val="en-AU"/>
              </w:rPr>
            </w:pPr>
            <w:r w:rsidRPr="00404724">
              <w:rPr>
                <w:rFonts w:asciiTheme="minorHAnsi" w:hAnsiTheme="minorHAnsi"/>
                <w:lang w:val="en-AU"/>
              </w:rPr>
              <w:t>Total vehicle costs</w:t>
            </w:r>
          </w:p>
        </w:tc>
        <w:tc>
          <w:tcPr>
            <w:tcW w:w="1972" w:type="dxa"/>
            <w:shd w:val="clear" w:color="auto" w:fill="C8ECFA" w:themeFill="accent3" w:themeFillTint="66"/>
          </w:tcPr>
          <w:p w14:paraId="000B6EE8"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$15,714</w:t>
            </w:r>
          </w:p>
        </w:tc>
        <w:tc>
          <w:tcPr>
            <w:tcW w:w="1973" w:type="dxa"/>
            <w:tcBorders>
              <w:right w:val="single" w:sz="4" w:space="0" w:color="auto"/>
            </w:tcBorders>
            <w:shd w:val="clear" w:color="auto" w:fill="C8ECFA" w:themeFill="accent3" w:themeFillTint="66"/>
          </w:tcPr>
          <w:p w14:paraId="51AA6417"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$21,660</w:t>
            </w:r>
          </w:p>
        </w:tc>
        <w:tc>
          <w:tcPr>
            <w:tcW w:w="1973" w:type="dxa"/>
            <w:tcBorders>
              <w:top w:val="single" w:sz="4" w:space="0" w:color="auto"/>
              <w:left w:val="single" w:sz="4" w:space="0" w:color="auto"/>
            </w:tcBorders>
            <w:shd w:val="clear" w:color="auto" w:fill="C8ECFA" w:themeFill="accent3" w:themeFillTint="66"/>
          </w:tcPr>
          <w:p w14:paraId="10CEADD6"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$13,241</w:t>
            </w:r>
          </w:p>
        </w:tc>
        <w:tc>
          <w:tcPr>
            <w:tcW w:w="1974" w:type="dxa"/>
            <w:tcBorders>
              <w:top w:val="single" w:sz="4" w:space="0" w:color="auto"/>
            </w:tcBorders>
            <w:shd w:val="clear" w:color="auto" w:fill="C8ECFA" w:themeFill="accent3" w:themeFillTint="66"/>
          </w:tcPr>
          <w:p w14:paraId="63EFA5EF"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$18,251</w:t>
            </w:r>
          </w:p>
        </w:tc>
      </w:tr>
      <w:tr w:rsidR="0090234D" w:rsidRPr="00404724" w14:paraId="45BCE2F3" w14:textId="77777777" w:rsidTr="00BB3FB3">
        <w:trPr>
          <w:cantSplit/>
        </w:trPr>
        <w:tc>
          <w:tcPr>
            <w:tcW w:w="1972" w:type="dxa"/>
            <w:shd w:val="clear" w:color="auto" w:fill="B1CCF5" w:themeFill="accent1" w:themeFillTint="33"/>
          </w:tcPr>
          <w:p w14:paraId="36E3B995" w14:textId="77777777" w:rsidR="0090234D" w:rsidRPr="00404724" w:rsidRDefault="0090234D" w:rsidP="00AF3303">
            <w:pPr>
              <w:spacing w:before="80"/>
              <w:rPr>
                <w:rFonts w:asciiTheme="minorHAnsi" w:hAnsiTheme="minorHAnsi"/>
                <w:lang w:val="en-AU"/>
              </w:rPr>
            </w:pPr>
            <w:r w:rsidRPr="00404724">
              <w:rPr>
                <w:rFonts w:asciiTheme="minorHAnsi" w:hAnsiTheme="minorHAnsi"/>
                <w:lang w:val="en-AU"/>
              </w:rPr>
              <w:t>General costs</w:t>
            </w:r>
          </w:p>
        </w:tc>
        <w:tc>
          <w:tcPr>
            <w:tcW w:w="1972" w:type="dxa"/>
            <w:shd w:val="clear" w:color="auto" w:fill="B1CCF5" w:themeFill="accent1" w:themeFillTint="33"/>
          </w:tcPr>
          <w:p w14:paraId="59535794" w14:textId="77777777" w:rsidR="0090234D" w:rsidRPr="00404724" w:rsidRDefault="0090234D" w:rsidP="009F6CA8">
            <w:pPr>
              <w:spacing w:before="80"/>
              <w:jc w:val="right"/>
              <w:rPr>
                <w:rFonts w:asciiTheme="minorHAnsi" w:hAnsiTheme="minorHAnsi"/>
                <w:lang w:val="en-AU"/>
              </w:rPr>
            </w:pPr>
          </w:p>
        </w:tc>
        <w:tc>
          <w:tcPr>
            <w:tcW w:w="1973" w:type="dxa"/>
            <w:tcBorders>
              <w:right w:val="single" w:sz="4" w:space="0" w:color="auto"/>
            </w:tcBorders>
            <w:shd w:val="clear" w:color="auto" w:fill="B1CCF5" w:themeFill="accent1" w:themeFillTint="33"/>
          </w:tcPr>
          <w:p w14:paraId="6D53A96C" w14:textId="77777777" w:rsidR="0090234D" w:rsidRPr="00404724" w:rsidRDefault="0090234D" w:rsidP="009F6CA8">
            <w:pPr>
              <w:spacing w:before="80"/>
              <w:jc w:val="right"/>
              <w:rPr>
                <w:rFonts w:asciiTheme="minorHAnsi" w:hAnsiTheme="minorHAnsi"/>
                <w:lang w:val="en-AU"/>
              </w:rPr>
            </w:pPr>
          </w:p>
        </w:tc>
        <w:tc>
          <w:tcPr>
            <w:tcW w:w="1973" w:type="dxa"/>
            <w:tcBorders>
              <w:top w:val="single" w:sz="4" w:space="0" w:color="auto"/>
              <w:left w:val="single" w:sz="4" w:space="0" w:color="auto"/>
            </w:tcBorders>
            <w:shd w:val="clear" w:color="auto" w:fill="B1CCF5" w:themeFill="accent1" w:themeFillTint="33"/>
          </w:tcPr>
          <w:p w14:paraId="3D977A36" w14:textId="77777777" w:rsidR="0090234D" w:rsidRPr="00404724" w:rsidRDefault="0090234D" w:rsidP="009F6CA8">
            <w:pPr>
              <w:spacing w:before="80"/>
              <w:jc w:val="right"/>
              <w:rPr>
                <w:rFonts w:asciiTheme="minorHAnsi" w:hAnsiTheme="minorHAnsi"/>
                <w:lang w:val="en-AU"/>
              </w:rPr>
            </w:pPr>
          </w:p>
        </w:tc>
        <w:tc>
          <w:tcPr>
            <w:tcW w:w="1974" w:type="dxa"/>
            <w:tcBorders>
              <w:top w:val="single" w:sz="4" w:space="0" w:color="auto"/>
            </w:tcBorders>
            <w:shd w:val="clear" w:color="auto" w:fill="B1CCF5" w:themeFill="accent1" w:themeFillTint="33"/>
          </w:tcPr>
          <w:p w14:paraId="77384BB2" w14:textId="77777777" w:rsidR="0090234D" w:rsidRPr="00404724" w:rsidRDefault="0090234D" w:rsidP="009F6CA8">
            <w:pPr>
              <w:spacing w:before="80"/>
              <w:jc w:val="right"/>
              <w:rPr>
                <w:rFonts w:asciiTheme="minorHAnsi" w:hAnsiTheme="minorHAnsi"/>
                <w:lang w:val="en-AU"/>
              </w:rPr>
            </w:pPr>
          </w:p>
        </w:tc>
      </w:tr>
      <w:tr w:rsidR="0090234D" w:rsidRPr="00404724" w14:paraId="3D33BEF3" w14:textId="77777777" w:rsidTr="00BB3FB3">
        <w:trPr>
          <w:cantSplit/>
        </w:trPr>
        <w:tc>
          <w:tcPr>
            <w:tcW w:w="1972" w:type="dxa"/>
          </w:tcPr>
          <w:p w14:paraId="7A5B64B5" w14:textId="77777777" w:rsidR="0090234D" w:rsidRPr="00404724" w:rsidRDefault="0090234D" w:rsidP="00AF3303">
            <w:pPr>
              <w:spacing w:before="80"/>
              <w:rPr>
                <w:rFonts w:asciiTheme="minorHAnsi" w:hAnsiTheme="minorHAnsi"/>
                <w:lang w:val="en-AU"/>
              </w:rPr>
            </w:pPr>
            <w:r w:rsidRPr="00404724">
              <w:rPr>
                <w:rFonts w:asciiTheme="minorHAnsi" w:hAnsiTheme="minorHAnsi"/>
                <w:lang w:val="en-AU"/>
              </w:rPr>
              <w:t>Travel delays</w:t>
            </w:r>
          </w:p>
        </w:tc>
        <w:tc>
          <w:tcPr>
            <w:tcW w:w="1972" w:type="dxa"/>
          </w:tcPr>
          <w:p w14:paraId="1F336B31"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$73,483</w:t>
            </w:r>
          </w:p>
        </w:tc>
        <w:tc>
          <w:tcPr>
            <w:tcW w:w="1973" w:type="dxa"/>
            <w:tcBorders>
              <w:right w:val="single" w:sz="4" w:space="0" w:color="auto"/>
            </w:tcBorders>
          </w:tcPr>
          <w:p w14:paraId="12A3FEF6"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$101,289</w:t>
            </w:r>
          </w:p>
        </w:tc>
        <w:tc>
          <w:tcPr>
            <w:tcW w:w="1973" w:type="dxa"/>
            <w:tcBorders>
              <w:top w:val="single" w:sz="4" w:space="0" w:color="auto"/>
              <w:left w:val="single" w:sz="4" w:space="0" w:color="auto"/>
            </w:tcBorders>
          </w:tcPr>
          <w:p w14:paraId="3878D3C6"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$88,935</w:t>
            </w:r>
          </w:p>
        </w:tc>
        <w:tc>
          <w:tcPr>
            <w:tcW w:w="1974" w:type="dxa"/>
            <w:tcBorders>
              <w:top w:val="single" w:sz="4" w:space="0" w:color="auto"/>
            </w:tcBorders>
          </w:tcPr>
          <w:p w14:paraId="0E611372"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$122,588</w:t>
            </w:r>
          </w:p>
        </w:tc>
      </w:tr>
      <w:tr w:rsidR="0090234D" w:rsidRPr="00404724" w14:paraId="5987548E" w14:textId="77777777" w:rsidTr="00BB3FB3">
        <w:trPr>
          <w:cantSplit/>
        </w:trPr>
        <w:tc>
          <w:tcPr>
            <w:tcW w:w="1972" w:type="dxa"/>
          </w:tcPr>
          <w:p w14:paraId="05315582" w14:textId="77777777" w:rsidR="0090234D" w:rsidRPr="00404724" w:rsidRDefault="0090234D" w:rsidP="00AF3303">
            <w:pPr>
              <w:spacing w:before="80"/>
              <w:rPr>
                <w:rFonts w:asciiTheme="minorHAnsi" w:hAnsiTheme="minorHAnsi"/>
                <w:lang w:val="en-AU"/>
              </w:rPr>
            </w:pPr>
            <w:r w:rsidRPr="00404724">
              <w:rPr>
                <w:rFonts w:asciiTheme="minorHAnsi" w:hAnsiTheme="minorHAnsi"/>
                <w:lang w:val="en-AU"/>
              </w:rPr>
              <w:t>Insurance administration</w:t>
            </w:r>
          </w:p>
        </w:tc>
        <w:tc>
          <w:tcPr>
            <w:tcW w:w="1972" w:type="dxa"/>
          </w:tcPr>
          <w:p w14:paraId="50AA1EE9"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$47,089</w:t>
            </w:r>
          </w:p>
        </w:tc>
        <w:tc>
          <w:tcPr>
            <w:tcW w:w="1973" w:type="dxa"/>
            <w:tcBorders>
              <w:right w:val="single" w:sz="4" w:space="0" w:color="auto"/>
            </w:tcBorders>
          </w:tcPr>
          <w:p w14:paraId="2970C3D0"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$64,908</w:t>
            </w:r>
          </w:p>
        </w:tc>
        <w:tc>
          <w:tcPr>
            <w:tcW w:w="1973" w:type="dxa"/>
            <w:tcBorders>
              <w:top w:val="single" w:sz="4" w:space="0" w:color="auto"/>
              <w:left w:val="single" w:sz="4" w:space="0" w:color="auto"/>
            </w:tcBorders>
          </w:tcPr>
          <w:p w14:paraId="6614BD01"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$56,993</w:t>
            </w:r>
          </w:p>
        </w:tc>
        <w:tc>
          <w:tcPr>
            <w:tcW w:w="1974" w:type="dxa"/>
            <w:tcBorders>
              <w:top w:val="single" w:sz="4" w:space="0" w:color="auto"/>
            </w:tcBorders>
          </w:tcPr>
          <w:p w14:paraId="44A3C347"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$78,559</w:t>
            </w:r>
          </w:p>
        </w:tc>
      </w:tr>
      <w:tr w:rsidR="0090234D" w:rsidRPr="00404724" w14:paraId="622995CD" w14:textId="77777777" w:rsidTr="00BB3FB3">
        <w:trPr>
          <w:cantSplit/>
        </w:trPr>
        <w:tc>
          <w:tcPr>
            <w:tcW w:w="1972" w:type="dxa"/>
          </w:tcPr>
          <w:p w14:paraId="37C3BCA7" w14:textId="77777777" w:rsidR="0090234D" w:rsidRPr="00404724" w:rsidRDefault="0090234D" w:rsidP="00AF3303">
            <w:pPr>
              <w:spacing w:before="80"/>
              <w:rPr>
                <w:rFonts w:asciiTheme="minorHAnsi" w:hAnsiTheme="minorHAnsi"/>
                <w:lang w:val="en-AU"/>
              </w:rPr>
            </w:pPr>
            <w:r w:rsidRPr="00404724">
              <w:rPr>
                <w:rFonts w:asciiTheme="minorHAnsi" w:hAnsiTheme="minorHAnsi"/>
                <w:lang w:val="en-AU"/>
              </w:rPr>
              <w:t>Police</w:t>
            </w:r>
          </w:p>
        </w:tc>
        <w:tc>
          <w:tcPr>
            <w:tcW w:w="1972" w:type="dxa"/>
          </w:tcPr>
          <w:p w14:paraId="6B29302D"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$9,474</w:t>
            </w:r>
          </w:p>
        </w:tc>
        <w:tc>
          <w:tcPr>
            <w:tcW w:w="1973" w:type="dxa"/>
            <w:tcBorders>
              <w:right w:val="single" w:sz="4" w:space="0" w:color="auto"/>
            </w:tcBorders>
          </w:tcPr>
          <w:p w14:paraId="262A2290"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$13,059</w:t>
            </w:r>
          </w:p>
        </w:tc>
        <w:tc>
          <w:tcPr>
            <w:tcW w:w="1973" w:type="dxa"/>
            <w:tcBorders>
              <w:top w:val="single" w:sz="4" w:space="0" w:color="auto"/>
              <w:left w:val="single" w:sz="4" w:space="0" w:color="auto"/>
            </w:tcBorders>
          </w:tcPr>
          <w:p w14:paraId="397CBDAA"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$3,255</w:t>
            </w:r>
          </w:p>
        </w:tc>
        <w:tc>
          <w:tcPr>
            <w:tcW w:w="1974" w:type="dxa"/>
            <w:tcBorders>
              <w:top w:val="single" w:sz="4" w:space="0" w:color="auto"/>
            </w:tcBorders>
          </w:tcPr>
          <w:p w14:paraId="0184E3F3"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$4,487</w:t>
            </w:r>
          </w:p>
        </w:tc>
      </w:tr>
      <w:tr w:rsidR="0090234D" w:rsidRPr="00404724" w14:paraId="504798B6" w14:textId="77777777" w:rsidTr="00BB3FB3">
        <w:trPr>
          <w:cantSplit/>
        </w:trPr>
        <w:tc>
          <w:tcPr>
            <w:tcW w:w="1972" w:type="dxa"/>
          </w:tcPr>
          <w:p w14:paraId="7064BFF9" w14:textId="77777777" w:rsidR="0090234D" w:rsidRPr="00404724" w:rsidRDefault="0090234D" w:rsidP="00AF3303">
            <w:pPr>
              <w:spacing w:before="80"/>
              <w:rPr>
                <w:rFonts w:asciiTheme="minorHAnsi" w:hAnsiTheme="minorHAnsi"/>
                <w:lang w:val="en-AU"/>
              </w:rPr>
            </w:pPr>
            <w:r w:rsidRPr="00404724">
              <w:rPr>
                <w:rFonts w:asciiTheme="minorHAnsi" w:hAnsiTheme="minorHAnsi"/>
                <w:lang w:val="en-AU"/>
              </w:rPr>
              <w:t>Property</w:t>
            </w:r>
          </w:p>
        </w:tc>
        <w:tc>
          <w:tcPr>
            <w:tcW w:w="1972" w:type="dxa"/>
          </w:tcPr>
          <w:p w14:paraId="6425AB57"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$1,526</w:t>
            </w:r>
          </w:p>
        </w:tc>
        <w:tc>
          <w:tcPr>
            <w:tcW w:w="1973" w:type="dxa"/>
            <w:tcBorders>
              <w:right w:val="single" w:sz="4" w:space="0" w:color="auto"/>
            </w:tcBorders>
          </w:tcPr>
          <w:p w14:paraId="142B1A6D"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$2,103</w:t>
            </w:r>
          </w:p>
        </w:tc>
        <w:tc>
          <w:tcPr>
            <w:tcW w:w="1973" w:type="dxa"/>
            <w:tcBorders>
              <w:top w:val="single" w:sz="4" w:space="0" w:color="auto"/>
              <w:left w:val="single" w:sz="4" w:space="0" w:color="auto"/>
            </w:tcBorders>
          </w:tcPr>
          <w:p w14:paraId="54A177B3"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$1,846</w:t>
            </w:r>
          </w:p>
        </w:tc>
        <w:tc>
          <w:tcPr>
            <w:tcW w:w="1974" w:type="dxa"/>
            <w:tcBorders>
              <w:top w:val="single" w:sz="4" w:space="0" w:color="auto"/>
            </w:tcBorders>
          </w:tcPr>
          <w:p w14:paraId="5179FF65"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$2,545</w:t>
            </w:r>
          </w:p>
        </w:tc>
      </w:tr>
      <w:tr w:rsidR="0090234D" w:rsidRPr="00404724" w14:paraId="35B7CE79" w14:textId="77777777" w:rsidTr="00BB3FB3">
        <w:trPr>
          <w:cantSplit/>
        </w:trPr>
        <w:tc>
          <w:tcPr>
            <w:tcW w:w="1972" w:type="dxa"/>
          </w:tcPr>
          <w:p w14:paraId="65BA61D8" w14:textId="77777777" w:rsidR="0090234D" w:rsidRPr="00404724" w:rsidRDefault="0090234D" w:rsidP="00AF3303">
            <w:pPr>
              <w:spacing w:before="80"/>
              <w:rPr>
                <w:rFonts w:asciiTheme="minorHAnsi" w:hAnsiTheme="minorHAnsi"/>
                <w:lang w:val="en-AU"/>
              </w:rPr>
            </w:pPr>
            <w:r w:rsidRPr="00404724">
              <w:rPr>
                <w:rFonts w:asciiTheme="minorHAnsi" w:hAnsiTheme="minorHAnsi"/>
                <w:lang w:val="en-AU"/>
              </w:rPr>
              <w:t>Fire</w:t>
            </w:r>
          </w:p>
        </w:tc>
        <w:tc>
          <w:tcPr>
            <w:tcW w:w="1972" w:type="dxa"/>
          </w:tcPr>
          <w:p w14:paraId="3A48929B"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$498</w:t>
            </w:r>
          </w:p>
        </w:tc>
        <w:tc>
          <w:tcPr>
            <w:tcW w:w="1973" w:type="dxa"/>
            <w:tcBorders>
              <w:right w:val="single" w:sz="4" w:space="0" w:color="auto"/>
            </w:tcBorders>
          </w:tcPr>
          <w:p w14:paraId="0D2D16CF"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$686</w:t>
            </w:r>
          </w:p>
        </w:tc>
        <w:tc>
          <w:tcPr>
            <w:tcW w:w="1973" w:type="dxa"/>
            <w:tcBorders>
              <w:top w:val="single" w:sz="4" w:space="0" w:color="auto"/>
              <w:left w:val="single" w:sz="4" w:space="0" w:color="auto"/>
            </w:tcBorders>
          </w:tcPr>
          <w:p w14:paraId="15D0B627"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$603</w:t>
            </w:r>
          </w:p>
        </w:tc>
        <w:tc>
          <w:tcPr>
            <w:tcW w:w="1974" w:type="dxa"/>
            <w:tcBorders>
              <w:top w:val="single" w:sz="4" w:space="0" w:color="auto"/>
            </w:tcBorders>
          </w:tcPr>
          <w:p w14:paraId="02E8BD6E"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$831</w:t>
            </w:r>
          </w:p>
        </w:tc>
      </w:tr>
      <w:tr w:rsidR="0090234D" w:rsidRPr="00404724" w14:paraId="7DEF7CCA" w14:textId="77777777" w:rsidTr="00BB3FB3">
        <w:trPr>
          <w:cantSplit/>
        </w:trPr>
        <w:tc>
          <w:tcPr>
            <w:tcW w:w="1972" w:type="dxa"/>
            <w:shd w:val="clear" w:color="auto" w:fill="C8ECFA" w:themeFill="accent3" w:themeFillTint="66"/>
          </w:tcPr>
          <w:p w14:paraId="6778C38F" w14:textId="77777777" w:rsidR="0090234D" w:rsidRPr="00404724" w:rsidRDefault="0090234D" w:rsidP="00AF3303">
            <w:pPr>
              <w:spacing w:before="80"/>
              <w:rPr>
                <w:rFonts w:asciiTheme="minorHAnsi" w:hAnsiTheme="minorHAnsi"/>
                <w:lang w:val="en-AU"/>
              </w:rPr>
            </w:pPr>
            <w:r w:rsidRPr="00404724">
              <w:rPr>
                <w:rFonts w:asciiTheme="minorHAnsi" w:hAnsiTheme="minorHAnsi"/>
                <w:lang w:val="en-AU"/>
              </w:rPr>
              <w:t>Total vehicle costs</w:t>
            </w:r>
          </w:p>
        </w:tc>
        <w:tc>
          <w:tcPr>
            <w:tcW w:w="1972" w:type="dxa"/>
            <w:shd w:val="clear" w:color="auto" w:fill="C8ECFA" w:themeFill="accent3" w:themeFillTint="66"/>
          </w:tcPr>
          <w:p w14:paraId="1EF3405C"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$132,070</w:t>
            </w:r>
          </w:p>
        </w:tc>
        <w:tc>
          <w:tcPr>
            <w:tcW w:w="1973" w:type="dxa"/>
            <w:tcBorders>
              <w:right w:val="single" w:sz="4" w:space="0" w:color="auto"/>
            </w:tcBorders>
            <w:shd w:val="clear" w:color="auto" w:fill="C8ECFA" w:themeFill="accent3" w:themeFillTint="66"/>
          </w:tcPr>
          <w:p w14:paraId="74F8C31D"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$182,046</w:t>
            </w:r>
          </w:p>
        </w:tc>
        <w:tc>
          <w:tcPr>
            <w:tcW w:w="1973" w:type="dxa"/>
            <w:tcBorders>
              <w:top w:val="single" w:sz="4" w:space="0" w:color="auto"/>
              <w:left w:val="single" w:sz="4" w:space="0" w:color="auto"/>
            </w:tcBorders>
            <w:shd w:val="clear" w:color="auto" w:fill="C8ECFA" w:themeFill="accent3" w:themeFillTint="66"/>
          </w:tcPr>
          <w:p w14:paraId="06622A7F"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$151,632</w:t>
            </w:r>
          </w:p>
        </w:tc>
        <w:tc>
          <w:tcPr>
            <w:tcW w:w="1974" w:type="dxa"/>
            <w:tcBorders>
              <w:top w:val="single" w:sz="4" w:space="0" w:color="auto"/>
            </w:tcBorders>
            <w:shd w:val="clear" w:color="auto" w:fill="C8ECFA" w:themeFill="accent3" w:themeFillTint="66"/>
          </w:tcPr>
          <w:p w14:paraId="7F050075"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$209,010</w:t>
            </w:r>
          </w:p>
        </w:tc>
      </w:tr>
      <w:tr w:rsidR="0090234D" w:rsidRPr="00404724" w14:paraId="6E10F0BB" w14:textId="77777777" w:rsidTr="00BB3FB3">
        <w:trPr>
          <w:cantSplit/>
        </w:trPr>
        <w:tc>
          <w:tcPr>
            <w:tcW w:w="1972" w:type="dxa"/>
            <w:shd w:val="clear" w:color="auto" w:fill="FFFFFF" w:themeFill="background1"/>
          </w:tcPr>
          <w:p w14:paraId="67934DFD" w14:textId="77777777" w:rsidR="0090234D" w:rsidRPr="00404724" w:rsidRDefault="0090234D" w:rsidP="00AF3303">
            <w:pPr>
              <w:spacing w:before="80"/>
              <w:rPr>
                <w:rFonts w:asciiTheme="minorHAnsi" w:hAnsiTheme="minorHAnsi"/>
                <w:lang w:val="en-AU"/>
              </w:rPr>
            </w:pPr>
          </w:p>
        </w:tc>
        <w:tc>
          <w:tcPr>
            <w:tcW w:w="1972" w:type="dxa"/>
            <w:shd w:val="clear" w:color="auto" w:fill="FFFFFF" w:themeFill="background1"/>
          </w:tcPr>
          <w:p w14:paraId="1923BF73" w14:textId="77777777" w:rsidR="0090234D" w:rsidRPr="00404724" w:rsidRDefault="0090234D" w:rsidP="009F6CA8">
            <w:pPr>
              <w:spacing w:before="80"/>
              <w:jc w:val="right"/>
              <w:rPr>
                <w:rFonts w:asciiTheme="minorHAnsi" w:hAnsiTheme="minorHAnsi"/>
                <w:lang w:val="en-AU"/>
              </w:rPr>
            </w:pPr>
          </w:p>
        </w:tc>
        <w:tc>
          <w:tcPr>
            <w:tcW w:w="1973" w:type="dxa"/>
            <w:tcBorders>
              <w:right w:val="single" w:sz="4" w:space="0" w:color="auto"/>
            </w:tcBorders>
            <w:shd w:val="clear" w:color="auto" w:fill="FFFFFF" w:themeFill="background1"/>
          </w:tcPr>
          <w:p w14:paraId="0B745EC5" w14:textId="77777777" w:rsidR="0090234D" w:rsidRPr="00404724" w:rsidRDefault="0090234D" w:rsidP="009F6CA8">
            <w:pPr>
              <w:spacing w:before="80"/>
              <w:jc w:val="right"/>
              <w:rPr>
                <w:rFonts w:asciiTheme="minorHAnsi" w:hAnsiTheme="minorHAnsi"/>
                <w:lang w:val="en-AU"/>
              </w:rPr>
            </w:pPr>
          </w:p>
        </w:tc>
        <w:tc>
          <w:tcPr>
            <w:tcW w:w="1973" w:type="dxa"/>
            <w:tcBorders>
              <w:top w:val="single" w:sz="4" w:space="0" w:color="auto"/>
              <w:left w:val="single" w:sz="4" w:space="0" w:color="auto"/>
            </w:tcBorders>
            <w:shd w:val="clear" w:color="auto" w:fill="FFFFFF" w:themeFill="background1"/>
          </w:tcPr>
          <w:p w14:paraId="0A6463B1" w14:textId="77777777" w:rsidR="0090234D" w:rsidRPr="00404724" w:rsidRDefault="0090234D" w:rsidP="009F6CA8">
            <w:pPr>
              <w:spacing w:before="80"/>
              <w:jc w:val="right"/>
              <w:rPr>
                <w:rFonts w:asciiTheme="minorHAnsi" w:hAnsiTheme="minorHAnsi"/>
                <w:lang w:val="en-AU"/>
              </w:rPr>
            </w:pPr>
          </w:p>
        </w:tc>
        <w:tc>
          <w:tcPr>
            <w:tcW w:w="1974" w:type="dxa"/>
            <w:tcBorders>
              <w:top w:val="single" w:sz="4" w:space="0" w:color="auto"/>
            </w:tcBorders>
            <w:shd w:val="clear" w:color="auto" w:fill="FFFFFF" w:themeFill="background1"/>
          </w:tcPr>
          <w:p w14:paraId="485132A6" w14:textId="77777777" w:rsidR="0090234D" w:rsidRPr="00404724" w:rsidRDefault="0090234D" w:rsidP="009F6CA8">
            <w:pPr>
              <w:spacing w:before="80"/>
              <w:jc w:val="right"/>
              <w:rPr>
                <w:rFonts w:asciiTheme="minorHAnsi" w:hAnsiTheme="minorHAnsi"/>
                <w:lang w:val="en-AU"/>
              </w:rPr>
            </w:pPr>
          </w:p>
        </w:tc>
      </w:tr>
      <w:tr w:rsidR="0090234D" w:rsidRPr="00404724" w14:paraId="7AF0288B" w14:textId="77777777" w:rsidTr="00BB3FB3">
        <w:trPr>
          <w:cantSplit/>
        </w:trPr>
        <w:tc>
          <w:tcPr>
            <w:tcW w:w="1972" w:type="dxa"/>
            <w:shd w:val="clear" w:color="auto" w:fill="E7E7E7" w:themeFill="background2"/>
          </w:tcPr>
          <w:p w14:paraId="1AF01B64" w14:textId="77777777" w:rsidR="0090234D" w:rsidRPr="00404724" w:rsidRDefault="0090234D" w:rsidP="00AF3303">
            <w:pPr>
              <w:spacing w:before="80"/>
              <w:rPr>
                <w:rFonts w:asciiTheme="minorHAnsi" w:hAnsiTheme="minorHAnsi"/>
                <w:lang w:val="en-AU"/>
              </w:rPr>
            </w:pPr>
            <w:r w:rsidRPr="00404724">
              <w:rPr>
                <w:rFonts w:asciiTheme="minorHAnsi" w:hAnsiTheme="minorHAnsi"/>
                <w:lang w:val="en-AU"/>
              </w:rPr>
              <w:t>Total combined costs</w:t>
            </w:r>
          </w:p>
        </w:tc>
        <w:tc>
          <w:tcPr>
            <w:tcW w:w="1972" w:type="dxa"/>
            <w:shd w:val="clear" w:color="auto" w:fill="E7E7E7" w:themeFill="background2"/>
          </w:tcPr>
          <w:p w14:paraId="08577CB6"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$2,217,058</w:t>
            </w:r>
          </w:p>
        </w:tc>
        <w:tc>
          <w:tcPr>
            <w:tcW w:w="1973" w:type="dxa"/>
            <w:tcBorders>
              <w:right w:val="single" w:sz="4" w:space="0" w:color="auto"/>
            </w:tcBorders>
            <w:shd w:val="clear" w:color="auto" w:fill="E7E7E7" w:themeFill="background2"/>
          </w:tcPr>
          <w:p w14:paraId="1F57FA22"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$3,056,003</w:t>
            </w:r>
          </w:p>
        </w:tc>
        <w:tc>
          <w:tcPr>
            <w:tcW w:w="1973" w:type="dxa"/>
            <w:tcBorders>
              <w:top w:val="single" w:sz="4" w:space="0" w:color="auto"/>
              <w:left w:val="single" w:sz="4" w:space="0" w:color="auto"/>
            </w:tcBorders>
            <w:shd w:val="clear" w:color="auto" w:fill="E7E7E7" w:themeFill="background2"/>
          </w:tcPr>
          <w:p w14:paraId="0D239DAE"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$499,950</w:t>
            </w:r>
          </w:p>
        </w:tc>
        <w:tc>
          <w:tcPr>
            <w:tcW w:w="1974" w:type="dxa"/>
            <w:tcBorders>
              <w:top w:val="single" w:sz="4" w:space="0" w:color="auto"/>
            </w:tcBorders>
            <w:shd w:val="clear" w:color="auto" w:fill="E7E7E7" w:themeFill="background2"/>
          </w:tcPr>
          <w:p w14:paraId="2A64DFF3"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$689,133</w:t>
            </w:r>
          </w:p>
        </w:tc>
      </w:tr>
    </w:tbl>
    <w:p w14:paraId="6A505055" w14:textId="77777777" w:rsidR="0090234D" w:rsidRPr="00404724" w:rsidRDefault="0090234D" w:rsidP="00AE4E2F">
      <w:pPr>
        <w:pStyle w:val="Sourcenotes"/>
        <w:rPr>
          <w:lang w:val="en-AU"/>
        </w:rPr>
      </w:pPr>
      <w:r w:rsidRPr="00404724">
        <w:rPr>
          <w:lang w:val="en-AU"/>
        </w:rPr>
        <w:t>Source: Adapted from BTE (2000) by ARRB Group Ltd.</w:t>
      </w:r>
    </w:p>
    <w:p w14:paraId="2626C631" w14:textId="49F4CDEB" w:rsidR="0090234D" w:rsidRPr="00404724" w:rsidRDefault="0090234D" w:rsidP="0090234D">
      <w:pPr>
        <w:pStyle w:val="BodyText"/>
      </w:pPr>
      <w:r w:rsidRPr="00404724">
        <w:t xml:space="preserve">For the purposes of </w:t>
      </w:r>
      <w:r w:rsidR="00AF3303" w:rsidRPr="00404724">
        <w:t>the</w:t>
      </w:r>
      <w:r w:rsidRPr="00404724">
        <w:t xml:space="preserve"> modelling, the OIA’s VSL of $5.7 million</w:t>
      </w:r>
      <w:r w:rsidR="001F316F" w:rsidRPr="00404724">
        <w:t xml:space="preserve"> (scaled to 2025 dollars)</w:t>
      </w:r>
      <w:r w:rsidRPr="00404724">
        <w:t xml:space="preserve"> for fatal crashes</w:t>
      </w:r>
      <w:r w:rsidR="00AF3303" w:rsidRPr="00404724">
        <w:t xml:space="preserve"> and </w:t>
      </w:r>
      <w:r w:rsidRPr="00404724">
        <w:t>ATAP’s cost estimate of $689,133</w:t>
      </w:r>
      <w:r w:rsidR="00AF3303" w:rsidRPr="00404724">
        <w:t xml:space="preserve"> for serious injuries was used. </w:t>
      </w:r>
    </w:p>
    <w:p w14:paraId="7389A92A" w14:textId="3410856D" w:rsidR="000C2CE6" w:rsidRPr="00404724" w:rsidRDefault="009E677D" w:rsidP="0090234D">
      <w:pPr>
        <w:pStyle w:val="BodyText"/>
      </w:pPr>
      <w:r w:rsidRPr="00404724">
        <w:t>When measuring the impact of non-serious injuries, the same source as the above</w:t>
      </w:r>
      <w:r w:rsidR="00C84858" w:rsidRPr="00404724">
        <w:t xml:space="preserve"> was used</w:t>
      </w:r>
      <w:r w:rsidRPr="00404724">
        <w:t>, which lists a value of or $</w:t>
      </w:r>
      <w:r w:rsidR="00D013E9" w:rsidRPr="00404724">
        <w:t xml:space="preserve">26,953 </w:t>
      </w:r>
      <w:r w:rsidRPr="00404724">
        <w:t>(2025$).</w:t>
      </w:r>
      <w:r w:rsidRPr="00404724">
        <w:rPr>
          <w:rStyle w:val="FootnoteReference"/>
        </w:rPr>
        <w:footnoteReference w:id="104"/>
      </w:r>
      <w:r w:rsidR="00D013E9" w:rsidRPr="00404724">
        <w:t xml:space="preserve"> This value of non-serious injuries is used only in sensitivity testing.</w:t>
      </w:r>
    </w:p>
    <w:p w14:paraId="388DFC33" w14:textId="0A2280E7" w:rsidR="0090234D" w:rsidRPr="00404724" w:rsidRDefault="00C4433C" w:rsidP="006526CD">
      <w:pPr>
        <w:pStyle w:val="Heading4"/>
      </w:pPr>
      <w:bookmarkStart w:id="396" w:name="_Toc210042565"/>
      <w:bookmarkStart w:id="397" w:name="_Toc210049207"/>
      <w:bookmarkStart w:id="398" w:name="_Toc210051647"/>
      <w:bookmarkStart w:id="399" w:name="_Toc210051728"/>
      <w:r>
        <w:t>4</w:t>
      </w:r>
      <w:r w:rsidR="006526CD">
        <w:t>.3.3</w:t>
      </w:r>
      <w:r w:rsidR="006526CD">
        <w:tab/>
      </w:r>
      <w:r w:rsidR="0090234D" w:rsidRPr="00404724">
        <w:t>Fuel</w:t>
      </w:r>
      <w:r w:rsidR="00F4602C" w:rsidRPr="00404724">
        <w:t xml:space="preserve"> consumption</w:t>
      </w:r>
      <w:r w:rsidR="0090234D" w:rsidRPr="00404724">
        <w:t xml:space="preserve"> reduction benefits</w:t>
      </w:r>
      <w:bookmarkEnd w:id="396"/>
      <w:bookmarkEnd w:id="397"/>
      <w:bookmarkEnd w:id="398"/>
      <w:bookmarkEnd w:id="399"/>
    </w:p>
    <w:p w14:paraId="3A11056C" w14:textId="30B061B4" w:rsidR="0090234D" w:rsidRPr="00404724" w:rsidRDefault="0090234D" w:rsidP="0090234D">
      <w:pPr>
        <w:pStyle w:val="BodyText"/>
      </w:pPr>
      <w:r w:rsidRPr="00404724">
        <w:t xml:space="preserve">Consumption of petrol and diesel in </w:t>
      </w:r>
      <w:r w:rsidR="00CD4649" w:rsidRPr="00404724">
        <w:t>petrol and diesel</w:t>
      </w:r>
      <w:r w:rsidRPr="00404724">
        <w:t xml:space="preserve"> vehicles produce greenhouse gas (GHG) emissions. The main GHG produced by </w:t>
      </w:r>
      <w:r w:rsidR="00CD4649" w:rsidRPr="00404724">
        <w:t xml:space="preserve">petrol and diesel </w:t>
      </w:r>
      <w:r w:rsidRPr="00404724">
        <w:t>vehicles is CO</w:t>
      </w:r>
      <w:r w:rsidRPr="00404724">
        <w:rPr>
          <w:vertAlign w:val="subscript"/>
        </w:rPr>
        <w:t>2</w:t>
      </w:r>
      <w:r w:rsidRPr="00404724">
        <w:t>, but they also produce nitrous oxide (N</w:t>
      </w:r>
      <w:r w:rsidRPr="00404724">
        <w:rPr>
          <w:vertAlign w:val="subscript"/>
        </w:rPr>
        <w:t>2</w:t>
      </w:r>
      <w:r w:rsidRPr="00404724">
        <w:t>O) and methane (CH</w:t>
      </w:r>
      <w:r w:rsidRPr="00404724">
        <w:rPr>
          <w:vertAlign w:val="subscript"/>
        </w:rPr>
        <w:t>4</w:t>
      </w:r>
      <w:r w:rsidRPr="00404724">
        <w:t xml:space="preserve">). These GHG emissions have a negative environmental impact in that they contribute to global warming and climate change. </w:t>
      </w:r>
    </w:p>
    <w:p w14:paraId="3A09D25B" w14:textId="38FC8C17" w:rsidR="0090234D" w:rsidRPr="00404724" w:rsidRDefault="0090234D" w:rsidP="0090234D">
      <w:pPr>
        <w:pStyle w:val="BodyText"/>
        <w:rPr>
          <w:b/>
          <w:bCs/>
        </w:rPr>
      </w:pPr>
      <w:r w:rsidRPr="00404724">
        <w:rPr>
          <w:rStyle w:val="Strong"/>
          <w:b w:val="0"/>
          <w:bCs w:val="0"/>
        </w:rPr>
        <w:t>There is evidence to suggest that increased speed can increase fuel consumption and therefore increase CO</w:t>
      </w:r>
      <w:r w:rsidRPr="00404724">
        <w:rPr>
          <w:rStyle w:val="Strong"/>
          <w:b w:val="0"/>
          <w:bCs w:val="0"/>
          <w:vertAlign w:val="subscript"/>
        </w:rPr>
        <w:t xml:space="preserve">2 </w:t>
      </w:r>
      <w:r w:rsidRPr="00404724">
        <w:rPr>
          <w:rStyle w:val="Strong"/>
          <w:b w:val="0"/>
          <w:bCs w:val="0"/>
        </w:rPr>
        <w:t xml:space="preserve">emissions. </w:t>
      </w:r>
      <w:r w:rsidRPr="00404724">
        <w:t>Vehicle speeds have a major impact on fuel efficiencies, with most vehicles operating at their optimal efficiency at moderate speeds. At high speeds, above 60 mph (96.6</w:t>
      </w:r>
      <w:r w:rsidR="00C82E00" w:rsidRPr="00404724">
        <w:t xml:space="preserve"> km/h</w:t>
      </w:r>
      <w:r w:rsidRPr="00404724">
        <w:t xml:space="preserve">r), fuel efficiency decreases </w:t>
      </w:r>
      <w:r w:rsidRPr="00404724">
        <w:lastRenderedPageBreak/>
        <w:t>due to increased air resistance, while at lower speeds, features such as lower speed limits, higher intersection density were associate with lower efficiencies.</w:t>
      </w:r>
      <w:r w:rsidRPr="00404724">
        <w:rPr>
          <w:rStyle w:val="FootnoteReference"/>
        </w:rPr>
        <w:footnoteReference w:id="105"/>
      </w:r>
    </w:p>
    <w:p w14:paraId="25D7C9E6" w14:textId="5FA8DD7F" w:rsidR="0090234D" w:rsidRPr="00404724" w:rsidRDefault="0090234D" w:rsidP="0090234D">
      <w:pPr>
        <w:pStyle w:val="BodyText"/>
        <w:rPr>
          <w:rStyle w:val="Strong"/>
          <w:b w:val="0"/>
          <w:bCs w:val="0"/>
        </w:rPr>
      </w:pPr>
      <w:r w:rsidRPr="00404724">
        <w:rPr>
          <w:rStyle w:val="Strong"/>
          <w:b w:val="0"/>
          <w:bCs w:val="0"/>
        </w:rPr>
        <w:t>The Australian Government’s Green Vehicle Guide notes that a car can use up to 25% more fuel driving at 100</w:t>
      </w:r>
      <w:r w:rsidR="00C82E00" w:rsidRPr="00404724">
        <w:rPr>
          <w:rStyle w:val="Strong"/>
          <w:b w:val="0"/>
          <w:bCs w:val="0"/>
        </w:rPr>
        <w:t xml:space="preserve"> km/h</w:t>
      </w:r>
      <w:r w:rsidRPr="00404724">
        <w:rPr>
          <w:rStyle w:val="Strong"/>
          <w:b w:val="0"/>
          <w:bCs w:val="0"/>
        </w:rPr>
        <w:t xml:space="preserve"> than it would driving at 90</w:t>
      </w:r>
      <w:r w:rsidR="00C82E00" w:rsidRPr="00404724">
        <w:rPr>
          <w:rStyle w:val="Strong"/>
          <w:b w:val="0"/>
          <w:bCs w:val="0"/>
        </w:rPr>
        <w:t xml:space="preserve"> km/h</w:t>
      </w:r>
      <w:r w:rsidRPr="00404724">
        <w:rPr>
          <w:rStyle w:val="Strong"/>
          <w:b w:val="0"/>
          <w:bCs w:val="0"/>
        </w:rPr>
        <w:t>.</w:t>
      </w:r>
      <w:r w:rsidRPr="00404724">
        <w:rPr>
          <w:rStyle w:val="FootnoteReference"/>
          <w:b/>
          <w:bCs/>
        </w:rPr>
        <w:footnoteReference w:id="106"/>
      </w:r>
      <w:r w:rsidRPr="00404724">
        <w:rPr>
          <w:rStyle w:val="Strong"/>
          <w:b w:val="0"/>
          <w:bCs w:val="0"/>
        </w:rPr>
        <w:t xml:space="preserve"> The fuel savings are highly dependent on the vehicle, conditions, and habits of the driver, as well as the speed at which the car is travelling.</w:t>
      </w:r>
    </w:p>
    <w:p w14:paraId="6269320D" w14:textId="3967B880" w:rsidR="0090234D" w:rsidRPr="00404724" w:rsidRDefault="0090234D" w:rsidP="0090234D">
      <w:pPr>
        <w:pStyle w:val="BodyText"/>
        <w:rPr>
          <w:rStyle w:val="Strong"/>
          <w:b w:val="0"/>
          <w:bCs w:val="0"/>
        </w:rPr>
      </w:pPr>
      <w:r w:rsidRPr="00404724">
        <w:rPr>
          <w:rStyle w:val="Strong"/>
          <w:b w:val="0"/>
          <w:bCs w:val="0"/>
        </w:rPr>
        <w:t>The figure below (</w:t>
      </w:r>
      <w:r w:rsidR="00CF1735" w:rsidRPr="00404724">
        <w:rPr>
          <w:rStyle w:val="Strong"/>
          <w:b w:val="0"/>
          <w:bCs w:val="0"/>
        </w:rPr>
        <w:fldChar w:fldCharType="begin"/>
      </w:r>
      <w:r w:rsidR="00CF1735" w:rsidRPr="00404724">
        <w:rPr>
          <w:rStyle w:val="Strong"/>
          <w:b w:val="0"/>
          <w:bCs w:val="0"/>
        </w:rPr>
        <w:instrText xml:space="preserve"> REF _Ref201566229 \h </w:instrText>
      </w:r>
      <w:r w:rsidR="00CF1735" w:rsidRPr="00404724">
        <w:rPr>
          <w:rStyle w:val="Strong"/>
          <w:b w:val="0"/>
          <w:bCs w:val="0"/>
        </w:rPr>
      </w:r>
      <w:r w:rsidR="00CF1735" w:rsidRPr="00404724">
        <w:rPr>
          <w:rStyle w:val="Strong"/>
          <w:b w:val="0"/>
          <w:bCs w:val="0"/>
        </w:rPr>
        <w:fldChar w:fldCharType="separate"/>
      </w:r>
      <w:r w:rsidR="00BF489D" w:rsidRPr="00404724">
        <w:rPr>
          <w:rStyle w:val="Strong"/>
          <w:bCs w:val="0"/>
        </w:rPr>
        <w:t>Figure </w:t>
      </w:r>
      <w:r w:rsidR="00BF489D">
        <w:rPr>
          <w:rStyle w:val="Strong"/>
          <w:b w:val="0"/>
          <w:bCs w:val="0"/>
          <w:noProof/>
        </w:rPr>
        <w:t>10</w:t>
      </w:r>
      <w:r w:rsidR="00CF1735" w:rsidRPr="00404724">
        <w:rPr>
          <w:rStyle w:val="Strong"/>
          <w:b w:val="0"/>
          <w:bCs w:val="0"/>
        </w:rPr>
        <w:fldChar w:fldCharType="end"/>
      </w:r>
      <w:r w:rsidRPr="00404724">
        <w:rPr>
          <w:rStyle w:val="Strong"/>
          <w:b w:val="0"/>
          <w:bCs w:val="0"/>
        </w:rPr>
        <w:t>) highlights this point, showing that a reduction in speed at 100</w:t>
      </w:r>
      <w:r w:rsidR="00C82E00" w:rsidRPr="00404724">
        <w:rPr>
          <w:rStyle w:val="Strong"/>
          <w:b w:val="0"/>
          <w:bCs w:val="0"/>
        </w:rPr>
        <w:t xml:space="preserve"> km/h</w:t>
      </w:r>
      <w:r w:rsidRPr="00404724">
        <w:rPr>
          <w:rStyle w:val="Strong"/>
          <w:b w:val="0"/>
          <w:bCs w:val="0"/>
        </w:rPr>
        <w:t xml:space="preserve"> can decrease emissions, but may increase emissions at 50</w:t>
      </w:r>
      <w:r w:rsidR="00C82E00" w:rsidRPr="00404724">
        <w:rPr>
          <w:rStyle w:val="Strong"/>
          <w:b w:val="0"/>
          <w:bCs w:val="0"/>
        </w:rPr>
        <w:t xml:space="preserve"> km/h</w:t>
      </w:r>
      <w:r w:rsidRPr="00404724">
        <w:rPr>
          <w:rStyle w:val="Strong"/>
          <w:b w:val="0"/>
          <w:bCs w:val="0"/>
        </w:rPr>
        <w:t>. The unit g/CO</w:t>
      </w:r>
      <w:r w:rsidRPr="00404724">
        <w:rPr>
          <w:rStyle w:val="Strong"/>
          <w:rFonts w:ascii="Cambria Math" w:hAnsi="Cambria Math" w:cs="Cambria Math"/>
          <w:b w:val="0"/>
          <w:bCs w:val="0"/>
          <w:vertAlign w:val="subscript"/>
        </w:rPr>
        <w:t>2</w:t>
      </w:r>
      <w:r w:rsidRPr="00404724">
        <w:rPr>
          <w:rStyle w:val="Strong"/>
          <w:b w:val="0"/>
          <w:bCs w:val="0"/>
        </w:rPr>
        <w:t>/km (grams of carbon dioxide per kilometre) is a standard measure of the amount of CO</w:t>
      </w:r>
      <w:r w:rsidRPr="00404724">
        <w:rPr>
          <w:rStyle w:val="Strong"/>
          <w:rFonts w:ascii="Cambria Math" w:hAnsi="Cambria Math" w:cs="Cambria Math"/>
          <w:b w:val="0"/>
          <w:bCs w:val="0"/>
        </w:rPr>
        <w:t>₂</w:t>
      </w:r>
      <w:r w:rsidRPr="00404724">
        <w:rPr>
          <w:rStyle w:val="Strong"/>
          <w:b w:val="0"/>
          <w:bCs w:val="0"/>
        </w:rPr>
        <w:t xml:space="preserve"> emitted by a vehicle for every kilometre it travels, serving as an </w:t>
      </w:r>
      <w:r w:rsidRPr="009F6CA8">
        <w:t>indicator of its environmental impact and fuel efficiency.</w:t>
      </w:r>
    </w:p>
    <w:tbl>
      <w:tblPr>
        <w:tblStyle w:val="aacTablenolines"/>
        <w:tblW w:w="5000" w:type="pct"/>
        <w:tblLayout w:type="fixed"/>
        <w:tblLook w:val="04A0" w:firstRow="1" w:lastRow="0" w:firstColumn="1" w:lastColumn="0" w:noHBand="0" w:noVBand="1"/>
        <w:tblCaption w:val="Figure 8"/>
        <w:tblDescription w:val="Emission factor curve for a passenger vehicle with a petrol engine calibrated for Australia"/>
      </w:tblPr>
      <w:tblGrid>
        <w:gridCol w:w="9864"/>
      </w:tblGrid>
      <w:tr w:rsidR="0090234D" w:rsidRPr="00404724" w14:paraId="62465634" w14:textId="77777777" w:rsidTr="00CF1735">
        <w:trPr>
          <w:cantSplit/>
        </w:trPr>
        <w:tc>
          <w:tcPr>
            <w:tcW w:w="9864" w:type="dxa"/>
          </w:tcPr>
          <w:p w14:paraId="78B21115" w14:textId="4098D751" w:rsidR="0090234D" w:rsidRPr="00404724" w:rsidRDefault="0090234D" w:rsidP="003979C3">
            <w:pPr>
              <w:pStyle w:val="Tablefigureheading"/>
              <w:rPr>
                <w:rStyle w:val="Strong"/>
                <w:b/>
                <w:bCs w:val="0"/>
              </w:rPr>
            </w:pPr>
            <w:bookmarkStart w:id="400" w:name="_Ref201566229"/>
            <w:bookmarkStart w:id="401" w:name="_Toc201783066"/>
            <w:bookmarkStart w:id="402" w:name="_Toc210040378"/>
            <w:bookmarkStart w:id="403" w:name="_Toc210051914"/>
            <w:r w:rsidRPr="00404724">
              <w:rPr>
                <w:rStyle w:val="Strong"/>
                <w:b/>
                <w:bCs w:val="0"/>
              </w:rPr>
              <w:t>Figure </w:t>
            </w:r>
            <w:r w:rsidR="00CF1735" w:rsidRPr="00404724">
              <w:rPr>
                <w:rStyle w:val="Strong"/>
                <w:b/>
                <w:bCs w:val="0"/>
              </w:rPr>
              <w:fldChar w:fldCharType="begin"/>
            </w:r>
            <w:r w:rsidR="00CF1735" w:rsidRPr="00404724">
              <w:rPr>
                <w:rStyle w:val="Strong"/>
                <w:b/>
                <w:bCs w:val="0"/>
              </w:rPr>
              <w:instrText xml:space="preserve"> SEQ Figure \* ARABIC </w:instrText>
            </w:r>
            <w:r w:rsidR="00CF1735" w:rsidRPr="00404724">
              <w:rPr>
                <w:rStyle w:val="Strong"/>
                <w:b/>
                <w:bCs w:val="0"/>
              </w:rPr>
              <w:fldChar w:fldCharType="separate"/>
            </w:r>
            <w:r w:rsidR="00BF489D">
              <w:rPr>
                <w:rStyle w:val="Strong"/>
                <w:b/>
                <w:bCs w:val="0"/>
                <w:noProof/>
              </w:rPr>
              <w:t>10</w:t>
            </w:r>
            <w:r w:rsidR="00CF1735" w:rsidRPr="00404724">
              <w:rPr>
                <w:rStyle w:val="Strong"/>
                <w:b/>
                <w:bCs w:val="0"/>
              </w:rPr>
              <w:fldChar w:fldCharType="end"/>
            </w:r>
            <w:bookmarkEnd w:id="400"/>
            <w:r w:rsidRPr="00404724">
              <w:rPr>
                <w:rStyle w:val="Strong"/>
                <w:b/>
                <w:bCs w:val="0"/>
              </w:rPr>
              <w:tab/>
              <w:t>Emission factor curve for a passenger vehicle with a petrol engine calibrated for Australia</w:t>
            </w:r>
            <w:bookmarkEnd w:id="401"/>
            <w:bookmarkEnd w:id="402"/>
            <w:bookmarkEnd w:id="403"/>
          </w:p>
        </w:tc>
      </w:tr>
      <w:tr w:rsidR="0090234D" w:rsidRPr="00404724" w14:paraId="427E7431" w14:textId="77777777" w:rsidTr="00CF1735">
        <w:trPr>
          <w:cantSplit/>
        </w:trPr>
        <w:tc>
          <w:tcPr>
            <w:tcW w:w="9864" w:type="dxa"/>
          </w:tcPr>
          <w:p w14:paraId="3F65E13B" w14:textId="77777777" w:rsidR="0090234D" w:rsidRPr="00404724" w:rsidRDefault="0090234D" w:rsidP="002008D3">
            <w:pPr>
              <w:pStyle w:val="Figure"/>
              <w:jc w:val="center"/>
              <w:rPr>
                <w:rStyle w:val="Strong"/>
                <w:b w:val="0"/>
                <w:bCs w:val="0"/>
              </w:rPr>
            </w:pPr>
            <w:r w:rsidRPr="00404724">
              <w:rPr>
                <w:rStyle w:val="Strong"/>
                <w:b w:val="0"/>
                <w:bCs w:val="0"/>
                <w:noProof/>
              </w:rPr>
              <w:drawing>
                <wp:inline distT="0" distB="0" distL="0" distR="0" wp14:anchorId="78A949A6" wp14:editId="1A2D475F">
                  <wp:extent cx="5343525" cy="3151119"/>
                  <wp:effectExtent l="0" t="0" r="0" b="0"/>
                  <wp:docPr id="134107425" name="Picture 1" descr="Vehicle emissions vs speed: CO₂e/CO₂ U-shaped, minimum 230 g/km at 70–80 km/h. CO 1000 to 270 g/km then &gt;500 at 120 km/h. NOx rises 0.4 to 0.9 g/km; others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7425" name="Picture 1" descr="Vehicle emissions vs speed: CO₂e/CO₂ U-shaped, minimum 230 g/km at 70–80 km/h. CO 1000 to 270 g/km then &gt;500 at 120 km/h. NOx rises 0.4 to 0.9 g/km; others low."/>
                          <pic:cNvPicPr/>
                        </pic:nvPicPr>
                        <pic:blipFill>
                          <a:blip r:embed="rId36"/>
                          <a:stretch>
                            <a:fillRect/>
                          </a:stretch>
                        </pic:blipFill>
                        <pic:spPr>
                          <a:xfrm>
                            <a:off x="0" y="0"/>
                            <a:ext cx="5377290" cy="3171031"/>
                          </a:xfrm>
                          <a:prstGeom prst="rect">
                            <a:avLst/>
                          </a:prstGeom>
                        </pic:spPr>
                      </pic:pic>
                    </a:graphicData>
                  </a:graphic>
                </wp:inline>
              </w:drawing>
            </w:r>
          </w:p>
        </w:tc>
      </w:tr>
      <w:tr w:rsidR="0090234D" w:rsidRPr="00404724" w14:paraId="0E777D33" w14:textId="77777777" w:rsidTr="00CF1735">
        <w:trPr>
          <w:cantSplit/>
        </w:trPr>
        <w:tc>
          <w:tcPr>
            <w:tcW w:w="9864" w:type="dxa"/>
            <w:tcMar>
              <w:top w:w="12" w:type="dxa"/>
              <w:bottom w:w="113" w:type="dxa"/>
            </w:tcMar>
          </w:tcPr>
          <w:p w14:paraId="083C5AE3" w14:textId="77777777" w:rsidR="0090234D" w:rsidRPr="00404724" w:rsidRDefault="0090234D" w:rsidP="0041693E">
            <w:pPr>
              <w:pStyle w:val="Sourcenotes"/>
              <w:rPr>
                <w:rStyle w:val="Strong"/>
                <w:rFonts w:ascii="Arial Narrow" w:hAnsi="Arial Narrow"/>
                <w:b w:val="0"/>
                <w:bCs w:val="0"/>
                <w:lang w:val="en-AU"/>
              </w:rPr>
            </w:pPr>
            <w:r w:rsidRPr="00404724">
              <w:rPr>
                <w:lang w:val="en-AU"/>
              </w:rPr>
              <w:t xml:space="preserve">Source: </w:t>
            </w:r>
            <w:bookmarkStart w:id="404" w:name="_Hlk201566436"/>
            <w:r w:rsidRPr="00404724">
              <w:rPr>
                <w:lang w:val="en-AU"/>
              </w:rPr>
              <w:t>Austroads, Impact of Lower Speed Limits for Road Safety on Network Operations, 2010</w:t>
            </w:r>
            <w:r w:rsidRPr="00404724">
              <w:rPr>
                <w:rStyle w:val="Strong"/>
                <w:rFonts w:ascii="Arial Narrow" w:hAnsi="Arial Narrow"/>
                <w:lang w:val="en-AU"/>
              </w:rPr>
              <w:t>.</w:t>
            </w:r>
            <w:bookmarkEnd w:id="404"/>
          </w:p>
        </w:tc>
      </w:tr>
    </w:tbl>
    <w:p w14:paraId="190AD2FD" w14:textId="28E0A640" w:rsidR="0090234D" w:rsidRPr="00404724" w:rsidRDefault="0090234D" w:rsidP="0041693E">
      <w:pPr>
        <w:rPr>
          <w:rStyle w:val="Strong"/>
          <w:b w:val="0"/>
          <w:bCs w:val="0"/>
        </w:rPr>
      </w:pPr>
      <w:r w:rsidRPr="00404724">
        <w:rPr>
          <w:rStyle w:val="Strong"/>
          <w:b w:val="0"/>
          <w:bCs w:val="0"/>
        </w:rPr>
        <w:t>The proportional change in fuel efficiency is calculated using the ATAP free-flow model:</w:t>
      </w:r>
      <w:r w:rsidRPr="00404724">
        <w:rPr>
          <w:rStyle w:val="FootnoteReference"/>
          <w:b/>
        </w:rPr>
        <w:footnoteReference w:id="107"/>
      </w:r>
    </w:p>
    <w:p w14:paraId="4F4CF5FF" w14:textId="532AAD16" w:rsidR="0090234D" w:rsidRPr="00404724" w:rsidRDefault="000C2CE6" w:rsidP="0090234D">
      <w:pPr>
        <w:pStyle w:val="BodyText"/>
        <w:rPr>
          <w:rStyle w:val="Strong"/>
          <w:rFonts w:eastAsiaTheme="minorEastAsia"/>
          <w:b w:val="0"/>
          <w:bCs w:val="0"/>
        </w:rPr>
      </w:pPr>
      <m:oMathPara>
        <m:oMath>
          <m:r>
            <w:rPr>
              <w:rStyle w:val="Strong"/>
              <w:rFonts w:ascii="Cambria Math" w:hAnsi="Cambria Math"/>
            </w:rPr>
            <m:t xml:space="preserve">Fuel consumption </m:t>
          </m:r>
          <m:d>
            <m:dPr>
              <m:ctrlPr>
                <w:rPr>
                  <w:rStyle w:val="Strong"/>
                  <w:rFonts w:ascii="Cambria Math" w:hAnsi="Cambria Math"/>
                  <w:b w:val="0"/>
                  <w:bCs w:val="0"/>
                  <w:i/>
                </w:rPr>
              </m:ctrlPr>
            </m:dPr>
            <m:e>
              <m:r>
                <w:rPr>
                  <w:rStyle w:val="Strong"/>
                  <w:rFonts w:ascii="Cambria Math" w:hAnsi="Cambria Math"/>
                </w:rPr>
                <m:t>l per 100km</m:t>
              </m:r>
            </m:e>
          </m:d>
          <m:r>
            <w:rPr>
              <w:rStyle w:val="Strong"/>
              <w:rFonts w:ascii="Cambria Math" w:hAnsi="Cambria Math"/>
            </w:rPr>
            <m:t>=</m:t>
          </m:r>
          <m:sSub>
            <m:sSubPr>
              <m:ctrlPr>
                <w:rPr>
                  <w:rStyle w:val="Strong"/>
                  <w:rFonts w:ascii="Cambria Math" w:hAnsi="Cambria Math"/>
                  <w:b w:val="0"/>
                  <w:bCs w:val="0"/>
                  <w:i/>
                </w:rPr>
              </m:ctrlPr>
            </m:sSubPr>
            <m:e>
              <m:r>
                <w:rPr>
                  <w:rStyle w:val="Strong"/>
                  <w:rFonts w:ascii="Cambria Math" w:hAnsi="Cambria Math"/>
                </w:rPr>
                <m:t>C</m:t>
              </m:r>
            </m:e>
            <m:sub>
              <m:r>
                <w:rPr>
                  <w:rStyle w:val="Strong"/>
                  <w:rFonts w:ascii="Cambria Math" w:hAnsi="Cambria Math"/>
                </w:rPr>
                <m:t>0</m:t>
              </m:r>
            </m:sub>
          </m:sSub>
          <m:r>
            <w:rPr>
              <w:rStyle w:val="Strong"/>
              <w:rFonts w:ascii="Cambria Math" w:hAnsi="Cambria Math"/>
            </w:rPr>
            <m:t>+</m:t>
          </m:r>
          <m:sSub>
            <m:sSubPr>
              <m:ctrlPr>
                <w:rPr>
                  <w:rStyle w:val="Strong"/>
                  <w:rFonts w:ascii="Cambria Math" w:hAnsi="Cambria Math"/>
                  <w:b w:val="0"/>
                  <w:bCs w:val="0"/>
                  <w:i/>
                </w:rPr>
              </m:ctrlPr>
            </m:sSubPr>
            <m:e>
              <m:r>
                <w:rPr>
                  <w:rStyle w:val="Strong"/>
                  <w:rFonts w:ascii="Cambria Math" w:hAnsi="Cambria Math"/>
                </w:rPr>
                <m:t>C</m:t>
              </m:r>
            </m:e>
            <m:sub>
              <m:r>
                <w:rPr>
                  <w:rStyle w:val="Strong"/>
                  <w:rFonts w:ascii="Cambria Math" w:hAnsi="Cambria Math"/>
                </w:rPr>
                <m:t>1</m:t>
              </m:r>
            </m:sub>
          </m:sSub>
          <m:r>
            <w:rPr>
              <w:rStyle w:val="Strong"/>
              <w:rFonts w:ascii="Cambria Math" w:hAnsi="Cambria Math"/>
            </w:rPr>
            <m:t>V+</m:t>
          </m:r>
          <m:sSub>
            <m:sSubPr>
              <m:ctrlPr>
                <w:rPr>
                  <w:rStyle w:val="Strong"/>
                  <w:rFonts w:ascii="Cambria Math" w:hAnsi="Cambria Math"/>
                  <w:b w:val="0"/>
                  <w:bCs w:val="0"/>
                  <w:i/>
                </w:rPr>
              </m:ctrlPr>
            </m:sSubPr>
            <m:e>
              <m:r>
                <w:rPr>
                  <w:rStyle w:val="Strong"/>
                  <w:rFonts w:ascii="Cambria Math" w:hAnsi="Cambria Math"/>
                </w:rPr>
                <m:t>C</m:t>
              </m:r>
            </m:e>
            <m:sub>
              <m:r>
                <w:rPr>
                  <w:rStyle w:val="Strong"/>
                  <w:rFonts w:ascii="Cambria Math" w:hAnsi="Cambria Math"/>
                </w:rPr>
                <m:t>2</m:t>
              </m:r>
            </m:sub>
          </m:sSub>
          <m:sSup>
            <m:sSupPr>
              <m:ctrlPr>
                <w:rPr>
                  <w:rStyle w:val="Strong"/>
                  <w:rFonts w:ascii="Cambria Math" w:hAnsi="Cambria Math"/>
                  <w:b w:val="0"/>
                  <w:bCs w:val="0"/>
                  <w:i/>
                </w:rPr>
              </m:ctrlPr>
            </m:sSupPr>
            <m:e>
              <m:r>
                <w:rPr>
                  <w:rStyle w:val="Strong"/>
                  <w:rFonts w:ascii="Cambria Math" w:hAnsi="Cambria Math"/>
                </w:rPr>
                <m:t>V</m:t>
              </m:r>
            </m:e>
            <m:sup>
              <m:r>
                <w:rPr>
                  <w:rStyle w:val="Strong"/>
                  <w:rFonts w:ascii="Cambria Math" w:hAnsi="Cambria Math"/>
                </w:rPr>
                <m:t>2</m:t>
              </m:r>
            </m:sup>
          </m:sSup>
        </m:oMath>
      </m:oMathPara>
    </w:p>
    <w:p w14:paraId="5686196B" w14:textId="3D487423" w:rsidR="0090234D" w:rsidRPr="00404724" w:rsidRDefault="0090234D" w:rsidP="0041693E">
      <w:pPr>
        <w:rPr>
          <w:rStyle w:val="Strong"/>
          <w:rFonts w:eastAsiaTheme="minorEastAsia"/>
          <w:b w:val="0"/>
          <w:bCs w:val="0"/>
        </w:rPr>
      </w:pPr>
      <w:r w:rsidRPr="00404724">
        <w:rPr>
          <w:rStyle w:val="Strong"/>
          <w:rFonts w:eastAsiaTheme="minorEastAsia"/>
          <w:b w:val="0"/>
          <w:bCs w:val="0"/>
        </w:rPr>
        <w:t>Where C</w:t>
      </w:r>
      <w:r w:rsidRPr="00404724">
        <w:rPr>
          <w:rStyle w:val="Strong"/>
          <w:rFonts w:eastAsiaTheme="minorEastAsia"/>
          <w:b w:val="0"/>
          <w:bCs w:val="0"/>
          <w:vertAlign w:val="subscript"/>
        </w:rPr>
        <w:t>0</w:t>
      </w:r>
      <w:r w:rsidRPr="00404724">
        <w:rPr>
          <w:rStyle w:val="Strong"/>
          <w:rFonts w:eastAsiaTheme="minorEastAsia"/>
          <w:b w:val="0"/>
          <w:bCs w:val="0"/>
        </w:rPr>
        <w:t>, C</w:t>
      </w:r>
      <w:r w:rsidRPr="00404724">
        <w:rPr>
          <w:rStyle w:val="Strong"/>
          <w:rFonts w:eastAsiaTheme="minorEastAsia"/>
          <w:b w:val="0"/>
          <w:bCs w:val="0"/>
          <w:vertAlign w:val="subscript"/>
        </w:rPr>
        <w:t>1</w:t>
      </w:r>
      <w:r w:rsidRPr="00404724">
        <w:rPr>
          <w:rStyle w:val="Strong"/>
          <w:rFonts w:eastAsiaTheme="minorEastAsia"/>
          <w:b w:val="0"/>
          <w:bCs w:val="0"/>
        </w:rPr>
        <w:t xml:space="preserve"> and C</w:t>
      </w:r>
      <w:r w:rsidRPr="00404724">
        <w:rPr>
          <w:rStyle w:val="Strong"/>
          <w:rFonts w:eastAsiaTheme="minorEastAsia"/>
          <w:b w:val="0"/>
          <w:bCs w:val="0"/>
          <w:vertAlign w:val="subscript"/>
        </w:rPr>
        <w:t>2</w:t>
      </w:r>
      <w:r w:rsidRPr="00404724">
        <w:rPr>
          <w:rStyle w:val="Strong"/>
          <w:rFonts w:eastAsiaTheme="minorEastAsia"/>
          <w:b w:val="0"/>
          <w:bCs w:val="0"/>
        </w:rPr>
        <w:t xml:space="preserve"> are vehicle-specific model coefficients and V is average travel speed in</w:t>
      </w:r>
      <w:r w:rsidR="00C82E00" w:rsidRPr="00404724">
        <w:rPr>
          <w:rStyle w:val="Strong"/>
          <w:rFonts w:eastAsiaTheme="minorEastAsia"/>
          <w:b w:val="0"/>
          <w:bCs w:val="0"/>
        </w:rPr>
        <w:t xml:space="preserve"> km/h</w:t>
      </w:r>
      <w:r w:rsidRPr="00404724">
        <w:rPr>
          <w:rStyle w:val="Strong"/>
          <w:rFonts w:eastAsiaTheme="minorEastAsia"/>
          <w:b w:val="0"/>
          <w:bCs w:val="0"/>
        </w:rPr>
        <w:t xml:space="preserve">. The change in fuel efficiency before and after the speed reduction scenarios is therefore based on this formula and the actual speed reductions as derived by MUARC. </w:t>
      </w:r>
    </w:p>
    <w:p w14:paraId="7189F948" w14:textId="15F9B0C4" w:rsidR="0090234D" w:rsidRPr="00404724" w:rsidRDefault="0090234D" w:rsidP="003979C3">
      <w:pPr>
        <w:pStyle w:val="Tablefigureheading"/>
      </w:pPr>
      <w:bookmarkStart w:id="405" w:name="_Toc210040379"/>
      <w:bookmarkStart w:id="406" w:name="_Toc210051915"/>
      <w:r w:rsidRPr="00404724">
        <w:lastRenderedPageBreak/>
        <w:t>Table </w:t>
      </w:r>
      <w:r w:rsidR="00EC39D5">
        <w:fldChar w:fldCharType="begin"/>
      </w:r>
      <w:r w:rsidR="00EC39D5">
        <w:instrText xml:space="preserve"> SEQ Table \* ARABIC </w:instrText>
      </w:r>
      <w:r w:rsidR="00EC39D5">
        <w:fldChar w:fldCharType="separate"/>
      </w:r>
      <w:r w:rsidR="00BF489D">
        <w:rPr>
          <w:noProof/>
        </w:rPr>
        <w:t>35</w:t>
      </w:r>
      <w:r w:rsidR="00EC39D5">
        <w:rPr>
          <w:noProof/>
        </w:rPr>
        <w:fldChar w:fldCharType="end"/>
      </w:r>
      <w:r w:rsidRPr="00404724">
        <w:tab/>
        <w:t>Average change in fuel efficiency (l/100km) by speed example, by vehicle type</w:t>
      </w:r>
      <w:bookmarkEnd w:id="405"/>
      <w:bookmarkEnd w:id="406"/>
    </w:p>
    <w:tbl>
      <w:tblPr>
        <w:tblStyle w:val="aacTableBasic"/>
        <w:tblW w:w="5000" w:type="pct"/>
        <w:tblLayout w:type="fixed"/>
        <w:tblLook w:val="04A0" w:firstRow="1" w:lastRow="0" w:firstColumn="1" w:lastColumn="0" w:noHBand="0" w:noVBand="1"/>
        <w:tblCaption w:val="Table 35 Average change in fuel efficiency (l/100km) by speed example, by vehicle type"/>
        <w:tblDescription w:val="Table 35 Average change in fuel efficiency (l/100km) by speed example, by vehicle type"/>
      </w:tblPr>
      <w:tblGrid>
        <w:gridCol w:w="1969"/>
        <w:gridCol w:w="1973"/>
        <w:gridCol w:w="1974"/>
        <w:gridCol w:w="1974"/>
        <w:gridCol w:w="1974"/>
      </w:tblGrid>
      <w:tr w:rsidR="0090234D" w:rsidRPr="00404724" w14:paraId="3472B3A2" w14:textId="77777777" w:rsidTr="00BB5FCD">
        <w:trPr>
          <w:cnfStyle w:val="100000000000" w:firstRow="1" w:lastRow="0" w:firstColumn="0" w:lastColumn="0" w:oddVBand="0" w:evenVBand="0" w:oddHBand="0" w:evenHBand="0" w:firstRowFirstColumn="0" w:firstRowLastColumn="0" w:lastRowFirstColumn="0" w:lastRowLastColumn="0"/>
          <w:cantSplit/>
          <w:tblHeader/>
        </w:trPr>
        <w:tc>
          <w:tcPr>
            <w:tcW w:w="1731" w:type="dxa"/>
          </w:tcPr>
          <w:p w14:paraId="552D3012" w14:textId="77777777" w:rsidR="0090234D" w:rsidRPr="00404724" w:rsidRDefault="0090234D" w:rsidP="00A115DA">
            <w:pPr>
              <w:keepNext/>
              <w:spacing w:before="80"/>
              <w:rPr>
                <w:rFonts w:asciiTheme="minorHAnsi" w:hAnsiTheme="minorHAnsi"/>
                <w:b/>
                <w:lang w:val="en-AU"/>
              </w:rPr>
            </w:pPr>
            <w:r w:rsidRPr="00404724">
              <w:rPr>
                <w:rFonts w:asciiTheme="minorHAnsi" w:hAnsiTheme="minorHAnsi"/>
                <w:b/>
                <w:lang w:val="en-AU"/>
              </w:rPr>
              <w:t>Vehicle type</w:t>
            </w:r>
          </w:p>
        </w:tc>
        <w:tc>
          <w:tcPr>
            <w:tcW w:w="1733" w:type="dxa"/>
          </w:tcPr>
          <w:p w14:paraId="419A188D" w14:textId="77777777" w:rsidR="0090234D" w:rsidRPr="00404724" w:rsidRDefault="0090234D" w:rsidP="00A115DA">
            <w:pPr>
              <w:keepNext/>
              <w:spacing w:before="80"/>
              <w:rPr>
                <w:rFonts w:asciiTheme="minorHAnsi" w:hAnsiTheme="minorHAnsi"/>
                <w:b/>
                <w:lang w:val="en-AU"/>
              </w:rPr>
            </w:pPr>
            <w:r w:rsidRPr="00404724">
              <w:rPr>
                <w:rFonts w:asciiTheme="minorHAnsi" w:hAnsiTheme="minorHAnsi"/>
                <w:b/>
                <w:lang w:val="en-AU"/>
              </w:rPr>
              <w:t>Vehicle category</w:t>
            </w:r>
          </w:p>
        </w:tc>
        <w:tc>
          <w:tcPr>
            <w:tcW w:w="1734" w:type="dxa"/>
          </w:tcPr>
          <w:p w14:paraId="4FACB648" w14:textId="45E8FAFC" w:rsidR="0090234D" w:rsidRPr="00404724" w:rsidRDefault="0090234D" w:rsidP="00A115DA">
            <w:pPr>
              <w:keepNext/>
              <w:spacing w:before="80"/>
              <w:jc w:val="center"/>
              <w:rPr>
                <w:rFonts w:asciiTheme="minorHAnsi" w:hAnsiTheme="minorHAnsi"/>
                <w:b/>
                <w:lang w:val="en-AU"/>
              </w:rPr>
            </w:pPr>
            <w:r w:rsidRPr="00404724">
              <w:rPr>
                <w:rFonts w:asciiTheme="minorHAnsi" w:hAnsiTheme="minorHAnsi"/>
                <w:b/>
                <w:lang w:val="en-AU"/>
              </w:rPr>
              <w:t>Fuel efficiency when speed = 91</w:t>
            </w:r>
            <w:r w:rsidR="00C82E00" w:rsidRPr="00404724">
              <w:rPr>
                <w:rFonts w:asciiTheme="minorHAnsi" w:hAnsiTheme="minorHAnsi"/>
                <w:b/>
                <w:lang w:val="en-AU"/>
              </w:rPr>
              <w:t xml:space="preserve"> km/h</w:t>
            </w:r>
          </w:p>
        </w:tc>
        <w:tc>
          <w:tcPr>
            <w:tcW w:w="1734" w:type="dxa"/>
          </w:tcPr>
          <w:p w14:paraId="2FD9D8ED" w14:textId="6A7EB84E" w:rsidR="0090234D" w:rsidRPr="00404724" w:rsidRDefault="0090234D" w:rsidP="00A115DA">
            <w:pPr>
              <w:keepNext/>
              <w:spacing w:before="80"/>
              <w:jc w:val="center"/>
              <w:rPr>
                <w:rFonts w:asciiTheme="minorHAnsi" w:hAnsiTheme="minorHAnsi"/>
                <w:b/>
                <w:lang w:val="en-AU"/>
              </w:rPr>
            </w:pPr>
            <w:r w:rsidRPr="00404724">
              <w:rPr>
                <w:rFonts w:asciiTheme="minorHAnsi" w:hAnsiTheme="minorHAnsi"/>
                <w:b/>
                <w:lang w:val="en-AU"/>
              </w:rPr>
              <w:t>Fuel efficiency when speed = 88</w:t>
            </w:r>
            <w:r w:rsidR="00C82E00" w:rsidRPr="00404724">
              <w:rPr>
                <w:rFonts w:asciiTheme="minorHAnsi" w:hAnsiTheme="minorHAnsi"/>
                <w:b/>
                <w:lang w:val="en-AU"/>
              </w:rPr>
              <w:t xml:space="preserve"> km/h</w:t>
            </w:r>
          </w:p>
        </w:tc>
        <w:tc>
          <w:tcPr>
            <w:tcW w:w="1734" w:type="dxa"/>
          </w:tcPr>
          <w:p w14:paraId="5363BDBC" w14:textId="77777777" w:rsidR="0090234D" w:rsidRPr="00404724" w:rsidRDefault="0090234D" w:rsidP="00A115DA">
            <w:pPr>
              <w:keepNext/>
              <w:spacing w:before="80"/>
              <w:jc w:val="center"/>
              <w:rPr>
                <w:rFonts w:asciiTheme="minorHAnsi" w:hAnsiTheme="minorHAnsi"/>
                <w:b/>
                <w:lang w:val="en-AU"/>
              </w:rPr>
            </w:pPr>
            <w:r w:rsidRPr="00404724">
              <w:rPr>
                <w:rFonts w:asciiTheme="minorHAnsi" w:hAnsiTheme="minorHAnsi"/>
                <w:b/>
                <w:lang w:val="en-AU"/>
              </w:rPr>
              <w:t>% change in efficiency</w:t>
            </w:r>
          </w:p>
        </w:tc>
      </w:tr>
      <w:tr w:rsidR="0090234D" w:rsidRPr="00404724" w14:paraId="335E9BEF" w14:textId="77777777" w:rsidTr="00BB5FCD">
        <w:trPr>
          <w:cantSplit/>
        </w:trPr>
        <w:tc>
          <w:tcPr>
            <w:tcW w:w="1731" w:type="dxa"/>
          </w:tcPr>
          <w:p w14:paraId="2F621BA1" w14:textId="77777777" w:rsidR="0090234D" w:rsidRPr="00404724" w:rsidRDefault="0090234D" w:rsidP="00A115DA">
            <w:pPr>
              <w:keepNext/>
              <w:spacing w:before="80"/>
              <w:rPr>
                <w:rFonts w:asciiTheme="minorHAnsi" w:hAnsiTheme="minorHAnsi"/>
                <w:lang w:val="en-AU"/>
              </w:rPr>
            </w:pPr>
            <w:r w:rsidRPr="00404724">
              <w:rPr>
                <w:rFonts w:asciiTheme="minorHAnsi" w:hAnsiTheme="minorHAnsi"/>
                <w:lang w:val="en-AU"/>
              </w:rPr>
              <w:t>Small Car</w:t>
            </w:r>
          </w:p>
        </w:tc>
        <w:tc>
          <w:tcPr>
            <w:tcW w:w="1733" w:type="dxa"/>
          </w:tcPr>
          <w:p w14:paraId="61CAB7CB" w14:textId="77777777" w:rsidR="0090234D" w:rsidRPr="00404724" w:rsidRDefault="0090234D" w:rsidP="00A115DA">
            <w:pPr>
              <w:keepNext/>
              <w:spacing w:before="80"/>
              <w:rPr>
                <w:rFonts w:asciiTheme="minorHAnsi" w:hAnsiTheme="minorHAnsi"/>
                <w:lang w:val="en-AU"/>
              </w:rPr>
            </w:pPr>
            <w:r w:rsidRPr="00404724">
              <w:rPr>
                <w:rFonts w:asciiTheme="minorHAnsi" w:hAnsiTheme="minorHAnsi"/>
                <w:lang w:val="en-AU"/>
              </w:rPr>
              <w:t>Passenger vehicles</w:t>
            </w:r>
          </w:p>
        </w:tc>
        <w:tc>
          <w:tcPr>
            <w:tcW w:w="1734" w:type="dxa"/>
          </w:tcPr>
          <w:p w14:paraId="38F9CB73" w14:textId="77777777" w:rsidR="0090234D" w:rsidRPr="00404724" w:rsidRDefault="0090234D" w:rsidP="00A115DA">
            <w:pPr>
              <w:keepNext/>
              <w:spacing w:before="80"/>
              <w:jc w:val="right"/>
              <w:rPr>
                <w:rFonts w:asciiTheme="minorHAnsi" w:hAnsiTheme="minorHAnsi"/>
                <w:lang w:val="en-AU"/>
              </w:rPr>
            </w:pPr>
            <w:r w:rsidRPr="00404724">
              <w:rPr>
                <w:rFonts w:asciiTheme="minorHAnsi" w:hAnsiTheme="minorHAnsi"/>
                <w:lang w:val="en-AU"/>
              </w:rPr>
              <w:t>7.94</w:t>
            </w:r>
          </w:p>
        </w:tc>
        <w:tc>
          <w:tcPr>
            <w:tcW w:w="1734" w:type="dxa"/>
          </w:tcPr>
          <w:p w14:paraId="61FED969" w14:textId="77777777" w:rsidR="0090234D" w:rsidRPr="00404724" w:rsidRDefault="0090234D" w:rsidP="00A115DA">
            <w:pPr>
              <w:keepNext/>
              <w:spacing w:before="80"/>
              <w:jc w:val="right"/>
              <w:rPr>
                <w:rFonts w:asciiTheme="minorHAnsi" w:hAnsiTheme="minorHAnsi"/>
                <w:lang w:val="en-AU"/>
              </w:rPr>
            </w:pPr>
            <w:r w:rsidRPr="00404724">
              <w:rPr>
                <w:rFonts w:asciiTheme="minorHAnsi" w:hAnsiTheme="minorHAnsi"/>
                <w:lang w:val="en-AU"/>
              </w:rPr>
              <w:t>7.76</w:t>
            </w:r>
          </w:p>
        </w:tc>
        <w:tc>
          <w:tcPr>
            <w:tcW w:w="1734" w:type="dxa"/>
          </w:tcPr>
          <w:p w14:paraId="08E77ACC" w14:textId="77777777" w:rsidR="0090234D" w:rsidRPr="00404724" w:rsidRDefault="0090234D" w:rsidP="00A115DA">
            <w:pPr>
              <w:keepNext/>
              <w:spacing w:before="80"/>
              <w:jc w:val="right"/>
              <w:rPr>
                <w:rFonts w:asciiTheme="minorHAnsi" w:hAnsiTheme="minorHAnsi"/>
                <w:lang w:val="en-AU"/>
              </w:rPr>
            </w:pPr>
            <w:r w:rsidRPr="00404724">
              <w:rPr>
                <w:rFonts w:asciiTheme="minorHAnsi" w:hAnsiTheme="minorHAnsi"/>
                <w:lang w:val="en-AU"/>
              </w:rPr>
              <w:t>-2.3%</w:t>
            </w:r>
          </w:p>
        </w:tc>
      </w:tr>
      <w:tr w:rsidR="0090234D" w:rsidRPr="00404724" w14:paraId="36DE1ECD" w14:textId="77777777" w:rsidTr="00BB5FCD">
        <w:trPr>
          <w:cantSplit/>
        </w:trPr>
        <w:tc>
          <w:tcPr>
            <w:tcW w:w="1731" w:type="dxa"/>
          </w:tcPr>
          <w:p w14:paraId="4F90DFAA" w14:textId="77777777" w:rsidR="0090234D" w:rsidRPr="00404724" w:rsidRDefault="0090234D" w:rsidP="00A115DA">
            <w:pPr>
              <w:keepNext/>
              <w:spacing w:before="80"/>
              <w:rPr>
                <w:rFonts w:asciiTheme="minorHAnsi" w:hAnsiTheme="minorHAnsi"/>
                <w:lang w:val="en-AU"/>
              </w:rPr>
            </w:pPr>
            <w:r w:rsidRPr="00404724">
              <w:rPr>
                <w:rFonts w:asciiTheme="minorHAnsi" w:hAnsiTheme="minorHAnsi"/>
                <w:lang w:val="en-AU"/>
              </w:rPr>
              <w:t>Medium Car</w:t>
            </w:r>
          </w:p>
        </w:tc>
        <w:tc>
          <w:tcPr>
            <w:tcW w:w="1733" w:type="dxa"/>
          </w:tcPr>
          <w:p w14:paraId="03E14D4F" w14:textId="77777777" w:rsidR="0090234D" w:rsidRPr="00404724" w:rsidRDefault="0090234D" w:rsidP="00A115DA">
            <w:pPr>
              <w:keepNext/>
              <w:spacing w:before="80"/>
              <w:rPr>
                <w:rFonts w:asciiTheme="minorHAnsi" w:hAnsiTheme="minorHAnsi"/>
                <w:lang w:val="en-AU"/>
              </w:rPr>
            </w:pPr>
            <w:r w:rsidRPr="00404724">
              <w:rPr>
                <w:rFonts w:asciiTheme="minorHAnsi" w:hAnsiTheme="minorHAnsi"/>
                <w:lang w:val="en-AU"/>
              </w:rPr>
              <w:t>Passenger vehicles</w:t>
            </w:r>
          </w:p>
        </w:tc>
        <w:tc>
          <w:tcPr>
            <w:tcW w:w="1734" w:type="dxa"/>
          </w:tcPr>
          <w:p w14:paraId="755F8D4A" w14:textId="77777777" w:rsidR="0090234D" w:rsidRPr="00404724" w:rsidRDefault="0090234D" w:rsidP="00A115DA">
            <w:pPr>
              <w:keepNext/>
              <w:spacing w:before="80"/>
              <w:jc w:val="right"/>
              <w:rPr>
                <w:rFonts w:asciiTheme="minorHAnsi" w:hAnsiTheme="minorHAnsi"/>
                <w:lang w:val="en-AU"/>
              </w:rPr>
            </w:pPr>
            <w:r w:rsidRPr="00404724">
              <w:rPr>
                <w:rFonts w:asciiTheme="minorHAnsi" w:hAnsiTheme="minorHAnsi"/>
                <w:lang w:val="en-AU"/>
              </w:rPr>
              <w:t>9.28</w:t>
            </w:r>
          </w:p>
        </w:tc>
        <w:tc>
          <w:tcPr>
            <w:tcW w:w="1734" w:type="dxa"/>
          </w:tcPr>
          <w:p w14:paraId="6DBC358F" w14:textId="77777777" w:rsidR="0090234D" w:rsidRPr="00404724" w:rsidRDefault="0090234D" w:rsidP="00A115DA">
            <w:pPr>
              <w:keepNext/>
              <w:spacing w:before="80"/>
              <w:jc w:val="right"/>
              <w:rPr>
                <w:rFonts w:asciiTheme="minorHAnsi" w:hAnsiTheme="minorHAnsi"/>
                <w:lang w:val="en-AU"/>
              </w:rPr>
            </w:pPr>
            <w:r w:rsidRPr="00404724">
              <w:rPr>
                <w:rFonts w:asciiTheme="minorHAnsi" w:hAnsiTheme="minorHAnsi"/>
                <w:lang w:val="en-AU"/>
              </w:rPr>
              <w:t>9.09</w:t>
            </w:r>
          </w:p>
        </w:tc>
        <w:tc>
          <w:tcPr>
            <w:tcW w:w="1734" w:type="dxa"/>
          </w:tcPr>
          <w:p w14:paraId="685F9B85" w14:textId="77777777" w:rsidR="0090234D" w:rsidRPr="00404724" w:rsidRDefault="0090234D" w:rsidP="00A115DA">
            <w:pPr>
              <w:keepNext/>
              <w:spacing w:before="80"/>
              <w:jc w:val="right"/>
              <w:rPr>
                <w:rFonts w:asciiTheme="minorHAnsi" w:hAnsiTheme="minorHAnsi"/>
                <w:lang w:val="en-AU"/>
              </w:rPr>
            </w:pPr>
            <w:r w:rsidRPr="00404724">
              <w:rPr>
                <w:rFonts w:asciiTheme="minorHAnsi" w:hAnsiTheme="minorHAnsi"/>
                <w:lang w:val="en-AU"/>
              </w:rPr>
              <w:t>-2.1%</w:t>
            </w:r>
          </w:p>
        </w:tc>
      </w:tr>
      <w:tr w:rsidR="0090234D" w:rsidRPr="00404724" w14:paraId="2AD15757" w14:textId="77777777" w:rsidTr="00BB5FCD">
        <w:trPr>
          <w:cantSplit/>
        </w:trPr>
        <w:tc>
          <w:tcPr>
            <w:tcW w:w="1731" w:type="dxa"/>
          </w:tcPr>
          <w:p w14:paraId="02505E04" w14:textId="77777777" w:rsidR="0090234D" w:rsidRPr="00404724" w:rsidRDefault="0090234D" w:rsidP="000C2CE6">
            <w:pPr>
              <w:spacing w:before="80"/>
              <w:rPr>
                <w:rFonts w:asciiTheme="minorHAnsi" w:hAnsiTheme="minorHAnsi"/>
                <w:lang w:val="en-AU"/>
              </w:rPr>
            </w:pPr>
            <w:r w:rsidRPr="00404724">
              <w:rPr>
                <w:rFonts w:asciiTheme="minorHAnsi" w:hAnsiTheme="minorHAnsi"/>
                <w:lang w:val="en-AU"/>
              </w:rPr>
              <w:t>Large Car</w:t>
            </w:r>
          </w:p>
        </w:tc>
        <w:tc>
          <w:tcPr>
            <w:tcW w:w="1733" w:type="dxa"/>
          </w:tcPr>
          <w:p w14:paraId="60337420" w14:textId="77777777" w:rsidR="0090234D" w:rsidRPr="00404724" w:rsidRDefault="0090234D" w:rsidP="000C2CE6">
            <w:pPr>
              <w:spacing w:before="80"/>
              <w:rPr>
                <w:rFonts w:asciiTheme="minorHAnsi" w:hAnsiTheme="minorHAnsi"/>
                <w:lang w:val="en-AU"/>
              </w:rPr>
            </w:pPr>
            <w:r w:rsidRPr="00404724">
              <w:rPr>
                <w:rFonts w:asciiTheme="minorHAnsi" w:hAnsiTheme="minorHAnsi"/>
                <w:lang w:val="en-AU"/>
              </w:rPr>
              <w:t>Passenger vehicles</w:t>
            </w:r>
          </w:p>
        </w:tc>
        <w:tc>
          <w:tcPr>
            <w:tcW w:w="1734" w:type="dxa"/>
          </w:tcPr>
          <w:p w14:paraId="30FAE411"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11.46</w:t>
            </w:r>
          </w:p>
        </w:tc>
        <w:tc>
          <w:tcPr>
            <w:tcW w:w="1734" w:type="dxa"/>
          </w:tcPr>
          <w:p w14:paraId="240C34FF"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11.25</w:t>
            </w:r>
          </w:p>
        </w:tc>
        <w:tc>
          <w:tcPr>
            <w:tcW w:w="1734" w:type="dxa"/>
          </w:tcPr>
          <w:p w14:paraId="0359E5CB"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-1.8%</w:t>
            </w:r>
          </w:p>
        </w:tc>
      </w:tr>
      <w:tr w:rsidR="0090234D" w:rsidRPr="00404724" w14:paraId="31C27C7D" w14:textId="77777777" w:rsidTr="00BB5FCD">
        <w:trPr>
          <w:cantSplit/>
        </w:trPr>
        <w:tc>
          <w:tcPr>
            <w:tcW w:w="1731" w:type="dxa"/>
          </w:tcPr>
          <w:p w14:paraId="3C108018" w14:textId="77777777" w:rsidR="0090234D" w:rsidRPr="00404724" w:rsidRDefault="0090234D" w:rsidP="000C2CE6">
            <w:pPr>
              <w:spacing w:before="80"/>
              <w:rPr>
                <w:rFonts w:asciiTheme="minorHAnsi" w:hAnsiTheme="minorHAnsi"/>
                <w:lang w:val="en-AU"/>
              </w:rPr>
            </w:pPr>
            <w:r w:rsidRPr="00404724">
              <w:rPr>
                <w:rFonts w:asciiTheme="minorHAnsi" w:hAnsiTheme="minorHAnsi"/>
                <w:lang w:val="en-AU"/>
              </w:rPr>
              <w:t>Courier Van-Utility</w:t>
            </w:r>
          </w:p>
        </w:tc>
        <w:tc>
          <w:tcPr>
            <w:tcW w:w="1733" w:type="dxa"/>
          </w:tcPr>
          <w:p w14:paraId="600EEA3D" w14:textId="77777777" w:rsidR="0090234D" w:rsidRPr="00404724" w:rsidRDefault="0090234D" w:rsidP="000C2CE6">
            <w:pPr>
              <w:spacing w:before="80"/>
              <w:rPr>
                <w:rFonts w:asciiTheme="minorHAnsi" w:hAnsiTheme="minorHAnsi"/>
                <w:lang w:val="en-AU"/>
              </w:rPr>
            </w:pPr>
            <w:r w:rsidRPr="00404724">
              <w:rPr>
                <w:rFonts w:asciiTheme="minorHAnsi" w:hAnsiTheme="minorHAnsi"/>
                <w:lang w:val="en-AU"/>
              </w:rPr>
              <w:t>LCV</w:t>
            </w:r>
          </w:p>
        </w:tc>
        <w:tc>
          <w:tcPr>
            <w:tcW w:w="1734" w:type="dxa"/>
          </w:tcPr>
          <w:p w14:paraId="373D17FA"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9.77</w:t>
            </w:r>
          </w:p>
        </w:tc>
        <w:tc>
          <w:tcPr>
            <w:tcW w:w="1734" w:type="dxa"/>
          </w:tcPr>
          <w:p w14:paraId="3DCDA84A"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9.51</w:t>
            </w:r>
          </w:p>
        </w:tc>
        <w:tc>
          <w:tcPr>
            <w:tcW w:w="1734" w:type="dxa"/>
          </w:tcPr>
          <w:p w14:paraId="15BDE9E4"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-2.6%</w:t>
            </w:r>
          </w:p>
        </w:tc>
      </w:tr>
      <w:tr w:rsidR="0090234D" w:rsidRPr="00404724" w14:paraId="31A6ECCF" w14:textId="77777777" w:rsidTr="00BB5FCD">
        <w:trPr>
          <w:cantSplit/>
        </w:trPr>
        <w:tc>
          <w:tcPr>
            <w:tcW w:w="1731" w:type="dxa"/>
          </w:tcPr>
          <w:p w14:paraId="0D2E84C8" w14:textId="69E93CE1" w:rsidR="0090234D" w:rsidRPr="00404724" w:rsidRDefault="0090234D" w:rsidP="000C2CE6">
            <w:pPr>
              <w:spacing w:before="80"/>
              <w:rPr>
                <w:rFonts w:asciiTheme="minorHAnsi" w:hAnsiTheme="minorHAnsi"/>
                <w:lang w:val="en-AU"/>
              </w:rPr>
            </w:pPr>
            <w:r w:rsidRPr="00404724">
              <w:rPr>
                <w:rFonts w:asciiTheme="minorHAnsi" w:hAnsiTheme="minorHAnsi"/>
                <w:lang w:val="en-AU"/>
              </w:rPr>
              <w:t xml:space="preserve">4WD </w:t>
            </w:r>
            <w:r w:rsidR="00C94374" w:rsidRPr="00404724">
              <w:rPr>
                <w:rFonts w:asciiTheme="minorHAnsi" w:hAnsiTheme="minorHAnsi"/>
                <w:lang w:val="en-AU"/>
              </w:rPr>
              <w:t>Mid-Size</w:t>
            </w:r>
            <w:r w:rsidRPr="00404724">
              <w:rPr>
                <w:rFonts w:asciiTheme="minorHAnsi" w:hAnsiTheme="minorHAnsi"/>
                <w:lang w:val="en-AU"/>
              </w:rPr>
              <w:t xml:space="preserve"> </w:t>
            </w:r>
          </w:p>
        </w:tc>
        <w:tc>
          <w:tcPr>
            <w:tcW w:w="1733" w:type="dxa"/>
          </w:tcPr>
          <w:p w14:paraId="4CA89711" w14:textId="77777777" w:rsidR="0090234D" w:rsidRPr="00404724" w:rsidRDefault="0090234D" w:rsidP="000C2CE6">
            <w:pPr>
              <w:spacing w:before="80"/>
              <w:rPr>
                <w:rFonts w:asciiTheme="minorHAnsi" w:hAnsiTheme="minorHAnsi"/>
                <w:lang w:val="en-AU"/>
              </w:rPr>
            </w:pPr>
            <w:r w:rsidRPr="00404724">
              <w:rPr>
                <w:rFonts w:asciiTheme="minorHAnsi" w:hAnsiTheme="minorHAnsi"/>
                <w:lang w:val="en-AU"/>
              </w:rPr>
              <w:t>LCV</w:t>
            </w:r>
          </w:p>
        </w:tc>
        <w:tc>
          <w:tcPr>
            <w:tcW w:w="1734" w:type="dxa"/>
          </w:tcPr>
          <w:p w14:paraId="7AB839AB"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12.28</w:t>
            </w:r>
          </w:p>
        </w:tc>
        <w:tc>
          <w:tcPr>
            <w:tcW w:w="1734" w:type="dxa"/>
          </w:tcPr>
          <w:p w14:paraId="088954CD"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12.05</w:t>
            </w:r>
          </w:p>
        </w:tc>
        <w:tc>
          <w:tcPr>
            <w:tcW w:w="1734" w:type="dxa"/>
          </w:tcPr>
          <w:p w14:paraId="178703BB"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-1.9%</w:t>
            </w:r>
          </w:p>
        </w:tc>
      </w:tr>
      <w:tr w:rsidR="0090234D" w:rsidRPr="00404724" w14:paraId="38B82D0A" w14:textId="77777777" w:rsidTr="00BB5FCD">
        <w:trPr>
          <w:cantSplit/>
        </w:trPr>
        <w:tc>
          <w:tcPr>
            <w:tcW w:w="1731" w:type="dxa"/>
          </w:tcPr>
          <w:p w14:paraId="6BD78CCD" w14:textId="77777777" w:rsidR="0090234D" w:rsidRPr="00404724" w:rsidRDefault="0090234D" w:rsidP="000C2CE6">
            <w:pPr>
              <w:spacing w:before="80"/>
              <w:rPr>
                <w:rFonts w:asciiTheme="minorHAnsi" w:hAnsiTheme="minorHAnsi"/>
                <w:lang w:val="en-AU"/>
              </w:rPr>
            </w:pPr>
            <w:r w:rsidRPr="00404724">
              <w:rPr>
                <w:rFonts w:asciiTheme="minorHAnsi" w:hAnsiTheme="minorHAnsi"/>
                <w:lang w:val="en-AU"/>
              </w:rPr>
              <w:t>Light Rigid</w:t>
            </w:r>
          </w:p>
        </w:tc>
        <w:tc>
          <w:tcPr>
            <w:tcW w:w="1733" w:type="dxa"/>
          </w:tcPr>
          <w:p w14:paraId="474178E0" w14:textId="77777777" w:rsidR="0090234D" w:rsidRPr="00404724" w:rsidRDefault="0090234D" w:rsidP="000C2CE6">
            <w:pPr>
              <w:spacing w:before="80"/>
              <w:rPr>
                <w:rFonts w:asciiTheme="minorHAnsi" w:hAnsiTheme="minorHAnsi"/>
                <w:lang w:val="en-AU"/>
              </w:rPr>
            </w:pPr>
            <w:r w:rsidRPr="00404724">
              <w:rPr>
                <w:rFonts w:asciiTheme="minorHAnsi" w:hAnsiTheme="minorHAnsi"/>
                <w:lang w:val="en-AU"/>
              </w:rPr>
              <w:t>Rigid trucks</w:t>
            </w:r>
          </w:p>
        </w:tc>
        <w:tc>
          <w:tcPr>
            <w:tcW w:w="1734" w:type="dxa"/>
          </w:tcPr>
          <w:p w14:paraId="35C71280"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13.87</w:t>
            </w:r>
          </w:p>
        </w:tc>
        <w:tc>
          <w:tcPr>
            <w:tcW w:w="1734" w:type="dxa"/>
          </w:tcPr>
          <w:p w14:paraId="311D8C45"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13.35</w:t>
            </w:r>
          </w:p>
        </w:tc>
        <w:tc>
          <w:tcPr>
            <w:tcW w:w="1734" w:type="dxa"/>
          </w:tcPr>
          <w:p w14:paraId="559B0FC0"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-3.8%</w:t>
            </w:r>
          </w:p>
        </w:tc>
      </w:tr>
      <w:tr w:rsidR="0090234D" w:rsidRPr="00404724" w14:paraId="78F77F83" w14:textId="77777777" w:rsidTr="00BB5FCD">
        <w:trPr>
          <w:cantSplit/>
        </w:trPr>
        <w:tc>
          <w:tcPr>
            <w:tcW w:w="1731" w:type="dxa"/>
          </w:tcPr>
          <w:p w14:paraId="0CA4AEE1" w14:textId="77777777" w:rsidR="0090234D" w:rsidRPr="00404724" w:rsidRDefault="0090234D" w:rsidP="000C2CE6">
            <w:pPr>
              <w:spacing w:before="80"/>
              <w:rPr>
                <w:rFonts w:asciiTheme="minorHAnsi" w:hAnsiTheme="minorHAnsi"/>
                <w:lang w:val="en-AU"/>
              </w:rPr>
            </w:pPr>
            <w:r w:rsidRPr="00404724">
              <w:rPr>
                <w:rFonts w:asciiTheme="minorHAnsi" w:hAnsiTheme="minorHAnsi"/>
                <w:lang w:val="en-AU"/>
              </w:rPr>
              <w:t>Medium Rigid</w:t>
            </w:r>
          </w:p>
        </w:tc>
        <w:tc>
          <w:tcPr>
            <w:tcW w:w="1733" w:type="dxa"/>
          </w:tcPr>
          <w:p w14:paraId="24D5A3D7" w14:textId="77777777" w:rsidR="0090234D" w:rsidRPr="00404724" w:rsidRDefault="0090234D" w:rsidP="000C2CE6">
            <w:pPr>
              <w:spacing w:before="80"/>
              <w:rPr>
                <w:rFonts w:asciiTheme="minorHAnsi" w:hAnsiTheme="minorHAnsi"/>
                <w:lang w:val="en-AU"/>
              </w:rPr>
            </w:pPr>
            <w:r w:rsidRPr="00404724">
              <w:rPr>
                <w:rFonts w:asciiTheme="minorHAnsi" w:hAnsiTheme="minorHAnsi"/>
                <w:lang w:val="en-AU"/>
              </w:rPr>
              <w:t>Rigid trucks</w:t>
            </w:r>
          </w:p>
        </w:tc>
        <w:tc>
          <w:tcPr>
            <w:tcW w:w="1734" w:type="dxa"/>
          </w:tcPr>
          <w:p w14:paraId="32FB2821"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21.46</w:t>
            </w:r>
          </w:p>
        </w:tc>
        <w:tc>
          <w:tcPr>
            <w:tcW w:w="1734" w:type="dxa"/>
          </w:tcPr>
          <w:p w14:paraId="683F363A"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20.81</w:t>
            </w:r>
          </w:p>
        </w:tc>
        <w:tc>
          <w:tcPr>
            <w:tcW w:w="1734" w:type="dxa"/>
          </w:tcPr>
          <w:p w14:paraId="5C1050C5"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-3.0%</w:t>
            </w:r>
          </w:p>
        </w:tc>
      </w:tr>
      <w:tr w:rsidR="0090234D" w:rsidRPr="00404724" w14:paraId="2C9A81DA" w14:textId="77777777" w:rsidTr="00BB5FCD">
        <w:trPr>
          <w:cantSplit/>
        </w:trPr>
        <w:tc>
          <w:tcPr>
            <w:tcW w:w="1731" w:type="dxa"/>
          </w:tcPr>
          <w:p w14:paraId="49E3BEA6" w14:textId="77777777" w:rsidR="0090234D" w:rsidRPr="00404724" w:rsidRDefault="0090234D" w:rsidP="000C2CE6">
            <w:pPr>
              <w:spacing w:before="80"/>
              <w:rPr>
                <w:rFonts w:asciiTheme="minorHAnsi" w:hAnsiTheme="minorHAnsi"/>
                <w:lang w:val="en-AU"/>
              </w:rPr>
            </w:pPr>
            <w:r w:rsidRPr="00404724">
              <w:rPr>
                <w:rFonts w:asciiTheme="minorHAnsi" w:hAnsiTheme="minorHAnsi"/>
                <w:lang w:val="en-AU"/>
              </w:rPr>
              <w:t>Heavy Rigid</w:t>
            </w:r>
          </w:p>
        </w:tc>
        <w:tc>
          <w:tcPr>
            <w:tcW w:w="1733" w:type="dxa"/>
          </w:tcPr>
          <w:p w14:paraId="4115BC19" w14:textId="77777777" w:rsidR="0090234D" w:rsidRPr="00404724" w:rsidRDefault="0090234D" w:rsidP="000C2CE6">
            <w:pPr>
              <w:spacing w:before="80"/>
              <w:rPr>
                <w:rFonts w:asciiTheme="minorHAnsi" w:hAnsiTheme="minorHAnsi"/>
                <w:lang w:val="en-AU"/>
              </w:rPr>
            </w:pPr>
            <w:r w:rsidRPr="00404724">
              <w:rPr>
                <w:rFonts w:asciiTheme="minorHAnsi" w:hAnsiTheme="minorHAnsi"/>
                <w:lang w:val="en-AU"/>
              </w:rPr>
              <w:t>Rigid trucks</w:t>
            </w:r>
          </w:p>
        </w:tc>
        <w:tc>
          <w:tcPr>
            <w:tcW w:w="1734" w:type="dxa"/>
          </w:tcPr>
          <w:p w14:paraId="79DDE418"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38.33</w:t>
            </w:r>
          </w:p>
        </w:tc>
        <w:tc>
          <w:tcPr>
            <w:tcW w:w="1734" w:type="dxa"/>
          </w:tcPr>
          <w:p w14:paraId="508464D4"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37.06</w:t>
            </w:r>
          </w:p>
        </w:tc>
        <w:tc>
          <w:tcPr>
            <w:tcW w:w="1734" w:type="dxa"/>
          </w:tcPr>
          <w:p w14:paraId="021CF974"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-3.3%</w:t>
            </w:r>
          </w:p>
        </w:tc>
      </w:tr>
      <w:tr w:rsidR="0090234D" w:rsidRPr="00404724" w14:paraId="360765E3" w14:textId="77777777" w:rsidTr="00BB5FCD">
        <w:trPr>
          <w:cantSplit/>
        </w:trPr>
        <w:tc>
          <w:tcPr>
            <w:tcW w:w="1731" w:type="dxa"/>
          </w:tcPr>
          <w:p w14:paraId="3E745034" w14:textId="77777777" w:rsidR="0090234D" w:rsidRPr="00404724" w:rsidRDefault="0090234D" w:rsidP="000C2CE6">
            <w:pPr>
              <w:spacing w:before="80"/>
              <w:rPr>
                <w:rFonts w:asciiTheme="minorHAnsi" w:hAnsiTheme="minorHAnsi"/>
                <w:lang w:val="en-AU"/>
              </w:rPr>
            </w:pPr>
            <w:r w:rsidRPr="00404724">
              <w:rPr>
                <w:rFonts w:asciiTheme="minorHAnsi" w:hAnsiTheme="minorHAnsi"/>
                <w:lang w:val="en-AU"/>
              </w:rPr>
              <w:t>Heavy Bus</w:t>
            </w:r>
          </w:p>
        </w:tc>
        <w:tc>
          <w:tcPr>
            <w:tcW w:w="1733" w:type="dxa"/>
          </w:tcPr>
          <w:p w14:paraId="0F35BABA" w14:textId="77777777" w:rsidR="0090234D" w:rsidRPr="00404724" w:rsidRDefault="0090234D" w:rsidP="000C2CE6">
            <w:pPr>
              <w:spacing w:before="80"/>
              <w:rPr>
                <w:rFonts w:asciiTheme="minorHAnsi" w:hAnsiTheme="minorHAnsi"/>
                <w:lang w:val="en-AU"/>
              </w:rPr>
            </w:pPr>
            <w:r w:rsidRPr="00404724">
              <w:rPr>
                <w:rFonts w:asciiTheme="minorHAnsi" w:hAnsiTheme="minorHAnsi"/>
                <w:lang w:val="en-AU"/>
              </w:rPr>
              <w:t>Buses</w:t>
            </w:r>
          </w:p>
        </w:tc>
        <w:tc>
          <w:tcPr>
            <w:tcW w:w="1734" w:type="dxa"/>
          </w:tcPr>
          <w:p w14:paraId="1B493143"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31.40</w:t>
            </w:r>
          </w:p>
        </w:tc>
        <w:tc>
          <w:tcPr>
            <w:tcW w:w="1734" w:type="dxa"/>
          </w:tcPr>
          <w:p w14:paraId="61F399F3"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30.60</w:t>
            </w:r>
          </w:p>
        </w:tc>
        <w:tc>
          <w:tcPr>
            <w:tcW w:w="1734" w:type="dxa"/>
          </w:tcPr>
          <w:p w14:paraId="5965EB79"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-2.6%</w:t>
            </w:r>
          </w:p>
        </w:tc>
      </w:tr>
      <w:tr w:rsidR="0090234D" w:rsidRPr="00404724" w14:paraId="504E9CE6" w14:textId="77777777" w:rsidTr="00BB5FCD">
        <w:trPr>
          <w:cantSplit/>
        </w:trPr>
        <w:tc>
          <w:tcPr>
            <w:tcW w:w="1731" w:type="dxa"/>
          </w:tcPr>
          <w:p w14:paraId="54DC82A4" w14:textId="77777777" w:rsidR="0090234D" w:rsidRPr="00404724" w:rsidRDefault="0090234D" w:rsidP="000C2CE6">
            <w:pPr>
              <w:spacing w:before="80"/>
              <w:rPr>
                <w:rFonts w:asciiTheme="minorHAnsi" w:hAnsiTheme="minorHAnsi"/>
                <w:lang w:val="en-AU"/>
              </w:rPr>
            </w:pPr>
            <w:r w:rsidRPr="00404724">
              <w:rPr>
                <w:rFonts w:asciiTheme="minorHAnsi" w:hAnsiTheme="minorHAnsi"/>
                <w:lang w:val="en-AU"/>
              </w:rPr>
              <w:t>Artic 4 Axle</w:t>
            </w:r>
          </w:p>
        </w:tc>
        <w:tc>
          <w:tcPr>
            <w:tcW w:w="1733" w:type="dxa"/>
          </w:tcPr>
          <w:p w14:paraId="2A8CAADE" w14:textId="77777777" w:rsidR="0090234D" w:rsidRPr="00404724" w:rsidRDefault="0090234D" w:rsidP="000C2CE6">
            <w:pPr>
              <w:spacing w:before="80"/>
              <w:rPr>
                <w:rFonts w:asciiTheme="minorHAnsi" w:hAnsiTheme="minorHAnsi"/>
                <w:lang w:val="en-AU"/>
              </w:rPr>
            </w:pPr>
            <w:r w:rsidRPr="00404724">
              <w:rPr>
                <w:rFonts w:asciiTheme="minorHAnsi" w:hAnsiTheme="minorHAnsi"/>
                <w:lang w:val="en-AU"/>
              </w:rPr>
              <w:t>Articulated trucks</w:t>
            </w:r>
          </w:p>
        </w:tc>
        <w:tc>
          <w:tcPr>
            <w:tcW w:w="1734" w:type="dxa"/>
          </w:tcPr>
          <w:p w14:paraId="7183BF97"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51.80</w:t>
            </w:r>
          </w:p>
        </w:tc>
        <w:tc>
          <w:tcPr>
            <w:tcW w:w="1734" w:type="dxa"/>
          </w:tcPr>
          <w:p w14:paraId="665A05DB"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50.02</w:t>
            </w:r>
          </w:p>
        </w:tc>
        <w:tc>
          <w:tcPr>
            <w:tcW w:w="1734" w:type="dxa"/>
          </w:tcPr>
          <w:p w14:paraId="269F8218"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-3.4%</w:t>
            </w:r>
          </w:p>
        </w:tc>
      </w:tr>
      <w:tr w:rsidR="0090234D" w:rsidRPr="00404724" w14:paraId="7C569BD1" w14:textId="77777777" w:rsidTr="00BB5FCD">
        <w:trPr>
          <w:cantSplit/>
        </w:trPr>
        <w:tc>
          <w:tcPr>
            <w:tcW w:w="1731" w:type="dxa"/>
          </w:tcPr>
          <w:p w14:paraId="72E5F6A6" w14:textId="77777777" w:rsidR="0090234D" w:rsidRPr="00404724" w:rsidRDefault="0090234D" w:rsidP="000C2CE6">
            <w:pPr>
              <w:spacing w:before="80"/>
              <w:rPr>
                <w:rFonts w:asciiTheme="minorHAnsi" w:hAnsiTheme="minorHAnsi"/>
                <w:lang w:val="en-AU"/>
              </w:rPr>
            </w:pPr>
            <w:r w:rsidRPr="00404724">
              <w:rPr>
                <w:rFonts w:asciiTheme="minorHAnsi" w:hAnsiTheme="minorHAnsi"/>
                <w:lang w:val="en-AU"/>
              </w:rPr>
              <w:t>Artic 5 Axle</w:t>
            </w:r>
          </w:p>
        </w:tc>
        <w:tc>
          <w:tcPr>
            <w:tcW w:w="1733" w:type="dxa"/>
          </w:tcPr>
          <w:p w14:paraId="7B342900" w14:textId="77777777" w:rsidR="0090234D" w:rsidRPr="00404724" w:rsidRDefault="0090234D" w:rsidP="000C2CE6">
            <w:pPr>
              <w:spacing w:before="80"/>
              <w:rPr>
                <w:rFonts w:asciiTheme="minorHAnsi" w:hAnsiTheme="minorHAnsi"/>
                <w:lang w:val="en-AU"/>
              </w:rPr>
            </w:pPr>
            <w:r w:rsidRPr="00404724">
              <w:rPr>
                <w:rFonts w:asciiTheme="minorHAnsi" w:hAnsiTheme="minorHAnsi"/>
                <w:lang w:val="en-AU"/>
              </w:rPr>
              <w:t>Articulated trucks</w:t>
            </w:r>
          </w:p>
        </w:tc>
        <w:tc>
          <w:tcPr>
            <w:tcW w:w="1734" w:type="dxa"/>
          </w:tcPr>
          <w:p w14:paraId="1B15D804"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53.31</w:t>
            </w:r>
          </w:p>
        </w:tc>
        <w:tc>
          <w:tcPr>
            <w:tcW w:w="1734" w:type="dxa"/>
          </w:tcPr>
          <w:p w14:paraId="300CE466"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51.65</w:t>
            </w:r>
          </w:p>
        </w:tc>
        <w:tc>
          <w:tcPr>
            <w:tcW w:w="1734" w:type="dxa"/>
          </w:tcPr>
          <w:p w14:paraId="79A2F9D0"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-3.1%</w:t>
            </w:r>
          </w:p>
        </w:tc>
      </w:tr>
      <w:tr w:rsidR="0090234D" w:rsidRPr="00404724" w14:paraId="7C698B77" w14:textId="77777777" w:rsidTr="00BB5FCD">
        <w:trPr>
          <w:cantSplit/>
        </w:trPr>
        <w:tc>
          <w:tcPr>
            <w:tcW w:w="1731" w:type="dxa"/>
          </w:tcPr>
          <w:p w14:paraId="21A4997D" w14:textId="77777777" w:rsidR="0090234D" w:rsidRPr="00404724" w:rsidRDefault="0090234D" w:rsidP="000C2CE6">
            <w:pPr>
              <w:spacing w:before="80"/>
              <w:rPr>
                <w:rFonts w:asciiTheme="minorHAnsi" w:hAnsiTheme="minorHAnsi"/>
                <w:lang w:val="en-AU"/>
              </w:rPr>
            </w:pPr>
            <w:r w:rsidRPr="00404724">
              <w:rPr>
                <w:rFonts w:asciiTheme="minorHAnsi" w:hAnsiTheme="minorHAnsi"/>
                <w:lang w:val="en-AU"/>
              </w:rPr>
              <w:t>Artic 6 Axle</w:t>
            </w:r>
          </w:p>
        </w:tc>
        <w:tc>
          <w:tcPr>
            <w:tcW w:w="1733" w:type="dxa"/>
          </w:tcPr>
          <w:p w14:paraId="42A10DED" w14:textId="77777777" w:rsidR="0090234D" w:rsidRPr="00404724" w:rsidRDefault="0090234D" w:rsidP="000C2CE6">
            <w:pPr>
              <w:spacing w:before="80"/>
              <w:rPr>
                <w:rFonts w:asciiTheme="minorHAnsi" w:hAnsiTheme="minorHAnsi"/>
                <w:lang w:val="en-AU"/>
              </w:rPr>
            </w:pPr>
            <w:r w:rsidRPr="00404724">
              <w:rPr>
                <w:rFonts w:asciiTheme="minorHAnsi" w:hAnsiTheme="minorHAnsi"/>
                <w:lang w:val="en-AU"/>
              </w:rPr>
              <w:t>Articulated trucks</w:t>
            </w:r>
          </w:p>
        </w:tc>
        <w:tc>
          <w:tcPr>
            <w:tcW w:w="1734" w:type="dxa"/>
          </w:tcPr>
          <w:p w14:paraId="37A01BCF"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57.59</w:t>
            </w:r>
          </w:p>
        </w:tc>
        <w:tc>
          <w:tcPr>
            <w:tcW w:w="1734" w:type="dxa"/>
          </w:tcPr>
          <w:p w14:paraId="14579E75"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55.91</w:t>
            </w:r>
          </w:p>
        </w:tc>
        <w:tc>
          <w:tcPr>
            <w:tcW w:w="1734" w:type="dxa"/>
          </w:tcPr>
          <w:p w14:paraId="0066A235" w14:textId="77777777" w:rsidR="0090234D" w:rsidRPr="00404724" w:rsidRDefault="0090234D" w:rsidP="009F6CA8">
            <w:pPr>
              <w:spacing w:before="80"/>
              <w:jc w:val="right"/>
              <w:rPr>
                <w:rFonts w:asciiTheme="minorHAnsi" w:hAnsiTheme="minorHAnsi"/>
                <w:lang w:val="en-AU"/>
              </w:rPr>
            </w:pPr>
            <w:r w:rsidRPr="00404724">
              <w:rPr>
                <w:rFonts w:asciiTheme="minorHAnsi" w:hAnsiTheme="minorHAnsi"/>
                <w:lang w:val="en-AU"/>
              </w:rPr>
              <w:t>-2.9%</w:t>
            </w:r>
          </w:p>
        </w:tc>
      </w:tr>
    </w:tbl>
    <w:p w14:paraId="7818479E" w14:textId="77777777" w:rsidR="0090234D" w:rsidRPr="00404724" w:rsidRDefault="0090234D" w:rsidP="00AE4E2F">
      <w:pPr>
        <w:pStyle w:val="Sourcenotes"/>
        <w:rPr>
          <w:rStyle w:val="Strong"/>
          <w:rFonts w:eastAsiaTheme="minorEastAsia"/>
          <w:b w:val="0"/>
          <w:bCs w:val="0"/>
          <w:sz w:val="22"/>
          <w:lang w:val="en-AU"/>
        </w:rPr>
      </w:pPr>
      <w:r w:rsidRPr="00404724">
        <w:rPr>
          <w:rStyle w:val="Strong"/>
          <w:rFonts w:eastAsiaTheme="minorEastAsia"/>
          <w:b w:val="0"/>
          <w:bCs w:val="0"/>
          <w:lang w:val="en-AU"/>
        </w:rPr>
        <w:t>Source: ATAP, ACIL Allen</w:t>
      </w:r>
    </w:p>
    <w:p w14:paraId="56807C7F" w14:textId="77777777" w:rsidR="0090234D" w:rsidRPr="00404724" w:rsidRDefault="0090234D" w:rsidP="0090234D">
      <w:pPr>
        <w:pStyle w:val="BodyText"/>
        <w:rPr>
          <w:rStyle w:val="Strong"/>
          <w:rFonts w:eastAsiaTheme="minorEastAsia"/>
          <w:b w:val="0"/>
          <w:bCs w:val="0"/>
        </w:rPr>
      </w:pPr>
      <w:r w:rsidRPr="00404724">
        <w:rPr>
          <w:rStyle w:val="Strong"/>
          <w:rFonts w:eastAsiaTheme="minorEastAsia"/>
          <w:b w:val="0"/>
          <w:bCs w:val="0"/>
        </w:rPr>
        <w:t>Motorcycles are assumed to have the same percentage change in fuel efficiency as the average of the passenger vehicles.</w:t>
      </w:r>
    </w:p>
    <w:p w14:paraId="1A34F6F8" w14:textId="2114E31F" w:rsidR="0090234D" w:rsidRPr="00404724" w:rsidRDefault="00C4433C" w:rsidP="006526CD">
      <w:pPr>
        <w:pStyle w:val="Heading4"/>
      </w:pPr>
      <w:bookmarkStart w:id="407" w:name="_Toc210042566"/>
      <w:bookmarkStart w:id="408" w:name="_Toc210049208"/>
      <w:bookmarkStart w:id="409" w:name="_Toc210051648"/>
      <w:bookmarkStart w:id="410" w:name="_Toc210051729"/>
      <w:r>
        <w:t>4</w:t>
      </w:r>
      <w:r w:rsidR="006526CD">
        <w:t>.3.4</w:t>
      </w:r>
      <w:r w:rsidR="006526CD">
        <w:tab/>
      </w:r>
      <w:r w:rsidR="0090234D" w:rsidRPr="00404724">
        <w:t>Fuel efficiency and emissions</w:t>
      </w:r>
      <w:r w:rsidR="00F4602C" w:rsidRPr="00404724">
        <w:t xml:space="preserve"> benefits</w:t>
      </w:r>
      <w:bookmarkEnd w:id="407"/>
      <w:bookmarkEnd w:id="408"/>
      <w:bookmarkEnd w:id="409"/>
      <w:bookmarkEnd w:id="410"/>
    </w:p>
    <w:p w14:paraId="7CF351F8" w14:textId="77777777" w:rsidR="0090234D" w:rsidRPr="00404724" w:rsidRDefault="0090234D" w:rsidP="0090234D">
      <w:pPr>
        <w:pStyle w:val="BodyText"/>
      </w:pPr>
      <w:r w:rsidRPr="00404724">
        <w:t xml:space="preserve">The actual on-road CO2 emission intensity of vehicles remains an area of uncertainty, given the relative lack of real-world testing data. Current historical data relies on estimations based on several variables and controlled vehicle testing, which is known to differ from real world results. </w:t>
      </w:r>
    </w:p>
    <w:p w14:paraId="1D9C9B0B" w14:textId="37883A64" w:rsidR="0090234D" w:rsidRPr="00404724" w:rsidRDefault="00EF3397" w:rsidP="0090234D">
      <w:pPr>
        <w:pStyle w:val="BodyText"/>
        <w:rPr>
          <w:rStyle w:val="Strong"/>
          <w:b w:val="0"/>
          <w:bCs w:val="0"/>
        </w:rPr>
      </w:pPr>
      <w:r w:rsidRPr="00404724">
        <w:t>T</w:t>
      </w:r>
      <w:r w:rsidR="000C2CE6" w:rsidRPr="00404724">
        <w:t>he</w:t>
      </w:r>
      <w:r w:rsidR="0090234D" w:rsidRPr="00404724">
        <w:t xml:space="preserve"> calculation for the reduction in emissions for each </w:t>
      </w:r>
      <w:r w:rsidRPr="00404724">
        <w:t xml:space="preserve">road type and speed reduction </w:t>
      </w:r>
      <w:r w:rsidR="0090234D" w:rsidRPr="00404724">
        <w:t xml:space="preserve">modelled scenario </w:t>
      </w:r>
      <m:oMath>
        <m:r>
          <w:rPr>
            <w:rFonts w:ascii="Cambria Math" w:hAnsi="Cambria Math"/>
          </w:rPr>
          <m:t>i</m:t>
        </m:r>
      </m:oMath>
      <w:r w:rsidR="0090234D" w:rsidRPr="00404724">
        <w:t xml:space="preserve"> is as follows:</w:t>
      </w:r>
    </w:p>
    <w:p w14:paraId="1BF4C9E4" w14:textId="77777777" w:rsidR="0090234D" w:rsidRPr="00404724" w:rsidRDefault="00EC39D5" w:rsidP="0090234D">
      <w:pPr>
        <w:pStyle w:val="BodyText"/>
        <w:rPr>
          <w:rStyle w:val="Strong"/>
          <w:b w:val="0"/>
          <w:bCs w:val="0"/>
        </w:rPr>
      </w:pPr>
      <m:oMathPara>
        <m:oMath>
          <m:nary>
            <m:naryPr>
              <m:chr m:val="∑"/>
              <m:limLoc m:val="undOvr"/>
              <m:ctrlPr>
                <w:rPr>
                  <w:rStyle w:val="Strong"/>
                  <w:rFonts w:ascii="Cambria Math" w:hAnsi="Cambria Math"/>
                  <w:b w:val="0"/>
                  <w:bCs w:val="0"/>
                  <w:i/>
                </w:rPr>
              </m:ctrlPr>
            </m:naryPr>
            <m:sub>
              <m:r>
                <w:rPr>
                  <w:rStyle w:val="Strong"/>
                  <w:rFonts w:ascii="Cambria Math" w:hAnsi="Cambria Math"/>
                </w:rPr>
                <m:t>r=1</m:t>
              </m:r>
            </m:sub>
            <m:sup>
              <m:r>
                <w:rPr>
                  <w:rStyle w:val="Strong"/>
                  <w:rFonts w:ascii="Cambria Math" w:hAnsi="Cambria Math"/>
                </w:rPr>
                <m:t>5</m:t>
              </m:r>
            </m:sup>
            <m:e>
              <m:d>
                <m:dPr>
                  <m:ctrlPr>
                    <w:rPr>
                      <w:rStyle w:val="Strong"/>
                      <w:rFonts w:ascii="Cambria Math" w:hAnsi="Cambria Math"/>
                      <w:b w:val="0"/>
                      <w:bCs w:val="0"/>
                      <w:i/>
                    </w:rPr>
                  </m:ctrlPr>
                </m:dPr>
                <m:e>
                  <m:r>
                    <w:rPr>
                      <w:rStyle w:val="Strong"/>
                      <w:rFonts w:ascii="Cambria Math" w:hAnsi="Cambria Math"/>
                    </w:rPr>
                    <m:t>Average Fuel Efficienc</m:t>
                  </m:r>
                  <m:sSub>
                    <m:sSubPr>
                      <m:ctrlPr>
                        <w:rPr>
                          <w:rStyle w:val="Strong"/>
                          <w:rFonts w:ascii="Cambria Math" w:hAnsi="Cambria Math"/>
                          <w:b w:val="0"/>
                          <w:bCs w:val="0"/>
                          <w:i/>
                        </w:rPr>
                      </m:ctrlPr>
                    </m:sSubPr>
                    <m:e>
                      <m:r>
                        <w:rPr>
                          <w:rStyle w:val="Strong"/>
                          <w:rFonts w:ascii="Cambria Math" w:hAnsi="Cambria Math"/>
                        </w:rPr>
                        <m:t>y</m:t>
                      </m:r>
                    </m:e>
                    <m:sub>
                      <m:r>
                        <w:rPr>
                          <w:rStyle w:val="Strong"/>
                          <w:rFonts w:ascii="Cambria Math" w:hAnsi="Cambria Math"/>
                        </w:rPr>
                        <m:t xml:space="preserve"> r, 0</m:t>
                      </m:r>
                    </m:sub>
                  </m:sSub>
                  <m:r>
                    <w:rPr>
                      <w:rStyle w:val="Strong"/>
                      <w:rFonts w:ascii="Cambria Math" w:hAnsi="Cambria Math"/>
                    </w:rPr>
                    <m:t>- Average Fuel Efficienc</m:t>
                  </m:r>
                  <m:sSub>
                    <m:sSubPr>
                      <m:ctrlPr>
                        <w:rPr>
                          <w:rStyle w:val="Strong"/>
                          <w:rFonts w:ascii="Cambria Math" w:hAnsi="Cambria Math"/>
                          <w:b w:val="0"/>
                          <w:bCs w:val="0"/>
                          <w:i/>
                        </w:rPr>
                      </m:ctrlPr>
                    </m:sSubPr>
                    <m:e>
                      <m:r>
                        <w:rPr>
                          <w:rStyle w:val="Strong"/>
                          <w:rFonts w:ascii="Cambria Math" w:hAnsi="Cambria Math"/>
                        </w:rPr>
                        <m:t>y</m:t>
                      </m:r>
                    </m:e>
                    <m:sub>
                      <m:r>
                        <w:rPr>
                          <w:rStyle w:val="Strong"/>
                          <w:rFonts w:ascii="Cambria Math" w:hAnsi="Cambria Math"/>
                        </w:rPr>
                        <m:t xml:space="preserve"> r, i</m:t>
                      </m:r>
                    </m:sub>
                  </m:sSub>
                </m:e>
              </m:d>
              <m:r>
                <w:rPr>
                  <w:rStyle w:val="Strong"/>
                  <w:rFonts w:ascii="Cambria Math" w:hAnsi="Cambria Math"/>
                </w:rPr>
                <m:t>×VK</m:t>
              </m:r>
              <m:sSub>
                <m:sSubPr>
                  <m:ctrlPr>
                    <w:rPr>
                      <w:rStyle w:val="Strong"/>
                      <w:rFonts w:ascii="Cambria Math" w:hAnsi="Cambria Math"/>
                      <w:b w:val="0"/>
                      <w:bCs w:val="0"/>
                      <w:i/>
                    </w:rPr>
                  </m:ctrlPr>
                </m:sSubPr>
                <m:e>
                  <m:r>
                    <w:rPr>
                      <w:rStyle w:val="Strong"/>
                      <w:rFonts w:ascii="Cambria Math" w:hAnsi="Cambria Math"/>
                    </w:rPr>
                    <m:t>T</m:t>
                  </m:r>
                </m:e>
                <m:sub>
                  <m:r>
                    <w:rPr>
                      <w:rStyle w:val="Strong"/>
                      <w:rFonts w:ascii="Cambria Math" w:hAnsi="Cambria Math"/>
                    </w:rPr>
                    <m:t>r</m:t>
                  </m:r>
                </m:sub>
              </m:sSub>
            </m:e>
          </m:nary>
          <m:r>
            <w:rPr>
              <w:rStyle w:val="Strong"/>
              <w:rFonts w:ascii="Cambria Math" w:hAnsi="Cambria Math"/>
            </w:rPr>
            <m:t xml:space="preserve"> </m:t>
          </m:r>
        </m:oMath>
      </m:oMathPara>
    </w:p>
    <w:p w14:paraId="18F201F4" w14:textId="5867EC53" w:rsidR="0090234D" w:rsidRPr="00404724" w:rsidRDefault="0090234D" w:rsidP="0090234D">
      <w:pPr>
        <w:pStyle w:val="BodyText"/>
        <w:rPr>
          <w:rStyle w:val="Strong"/>
          <w:rFonts w:eastAsiaTheme="minorEastAsia"/>
          <w:b w:val="0"/>
          <w:bCs w:val="0"/>
        </w:rPr>
      </w:pPr>
      <w:r w:rsidRPr="00404724">
        <w:rPr>
          <w:rStyle w:val="Strong"/>
          <w:rFonts w:eastAsiaTheme="minorEastAsia"/>
          <w:b w:val="0"/>
          <w:bCs w:val="0"/>
        </w:rPr>
        <w:t xml:space="preserve">Where </w:t>
      </w:r>
      <m:oMath>
        <m:r>
          <w:rPr>
            <w:rStyle w:val="Strong"/>
            <w:rFonts w:ascii="Cambria Math" w:eastAsiaTheme="minorEastAsia" w:hAnsi="Cambria Math"/>
          </w:rPr>
          <m:t>r</m:t>
        </m:r>
      </m:oMath>
      <w:r w:rsidRPr="00404724">
        <w:rPr>
          <w:rStyle w:val="Strong"/>
          <w:rFonts w:eastAsiaTheme="minorEastAsia"/>
          <w:b w:val="0"/>
          <w:bCs w:val="0"/>
        </w:rPr>
        <w:t xml:space="preserve"> is the remoteness area (as defined by the ASGS Edition 3 Remoteness Areas for Australia</w:t>
      </w:r>
      <w:r w:rsidRPr="00404724">
        <w:rPr>
          <w:rStyle w:val="FootnoteReference"/>
          <w:rFonts w:eastAsiaTheme="minorEastAsia"/>
          <w:b/>
          <w:bCs/>
        </w:rPr>
        <w:footnoteReference w:id="108"/>
      </w:r>
      <w:r w:rsidRPr="00404724">
        <w:rPr>
          <w:rStyle w:val="Strong"/>
          <w:rFonts w:eastAsiaTheme="minorEastAsia"/>
          <w:b w:val="0"/>
          <w:bCs w:val="0"/>
        </w:rPr>
        <w:t>). In simple terms, the emissions abatement for each scenario is calculated as the difference in fuel efficiency (in grams of CO</w:t>
      </w:r>
      <w:r w:rsidRPr="00404724">
        <w:rPr>
          <w:rStyle w:val="Strong"/>
          <w:rFonts w:eastAsiaTheme="minorEastAsia"/>
          <w:b w:val="0"/>
          <w:bCs w:val="0"/>
          <w:vertAlign w:val="subscript"/>
        </w:rPr>
        <w:t>2</w:t>
      </w:r>
      <w:r w:rsidRPr="00404724">
        <w:rPr>
          <w:rStyle w:val="Strong"/>
          <w:rFonts w:eastAsiaTheme="minorEastAsia"/>
          <w:b w:val="0"/>
          <w:bCs w:val="0"/>
        </w:rPr>
        <w:t>/km) before and after slowing down for each road type and remoteness area, multiplied by the VKT on those respective roads (see also</w:t>
      </w:r>
      <w:r w:rsidR="00CF1735" w:rsidRPr="00404724">
        <w:rPr>
          <w:rStyle w:val="Strong"/>
          <w:rFonts w:eastAsiaTheme="minorEastAsia"/>
          <w:b w:val="0"/>
          <w:bCs w:val="0"/>
        </w:rPr>
        <w:t xml:space="preserve"> </w:t>
      </w:r>
      <w:r w:rsidR="00CF1735" w:rsidRPr="00404724">
        <w:rPr>
          <w:rStyle w:val="Strong"/>
          <w:rFonts w:eastAsiaTheme="minorEastAsia"/>
          <w:b w:val="0"/>
          <w:bCs w:val="0"/>
        </w:rPr>
        <w:fldChar w:fldCharType="begin"/>
      </w:r>
      <w:r w:rsidR="00CF1735" w:rsidRPr="00404724">
        <w:rPr>
          <w:rStyle w:val="Strong"/>
          <w:rFonts w:eastAsiaTheme="minorEastAsia"/>
          <w:b w:val="0"/>
          <w:bCs w:val="0"/>
        </w:rPr>
        <w:instrText xml:space="preserve"> REF _Ref205389001 \h </w:instrText>
      </w:r>
      <w:r w:rsidR="00CF1735" w:rsidRPr="00404724">
        <w:rPr>
          <w:rStyle w:val="Strong"/>
          <w:rFonts w:eastAsiaTheme="minorEastAsia"/>
          <w:b w:val="0"/>
          <w:bCs w:val="0"/>
        </w:rPr>
      </w:r>
      <w:r w:rsidR="00CF1735" w:rsidRPr="00404724">
        <w:rPr>
          <w:rStyle w:val="Strong"/>
          <w:rFonts w:eastAsiaTheme="minorEastAsia"/>
          <w:b w:val="0"/>
          <w:bCs w:val="0"/>
        </w:rPr>
        <w:fldChar w:fldCharType="separate"/>
      </w:r>
      <w:r w:rsidR="00BF489D" w:rsidRPr="00404724">
        <w:rPr>
          <w:rStyle w:val="Strong"/>
          <w:bCs w:val="0"/>
        </w:rPr>
        <w:t>Figure </w:t>
      </w:r>
      <w:r w:rsidR="00BF489D">
        <w:rPr>
          <w:rStyle w:val="Strong"/>
          <w:b w:val="0"/>
          <w:bCs w:val="0"/>
          <w:noProof/>
        </w:rPr>
        <w:t>12</w:t>
      </w:r>
      <w:r w:rsidR="00CF1735" w:rsidRPr="00404724">
        <w:rPr>
          <w:rStyle w:val="Strong"/>
          <w:rFonts w:eastAsiaTheme="minorEastAsia"/>
          <w:b w:val="0"/>
          <w:bCs w:val="0"/>
        </w:rPr>
        <w:fldChar w:fldCharType="end"/>
      </w:r>
      <w:r w:rsidRPr="00404724">
        <w:rPr>
          <w:rStyle w:val="Strong"/>
          <w:rFonts w:eastAsiaTheme="minorEastAsia"/>
          <w:b w:val="0"/>
          <w:bCs w:val="0"/>
        </w:rPr>
        <w:t>).</w:t>
      </w:r>
    </w:p>
    <w:p w14:paraId="1741A41E" w14:textId="7FED0E7C" w:rsidR="0090234D" w:rsidRPr="00404724" w:rsidRDefault="00C4433C" w:rsidP="006526CD">
      <w:pPr>
        <w:pStyle w:val="Heading4"/>
      </w:pPr>
      <w:bookmarkStart w:id="411" w:name="_Toc210042567"/>
      <w:bookmarkStart w:id="412" w:name="_Toc210049209"/>
      <w:bookmarkStart w:id="413" w:name="_Toc210051649"/>
      <w:bookmarkStart w:id="414" w:name="_Toc210051730"/>
      <w:r>
        <w:t>4</w:t>
      </w:r>
      <w:r w:rsidR="006526CD">
        <w:t>.3.5</w:t>
      </w:r>
      <w:r w:rsidR="006526CD">
        <w:tab/>
      </w:r>
      <w:r w:rsidR="0090234D" w:rsidRPr="00404724">
        <w:t>Cost of carbon</w:t>
      </w:r>
      <w:r w:rsidR="00F4602C" w:rsidRPr="00404724">
        <w:t xml:space="preserve"> benefit</w:t>
      </w:r>
      <w:bookmarkEnd w:id="411"/>
      <w:bookmarkEnd w:id="412"/>
      <w:bookmarkEnd w:id="413"/>
      <w:bookmarkEnd w:id="414"/>
    </w:p>
    <w:p w14:paraId="4C41C866" w14:textId="77777777" w:rsidR="0090234D" w:rsidRPr="00404724" w:rsidRDefault="0090234D" w:rsidP="0090234D">
      <w:pPr>
        <w:pStyle w:val="BodyText"/>
      </w:pPr>
      <w:r w:rsidRPr="00404724">
        <w:t>There are multiple approaches to estimate the cost of GHG emissions. Because the burden (costs) of emissions is almost entirely borne by third parties (neither the consumer, nor the electricity generator), it is an example of an economic externality. The value of GHG emissions, therefore, is not internalised in the market, which means that individuals do not make decisions based on the overall impact. This is a classic market failure, making the value of emissions difficult to estimate accurately.</w:t>
      </w:r>
    </w:p>
    <w:p w14:paraId="12B1BF0F" w14:textId="77777777" w:rsidR="0090234D" w:rsidRPr="00404724" w:rsidRDefault="0090234D" w:rsidP="00A115DA">
      <w:pPr>
        <w:pStyle w:val="BodyText"/>
        <w:keepNext/>
      </w:pPr>
      <w:r w:rsidRPr="00404724">
        <w:lastRenderedPageBreak/>
        <w:t>Two approaches have been taken to estimate the value of GHG emissions:</w:t>
      </w:r>
    </w:p>
    <w:p w14:paraId="47FB594C" w14:textId="77777777" w:rsidR="0090234D" w:rsidRPr="00404724" w:rsidRDefault="0090234D" w:rsidP="00485648">
      <w:pPr>
        <w:pStyle w:val="Listparagraphbullets"/>
      </w:pPr>
      <w:r w:rsidRPr="00404724">
        <w:t xml:space="preserve">The social cost of carbon (SCC, or sometimes rendered as SC-CO2), which tries to estimate the marginal impact of an additional tonne of carbon based on the future costs associated with those emissions. The SCC is an inherently difficult to use measure, both because of the difficulty in measuring the impact of a tonne of carbon a long time in the future; and because of the assumptions around the discount rate used to evaluate those impacts. Typically, the SCC is given as a very high, high, medium, and low value – deriving from different measures of the discount rate. This is the approach most commonly taken before the advent of carbon markets, and was the approach in the United States and currently in many places throughout the world. </w:t>
      </w:r>
    </w:p>
    <w:p w14:paraId="109D90F4" w14:textId="77777777" w:rsidR="0090234D" w:rsidRPr="00404724" w:rsidRDefault="0090234D" w:rsidP="00485648">
      <w:pPr>
        <w:pStyle w:val="Listparagraphbullets"/>
      </w:pPr>
      <w:r w:rsidRPr="00404724">
        <w:t xml:space="preserve">The resource cost of carbon, which is based on the current cost of abatement. In the Australian context, this is the present value of the spot price for fixed delivery of a tonne of carbon (delivered to the Emissions Reduction Fund, ERF). </w:t>
      </w:r>
    </w:p>
    <w:p w14:paraId="07CE9A0A" w14:textId="1F08FAE6" w:rsidR="0090234D" w:rsidRPr="00C4433C" w:rsidRDefault="0090234D" w:rsidP="00C4433C">
      <w:r w:rsidRPr="00404724">
        <w:t>These 2 methods can be roughly</w:t>
      </w:r>
      <w:r w:rsidRPr="00404724">
        <w:rPr>
          <w:rStyle w:val="FootnoteReference"/>
          <w:rFonts w:ascii="Calibri" w:hAnsi="Calibri" w:cs="Calibri"/>
        </w:rPr>
        <w:footnoteReference w:id="109"/>
      </w:r>
      <w:r w:rsidRPr="00404724">
        <w:t xml:space="preserve"> described as a demand-price and a supply-price (respectively). In a perfectly operating market – with accurate information, well-defined property rights, and rational decision making – these 2 prices would be </w:t>
      </w:r>
      <w:r w:rsidR="00C94374" w:rsidRPr="00404724">
        <w:t>identical,</w:t>
      </w:r>
      <w:r w:rsidRPr="00404724">
        <w:t xml:space="preserve"> and the carbon market would equilibrate. Both approaches introduce un</w:t>
      </w:r>
      <w:r w:rsidRPr="00C4433C">
        <w:t>certainty and inaccuracy for different reasons. However, both approaches have been used in policy contexts and have been upheld in courts in legal contexts.</w:t>
      </w:r>
    </w:p>
    <w:p w14:paraId="1BF82A5B" w14:textId="3ACA1532" w:rsidR="0090234D" w:rsidRPr="00404724" w:rsidRDefault="0090234D" w:rsidP="00C4433C">
      <w:pPr>
        <w:spacing w:after="240"/>
      </w:pPr>
      <w:r w:rsidRPr="00C4433C">
        <w:t>For this analys</w:t>
      </w:r>
      <w:r w:rsidRPr="00404724">
        <w:t xml:space="preserve">is, </w:t>
      </w:r>
      <w:r w:rsidR="000C2CE6" w:rsidRPr="00404724">
        <w:t>the</w:t>
      </w:r>
      <w:r w:rsidRPr="00404724">
        <w:t xml:space="preserve"> first approach </w:t>
      </w:r>
      <w:r w:rsidR="000C2CE6" w:rsidRPr="00404724">
        <w:t xml:space="preserve">was used </w:t>
      </w:r>
      <w:r w:rsidRPr="00404724">
        <w:t>and a value of emissions reductions as published by the AER.</w:t>
      </w:r>
      <w:r w:rsidRPr="00404724">
        <w:rPr>
          <w:rStyle w:val="FootnoteReference"/>
          <w:rFonts w:ascii="Calibri" w:hAnsi="Calibri" w:cs="Calibri"/>
        </w:rPr>
        <w:footnoteReference w:id="110"/>
      </w:r>
      <w:r w:rsidRPr="00404724">
        <w:t xml:space="preserve"> The AER’s value of emissions reductions is:</w:t>
      </w:r>
    </w:p>
    <w:p w14:paraId="1A7DABCB" w14:textId="77777777" w:rsidR="0090234D" w:rsidRPr="00404724" w:rsidRDefault="0090234D" w:rsidP="0090234D">
      <w:pPr>
        <w:pStyle w:val="Quote"/>
        <w:rPr>
          <w:rFonts w:ascii="Calibri" w:hAnsi="Calibri" w:cs="Calibri"/>
        </w:rPr>
      </w:pPr>
      <w:r w:rsidRPr="00404724">
        <w:rPr>
          <w:rFonts w:ascii="Calibri" w:hAnsi="Calibri" w:cs="Calibri"/>
        </w:rPr>
        <w:t>the 2022-23 average of the generic Australian Carbon Credit Unit spot price (AUD$33/tonne CO2-e) with a growth rate of 10% p.a. averaged with a linear interpolation of:</w:t>
      </w:r>
    </w:p>
    <w:p w14:paraId="62345034" w14:textId="55FF8B88" w:rsidR="0090234D" w:rsidRPr="00404724" w:rsidRDefault="0090234D" w:rsidP="004F2C7A">
      <w:pPr>
        <w:pStyle w:val="Quote"/>
        <w:numPr>
          <w:ilvl w:val="6"/>
          <w:numId w:val="17"/>
        </w:numPr>
        <w:ind w:left="993" w:hanging="426"/>
        <w:rPr>
          <w:iCs w:val="0"/>
        </w:rPr>
      </w:pPr>
      <w:r w:rsidRPr="00404724">
        <w:rPr>
          <w:i/>
          <w:iCs w:val="0"/>
        </w:rPr>
        <w:t>From 2024-29: the IPCC Fifth Assessment Report Representative Concentration Pathway 2.6 (commonly referred to as RCP2.6) scenario, median marginal cost of abatement figures, converted into 2023 AUD dollars.</w:t>
      </w:r>
    </w:p>
    <w:p w14:paraId="0BF5C358" w14:textId="6F791CE5" w:rsidR="0090234D" w:rsidRPr="00404724" w:rsidRDefault="0090234D" w:rsidP="004F2C7A">
      <w:pPr>
        <w:pStyle w:val="Quote"/>
        <w:numPr>
          <w:ilvl w:val="6"/>
          <w:numId w:val="17"/>
        </w:numPr>
        <w:ind w:left="993" w:hanging="426"/>
        <w:rPr>
          <w:iCs w:val="0"/>
        </w:rPr>
      </w:pPr>
      <w:r w:rsidRPr="00404724">
        <w:rPr>
          <w:i/>
          <w:iCs w:val="0"/>
        </w:rPr>
        <w:t>From 2030-2050: the IPCC Sixth Assessment Category 2 (commonly referred to as C2) emissions scenario median marginal cost of abatement figures, converted into 2023 AUD dollars.</w:t>
      </w:r>
    </w:p>
    <w:p w14:paraId="6E53C262" w14:textId="77777777" w:rsidR="0090234D" w:rsidRPr="00404724" w:rsidRDefault="0090234D" w:rsidP="0090234D">
      <w:pPr>
        <w:pStyle w:val="Quote"/>
        <w:rPr>
          <w:rFonts w:ascii="Calibri" w:hAnsi="Calibri" w:cs="Calibri"/>
        </w:rPr>
      </w:pPr>
      <w:r w:rsidRPr="00404724">
        <w:rPr>
          <w:rFonts w:ascii="Calibri" w:hAnsi="Calibri" w:cs="Calibri"/>
        </w:rPr>
        <w:t>Beyond 2050, the 2050 value should apply.</w:t>
      </w:r>
      <w:r w:rsidRPr="00404724">
        <w:rPr>
          <w:rStyle w:val="FootnoteReference"/>
          <w:rFonts w:ascii="Calibri" w:hAnsi="Calibri" w:cs="Calibri"/>
        </w:rPr>
        <w:footnoteReference w:id="111"/>
      </w:r>
    </w:p>
    <w:p w14:paraId="1E552B61" w14:textId="2357CFD3" w:rsidR="0090234D" w:rsidRPr="00404724" w:rsidRDefault="00F4602C" w:rsidP="00C4433C">
      <w:pPr>
        <w:spacing w:before="480"/>
      </w:pPr>
      <w:r w:rsidRPr="00404724">
        <w:t>This RIA will use</w:t>
      </w:r>
      <w:r w:rsidR="0090234D" w:rsidRPr="00404724">
        <w:t xml:space="preserve"> the AER’s cost of carbon estimates as shown in </w:t>
      </w:r>
      <w:r w:rsidR="00CF1735" w:rsidRPr="00404724">
        <w:fldChar w:fldCharType="begin"/>
      </w:r>
      <w:r w:rsidR="00CF1735" w:rsidRPr="00404724">
        <w:instrText xml:space="preserve"> REF _Ref206168118 \h </w:instrText>
      </w:r>
      <w:r w:rsidR="00C7218E" w:rsidRPr="00404724">
        <w:instrText xml:space="preserve"> \* MERGEFORMAT </w:instrText>
      </w:r>
      <w:r w:rsidR="00CF1735" w:rsidRPr="00404724">
        <w:fldChar w:fldCharType="separate"/>
      </w:r>
      <w:r w:rsidR="00BF489D" w:rsidRPr="00404724">
        <w:t>Figure </w:t>
      </w:r>
      <w:r w:rsidR="00BF489D">
        <w:t>11</w:t>
      </w:r>
      <w:r w:rsidR="00CF1735" w:rsidRPr="00404724">
        <w:fldChar w:fldCharType="end"/>
      </w:r>
      <w:r w:rsidR="00CF1735" w:rsidRPr="00404724">
        <w:t xml:space="preserve"> </w:t>
      </w:r>
      <w:r w:rsidR="0090234D" w:rsidRPr="00404724">
        <w:t>below. The total dollar value of the reduction in emissions is therefore the total tonnes of abated carbon per year multiplied by the social cost of carbon in that year.</w:t>
      </w:r>
    </w:p>
    <w:tbl>
      <w:tblPr>
        <w:tblStyle w:val="aacTablenolines"/>
        <w:tblW w:w="9923" w:type="dxa"/>
        <w:tblLayout w:type="fixed"/>
        <w:tblLook w:val="04A0" w:firstRow="1" w:lastRow="0" w:firstColumn="1" w:lastColumn="0" w:noHBand="0" w:noVBand="1"/>
        <w:tblCaption w:val="Figure 9"/>
        <w:tblDescription w:val="Cost of carbon estimates (AUD, $2023)"/>
      </w:tblPr>
      <w:tblGrid>
        <w:gridCol w:w="9923"/>
      </w:tblGrid>
      <w:tr w:rsidR="0090234D" w:rsidRPr="00404724" w14:paraId="588C90E1" w14:textId="77777777" w:rsidTr="00FC7ABC">
        <w:tc>
          <w:tcPr>
            <w:tcW w:w="9923" w:type="dxa"/>
          </w:tcPr>
          <w:p w14:paraId="49082552" w14:textId="1D832AE4" w:rsidR="0090234D" w:rsidRPr="00404724" w:rsidRDefault="0090234D" w:rsidP="003979C3">
            <w:pPr>
              <w:pStyle w:val="Tablefigureheading"/>
            </w:pPr>
            <w:bookmarkStart w:id="415" w:name="_Ref206168118"/>
            <w:bookmarkStart w:id="416" w:name="_Toc210040380"/>
            <w:bookmarkStart w:id="417" w:name="_Toc210051916"/>
            <w:r w:rsidRPr="00404724">
              <w:lastRenderedPageBreak/>
              <w:t>Figure </w:t>
            </w:r>
            <w:r w:rsidR="003979C3">
              <w:fldChar w:fldCharType="begin"/>
            </w:r>
            <w:r w:rsidR="003979C3">
              <w:instrText xml:space="preserve"> SEQ Figure \* ARABIC </w:instrText>
            </w:r>
            <w:r w:rsidR="003979C3">
              <w:fldChar w:fldCharType="separate"/>
            </w:r>
            <w:r w:rsidR="00BF489D">
              <w:rPr>
                <w:noProof/>
              </w:rPr>
              <w:t>11</w:t>
            </w:r>
            <w:r w:rsidR="003979C3">
              <w:rPr>
                <w:noProof/>
              </w:rPr>
              <w:fldChar w:fldCharType="end"/>
            </w:r>
            <w:bookmarkEnd w:id="415"/>
            <w:r w:rsidRPr="00404724">
              <w:tab/>
              <w:t>Cost of carbon estimates (AUD, $202</w:t>
            </w:r>
            <w:r w:rsidR="00B4538C" w:rsidRPr="00404724">
              <w:t>5</w:t>
            </w:r>
            <w:r w:rsidRPr="00404724">
              <w:t>)</w:t>
            </w:r>
            <w:bookmarkEnd w:id="416"/>
            <w:bookmarkEnd w:id="417"/>
          </w:p>
        </w:tc>
      </w:tr>
      <w:tr w:rsidR="0090234D" w:rsidRPr="00404724" w14:paraId="4CD5409B" w14:textId="77777777" w:rsidTr="00FC7ABC">
        <w:tc>
          <w:tcPr>
            <w:tcW w:w="9923" w:type="dxa"/>
          </w:tcPr>
          <w:p w14:paraId="239EFCA1" w14:textId="77777777" w:rsidR="0090234D" w:rsidRPr="00404724" w:rsidRDefault="0090234D" w:rsidP="00BB5FCD">
            <w:pPr>
              <w:pStyle w:val="Figure"/>
              <w:jc w:val="center"/>
              <w:rPr>
                <w:noProof/>
              </w:rPr>
            </w:pPr>
          </w:p>
          <w:p w14:paraId="254E6DC1" w14:textId="6B121ADB" w:rsidR="0090234D" w:rsidRPr="00404724" w:rsidRDefault="00B4538C" w:rsidP="00BB5FCD">
            <w:pPr>
              <w:pStyle w:val="Figure"/>
              <w:jc w:val="center"/>
            </w:pPr>
            <w:r w:rsidRPr="00404724">
              <w:rPr>
                <w:noProof/>
              </w:rPr>
              <w:drawing>
                <wp:inline distT="0" distB="0" distL="0" distR="0" wp14:anchorId="01443557" wp14:editId="0817C47E">
                  <wp:extent cx="6260320" cy="2679589"/>
                  <wp:effectExtent l="0" t="0" r="7620" b="6985"/>
                  <wp:docPr id="1813664914" name="Picture 2" descr="Cost of carbon estimates (AUD, $2025): 2025 $79; 2026 $85; 2027 $89; 2028 $94; 2029 $101; 2030 $111;  2031 $121; 2032 $131; 2033 $143; 2034 $155; 2035 $166; 2036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64914" name="Picture 2" descr="Cost of carbon estimates (AUD, $2025): 2025 $79; 2026 $85; 2027 $89; 2028 $94; 2029 $101; 2030 $111;  2031 $121; 2032 $131; 2033 $143; 2034 $155; 2035 $166; 2036 $1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8104" cy="2682921"/>
                          </a:xfrm>
                          <a:prstGeom prst="rect">
                            <a:avLst/>
                          </a:prstGeom>
                          <a:noFill/>
                        </pic:spPr>
                      </pic:pic>
                    </a:graphicData>
                  </a:graphic>
                </wp:inline>
              </w:drawing>
            </w:r>
          </w:p>
        </w:tc>
      </w:tr>
      <w:tr w:rsidR="0090234D" w:rsidRPr="00404724" w14:paraId="571CB8BB" w14:textId="77777777" w:rsidTr="00FC7ABC">
        <w:tc>
          <w:tcPr>
            <w:tcW w:w="9923" w:type="dxa"/>
            <w:tcMar>
              <w:top w:w="12" w:type="dxa"/>
              <w:bottom w:w="113" w:type="dxa"/>
            </w:tcMar>
          </w:tcPr>
          <w:p w14:paraId="2C1C5CB1" w14:textId="77777777" w:rsidR="0090234D" w:rsidRPr="00404724" w:rsidRDefault="0090234D" w:rsidP="00AE4E2F">
            <w:pPr>
              <w:pStyle w:val="Sourcenotes"/>
              <w:rPr>
                <w:lang w:val="en-AU"/>
              </w:rPr>
            </w:pPr>
            <w:r w:rsidRPr="00404724">
              <w:rPr>
                <w:lang w:val="en-AU"/>
              </w:rPr>
              <w:t>Source: Australian Energy Regulator (2024). Valuing emissions reduction</w:t>
            </w:r>
          </w:p>
        </w:tc>
      </w:tr>
    </w:tbl>
    <w:p w14:paraId="03E7D440" w14:textId="013103ED" w:rsidR="0090234D" w:rsidRPr="00404724" w:rsidRDefault="00C4433C" w:rsidP="00F34B22">
      <w:pPr>
        <w:pStyle w:val="Heading4"/>
      </w:pPr>
      <w:bookmarkStart w:id="418" w:name="_Toc210042568"/>
      <w:bookmarkStart w:id="419" w:name="_Toc210049210"/>
      <w:bookmarkStart w:id="420" w:name="_Toc210051650"/>
      <w:bookmarkStart w:id="421" w:name="_Toc210051731"/>
      <w:r>
        <w:t>4</w:t>
      </w:r>
      <w:r w:rsidR="00F34B22">
        <w:t>.3.6</w:t>
      </w:r>
      <w:r w:rsidR="00F34B22">
        <w:tab/>
      </w:r>
      <w:r w:rsidR="0090234D" w:rsidRPr="00404724">
        <w:t>Fuel cost savings</w:t>
      </w:r>
      <w:r w:rsidR="00F4602C" w:rsidRPr="00404724">
        <w:t xml:space="preserve"> benefit</w:t>
      </w:r>
      <w:bookmarkEnd w:id="418"/>
      <w:bookmarkEnd w:id="419"/>
      <w:bookmarkEnd w:id="420"/>
      <w:bookmarkEnd w:id="421"/>
    </w:p>
    <w:p w14:paraId="6FC64775" w14:textId="77777777" w:rsidR="0090234D" w:rsidRPr="00404724" w:rsidRDefault="0090234D" w:rsidP="001454B5">
      <w:pPr>
        <w:keepNext/>
        <w:keepLines/>
        <w:rPr>
          <w:rStyle w:val="Strong"/>
          <w:rFonts w:eastAsiaTheme="minorEastAsia"/>
          <w:b w:val="0"/>
          <w:bCs w:val="0"/>
        </w:rPr>
      </w:pPr>
      <w:r w:rsidRPr="00404724">
        <w:rPr>
          <w:rStyle w:val="Strong"/>
          <w:rFonts w:eastAsiaTheme="minorEastAsia"/>
          <w:b w:val="0"/>
          <w:bCs w:val="0"/>
        </w:rPr>
        <w:t>As with emissions savings, the fuel cost saving for each modelled scenario will be calculated as:</w:t>
      </w:r>
    </w:p>
    <w:p w14:paraId="24B033CA" w14:textId="4953C09B" w:rsidR="0090234D" w:rsidRPr="00404724" w:rsidRDefault="00EC39D5" w:rsidP="0090234D">
      <w:pPr>
        <w:pStyle w:val="BodyText"/>
        <w:rPr>
          <w:rStyle w:val="Strong"/>
          <w:b w:val="0"/>
          <w:bCs w:val="0"/>
        </w:rPr>
      </w:pPr>
      <m:oMathPara>
        <m:oMath>
          <m:nary>
            <m:naryPr>
              <m:chr m:val="∑"/>
              <m:limLoc m:val="undOvr"/>
              <m:ctrlPr>
                <w:rPr>
                  <w:rStyle w:val="Strong"/>
                  <w:rFonts w:ascii="Cambria Math" w:hAnsi="Cambria Math"/>
                  <w:b w:val="0"/>
                  <w:bCs w:val="0"/>
                  <w:i/>
                </w:rPr>
              </m:ctrlPr>
            </m:naryPr>
            <m:sub>
              <m:r>
                <w:rPr>
                  <w:rStyle w:val="Strong"/>
                  <w:rFonts w:ascii="Cambria Math" w:hAnsi="Cambria Math"/>
                </w:rPr>
                <m:t>r=1</m:t>
              </m:r>
            </m:sub>
            <m:sup>
              <m:r>
                <w:rPr>
                  <w:rStyle w:val="Strong"/>
                  <w:rFonts w:ascii="Cambria Math" w:hAnsi="Cambria Math"/>
                </w:rPr>
                <m:t>5</m:t>
              </m:r>
            </m:sup>
            <m:e>
              <m:d>
                <m:dPr>
                  <m:ctrlPr>
                    <w:rPr>
                      <w:rStyle w:val="Strong"/>
                      <w:rFonts w:ascii="Cambria Math" w:hAnsi="Cambria Math"/>
                      <w:b w:val="0"/>
                      <w:bCs w:val="0"/>
                      <w:i/>
                    </w:rPr>
                  </m:ctrlPr>
                </m:dPr>
                <m:e>
                  <m:r>
                    <w:rPr>
                      <w:rStyle w:val="Strong"/>
                      <w:rFonts w:ascii="Cambria Math" w:hAnsi="Cambria Math"/>
                    </w:rPr>
                    <m:t xml:space="preserve">Average Fuel </m:t>
                  </m:r>
                  <m:sSub>
                    <m:sSubPr>
                      <m:ctrlPr>
                        <w:rPr>
                          <w:rStyle w:val="Strong"/>
                          <w:rFonts w:ascii="Cambria Math" w:hAnsi="Cambria Math"/>
                          <w:b w:val="0"/>
                          <w:bCs w:val="0"/>
                          <w:i/>
                        </w:rPr>
                      </m:ctrlPr>
                    </m:sSubPr>
                    <m:e>
                      <m:r>
                        <w:rPr>
                          <w:rStyle w:val="Strong"/>
                          <w:rFonts w:ascii="Cambria Math" w:hAnsi="Cambria Math"/>
                        </w:rPr>
                        <m:t>Use</m:t>
                      </m:r>
                    </m:e>
                    <m:sub>
                      <m:r>
                        <w:rPr>
                          <w:rStyle w:val="Strong"/>
                          <w:rFonts w:ascii="Cambria Math" w:hAnsi="Cambria Math"/>
                        </w:rPr>
                        <m:t xml:space="preserve"> r, 0</m:t>
                      </m:r>
                    </m:sub>
                  </m:sSub>
                  <m:r>
                    <w:rPr>
                      <w:rStyle w:val="Strong"/>
                      <w:rFonts w:ascii="Cambria Math" w:hAnsi="Cambria Math"/>
                    </w:rPr>
                    <m:t xml:space="preserve">- Average Fuel </m:t>
                  </m:r>
                  <m:sSub>
                    <m:sSubPr>
                      <m:ctrlPr>
                        <w:rPr>
                          <w:rStyle w:val="Strong"/>
                          <w:rFonts w:ascii="Cambria Math" w:hAnsi="Cambria Math"/>
                          <w:b w:val="0"/>
                          <w:bCs w:val="0"/>
                          <w:i/>
                        </w:rPr>
                      </m:ctrlPr>
                    </m:sSubPr>
                    <m:e>
                      <m:r>
                        <w:rPr>
                          <w:rStyle w:val="Strong"/>
                          <w:rFonts w:ascii="Cambria Math" w:hAnsi="Cambria Math"/>
                        </w:rPr>
                        <m:t>Use</m:t>
                      </m:r>
                    </m:e>
                    <m:sub>
                      <m:r>
                        <w:rPr>
                          <w:rStyle w:val="Strong"/>
                          <w:rFonts w:ascii="Cambria Math" w:hAnsi="Cambria Math"/>
                        </w:rPr>
                        <m:t xml:space="preserve"> r, i</m:t>
                      </m:r>
                    </m:sub>
                  </m:sSub>
                </m:e>
              </m:d>
              <m:r>
                <w:rPr>
                  <w:rStyle w:val="Strong"/>
                  <w:rFonts w:ascii="Cambria Math" w:hAnsi="Cambria Math"/>
                </w:rPr>
                <m:t>×VK</m:t>
              </m:r>
              <m:sSub>
                <m:sSubPr>
                  <m:ctrlPr>
                    <w:rPr>
                      <w:rStyle w:val="Strong"/>
                      <w:rFonts w:ascii="Cambria Math" w:hAnsi="Cambria Math"/>
                      <w:b w:val="0"/>
                      <w:bCs w:val="0"/>
                      <w:i/>
                    </w:rPr>
                  </m:ctrlPr>
                </m:sSubPr>
                <m:e>
                  <m:r>
                    <w:rPr>
                      <w:rStyle w:val="Strong"/>
                      <w:rFonts w:ascii="Cambria Math" w:hAnsi="Cambria Math"/>
                    </w:rPr>
                    <m:t>T</m:t>
                  </m:r>
                </m:e>
                <m:sub>
                  <m:r>
                    <w:rPr>
                      <w:rStyle w:val="Strong"/>
                      <w:rFonts w:ascii="Cambria Math" w:hAnsi="Cambria Math"/>
                    </w:rPr>
                    <m:t xml:space="preserve"> r</m:t>
                  </m:r>
                </m:sub>
              </m:sSub>
              <m:r>
                <w:rPr>
                  <w:rStyle w:val="Strong"/>
                  <w:rFonts w:ascii="Cambria Math" w:hAnsi="Cambria Math"/>
                </w:rPr>
                <m:t>×Average Fuel Cost</m:t>
              </m:r>
            </m:e>
          </m:nary>
          <m:r>
            <w:rPr>
              <w:rStyle w:val="Strong"/>
              <w:rFonts w:ascii="Cambria Math" w:hAnsi="Cambria Math"/>
            </w:rPr>
            <m:t xml:space="preserve"> </m:t>
          </m:r>
        </m:oMath>
      </m:oMathPara>
    </w:p>
    <w:p w14:paraId="16BF8F99" w14:textId="699E5DC2" w:rsidR="0090234D" w:rsidRPr="00404724" w:rsidRDefault="0090234D" w:rsidP="001454B5">
      <w:pPr>
        <w:rPr>
          <w:rStyle w:val="Strong"/>
          <w:rFonts w:eastAsiaTheme="minorEastAsia"/>
          <w:b w:val="0"/>
          <w:bCs w:val="0"/>
        </w:rPr>
      </w:pPr>
      <w:r w:rsidRPr="00404724">
        <w:rPr>
          <w:rStyle w:val="Strong"/>
          <w:rFonts w:eastAsiaTheme="minorEastAsia"/>
          <w:b w:val="0"/>
          <w:bCs w:val="0"/>
        </w:rPr>
        <w:t xml:space="preserve">In simple terms, the fuel cost saving for each scenario is calculated as the difference in fuel use (litres per kilometre) before and after </w:t>
      </w:r>
      <w:r w:rsidR="00F4602C" w:rsidRPr="00404724">
        <w:rPr>
          <w:rStyle w:val="Strong"/>
          <w:rFonts w:eastAsiaTheme="minorEastAsia"/>
          <w:b w:val="0"/>
          <w:bCs w:val="0"/>
        </w:rPr>
        <w:t>speed reductions</w:t>
      </w:r>
      <w:r w:rsidRPr="00404724">
        <w:rPr>
          <w:rStyle w:val="Strong"/>
          <w:rFonts w:eastAsiaTheme="minorEastAsia"/>
          <w:b w:val="0"/>
          <w:bCs w:val="0"/>
        </w:rPr>
        <w:t xml:space="preserve"> for each road type and remoteness area, multiplied by the VKT on these respective roads, multiplied by average fuel cost.</w:t>
      </w:r>
    </w:p>
    <w:p w14:paraId="4DF4916F" w14:textId="77777777" w:rsidR="0090234D" w:rsidRPr="00404724" w:rsidRDefault="0090234D" w:rsidP="001454B5">
      <w:pPr>
        <w:rPr>
          <w:rStyle w:val="Strong"/>
          <w:rFonts w:eastAsiaTheme="minorEastAsia"/>
          <w:b w:val="0"/>
          <w:bCs w:val="0"/>
        </w:rPr>
      </w:pPr>
      <w:r w:rsidRPr="00404724">
        <w:rPr>
          <w:rStyle w:val="Strong"/>
          <w:rFonts w:eastAsiaTheme="minorEastAsia"/>
          <w:b w:val="0"/>
          <w:bCs w:val="0"/>
        </w:rPr>
        <w:t>There is a direct and measurable relationship between fuel efficiency and fuel consumption, which is commonly reported as litres per 100 kilometres (L/100km). Vehicles that consume more fuel per distance travelled tend to emit more CO</w:t>
      </w:r>
      <w:r w:rsidRPr="00404724">
        <w:rPr>
          <w:rStyle w:val="Strong"/>
          <w:rFonts w:ascii="Cambria Math" w:eastAsiaTheme="minorEastAsia" w:hAnsi="Cambria Math" w:cs="Cambria Math"/>
          <w:b w:val="0"/>
          <w:bCs w:val="0"/>
        </w:rPr>
        <w:t>₂</w:t>
      </w:r>
      <w:r w:rsidRPr="00404724">
        <w:rPr>
          <w:rStyle w:val="Strong"/>
          <w:rFonts w:eastAsiaTheme="minorEastAsia"/>
          <w:b w:val="0"/>
          <w:bCs w:val="0"/>
        </w:rPr>
        <w:t>, as emissions are directly tied to the amount of fuel burned. In general, as fuel use increases, CO</w:t>
      </w:r>
      <w:r w:rsidRPr="00404724">
        <w:rPr>
          <w:rStyle w:val="Strong"/>
          <w:rFonts w:ascii="Cambria Math" w:eastAsiaTheme="minorEastAsia" w:hAnsi="Cambria Math" w:cs="Cambria Math"/>
          <w:b w:val="0"/>
          <w:bCs w:val="0"/>
        </w:rPr>
        <w:t>₂</w:t>
      </w:r>
      <w:r w:rsidRPr="00404724">
        <w:rPr>
          <w:rStyle w:val="Strong"/>
          <w:rFonts w:eastAsiaTheme="minorEastAsia"/>
          <w:b w:val="0"/>
          <w:bCs w:val="0"/>
        </w:rPr>
        <w:t xml:space="preserve"> emissions also increase proportionally. This relationship allows one metric to be converted into the other, assuming a consistent emissions factor for the type of fuel used. For example, burning one litre of petrol produces approximately 2.3 kilograms of CO</w:t>
      </w:r>
      <w:r w:rsidRPr="00404724">
        <w:rPr>
          <w:rStyle w:val="Strong"/>
          <w:rFonts w:ascii="Cambria Math" w:eastAsiaTheme="minorEastAsia" w:hAnsi="Cambria Math" w:cs="Cambria Math"/>
          <w:b w:val="0"/>
          <w:bCs w:val="0"/>
        </w:rPr>
        <w:t>₂</w:t>
      </w:r>
      <w:r w:rsidRPr="00404724">
        <w:rPr>
          <w:rStyle w:val="Strong"/>
          <w:rFonts w:eastAsiaTheme="minorEastAsia"/>
          <w:b w:val="0"/>
          <w:bCs w:val="0"/>
        </w:rPr>
        <w:t>.</w:t>
      </w:r>
      <w:r w:rsidRPr="00404724">
        <w:rPr>
          <w:rStyle w:val="FootnoteReference"/>
          <w:rFonts w:eastAsiaTheme="minorEastAsia"/>
          <w:b/>
          <w:bCs/>
        </w:rPr>
        <w:footnoteReference w:id="112"/>
      </w:r>
      <w:r w:rsidRPr="00404724">
        <w:rPr>
          <w:rStyle w:val="Strong"/>
          <w:rFonts w:eastAsiaTheme="minorEastAsia"/>
          <w:b w:val="0"/>
          <w:bCs w:val="0"/>
        </w:rPr>
        <w:t xml:space="preserve"> </w:t>
      </w:r>
    </w:p>
    <w:p w14:paraId="3AA778AC" w14:textId="034537CB" w:rsidR="00BE1D12" w:rsidRPr="00404724" w:rsidRDefault="0028085F" w:rsidP="001454B5">
      <w:pPr>
        <w:rPr>
          <w:rStyle w:val="Strong"/>
          <w:rFonts w:eastAsiaTheme="minorEastAsia"/>
          <w:b w:val="0"/>
          <w:bCs w:val="0"/>
        </w:rPr>
      </w:pPr>
      <w:r w:rsidRPr="00404724">
        <w:rPr>
          <w:rStyle w:val="Strong"/>
          <w:rFonts w:eastAsiaTheme="minorEastAsia"/>
          <w:b w:val="0"/>
          <w:bCs w:val="0"/>
        </w:rPr>
        <w:t>The efficiency gains from reducing speed for e</w:t>
      </w:r>
      <w:r w:rsidR="00BE1D12" w:rsidRPr="00404724">
        <w:rPr>
          <w:rStyle w:val="Strong"/>
          <w:rFonts w:eastAsiaTheme="minorEastAsia"/>
          <w:b w:val="0"/>
          <w:bCs w:val="0"/>
        </w:rPr>
        <w:t xml:space="preserve">lectric vehicles are assumed to have the same efficiency gains </w:t>
      </w:r>
      <w:r w:rsidRPr="00404724">
        <w:rPr>
          <w:rStyle w:val="Strong"/>
          <w:rFonts w:eastAsiaTheme="minorEastAsia"/>
          <w:b w:val="0"/>
          <w:bCs w:val="0"/>
        </w:rPr>
        <w:t>as those</w:t>
      </w:r>
      <w:r w:rsidR="00BE1D12" w:rsidRPr="00404724">
        <w:rPr>
          <w:rStyle w:val="Strong"/>
          <w:rFonts w:eastAsiaTheme="minorEastAsia"/>
          <w:b w:val="0"/>
          <w:bCs w:val="0"/>
        </w:rPr>
        <w:t xml:space="preserve"> of </w:t>
      </w:r>
      <w:r w:rsidR="00CD4649" w:rsidRPr="00404724">
        <w:rPr>
          <w:rStyle w:val="Strong"/>
          <w:rFonts w:eastAsiaTheme="minorEastAsia"/>
          <w:b w:val="0"/>
          <w:bCs w:val="0"/>
        </w:rPr>
        <w:t>petrol and diesel</w:t>
      </w:r>
      <w:r w:rsidR="00BE1D12" w:rsidRPr="00404724">
        <w:rPr>
          <w:rStyle w:val="Strong"/>
          <w:rFonts w:eastAsiaTheme="minorEastAsia"/>
          <w:b w:val="0"/>
          <w:bCs w:val="0"/>
        </w:rPr>
        <w:t xml:space="preserve"> vehicles</w:t>
      </w:r>
      <w:r w:rsidRPr="00404724">
        <w:rPr>
          <w:rStyle w:val="Strong"/>
          <w:rFonts w:eastAsiaTheme="minorEastAsia"/>
          <w:b w:val="0"/>
          <w:bCs w:val="0"/>
        </w:rPr>
        <w:t xml:space="preserve">. Similarly operating costs for EVs (i.e. charging costs) are assumed to be on par with conventional fuels. </w:t>
      </w:r>
      <w:r w:rsidR="00BE1D12" w:rsidRPr="00404724">
        <w:t>This approach might slightly overstate the fuel costs saving benefit</w:t>
      </w:r>
      <w:r w:rsidR="003261FA" w:rsidRPr="00404724">
        <w:t xml:space="preserve"> as electric vehicle operating costs are lower than fuel costs</w:t>
      </w:r>
      <w:r w:rsidR="00BE1D12" w:rsidRPr="00404724">
        <w:t>.</w:t>
      </w:r>
      <w:r w:rsidR="003261FA" w:rsidRPr="00404724">
        <w:t xml:space="preserve"> However, since electric vehicles only make up a small proportion of </w:t>
      </w:r>
      <w:r w:rsidR="000943D4" w:rsidRPr="00404724">
        <w:t xml:space="preserve">the vehicle fleet (and hence, </w:t>
      </w:r>
      <w:r w:rsidR="003261FA" w:rsidRPr="00404724">
        <w:t>VKT</w:t>
      </w:r>
      <w:r w:rsidR="000943D4" w:rsidRPr="00404724">
        <w:t>)</w:t>
      </w:r>
      <w:r w:rsidR="003261FA" w:rsidRPr="00404724">
        <w:t xml:space="preserve"> on roads</w:t>
      </w:r>
      <w:r w:rsidR="000943D4" w:rsidRPr="00404724">
        <w:t xml:space="preserve"> outside of built-up areas</w:t>
      </w:r>
      <w:r w:rsidR="003261FA" w:rsidRPr="00404724">
        <w:t xml:space="preserve">, the difference is </w:t>
      </w:r>
      <w:r w:rsidR="00D15CA9" w:rsidRPr="00404724">
        <w:t>likely very</w:t>
      </w:r>
      <w:r w:rsidR="003261FA" w:rsidRPr="00404724">
        <w:t xml:space="preserve"> marginal.</w:t>
      </w:r>
    </w:p>
    <w:p w14:paraId="3A7C39A6" w14:textId="00AEACD6" w:rsidR="0090234D" w:rsidRPr="00404724" w:rsidRDefault="000C2CE6" w:rsidP="001454B5">
      <w:pPr>
        <w:rPr>
          <w:rStyle w:val="Strong"/>
          <w:rFonts w:eastAsiaTheme="minorEastAsia"/>
          <w:b w:val="0"/>
          <w:bCs w:val="0"/>
        </w:rPr>
      </w:pPr>
      <w:r w:rsidRPr="00404724">
        <w:rPr>
          <w:rStyle w:val="Strong"/>
          <w:rFonts w:eastAsiaTheme="minorEastAsia"/>
          <w:b w:val="0"/>
          <w:bCs w:val="0"/>
        </w:rPr>
        <w:t>A</w:t>
      </w:r>
      <w:r w:rsidR="0090234D" w:rsidRPr="00404724">
        <w:rPr>
          <w:rStyle w:val="Strong"/>
          <w:rFonts w:eastAsiaTheme="minorEastAsia"/>
          <w:b w:val="0"/>
          <w:bCs w:val="0"/>
        </w:rPr>
        <w:t xml:space="preserve"> conservative assumption </w:t>
      </w:r>
      <w:r w:rsidRPr="00404724">
        <w:rPr>
          <w:rStyle w:val="Strong"/>
          <w:rFonts w:eastAsiaTheme="minorEastAsia"/>
          <w:b w:val="0"/>
          <w:bCs w:val="0"/>
        </w:rPr>
        <w:t xml:space="preserve">was taken </w:t>
      </w:r>
      <w:r w:rsidR="0090234D" w:rsidRPr="00404724">
        <w:rPr>
          <w:rStyle w:val="Strong"/>
          <w:rFonts w:eastAsiaTheme="minorEastAsia"/>
          <w:b w:val="0"/>
          <w:bCs w:val="0"/>
        </w:rPr>
        <w:t xml:space="preserve">that the cost of fuel between the remoteness regions is consistent. </w:t>
      </w:r>
      <w:r w:rsidRPr="00404724">
        <w:rPr>
          <w:rStyle w:val="Strong"/>
          <w:rFonts w:eastAsiaTheme="minorEastAsia"/>
          <w:b w:val="0"/>
          <w:bCs w:val="0"/>
        </w:rPr>
        <w:t xml:space="preserve">However, it is </w:t>
      </w:r>
      <w:r w:rsidR="0090234D" w:rsidRPr="00404724">
        <w:rPr>
          <w:rStyle w:val="Strong"/>
          <w:rFonts w:eastAsiaTheme="minorEastAsia"/>
          <w:b w:val="0"/>
          <w:bCs w:val="0"/>
        </w:rPr>
        <w:t>that prices for fuel in regional and remote areas are consistently higher than urban areas.</w:t>
      </w:r>
      <w:r w:rsidR="0090234D" w:rsidRPr="00404724">
        <w:rPr>
          <w:rStyle w:val="FootnoteReference"/>
          <w:rFonts w:eastAsiaTheme="minorEastAsia"/>
          <w:b/>
          <w:bCs/>
        </w:rPr>
        <w:footnoteReference w:id="113"/>
      </w:r>
      <w:r w:rsidR="0090234D" w:rsidRPr="00404724">
        <w:rPr>
          <w:rStyle w:val="Strong"/>
          <w:rFonts w:eastAsiaTheme="minorEastAsia"/>
          <w:b w:val="0"/>
          <w:bCs w:val="0"/>
        </w:rPr>
        <w:t xml:space="preserve"> </w:t>
      </w:r>
    </w:p>
    <w:tbl>
      <w:tblPr>
        <w:tblStyle w:val="aacTablenolines"/>
        <w:tblW w:w="5000" w:type="pct"/>
        <w:tblLayout w:type="fixed"/>
        <w:tblLook w:val="04A0" w:firstRow="1" w:lastRow="0" w:firstColumn="1" w:lastColumn="0" w:noHBand="0" w:noVBand="1"/>
        <w:tblCaption w:val="Figure 10"/>
        <w:tblDescription w:val="Approach to modelling emissions abatement and fuel cost savings for each road type, remoteness areas, and modelling scenario"/>
      </w:tblPr>
      <w:tblGrid>
        <w:gridCol w:w="9864"/>
      </w:tblGrid>
      <w:tr w:rsidR="0090234D" w:rsidRPr="00404724" w14:paraId="388DE0CC" w14:textId="77777777" w:rsidTr="009F6CA8">
        <w:trPr>
          <w:cantSplit/>
        </w:trPr>
        <w:tc>
          <w:tcPr>
            <w:tcW w:w="9864" w:type="dxa"/>
          </w:tcPr>
          <w:p w14:paraId="4ABC657A" w14:textId="0B6C1D8A" w:rsidR="0090234D" w:rsidRPr="00404724" w:rsidRDefault="0090234D" w:rsidP="003979C3">
            <w:pPr>
              <w:pStyle w:val="Tablefigureheading"/>
              <w:rPr>
                <w:rStyle w:val="Strong"/>
                <w:b/>
                <w:bCs w:val="0"/>
              </w:rPr>
            </w:pPr>
            <w:bookmarkStart w:id="422" w:name="_Ref205389001"/>
            <w:bookmarkStart w:id="423" w:name="_Toc210040381"/>
            <w:bookmarkStart w:id="424" w:name="_Toc210051917"/>
            <w:r w:rsidRPr="00404724">
              <w:rPr>
                <w:rStyle w:val="Strong"/>
                <w:b/>
                <w:bCs w:val="0"/>
              </w:rPr>
              <w:lastRenderedPageBreak/>
              <w:t>Figure </w:t>
            </w:r>
            <w:r w:rsidR="00CF1735" w:rsidRPr="00404724">
              <w:rPr>
                <w:rStyle w:val="Strong"/>
                <w:b/>
                <w:bCs w:val="0"/>
              </w:rPr>
              <w:fldChar w:fldCharType="begin"/>
            </w:r>
            <w:r w:rsidR="00CF1735" w:rsidRPr="00404724">
              <w:rPr>
                <w:rStyle w:val="Strong"/>
                <w:b/>
                <w:bCs w:val="0"/>
              </w:rPr>
              <w:instrText xml:space="preserve"> SEQ Figure \* ARABIC </w:instrText>
            </w:r>
            <w:r w:rsidR="00CF1735" w:rsidRPr="00404724">
              <w:rPr>
                <w:rStyle w:val="Strong"/>
                <w:b/>
                <w:bCs w:val="0"/>
              </w:rPr>
              <w:fldChar w:fldCharType="separate"/>
            </w:r>
            <w:r w:rsidR="00BF489D">
              <w:rPr>
                <w:rStyle w:val="Strong"/>
                <w:b/>
                <w:bCs w:val="0"/>
                <w:noProof/>
              </w:rPr>
              <w:t>12</w:t>
            </w:r>
            <w:r w:rsidR="00CF1735" w:rsidRPr="00404724">
              <w:rPr>
                <w:rStyle w:val="Strong"/>
                <w:b/>
                <w:bCs w:val="0"/>
              </w:rPr>
              <w:fldChar w:fldCharType="end"/>
            </w:r>
            <w:bookmarkEnd w:id="422"/>
            <w:r w:rsidRPr="00404724">
              <w:rPr>
                <w:rStyle w:val="Strong"/>
                <w:b/>
                <w:bCs w:val="0"/>
              </w:rPr>
              <w:tab/>
              <w:t>Approach to modelling emissions abatement and fuel cost savings for each road type, remoteness areas, and modelling scenario</w:t>
            </w:r>
            <w:bookmarkEnd w:id="423"/>
            <w:bookmarkEnd w:id="424"/>
          </w:p>
        </w:tc>
      </w:tr>
      <w:tr w:rsidR="0090234D" w:rsidRPr="00404724" w14:paraId="30BAE52B" w14:textId="77777777" w:rsidTr="009F6CA8">
        <w:trPr>
          <w:cantSplit/>
        </w:trPr>
        <w:tc>
          <w:tcPr>
            <w:tcW w:w="9864" w:type="dxa"/>
          </w:tcPr>
          <w:p w14:paraId="35F5C608" w14:textId="77777777" w:rsidR="0090234D" w:rsidRPr="00404724" w:rsidRDefault="0090234D" w:rsidP="00D47A15">
            <w:pPr>
              <w:pStyle w:val="ListParagraph"/>
              <w:rPr>
                <w:rStyle w:val="Strong"/>
                <w:b w:val="0"/>
              </w:rPr>
            </w:pPr>
            <w:r w:rsidRPr="00404724">
              <w:rPr>
                <w:rStyle w:val="Strong"/>
                <w:b w:val="0"/>
                <w:noProof/>
              </w:rPr>
              <w:drawing>
                <wp:inline distT="0" distB="0" distL="0" distR="0" wp14:anchorId="0A195B54" wp14:editId="326B40D6">
                  <wp:extent cx="5499735" cy="3507740"/>
                  <wp:effectExtent l="0" t="0" r="5715" b="0"/>
                  <wp:docPr id="1256860088" name="Picture 13" descr="Approach to modelling emissions abatement and fuel cost savings for each road type, remoteness areas, and modelling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60088" name="Picture 13" descr="Approach to modelling emissions abatement and fuel cost savings for each road type, remoteness areas, and modelling scenari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99735" cy="3507740"/>
                          </a:xfrm>
                          <a:prstGeom prst="rect">
                            <a:avLst/>
                          </a:prstGeom>
                          <a:noFill/>
                          <a:ln>
                            <a:noFill/>
                          </a:ln>
                        </pic:spPr>
                      </pic:pic>
                    </a:graphicData>
                  </a:graphic>
                </wp:inline>
              </w:drawing>
            </w:r>
          </w:p>
        </w:tc>
      </w:tr>
      <w:tr w:rsidR="0090234D" w:rsidRPr="00404724" w14:paraId="640C4F53" w14:textId="77777777" w:rsidTr="009F6CA8">
        <w:trPr>
          <w:cantSplit/>
        </w:trPr>
        <w:tc>
          <w:tcPr>
            <w:tcW w:w="9864" w:type="dxa"/>
            <w:tcMar>
              <w:top w:w="12" w:type="dxa"/>
              <w:bottom w:w="113" w:type="dxa"/>
            </w:tcMar>
          </w:tcPr>
          <w:p w14:paraId="0CF6684F" w14:textId="77777777" w:rsidR="0090234D" w:rsidRPr="00404724" w:rsidRDefault="0090234D" w:rsidP="0041693E">
            <w:pPr>
              <w:pStyle w:val="Sourcenotes"/>
              <w:rPr>
                <w:rStyle w:val="Strong"/>
                <w:b w:val="0"/>
                <w:lang w:val="en-AU"/>
              </w:rPr>
            </w:pPr>
            <w:r w:rsidRPr="00404724">
              <w:rPr>
                <w:rStyle w:val="Strong"/>
                <w:b w:val="0"/>
                <w:lang w:val="en-AU"/>
              </w:rPr>
              <w:t>Source: ACIL Allen</w:t>
            </w:r>
          </w:p>
        </w:tc>
      </w:tr>
    </w:tbl>
    <w:p w14:paraId="474C1EEF" w14:textId="215A02D2" w:rsidR="0090234D" w:rsidRPr="00404724" w:rsidRDefault="00C4433C" w:rsidP="00F34B22">
      <w:pPr>
        <w:pStyle w:val="Heading4"/>
      </w:pPr>
      <w:bookmarkStart w:id="425" w:name="_Toc210042569"/>
      <w:bookmarkStart w:id="426" w:name="_Toc210049211"/>
      <w:bookmarkStart w:id="427" w:name="_Toc210051651"/>
      <w:bookmarkStart w:id="428" w:name="_Toc210051732"/>
      <w:r>
        <w:t>4</w:t>
      </w:r>
      <w:r w:rsidR="00F34B22">
        <w:t>.3.7</w:t>
      </w:r>
      <w:r w:rsidR="00F34B22">
        <w:tab/>
      </w:r>
      <w:r w:rsidR="0090234D" w:rsidRPr="00404724">
        <w:t>Health benefits</w:t>
      </w:r>
      <w:bookmarkEnd w:id="425"/>
      <w:bookmarkEnd w:id="426"/>
      <w:bookmarkEnd w:id="427"/>
      <w:bookmarkEnd w:id="428"/>
    </w:p>
    <w:p w14:paraId="4E4B935C" w14:textId="52608C71" w:rsidR="0090234D" w:rsidRPr="00404724" w:rsidRDefault="0090234D" w:rsidP="0041693E">
      <w:bookmarkStart w:id="429" w:name="_Hlk207801281"/>
      <w:r w:rsidRPr="00404724">
        <w:t>Vehicle emissions consist of various air pollutants, including carbon monoxide (CO), nitrogen oxides (NOx), particulate matter (PM), and volatile organic compounds (VOC).</w:t>
      </w:r>
      <w:r w:rsidRPr="00404724">
        <w:rPr>
          <w:rStyle w:val="FootnoteReference"/>
        </w:rPr>
        <w:footnoteReference w:id="114"/>
      </w:r>
      <w:r w:rsidRPr="00404724">
        <w:t xml:space="preserve"> These emissions can lead to numerous negative health impact in humans, including heart conditions, lung disease, and cancer. The proposed reduction in default speed limit will have an impact in reducing emissions by reducing fuel consumption </w:t>
      </w:r>
      <w:r w:rsidR="00C94374" w:rsidRPr="00404724">
        <w:t>of petrol</w:t>
      </w:r>
      <w:r w:rsidR="00CD4649" w:rsidRPr="00404724">
        <w:t xml:space="preserve"> and diesel </w:t>
      </w:r>
      <w:r w:rsidRPr="00404724">
        <w:t xml:space="preserve">vehicles, thus generating a benefit in terms of reduced risk to human health. </w:t>
      </w:r>
    </w:p>
    <w:p w14:paraId="446116C6" w14:textId="77777777" w:rsidR="0090234D" w:rsidRPr="00404724" w:rsidRDefault="0090234D" w:rsidP="0041693E">
      <w:r w:rsidRPr="00404724">
        <w:t>Calculating health benefits from reduced emissions is complex and ideally requires modelling atmospheric damage from fine air particulate matter.</w:t>
      </w:r>
      <w:r w:rsidRPr="00404724">
        <w:rPr>
          <w:rStyle w:val="FootnoteReference"/>
        </w:rPr>
        <w:footnoteReference w:id="115"/>
      </w:r>
      <w:r w:rsidRPr="00404724">
        <w:t xml:space="preserve"> Such an exercise is beyond the scope of this project. </w:t>
      </w:r>
    </w:p>
    <w:bookmarkEnd w:id="429"/>
    <w:p w14:paraId="5BB3886A" w14:textId="091D6650" w:rsidR="0090234D" w:rsidRPr="00404724" w:rsidRDefault="0090234D" w:rsidP="0041693E">
      <w:r w:rsidRPr="00404724">
        <w:t>To calculate the health benefits associated with speed reductions, annual estimates for health cost due to emissions based on assumptions incorporated in the 2022 Fuel Quality RIS</w:t>
      </w:r>
      <w:r w:rsidRPr="00404724">
        <w:rPr>
          <w:rStyle w:val="FootnoteReference"/>
        </w:rPr>
        <w:footnoteReference w:id="116"/>
      </w:r>
      <w:r w:rsidR="000C2CE6" w:rsidRPr="00404724">
        <w:t xml:space="preserve"> were used.</w:t>
      </w:r>
      <w:r w:rsidRPr="00404724">
        <w:t xml:space="preserve"> The benefits are calculated on a $/litre of fuel basis and are approximately $0.0947 per litre of fuel saved. </w:t>
      </w:r>
    </w:p>
    <w:p w14:paraId="11852639" w14:textId="795FC689" w:rsidR="0090234D" w:rsidRPr="00404724" w:rsidRDefault="00C4433C" w:rsidP="00F34B22">
      <w:pPr>
        <w:pStyle w:val="Heading4"/>
      </w:pPr>
      <w:bookmarkStart w:id="430" w:name="_Toc210042570"/>
      <w:bookmarkStart w:id="431" w:name="_Toc210049212"/>
      <w:bookmarkStart w:id="432" w:name="_Toc210051652"/>
      <w:bookmarkStart w:id="433" w:name="_Toc210051733"/>
      <w:r>
        <w:t>4</w:t>
      </w:r>
      <w:r w:rsidR="00F34B22">
        <w:t>.3.8</w:t>
      </w:r>
      <w:r w:rsidR="00F34B22">
        <w:tab/>
      </w:r>
      <w:r w:rsidR="0090234D" w:rsidRPr="00404724">
        <w:t>Other intangible benefits</w:t>
      </w:r>
      <w:bookmarkEnd w:id="430"/>
      <w:bookmarkEnd w:id="431"/>
      <w:bookmarkEnd w:id="432"/>
      <w:bookmarkEnd w:id="433"/>
    </w:p>
    <w:p w14:paraId="3C1818C5" w14:textId="3B480772" w:rsidR="0090234D" w:rsidRPr="00404724" w:rsidRDefault="0090234D" w:rsidP="001454B5">
      <w:r w:rsidRPr="00404724">
        <w:t>Additional benefits of reducing speed limits may include</w:t>
      </w:r>
      <w:r w:rsidR="00956F13" w:rsidRPr="00404724">
        <w:t>:</w:t>
      </w:r>
    </w:p>
    <w:p w14:paraId="037B2306" w14:textId="77777777" w:rsidR="0090234D" w:rsidRPr="00404724" w:rsidRDefault="0090234D" w:rsidP="00485648">
      <w:pPr>
        <w:pStyle w:val="Listparagraphbullets"/>
      </w:pPr>
      <w:r w:rsidRPr="00404724">
        <w:t>reduced noise pollution</w:t>
      </w:r>
    </w:p>
    <w:p w14:paraId="25FB4E69" w14:textId="77777777" w:rsidR="0090234D" w:rsidRPr="00404724" w:rsidRDefault="0090234D" w:rsidP="00485648">
      <w:pPr>
        <w:pStyle w:val="Listparagraphbullets"/>
      </w:pPr>
      <w:r w:rsidRPr="00404724">
        <w:t>slower degradation of road infrastructure</w:t>
      </w:r>
    </w:p>
    <w:p w14:paraId="3BCA8010" w14:textId="77777777" w:rsidR="0090234D" w:rsidRPr="00404724" w:rsidRDefault="0090234D" w:rsidP="00485648">
      <w:pPr>
        <w:pStyle w:val="Listparagraphbullets"/>
      </w:pPr>
      <w:r w:rsidRPr="00404724">
        <w:t>greater traffic flow.</w:t>
      </w:r>
    </w:p>
    <w:p w14:paraId="629FA8CC" w14:textId="4D0DCBA4" w:rsidR="0090234D" w:rsidRPr="00404724" w:rsidRDefault="0090234D" w:rsidP="0041693E">
      <w:r w:rsidRPr="00404724">
        <w:lastRenderedPageBreak/>
        <w:t xml:space="preserve">The modelling and quantification of each of these benefits would be complex and </w:t>
      </w:r>
      <w:r w:rsidR="00C94374" w:rsidRPr="00404724">
        <w:t>resource intensive</w:t>
      </w:r>
      <w:r w:rsidRPr="00404724">
        <w:t xml:space="preserve">. Given the </w:t>
      </w:r>
      <w:r w:rsidR="00F4602C" w:rsidRPr="00404724">
        <w:t>parameters of</w:t>
      </w:r>
      <w:r w:rsidRPr="00404724">
        <w:t xml:space="preserve"> this </w:t>
      </w:r>
      <w:r w:rsidR="00F4602C" w:rsidRPr="00404724">
        <w:t>RIA</w:t>
      </w:r>
      <w:r w:rsidRPr="00404724">
        <w:t xml:space="preserve">, quantitative estimates for these benefits </w:t>
      </w:r>
      <w:r w:rsidR="000C2CE6" w:rsidRPr="00404724">
        <w:t>were not included in the model</w:t>
      </w:r>
      <w:r w:rsidRPr="00404724">
        <w:t xml:space="preserve">. Instead, a brief qualitative discussion of each </w:t>
      </w:r>
      <w:r w:rsidR="000C2CE6" w:rsidRPr="00404724">
        <w:t xml:space="preserve">is provided </w:t>
      </w:r>
      <w:r w:rsidRPr="00404724">
        <w:t>below</w:t>
      </w:r>
      <w:r w:rsidR="000C2CE6" w:rsidRPr="00404724">
        <w:t>.</w:t>
      </w:r>
    </w:p>
    <w:p w14:paraId="221B82C9" w14:textId="77777777" w:rsidR="0090234D" w:rsidRPr="00404724" w:rsidRDefault="0090234D" w:rsidP="00F34B22">
      <w:pPr>
        <w:pStyle w:val="Heading5"/>
      </w:pPr>
      <w:r w:rsidRPr="00404724">
        <w:t>Reduced noise pollution</w:t>
      </w:r>
    </w:p>
    <w:p w14:paraId="14752958" w14:textId="77777777" w:rsidR="0090234D" w:rsidRPr="00404724" w:rsidRDefault="0090234D" w:rsidP="0041693E">
      <w:r w:rsidRPr="00404724">
        <w:t>Reducing speed limits may reduce levels of noise pollution, which in turn has a range of health benefits including preventing cardiovascular disease, improving sleep quality, and mental wellbeing.</w:t>
      </w:r>
      <w:r w:rsidRPr="00404724">
        <w:rPr>
          <w:rStyle w:val="FootnoteReference"/>
        </w:rPr>
        <w:footnoteReference w:id="117"/>
      </w:r>
      <w:r w:rsidRPr="00404724">
        <w:t xml:space="preserve"> Slower travelling vehicles produce less noise as they require less power from the engine, and therefore produce fewer revolutions per minute (RPMs). Noise pollution can also be harmful for human health through hearing loss and sleep disturbances. Further, relationships have been observed between the body’s stress responses to sound and cardiovascular issues, including hypertension and ischemic heart disease, type II diabetes, and mental wellbeing impacts.</w:t>
      </w:r>
      <w:r w:rsidRPr="00404724">
        <w:rPr>
          <w:rStyle w:val="FootnoteReference"/>
        </w:rPr>
        <w:footnoteReference w:id="118"/>
      </w:r>
      <w:r w:rsidRPr="00404724">
        <w:rPr>
          <w:vertAlign w:val="superscript"/>
        </w:rPr>
        <w:t>,</w:t>
      </w:r>
      <w:r w:rsidRPr="00404724">
        <w:rPr>
          <w:rStyle w:val="FootnoteReference"/>
        </w:rPr>
        <w:footnoteReference w:id="119"/>
      </w:r>
      <w:r w:rsidRPr="00404724">
        <w:t xml:space="preserve"> These health impacts have direct costs in medical expenditure, and indirect costs in terms of quality-of-life reductions and impacts on worker productivity</w:t>
      </w:r>
      <w:r w:rsidRPr="00404724">
        <w:rPr>
          <w:rStyle w:val="FootnoteReference"/>
        </w:rPr>
        <w:footnoteReference w:id="120"/>
      </w:r>
      <w:r w:rsidRPr="00404724">
        <w:t>. A study investigating willingness to pay for traffic noise reduction found that people who were annoyed by noise were willing to pay US$7.55, and those extremely annoyed by noise were willing to pay $8.83 annually to reduce their annoyance to zero.</w:t>
      </w:r>
      <w:r w:rsidRPr="00404724">
        <w:rPr>
          <w:rStyle w:val="FootnoteReference"/>
        </w:rPr>
        <w:footnoteReference w:id="121"/>
      </w:r>
    </w:p>
    <w:p w14:paraId="6DBFE404" w14:textId="141A1367" w:rsidR="0090234D" w:rsidRPr="00404724" w:rsidRDefault="0090234D" w:rsidP="0041693E">
      <w:r w:rsidRPr="00404724">
        <w:t>A study investigating the benefits of reducing the speed limit to 30</w:t>
      </w:r>
      <w:r w:rsidR="00C82E00" w:rsidRPr="00404724">
        <w:t xml:space="preserve"> km/h</w:t>
      </w:r>
      <w:r w:rsidRPr="00404724">
        <w:t xml:space="preserve"> in Switzerland found that reductions in noise pollution were estimated to prevent 1 death and 72 hospital admissions due to cardiovascular disease, 17 incident diabetes cases, 1127 cases of high annoyance among individuals, and 918 cases of sleep disturbance.</w:t>
      </w:r>
      <w:r w:rsidRPr="00404724">
        <w:rPr>
          <w:rStyle w:val="FootnoteReference"/>
        </w:rPr>
        <w:footnoteReference w:id="122"/>
      </w:r>
      <w:r w:rsidRPr="00404724">
        <w:t xml:space="preserve"> The prevention of </w:t>
      </w:r>
      <w:r w:rsidR="00045455" w:rsidRPr="00404724">
        <w:t xml:space="preserve">pollution-related </w:t>
      </w:r>
      <w:r w:rsidRPr="00404724">
        <w:t>mortality and morbidity due to these causes is therefore likely to be associated with benefits to the health system and increased quality of life in the population.</w:t>
      </w:r>
    </w:p>
    <w:p w14:paraId="759B5F7E" w14:textId="77777777" w:rsidR="0090234D" w:rsidRPr="00404724" w:rsidRDefault="0090234D" w:rsidP="00F34B22">
      <w:pPr>
        <w:pStyle w:val="Heading5"/>
      </w:pPr>
      <w:r w:rsidRPr="00404724">
        <w:t>Slower degradation of road infrastructure</w:t>
      </w:r>
    </w:p>
    <w:p w14:paraId="64AB504B" w14:textId="77777777" w:rsidR="0090234D" w:rsidRPr="00404724" w:rsidRDefault="0090234D" w:rsidP="0041693E">
      <w:r w:rsidRPr="00404724">
        <w:t>Decreasing speed may degrade the road at a slower rate, as driving at slower speeds produces less heat on the road surface, and therefore fewer cracks or damage will develop.</w:t>
      </w:r>
      <w:r w:rsidRPr="00404724">
        <w:rPr>
          <w:rStyle w:val="FootnoteReference"/>
        </w:rPr>
        <w:footnoteReference w:id="123"/>
      </w:r>
      <w:r w:rsidRPr="00404724">
        <w:t xml:space="preserve"> Maintaining the road infrastructure requires a significant amount of public spending in Australia. While maintenance costs may be due to a range of factors, the degradation of the road due to heat produced by vehicles travelling at high speeds is likely to contribute to this cost. This in turn means that reducing speed limits may mean road infrastructure lasts longer, and some savings may be obtained through less frequent spending on maintenance and repairs of roads. However, the extent of savings is not known, and it may be minimal.</w:t>
      </w:r>
    </w:p>
    <w:p w14:paraId="30067329" w14:textId="77777777" w:rsidR="0090234D" w:rsidRPr="00404724" w:rsidRDefault="0090234D" w:rsidP="00F34B22">
      <w:pPr>
        <w:pStyle w:val="Heading5"/>
      </w:pPr>
      <w:r w:rsidRPr="00404724">
        <w:lastRenderedPageBreak/>
        <w:t>Greater traffic flow</w:t>
      </w:r>
    </w:p>
    <w:p w14:paraId="027CBDA5" w14:textId="0E042159" w:rsidR="0090234D" w:rsidRPr="00404724" w:rsidRDefault="0090234D" w:rsidP="0090234D">
      <w:pPr>
        <w:pStyle w:val="BodyText"/>
      </w:pPr>
      <w:r w:rsidRPr="00404724">
        <w:t xml:space="preserve">Reducing high speeds may increase traffic flow, by creating a more even distribution of traffic on the road. The relationship between speed and traffic flow is shown in </w:t>
      </w:r>
      <w:r w:rsidR="00CF1735" w:rsidRPr="00404724">
        <w:fldChar w:fldCharType="begin"/>
      </w:r>
      <w:r w:rsidR="00CF1735" w:rsidRPr="00404724">
        <w:instrText xml:space="preserve"> REF _Ref205894536 \h </w:instrText>
      </w:r>
      <w:r w:rsidR="00CF1735" w:rsidRPr="00404724">
        <w:fldChar w:fldCharType="separate"/>
      </w:r>
      <w:r w:rsidR="00BF489D" w:rsidRPr="00404724">
        <w:t>Figure </w:t>
      </w:r>
      <w:r w:rsidR="00BF489D">
        <w:rPr>
          <w:noProof/>
        </w:rPr>
        <w:t>13</w:t>
      </w:r>
      <w:r w:rsidR="00CF1735" w:rsidRPr="00404724">
        <w:fldChar w:fldCharType="end"/>
      </w:r>
      <w:r w:rsidR="00CF1735" w:rsidRPr="00404724">
        <w:t xml:space="preserve"> </w:t>
      </w:r>
      <w:r w:rsidRPr="00404724">
        <w:t>below, which shows that throughput is maximised at approximately 60</w:t>
      </w:r>
      <w:r w:rsidR="00C82E00" w:rsidRPr="00404724">
        <w:t xml:space="preserve"> km/h</w:t>
      </w:r>
      <w:r w:rsidRPr="00404724">
        <w:t>, and at speeds above 70</w:t>
      </w:r>
      <w:r w:rsidR="00C82E00" w:rsidRPr="00404724">
        <w:t xml:space="preserve"> km/h</w:t>
      </w:r>
      <w:r w:rsidRPr="00404724">
        <w:t xml:space="preserve">, traffic flow decreases. </w:t>
      </w:r>
    </w:p>
    <w:p w14:paraId="06841CF1" w14:textId="1974886C" w:rsidR="0090234D" w:rsidRPr="00404724" w:rsidRDefault="0090234D" w:rsidP="0090234D">
      <w:pPr>
        <w:pStyle w:val="BodyText"/>
      </w:pPr>
      <w:r w:rsidRPr="00404724">
        <w:t xml:space="preserve">Therefore, reducing the </w:t>
      </w:r>
      <w:r w:rsidR="00045455" w:rsidRPr="00404724">
        <w:t xml:space="preserve">default </w:t>
      </w:r>
      <w:r w:rsidRPr="00404724">
        <w:t>speed limit outside built</w:t>
      </w:r>
      <w:r w:rsidR="00045455" w:rsidRPr="00404724">
        <w:t>-</w:t>
      </w:r>
      <w:r w:rsidRPr="00404724">
        <w:t>up areas (where it is currently often 100</w:t>
      </w:r>
      <w:r w:rsidR="00C82E00" w:rsidRPr="00404724">
        <w:t xml:space="preserve"> km/h</w:t>
      </w:r>
      <w:r w:rsidRPr="00404724">
        <w:t xml:space="preserve"> or greater), may improve traffic flow. This could mean people spend less time in </w:t>
      </w:r>
      <w:r w:rsidR="00C94374" w:rsidRPr="00404724">
        <w:t>traffic and</w:t>
      </w:r>
      <w:r w:rsidR="007843DB" w:rsidRPr="00404724">
        <w:t xml:space="preserve"> have more consistent travel times</w:t>
      </w:r>
      <w:r w:rsidRPr="00404724">
        <w:t>.</w:t>
      </w:r>
    </w:p>
    <w:tbl>
      <w:tblPr>
        <w:tblStyle w:val="aacTablenolines"/>
        <w:tblW w:w="5000" w:type="pct"/>
        <w:tblLayout w:type="fixed"/>
        <w:tblLook w:val="04A0" w:firstRow="1" w:lastRow="0" w:firstColumn="1" w:lastColumn="0" w:noHBand="0" w:noVBand="1"/>
        <w:tblCaption w:val="Figure 11"/>
        <w:tblDescription w:val="Traffic flow (vehicle/hour) by travel speed on an urban motorway"/>
      </w:tblPr>
      <w:tblGrid>
        <w:gridCol w:w="9864"/>
      </w:tblGrid>
      <w:tr w:rsidR="0090234D" w:rsidRPr="00404724" w14:paraId="42DA395E" w14:textId="77777777" w:rsidTr="000C2CE6">
        <w:trPr>
          <w:cantSplit/>
        </w:trPr>
        <w:tc>
          <w:tcPr>
            <w:tcW w:w="9864" w:type="dxa"/>
          </w:tcPr>
          <w:p w14:paraId="1556ED4C" w14:textId="7683FF90" w:rsidR="0090234D" w:rsidRPr="00404724" w:rsidRDefault="0090234D" w:rsidP="003979C3">
            <w:pPr>
              <w:pStyle w:val="Tablefigureheading"/>
            </w:pPr>
            <w:bookmarkStart w:id="434" w:name="_Ref205894536"/>
            <w:bookmarkStart w:id="435" w:name="_Ref205894532"/>
            <w:bookmarkStart w:id="436" w:name="_Toc210040382"/>
            <w:bookmarkStart w:id="437" w:name="_Toc210051918"/>
            <w:r w:rsidRPr="00404724">
              <w:t>Figure </w:t>
            </w:r>
            <w:r w:rsidR="003979C3">
              <w:fldChar w:fldCharType="begin"/>
            </w:r>
            <w:r w:rsidR="003979C3">
              <w:instrText xml:space="preserve"> SEQ Figure \* ARABIC </w:instrText>
            </w:r>
            <w:r w:rsidR="003979C3">
              <w:fldChar w:fldCharType="separate"/>
            </w:r>
            <w:r w:rsidR="00BF489D">
              <w:rPr>
                <w:noProof/>
              </w:rPr>
              <w:t>13</w:t>
            </w:r>
            <w:r w:rsidR="003979C3">
              <w:rPr>
                <w:noProof/>
              </w:rPr>
              <w:fldChar w:fldCharType="end"/>
            </w:r>
            <w:bookmarkEnd w:id="434"/>
            <w:r w:rsidRPr="00404724">
              <w:tab/>
              <w:t>Traffic flow (vehicle/hour) by travel spee</w:t>
            </w:r>
            <w:bookmarkEnd w:id="435"/>
            <w:r w:rsidRPr="00404724">
              <w:t>d on an urban motorway</w:t>
            </w:r>
            <w:bookmarkEnd w:id="436"/>
            <w:bookmarkEnd w:id="437"/>
          </w:p>
        </w:tc>
      </w:tr>
      <w:tr w:rsidR="0090234D" w:rsidRPr="00404724" w14:paraId="13616561" w14:textId="77777777" w:rsidTr="000C2CE6">
        <w:trPr>
          <w:cantSplit/>
        </w:trPr>
        <w:tc>
          <w:tcPr>
            <w:tcW w:w="9864" w:type="dxa"/>
          </w:tcPr>
          <w:p w14:paraId="48D7A1A7" w14:textId="77777777" w:rsidR="0090234D" w:rsidRPr="00404724" w:rsidRDefault="0090234D" w:rsidP="00BB5FCD">
            <w:pPr>
              <w:pStyle w:val="Figure"/>
              <w:jc w:val="center"/>
            </w:pPr>
            <w:r w:rsidRPr="00404724">
              <w:rPr>
                <w:noProof/>
              </w:rPr>
              <w:drawing>
                <wp:inline distT="0" distB="0" distL="0" distR="0" wp14:anchorId="3DA94CF5" wp14:editId="2027C7DC">
                  <wp:extent cx="3727142" cy="3800475"/>
                  <wp:effectExtent l="0" t="0" r="6985" b="0"/>
                  <wp:docPr id="1978353146" name="Picture 1" descr="Chart showing the relationship between speed and traffic flow -throughput is maximised at approximately 60 km/h, and at speeds above 70 km/h, traffic flow de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53146" name="Picture 1" descr="Chart showing the relationship between speed and traffic flow -throughput is maximised at approximately 60 km/h, and at speeds above 70 km/h, traffic flow decreases"/>
                          <pic:cNvPicPr/>
                        </pic:nvPicPr>
                        <pic:blipFill rotWithShape="1">
                          <a:blip r:embed="rId39"/>
                          <a:srcRect t="5950"/>
                          <a:stretch>
                            <a:fillRect/>
                          </a:stretch>
                        </pic:blipFill>
                        <pic:spPr bwMode="auto">
                          <a:xfrm>
                            <a:off x="0" y="0"/>
                            <a:ext cx="3729890" cy="3803277"/>
                          </a:xfrm>
                          <a:prstGeom prst="rect">
                            <a:avLst/>
                          </a:prstGeom>
                          <a:ln>
                            <a:noFill/>
                          </a:ln>
                          <a:extLst>
                            <a:ext uri="{53640926-AAD7-44D8-BBD7-CCE9431645EC}">
                              <a14:shadowObscured xmlns:a14="http://schemas.microsoft.com/office/drawing/2010/main"/>
                            </a:ext>
                          </a:extLst>
                        </pic:spPr>
                      </pic:pic>
                    </a:graphicData>
                  </a:graphic>
                </wp:inline>
              </w:drawing>
            </w:r>
          </w:p>
        </w:tc>
      </w:tr>
      <w:tr w:rsidR="0090234D" w:rsidRPr="00404724" w14:paraId="782F6076" w14:textId="77777777" w:rsidTr="000C2CE6">
        <w:trPr>
          <w:cantSplit/>
        </w:trPr>
        <w:tc>
          <w:tcPr>
            <w:tcW w:w="9864" w:type="dxa"/>
            <w:tcMar>
              <w:top w:w="12" w:type="dxa"/>
              <w:bottom w:w="113" w:type="dxa"/>
            </w:tcMar>
          </w:tcPr>
          <w:p w14:paraId="1A7AE852" w14:textId="77777777" w:rsidR="0090234D" w:rsidRPr="00404724" w:rsidRDefault="0090234D" w:rsidP="00917F39">
            <w:pPr>
              <w:pStyle w:val="Sourcenotes"/>
              <w:rPr>
                <w:lang w:val="en-AU"/>
              </w:rPr>
            </w:pPr>
            <w:r w:rsidRPr="00404724">
              <w:rPr>
                <w:lang w:val="en-AU"/>
              </w:rPr>
              <w:t xml:space="preserve">Source: OECD Transport Research Centre. (2006). Speed management. </w:t>
            </w:r>
          </w:p>
        </w:tc>
      </w:tr>
    </w:tbl>
    <w:p w14:paraId="49941637" w14:textId="1B610684" w:rsidR="000C2CE6" w:rsidRPr="00404724" w:rsidRDefault="00C4433C" w:rsidP="00F34B22">
      <w:pPr>
        <w:pStyle w:val="Heading4"/>
      </w:pPr>
      <w:bookmarkStart w:id="438" w:name="_Ref208573869"/>
      <w:bookmarkStart w:id="439" w:name="_Toc210042571"/>
      <w:bookmarkStart w:id="440" w:name="_Toc210049213"/>
      <w:bookmarkStart w:id="441" w:name="_Toc210051653"/>
      <w:bookmarkStart w:id="442" w:name="_Toc210051734"/>
      <w:r>
        <w:t>4</w:t>
      </w:r>
      <w:r w:rsidR="00F34B22">
        <w:t>.3.9</w:t>
      </w:r>
      <w:r w:rsidR="00F34B22">
        <w:tab/>
      </w:r>
      <w:r w:rsidR="000C2CE6" w:rsidRPr="00404724">
        <w:t>Travel time</w:t>
      </w:r>
      <w:bookmarkEnd w:id="438"/>
      <w:r w:rsidR="00045455" w:rsidRPr="00404724">
        <w:t xml:space="preserve"> costs</w:t>
      </w:r>
      <w:bookmarkEnd w:id="439"/>
      <w:bookmarkEnd w:id="440"/>
      <w:bookmarkEnd w:id="441"/>
      <w:bookmarkEnd w:id="442"/>
    </w:p>
    <w:p w14:paraId="51251837" w14:textId="77777777" w:rsidR="000C2CE6" w:rsidRPr="00404724" w:rsidRDefault="000C2CE6" w:rsidP="000C2CE6">
      <w:pPr>
        <w:pStyle w:val="BodyText"/>
      </w:pPr>
      <w:r w:rsidRPr="00404724">
        <w:t xml:space="preserve">Reducing speed limits can result in increased travel time, introducing potential costs to road users. </w:t>
      </w:r>
    </w:p>
    <w:p w14:paraId="171EE6D3" w14:textId="1B1C40E5" w:rsidR="000C2CE6" w:rsidRPr="00404724" w:rsidRDefault="000C2CE6" w:rsidP="000C2CE6">
      <w:pPr>
        <w:pStyle w:val="BodyText"/>
      </w:pPr>
      <w:r w:rsidRPr="00404724">
        <w:t>Research indicates that reducing speed limits from 60</w:t>
      </w:r>
      <w:r w:rsidR="00C82E00" w:rsidRPr="00404724">
        <w:t xml:space="preserve"> km/h</w:t>
      </w:r>
      <w:r w:rsidRPr="00404724">
        <w:t xml:space="preserve"> to 50</w:t>
      </w:r>
      <w:r w:rsidR="00C82E00" w:rsidRPr="00404724">
        <w:t xml:space="preserve"> km/h</w:t>
      </w:r>
      <w:r w:rsidRPr="00404724">
        <w:t xml:space="preserve"> across an entire road network can lower spatial speeds from approximately 48</w:t>
      </w:r>
      <w:r w:rsidR="00C82E00" w:rsidRPr="00404724">
        <w:t xml:space="preserve"> km/h</w:t>
      </w:r>
      <w:r w:rsidRPr="00404724">
        <w:t xml:space="preserve"> to 40</w:t>
      </w:r>
      <w:r w:rsidR="00C82E00" w:rsidRPr="00404724">
        <w:t xml:space="preserve"> km/h</w:t>
      </w:r>
      <w:r w:rsidRPr="00404724">
        <w:t>, resulting in a roughly 20% increase in average trip duration.</w:t>
      </w:r>
      <w:r w:rsidRPr="00404724">
        <w:rPr>
          <w:rStyle w:val="FootnoteReference"/>
        </w:rPr>
        <w:footnoteReference w:id="124"/>
      </w:r>
      <w:r w:rsidRPr="00404724">
        <w:t xml:space="preserve"> However, it is important to note that arterial and local road travel times were not separately evaluated in this context. Conversely, other estimates based on expected mean travel speeds suggest more modest travel time increases, around 4-5%, when reducing speed limits by 10</w:t>
      </w:r>
      <w:r w:rsidR="00C82E00" w:rsidRPr="00404724">
        <w:t xml:space="preserve"> km/h</w:t>
      </w:r>
      <w:r w:rsidRPr="00404724">
        <w:t>.</w:t>
      </w:r>
      <w:r w:rsidRPr="00404724">
        <w:rPr>
          <w:rStyle w:val="FootnoteReference"/>
        </w:rPr>
        <w:footnoteReference w:id="125"/>
      </w:r>
    </w:p>
    <w:p w14:paraId="1789F543" w14:textId="77777777" w:rsidR="000C2CE6" w:rsidRPr="00404724" w:rsidRDefault="000C2CE6" w:rsidP="000C2CE6">
      <w:pPr>
        <w:pStyle w:val="BodyText"/>
      </w:pPr>
      <w:r w:rsidRPr="00404724">
        <w:t>In addition to commuter impacts, reductions in speed limits can significantly affect long-distance freight movements. Increased transit times can raise logistical costs, affect delivery schedules, and potentially reduce the efficiency of supply chains. These impacts will particularly affect sectors reliant on timely deliveries and tight scheduling.</w:t>
      </w:r>
    </w:p>
    <w:p w14:paraId="2292BF31" w14:textId="77777777" w:rsidR="000C2CE6" w:rsidRPr="00404724" w:rsidRDefault="000C2CE6" w:rsidP="00340F53">
      <w:r w:rsidRPr="00404724">
        <w:t xml:space="preserve">The costs to road users primarily manifest as commuter delays and can negatively impact labour productivity. Estimating the Value of Travel Time (VTT) can be particularly complex, as it varies significantly based on </w:t>
      </w:r>
      <w:r w:rsidRPr="00404724">
        <w:lastRenderedPageBreak/>
        <w:t xml:space="preserve">factors such as an individual's income, age, trip purpose, and vehicle occupancy. There are several methods used to quantify the value of travel time, including stated and revealed preference approaches, and wage-based methods, which assume that the value of time saved corresponds to a proportion of the traveller's hourly wage. In freight contexts, value of time is often calculated based on delivery delays, inventory holding costs, and supply chain disruptions. </w:t>
      </w:r>
    </w:p>
    <w:p w14:paraId="72BD88F3" w14:textId="627E2B98" w:rsidR="000C2CE6" w:rsidRPr="00404724" w:rsidRDefault="000C2CE6" w:rsidP="00340F53">
      <w:r w:rsidRPr="00404724">
        <w:t xml:space="preserve">For </w:t>
      </w:r>
      <w:r w:rsidR="00045455" w:rsidRPr="00404724">
        <w:t xml:space="preserve">the </w:t>
      </w:r>
      <w:r w:rsidRPr="00404724">
        <w:t>purpose of economic appraisals in Australia, the ATAP provide a standardised set of value of time estimates</w:t>
      </w:r>
      <w:r w:rsidR="00EC4A8C" w:rsidRPr="00404724">
        <w:t xml:space="preserve"> (2025$)</w:t>
      </w:r>
      <w:r w:rsidRPr="00404724">
        <w:t>. These are summarised in</w:t>
      </w:r>
      <w:r w:rsidR="00CF1735" w:rsidRPr="00404724">
        <w:t xml:space="preserve"> </w:t>
      </w:r>
      <w:r w:rsidR="00CF1735" w:rsidRPr="00404724">
        <w:fldChar w:fldCharType="begin"/>
      </w:r>
      <w:r w:rsidR="00CF1735" w:rsidRPr="00404724">
        <w:instrText xml:space="preserve"> REF _Ref208742289 \h </w:instrText>
      </w:r>
      <w:r w:rsidR="00340F53" w:rsidRPr="00404724">
        <w:instrText xml:space="preserve"> \* MERGEFORMAT </w:instrText>
      </w:r>
      <w:r w:rsidR="00CF1735" w:rsidRPr="00404724">
        <w:fldChar w:fldCharType="separate"/>
      </w:r>
      <w:r w:rsidR="00BF489D" w:rsidRPr="00404724">
        <w:t xml:space="preserve">Table </w:t>
      </w:r>
      <w:r w:rsidR="00BF489D">
        <w:rPr>
          <w:noProof/>
        </w:rPr>
        <w:t>36</w:t>
      </w:r>
      <w:r w:rsidR="00CF1735" w:rsidRPr="00404724">
        <w:fldChar w:fldCharType="end"/>
      </w:r>
      <w:r w:rsidRPr="00404724">
        <w:t xml:space="preserve">. These are the estimates that will be used in the modelling. </w:t>
      </w:r>
      <w:r w:rsidR="000C25A5" w:rsidRPr="00404724">
        <w:t xml:space="preserve">These costs are the standard applied to a range of transport costs, with the freight costs in particular confirmed by industry stakeholders in consultation. </w:t>
      </w:r>
    </w:p>
    <w:p w14:paraId="2B47B5E2" w14:textId="59F6FFC3" w:rsidR="00CF1735" w:rsidRPr="00404724" w:rsidRDefault="00CF1735" w:rsidP="003979C3">
      <w:pPr>
        <w:pStyle w:val="Tablefigureheading"/>
      </w:pPr>
      <w:bookmarkStart w:id="443" w:name="_Ref208742289"/>
      <w:bookmarkStart w:id="444" w:name="_Toc210040383"/>
      <w:bookmarkStart w:id="445" w:name="_Toc210051919"/>
      <w:r w:rsidRPr="00404724">
        <w:t xml:space="preserve">Table </w:t>
      </w:r>
      <w:r w:rsidR="00EC39D5">
        <w:fldChar w:fldCharType="begin"/>
      </w:r>
      <w:r w:rsidR="00EC39D5">
        <w:instrText xml:space="preserve"> SEQ Table \* ARABIC </w:instrText>
      </w:r>
      <w:r w:rsidR="00EC39D5">
        <w:fldChar w:fldCharType="separate"/>
      </w:r>
      <w:r w:rsidR="00BF489D">
        <w:rPr>
          <w:noProof/>
        </w:rPr>
        <w:t>36</w:t>
      </w:r>
      <w:r w:rsidR="00EC39D5">
        <w:rPr>
          <w:noProof/>
        </w:rPr>
        <w:fldChar w:fldCharType="end"/>
      </w:r>
      <w:bookmarkEnd w:id="443"/>
      <w:r w:rsidRPr="00404724">
        <w:tab/>
        <w:t>ATAP time value estimates</w:t>
      </w:r>
      <w:bookmarkEnd w:id="444"/>
      <w:bookmarkEnd w:id="445"/>
    </w:p>
    <w:tbl>
      <w:tblPr>
        <w:tblW w:w="9923" w:type="dxa"/>
        <w:tblLook w:val="04A0" w:firstRow="1" w:lastRow="0" w:firstColumn="1" w:lastColumn="0" w:noHBand="0" w:noVBand="1"/>
        <w:tblCaption w:val="Table 36 ATAP time value estimates"/>
        <w:tblDescription w:val="Table 36 ATAP time value estimates"/>
      </w:tblPr>
      <w:tblGrid>
        <w:gridCol w:w="2835"/>
        <w:gridCol w:w="2127"/>
        <w:gridCol w:w="1984"/>
        <w:gridCol w:w="2977"/>
      </w:tblGrid>
      <w:tr w:rsidR="006A772A" w:rsidRPr="00404724" w14:paraId="10DBCE54" w14:textId="77777777" w:rsidTr="00D7348D">
        <w:trPr>
          <w:cantSplit/>
          <w:trHeight w:val="330"/>
          <w:tblHeader/>
        </w:trPr>
        <w:tc>
          <w:tcPr>
            <w:tcW w:w="2835" w:type="dxa"/>
            <w:tcBorders>
              <w:top w:val="nil"/>
              <w:left w:val="nil"/>
              <w:bottom w:val="nil"/>
              <w:right w:val="nil"/>
            </w:tcBorders>
            <w:shd w:val="clear" w:color="000000" w:fill="140034"/>
            <w:noWrap/>
            <w:vAlign w:val="bottom"/>
            <w:hideMark/>
          </w:tcPr>
          <w:p w14:paraId="584E9171" w14:textId="77777777" w:rsidR="006A772A" w:rsidRPr="00404724" w:rsidRDefault="006A772A" w:rsidP="00BB5FCD">
            <w:pPr>
              <w:spacing w:before="0" w:after="0"/>
              <w:rPr>
                <w:rFonts w:ascii="Calibri" w:eastAsia="Times New Roman" w:hAnsi="Calibri" w:cs="Calibri"/>
                <w:b/>
                <w:bCs/>
                <w:color w:val="FFFFFF"/>
                <w:lang w:eastAsia="en-AU"/>
              </w:rPr>
            </w:pPr>
            <w:r w:rsidRPr="00404724">
              <w:rPr>
                <w:rFonts w:ascii="Calibri" w:eastAsia="Times New Roman" w:hAnsi="Calibri" w:cs="Calibri"/>
                <w:b/>
                <w:bCs/>
                <w:color w:val="FFFFFF"/>
                <w:lang w:eastAsia="en-AU"/>
              </w:rPr>
              <w:t> </w:t>
            </w:r>
          </w:p>
        </w:tc>
        <w:tc>
          <w:tcPr>
            <w:tcW w:w="2127" w:type="dxa"/>
            <w:tcBorders>
              <w:top w:val="nil"/>
              <w:left w:val="nil"/>
              <w:bottom w:val="nil"/>
              <w:right w:val="nil"/>
            </w:tcBorders>
            <w:shd w:val="clear" w:color="000000" w:fill="140034"/>
            <w:noWrap/>
            <w:vAlign w:val="center"/>
            <w:hideMark/>
          </w:tcPr>
          <w:p w14:paraId="592E77D6" w14:textId="77777777" w:rsidR="006A772A" w:rsidRPr="00404724" w:rsidRDefault="006A772A" w:rsidP="009F6CA8">
            <w:pPr>
              <w:spacing w:before="0" w:after="0"/>
              <w:jc w:val="center"/>
              <w:rPr>
                <w:rFonts w:ascii="Calibri" w:eastAsia="Times New Roman" w:hAnsi="Calibri" w:cs="Calibri"/>
                <w:b/>
                <w:bCs/>
                <w:color w:val="FFFFFF"/>
                <w:lang w:eastAsia="en-AU"/>
              </w:rPr>
            </w:pPr>
            <w:r w:rsidRPr="00404724">
              <w:rPr>
                <w:rFonts w:ascii="Calibri" w:eastAsia="Times New Roman" w:hAnsi="Calibri" w:cs="Calibri"/>
                <w:b/>
                <w:bCs/>
                <w:color w:val="FFFFFF"/>
                <w:lang w:eastAsia="en-AU"/>
              </w:rPr>
              <w:t>Occupancy rate</w:t>
            </w:r>
          </w:p>
        </w:tc>
        <w:tc>
          <w:tcPr>
            <w:tcW w:w="1984" w:type="dxa"/>
            <w:tcBorders>
              <w:top w:val="nil"/>
              <w:left w:val="nil"/>
              <w:bottom w:val="nil"/>
              <w:right w:val="nil"/>
            </w:tcBorders>
            <w:shd w:val="clear" w:color="000000" w:fill="140034"/>
            <w:noWrap/>
            <w:vAlign w:val="bottom"/>
            <w:hideMark/>
          </w:tcPr>
          <w:p w14:paraId="66B83A23" w14:textId="77777777" w:rsidR="006A772A" w:rsidRPr="00404724" w:rsidRDefault="006A772A" w:rsidP="009F6CA8">
            <w:pPr>
              <w:spacing w:before="0" w:after="0"/>
              <w:jc w:val="center"/>
              <w:rPr>
                <w:rFonts w:ascii="Calibri" w:eastAsia="Times New Roman" w:hAnsi="Calibri" w:cs="Calibri"/>
                <w:b/>
                <w:bCs/>
                <w:color w:val="FFFFFF"/>
                <w:lang w:eastAsia="en-AU"/>
              </w:rPr>
            </w:pPr>
            <w:r w:rsidRPr="00404724">
              <w:rPr>
                <w:rFonts w:ascii="Calibri" w:eastAsia="Times New Roman" w:hAnsi="Calibri" w:cs="Calibri"/>
                <w:b/>
                <w:bCs/>
                <w:color w:val="FFFFFF"/>
                <w:lang w:eastAsia="en-AU"/>
              </w:rPr>
              <w:t>Value per occupant</w:t>
            </w:r>
          </w:p>
        </w:tc>
        <w:tc>
          <w:tcPr>
            <w:tcW w:w="2977" w:type="dxa"/>
            <w:tcBorders>
              <w:top w:val="nil"/>
              <w:left w:val="nil"/>
              <w:bottom w:val="nil"/>
              <w:right w:val="nil"/>
            </w:tcBorders>
            <w:shd w:val="clear" w:color="000000" w:fill="140034"/>
            <w:noWrap/>
            <w:vAlign w:val="center"/>
            <w:hideMark/>
          </w:tcPr>
          <w:p w14:paraId="449B320C" w14:textId="77777777" w:rsidR="006A772A" w:rsidRPr="00404724" w:rsidRDefault="006A772A" w:rsidP="009F6CA8">
            <w:pPr>
              <w:spacing w:before="0" w:after="0"/>
              <w:jc w:val="center"/>
              <w:rPr>
                <w:rFonts w:ascii="Calibri" w:eastAsia="Times New Roman" w:hAnsi="Calibri" w:cs="Calibri"/>
                <w:b/>
                <w:bCs/>
                <w:color w:val="FFFFFF"/>
                <w:lang w:eastAsia="en-AU"/>
              </w:rPr>
            </w:pPr>
            <w:r w:rsidRPr="00404724">
              <w:rPr>
                <w:rFonts w:ascii="Calibri" w:eastAsia="Times New Roman" w:hAnsi="Calibri" w:cs="Calibri"/>
                <w:b/>
                <w:bCs/>
                <w:color w:val="FFFFFF"/>
                <w:lang w:eastAsia="en-AU"/>
              </w:rPr>
              <w:t>Freight non-urban</w:t>
            </w:r>
          </w:p>
        </w:tc>
      </w:tr>
      <w:tr w:rsidR="006A772A" w:rsidRPr="00404724" w14:paraId="49717F6E" w14:textId="77777777" w:rsidTr="00D7348D">
        <w:trPr>
          <w:cantSplit/>
          <w:trHeight w:val="330"/>
          <w:tblHeader/>
        </w:trPr>
        <w:tc>
          <w:tcPr>
            <w:tcW w:w="2835" w:type="dxa"/>
            <w:tcBorders>
              <w:top w:val="nil"/>
              <w:left w:val="nil"/>
              <w:bottom w:val="nil"/>
              <w:right w:val="nil"/>
            </w:tcBorders>
            <w:shd w:val="clear" w:color="000000" w:fill="140034"/>
            <w:noWrap/>
            <w:vAlign w:val="center"/>
            <w:hideMark/>
          </w:tcPr>
          <w:p w14:paraId="5B87296E" w14:textId="77777777" w:rsidR="006A772A" w:rsidRPr="00404724" w:rsidRDefault="006A772A" w:rsidP="00BB5FCD">
            <w:pPr>
              <w:spacing w:before="0" w:after="0"/>
              <w:rPr>
                <w:rFonts w:ascii="Calibri" w:eastAsia="Times New Roman" w:hAnsi="Calibri" w:cs="Calibri"/>
                <w:b/>
                <w:bCs/>
                <w:color w:val="FFFFFF"/>
                <w:lang w:eastAsia="en-AU"/>
              </w:rPr>
            </w:pPr>
            <w:r w:rsidRPr="00404724">
              <w:rPr>
                <w:rFonts w:ascii="Calibri" w:eastAsia="Times New Roman" w:hAnsi="Calibri" w:cs="Calibri"/>
                <w:b/>
                <w:bCs/>
                <w:color w:val="FFFFFF"/>
                <w:lang w:eastAsia="en-AU"/>
              </w:rPr>
              <w:t>Vehicle</w:t>
            </w:r>
          </w:p>
        </w:tc>
        <w:tc>
          <w:tcPr>
            <w:tcW w:w="2127" w:type="dxa"/>
            <w:tcBorders>
              <w:top w:val="nil"/>
              <w:left w:val="nil"/>
              <w:bottom w:val="nil"/>
              <w:right w:val="nil"/>
            </w:tcBorders>
            <w:shd w:val="clear" w:color="000000" w:fill="140034"/>
            <w:noWrap/>
            <w:vAlign w:val="bottom"/>
            <w:hideMark/>
          </w:tcPr>
          <w:p w14:paraId="6B4D54A6" w14:textId="77777777" w:rsidR="006A772A" w:rsidRPr="00404724" w:rsidRDefault="006A772A" w:rsidP="009F6CA8">
            <w:pPr>
              <w:spacing w:before="0" w:after="0"/>
              <w:jc w:val="center"/>
              <w:rPr>
                <w:rFonts w:ascii="Calibri" w:eastAsia="Times New Roman" w:hAnsi="Calibri" w:cs="Calibri"/>
                <w:b/>
                <w:bCs/>
                <w:color w:val="FFFFFF"/>
                <w:lang w:eastAsia="en-AU"/>
              </w:rPr>
            </w:pPr>
            <w:r w:rsidRPr="00404724">
              <w:rPr>
                <w:rFonts w:ascii="Calibri" w:eastAsia="Times New Roman" w:hAnsi="Calibri" w:cs="Calibri"/>
                <w:b/>
                <w:bCs/>
                <w:color w:val="FFFFFF"/>
                <w:lang w:eastAsia="en-AU"/>
              </w:rPr>
              <w:t>persons/vehicle</w:t>
            </w:r>
          </w:p>
        </w:tc>
        <w:tc>
          <w:tcPr>
            <w:tcW w:w="1984" w:type="dxa"/>
            <w:tcBorders>
              <w:top w:val="nil"/>
              <w:left w:val="nil"/>
              <w:bottom w:val="nil"/>
              <w:right w:val="nil"/>
            </w:tcBorders>
            <w:shd w:val="clear" w:color="000000" w:fill="140034"/>
            <w:noWrap/>
            <w:vAlign w:val="center"/>
            <w:hideMark/>
          </w:tcPr>
          <w:p w14:paraId="10B54F88" w14:textId="77777777" w:rsidR="006A772A" w:rsidRPr="00404724" w:rsidRDefault="006A772A" w:rsidP="009F6CA8">
            <w:pPr>
              <w:spacing w:before="0" w:after="0"/>
              <w:jc w:val="center"/>
              <w:rPr>
                <w:rFonts w:ascii="Calibri" w:eastAsia="Times New Roman" w:hAnsi="Calibri" w:cs="Calibri"/>
                <w:b/>
                <w:bCs/>
                <w:color w:val="FFFFFF"/>
                <w:lang w:eastAsia="en-AU"/>
              </w:rPr>
            </w:pPr>
            <w:r w:rsidRPr="00404724">
              <w:rPr>
                <w:rFonts w:ascii="Calibri" w:eastAsia="Times New Roman" w:hAnsi="Calibri" w:cs="Calibri"/>
                <w:b/>
                <w:bCs/>
                <w:color w:val="FFFFFF"/>
                <w:lang w:eastAsia="en-AU"/>
              </w:rPr>
              <w:t>$/person-hour</w:t>
            </w:r>
          </w:p>
        </w:tc>
        <w:tc>
          <w:tcPr>
            <w:tcW w:w="2977" w:type="dxa"/>
            <w:tcBorders>
              <w:top w:val="nil"/>
              <w:left w:val="nil"/>
              <w:bottom w:val="nil"/>
              <w:right w:val="nil"/>
            </w:tcBorders>
            <w:shd w:val="clear" w:color="000000" w:fill="140034"/>
            <w:noWrap/>
            <w:vAlign w:val="bottom"/>
            <w:hideMark/>
          </w:tcPr>
          <w:p w14:paraId="16B8C530" w14:textId="77777777" w:rsidR="006A772A" w:rsidRPr="00404724" w:rsidRDefault="006A772A" w:rsidP="009F6CA8">
            <w:pPr>
              <w:spacing w:before="0" w:after="0"/>
              <w:jc w:val="center"/>
              <w:rPr>
                <w:rFonts w:ascii="Calibri" w:eastAsia="Times New Roman" w:hAnsi="Calibri" w:cs="Calibri"/>
                <w:b/>
                <w:bCs/>
                <w:color w:val="FFFFFF"/>
                <w:lang w:eastAsia="en-AU"/>
              </w:rPr>
            </w:pPr>
            <w:r w:rsidRPr="00404724">
              <w:rPr>
                <w:rFonts w:ascii="Calibri" w:eastAsia="Times New Roman" w:hAnsi="Calibri" w:cs="Calibri"/>
                <w:b/>
                <w:bCs/>
                <w:color w:val="FFFFFF"/>
                <w:lang w:eastAsia="en-AU"/>
              </w:rPr>
              <w:t>$/vehicle-hour</w:t>
            </w:r>
          </w:p>
        </w:tc>
      </w:tr>
      <w:tr w:rsidR="006A772A" w:rsidRPr="00404724" w14:paraId="7A43E956" w14:textId="77777777" w:rsidTr="00F34B22">
        <w:trPr>
          <w:cantSplit/>
          <w:trHeight w:val="330"/>
        </w:trPr>
        <w:tc>
          <w:tcPr>
            <w:tcW w:w="2835" w:type="dxa"/>
            <w:tcBorders>
              <w:top w:val="nil"/>
              <w:left w:val="nil"/>
              <w:bottom w:val="nil"/>
              <w:right w:val="nil"/>
            </w:tcBorders>
            <w:shd w:val="clear" w:color="auto" w:fill="E2F2EA" w:themeFill="accent6" w:themeFillTint="33"/>
            <w:noWrap/>
            <w:vAlign w:val="center"/>
          </w:tcPr>
          <w:p w14:paraId="7E247E07" w14:textId="10D5C184" w:rsidR="006A772A" w:rsidRPr="00404724" w:rsidRDefault="006A772A" w:rsidP="00BB5FCD">
            <w:pPr>
              <w:spacing w:before="0" w:after="0"/>
              <w:rPr>
                <w:rFonts w:ascii="Calibri" w:eastAsia="Times New Roman" w:hAnsi="Calibri" w:cs="Calibri"/>
                <w:color w:val="313131"/>
                <w:lang w:eastAsia="en-AU"/>
              </w:rPr>
            </w:pPr>
            <w:r w:rsidRPr="00404724">
              <w:rPr>
                <w:rFonts w:ascii="Calibri" w:eastAsia="Times New Roman" w:hAnsi="Calibri" w:cs="Calibri"/>
                <w:color w:val="313131"/>
                <w:lang w:eastAsia="en-AU"/>
              </w:rPr>
              <w:t>Cars (all types)</w:t>
            </w:r>
          </w:p>
        </w:tc>
        <w:tc>
          <w:tcPr>
            <w:tcW w:w="2127" w:type="dxa"/>
            <w:tcBorders>
              <w:top w:val="single" w:sz="4" w:space="0" w:color="7F7F7F"/>
              <w:left w:val="single" w:sz="4" w:space="0" w:color="7F7F7F"/>
              <w:bottom w:val="single" w:sz="4" w:space="0" w:color="7F7F7F"/>
              <w:right w:val="nil"/>
            </w:tcBorders>
            <w:shd w:val="clear" w:color="auto" w:fill="E2F2EA" w:themeFill="accent6" w:themeFillTint="33"/>
            <w:noWrap/>
            <w:vAlign w:val="bottom"/>
          </w:tcPr>
          <w:p w14:paraId="5903C050" w14:textId="77777777" w:rsidR="006A772A" w:rsidRPr="00404724" w:rsidRDefault="006A772A" w:rsidP="009F6CA8">
            <w:pPr>
              <w:spacing w:before="0" w:after="0"/>
              <w:jc w:val="right"/>
              <w:rPr>
                <w:rFonts w:ascii="Calibri" w:eastAsia="Times New Roman" w:hAnsi="Calibri" w:cs="Calibri"/>
                <w:lang w:eastAsia="en-AU"/>
              </w:rPr>
            </w:pPr>
          </w:p>
        </w:tc>
        <w:tc>
          <w:tcPr>
            <w:tcW w:w="1984" w:type="dxa"/>
            <w:tcBorders>
              <w:top w:val="single" w:sz="4" w:space="0" w:color="7F7F7F"/>
              <w:left w:val="single" w:sz="4" w:space="0" w:color="7F7F7F"/>
              <w:bottom w:val="single" w:sz="4" w:space="0" w:color="7F7F7F"/>
              <w:right w:val="nil"/>
            </w:tcBorders>
            <w:shd w:val="clear" w:color="auto" w:fill="E2F2EA" w:themeFill="accent6" w:themeFillTint="33"/>
            <w:noWrap/>
            <w:vAlign w:val="bottom"/>
          </w:tcPr>
          <w:p w14:paraId="7FF59AF2" w14:textId="77777777" w:rsidR="006A772A" w:rsidRPr="00404724" w:rsidRDefault="006A772A" w:rsidP="009F6CA8">
            <w:pPr>
              <w:spacing w:before="0" w:after="0"/>
              <w:jc w:val="right"/>
              <w:rPr>
                <w:rFonts w:ascii="Calibri" w:eastAsia="Times New Roman" w:hAnsi="Calibri" w:cs="Calibri"/>
                <w:lang w:eastAsia="en-AU"/>
              </w:rPr>
            </w:pPr>
          </w:p>
        </w:tc>
        <w:tc>
          <w:tcPr>
            <w:tcW w:w="2977" w:type="dxa"/>
            <w:tcBorders>
              <w:top w:val="single" w:sz="4" w:space="0" w:color="7F7F7F"/>
              <w:left w:val="single" w:sz="4" w:space="0" w:color="7F7F7F"/>
              <w:bottom w:val="single" w:sz="4" w:space="0" w:color="7F7F7F"/>
              <w:right w:val="nil"/>
            </w:tcBorders>
            <w:shd w:val="clear" w:color="auto" w:fill="E2F2EA" w:themeFill="accent6" w:themeFillTint="33"/>
            <w:noWrap/>
            <w:vAlign w:val="bottom"/>
          </w:tcPr>
          <w:p w14:paraId="0C46269C" w14:textId="77777777" w:rsidR="006A772A" w:rsidRPr="00404724" w:rsidRDefault="006A772A" w:rsidP="009F6CA8">
            <w:pPr>
              <w:spacing w:before="0" w:after="0"/>
              <w:jc w:val="right"/>
              <w:rPr>
                <w:rFonts w:ascii="Calibri" w:eastAsia="Times New Roman" w:hAnsi="Calibri" w:cs="Calibri"/>
                <w:lang w:eastAsia="en-AU"/>
              </w:rPr>
            </w:pPr>
          </w:p>
        </w:tc>
      </w:tr>
      <w:tr w:rsidR="006A772A" w:rsidRPr="00404724" w14:paraId="27C527C2" w14:textId="77777777" w:rsidTr="00F34B22">
        <w:trPr>
          <w:cantSplit/>
          <w:trHeight w:val="330"/>
        </w:trPr>
        <w:tc>
          <w:tcPr>
            <w:tcW w:w="2835" w:type="dxa"/>
            <w:tcBorders>
              <w:top w:val="nil"/>
              <w:left w:val="nil"/>
              <w:bottom w:val="nil"/>
              <w:right w:val="nil"/>
            </w:tcBorders>
            <w:noWrap/>
            <w:vAlign w:val="center"/>
            <w:hideMark/>
          </w:tcPr>
          <w:p w14:paraId="22327342" w14:textId="77777777" w:rsidR="006A772A" w:rsidRPr="00404724" w:rsidRDefault="006A772A" w:rsidP="00BB5FCD">
            <w:pPr>
              <w:spacing w:before="0" w:after="0"/>
              <w:rPr>
                <w:rFonts w:ascii="Calibri" w:eastAsia="Times New Roman" w:hAnsi="Calibri" w:cs="Calibri"/>
                <w:color w:val="313131"/>
                <w:lang w:eastAsia="en-AU"/>
              </w:rPr>
            </w:pPr>
            <w:r w:rsidRPr="00404724">
              <w:rPr>
                <w:rFonts w:ascii="Calibri" w:eastAsia="Times New Roman" w:hAnsi="Calibri" w:cs="Calibri"/>
                <w:color w:val="313131"/>
                <w:lang w:eastAsia="en-AU"/>
              </w:rPr>
              <w:t>Private</w:t>
            </w:r>
          </w:p>
        </w:tc>
        <w:tc>
          <w:tcPr>
            <w:tcW w:w="2127" w:type="dxa"/>
            <w:tcBorders>
              <w:top w:val="single" w:sz="4" w:space="0" w:color="7F7F7F"/>
              <w:left w:val="single" w:sz="4" w:space="0" w:color="7F7F7F"/>
              <w:bottom w:val="single" w:sz="4" w:space="0" w:color="7F7F7F"/>
              <w:right w:val="nil"/>
            </w:tcBorders>
            <w:noWrap/>
            <w:vAlign w:val="bottom"/>
            <w:hideMark/>
          </w:tcPr>
          <w:p w14:paraId="047C6BB8"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1.7</w:t>
            </w:r>
          </w:p>
        </w:tc>
        <w:tc>
          <w:tcPr>
            <w:tcW w:w="1984" w:type="dxa"/>
            <w:tcBorders>
              <w:top w:val="single" w:sz="4" w:space="0" w:color="7F7F7F"/>
              <w:left w:val="single" w:sz="4" w:space="0" w:color="7F7F7F"/>
              <w:bottom w:val="single" w:sz="4" w:space="0" w:color="7F7F7F"/>
              <w:right w:val="nil"/>
            </w:tcBorders>
            <w:noWrap/>
            <w:vAlign w:val="bottom"/>
            <w:hideMark/>
          </w:tcPr>
          <w:p w14:paraId="343D22EC"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$20.66</w:t>
            </w:r>
          </w:p>
        </w:tc>
        <w:tc>
          <w:tcPr>
            <w:tcW w:w="2977" w:type="dxa"/>
            <w:tcBorders>
              <w:top w:val="single" w:sz="4" w:space="0" w:color="7F7F7F"/>
              <w:left w:val="single" w:sz="4" w:space="0" w:color="7F7F7F"/>
              <w:bottom w:val="single" w:sz="4" w:space="0" w:color="7F7F7F"/>
              <w:right w:val="nil"/>
            </w:tcBorders>
            <w:noWrap/>
            <w:vAlign w:val="bottom"/>
            <w:hideMark/>
          </w:tcPr>
          <w:p w14:paraId="2871909A"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w:t>
            </w:r>
          </w:p>
        </w:tc>
      </w:tr>
      <w:tr w:rsidR="006A772A" w:rsidRPr="00404724" w14:paraId="6A82ED97" w14:textId="77777777" w:rsidTr="00F34B22">
        <w:trPr>
          <w:cantSplit/>
          <w:trHeight w:val="330"/>
        </w:trPr>
        <w:tc>
          <w:tcPr>
            <w:tcW w:w="2835" w:type="dxa"/>
            <w:tcBorders>
              <w:top w:val="nil"/>
              <w:left w:val="nil"/>
              <w:bottom w:val="nil"/>
              <w:right w:val="nil"/>
            </w:tcBorders>
            <w:noWrap/>
            <w:vAlign w:val="center"/>
            <w:hideMark/>
          </w:tcPr>
          <w:p w14:paraId="5192FFB6" w14:textId="77777777" w:rsidR="006A772A" w:rsidRPr="00404724" w:rsidRDefault="006A772A" w:rsidP="00BB5FCD">
            <w:pPr>
              <w:spacing w:before="0" w:after="0"/>
              <w:rPr>
                <w:rFonts w:ascii="Calibri" w:eastAsia="Times New Roman" w:hAnsi="Calibri" w:cs="Calibri"/>
                <w:color w:val="313131"/>
                <w:lang w:eastAsia="en-AU"/>
              </w:rPr>
            </w:pPr>
            <w:r w:rsidRPr="00404724">
              <w:rPr>
                <w:rFonts w:ascii="Calibri" w:eastAsia="Times New Roman" w:hAnsi="Calibri" w:cs="Calibri"/>
                <w:color w:val="313131"/>
                <w:lang w:eastAsia="en-AU"/>
              </w:rPr>
              <w:t>Business</w:t>
            </w:r>
          </w:p>
        </w:tc>
        <w:tc>
          <w:tcPr>
            <w:tcW w:w="2127" w:type="dxa"/>
            <w:tcBorders>
              <w:top w:val="nil"/>
              <w:left w:val="single" w:sz="4" w:space="0" w:color="7F7F7F"/>
              <w:bottom w:val="single" w:sz="4" w:space="0" w:color="7F7F7F"/>
              <w:right w:val="nil"/>
            </w:tcBorders>
            <w:noWrap/>
            <w:vAlign w:val="bottom"/>
            <w:hideMark/>
          </w:tcPr>
          <w:p w14:paraId="0F68D8D7"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1.3</w:t>
            </w:r>
          </w:p>
        </w:tc>
        <w:tc>
          <w:tcPr>
            <w:tcW w:w="1984" w:type="dxa"/>
            <w:tcBorders>
              <w:top w:val="nil"/>
              <w:left w:val="single" w:sz="4" w:space="0" w:color="7F7F7F"/>
              <w:bottom w:val="single" w:sz="4" w:space="0" w:color="7F7F7F"/>
              <w:right w:val="nil"/>
            </w:tcBorders>
            <w:noWrap/>
            <w:vAlign w:val="bottom"/>
            <w:hideMark/>
          </w:tcPr>
          <w:p w14:paraId="44535CEA"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$67.03</w:t>
            </w:r>
          </w:p>
        </w:tc>
        <w:tc>
          <w:tcPr>
            <w:tcW w:w="2977" w:type="dxa"/>
            <w:tcBorders>
              <w:top w:val="nil"/>
              <w:left w:val="single" w:sz="4" w:space="0" w:color="7F7F7F"/>
              <w:bottom w:val="single" w:sz="4" w:space="0" w:color="7F7F7F"/>
              <w:right w:val="nil"/>
            </w:tcBorders>
            <w:noWrap/>
            <w:vAlign w:val="bottom"/>
            <w:hideMark/>
          </w:tcPr>
          <w:p w14:paraId="4D20484F"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w:t>
            </w:r>
          </w:p>
        </w:tc>
      </w:tr>
      <w:tr w:rsidR="006A772A" w:rsidRPr="00404724" w14:paraId="12056566" w14:textId="77777777" w:rsidTr="00F34B22">
        <w:trPr>
          <w:cantSplit/>
          <w:trHeight w:val="330"/>
        </w:trPr>
        <w:tc>
          <w:tcPr>
            <w:tcW w:w="2835" w:type="dxa"/>
            <w:tcBorders>
              <w:top w:val="nil"/>
              <w:left w:val="nil"/>
              <w:bottom w:val="nil"/>
              <w:right w:val="nil"/>
            </w:tcBorders>
            <w:shd w:val="clear" w:color="auto" w:fill="E2F2EA" w:themeFill="accent6" w:themeFillTint="33"/>
            <w:noWrap/>
            <w:vAlign w:val="center"/>
          </w:tcPr>
          <w:p w14:paraId="7446A155" w14:textId="600C23E1" w:rsidR="006A772A" w:rsidRPr="00404724" w:rsidRDefault="006A772A" w:rsidP="00BB5FCD">
            <w:pPr>
              <w:spacing w:before="0" w:after="0"/>
              <w:rPr>
                <w:rFonts w:ascii="Calibri" w:eastAsia="Times New Roman" w:hAnsi="Calibri" w:cs="Calibri"/>
                <w:color w:val="313131"/>
                <w:lang w:eastAsia="en-AU"/>
              </w:rPr>
            </w:pPr>
            <w:r w:rsidRPr="00404724">
              <w:rPr>
                <w:rFonts w:ascii="Calibri" w:eastAsia="Times New Roman" w:hAnsi="Calibri" w:cs="Calibri"/>
                <w:color w:val="313131"/>
                <w:lang w:eastAsia="en-AU"/>
              </w:rPr>
              <w:t>Light utility vehicles</w:t>
            </w:r>
          </w:p>
        </w:tc>
        <w:tc>
          <w:tcPr>
            <w:tcW w:w="2127" w:type="dxa"/>
            <w:tcBorders>
              <w:top w:val="nil"/>
              <w:left w:val="single" w:sz="4" w:space="0" w:color="7F7F7F"/>
              <w:bottom w:val="single" w:sz="4" w:space="0" w:color="7F7F7F"/>
              <w:right w:val="nil"/>
            </w:tcBorders>
            <w:shd w:val="clear" w:color="auto" w:fill="E2F2EA" w:themeFill="accent6" w:themeFillTint="33"/>
            <w:noWrap/>
            <w:vAlign w:val="bottom"/>
          </w:tcPr>
          <w:p w14:paraId="54A84206" w14:textId="77777777" w:rsidR="006A772A" w:rsidRPr="00404724" w:rsidRDefault="006A772A" w:rsidP="009F6CA8">
            <w:pPr>
              <w:spacing w:before="0" w:after="0"/>
              <w:jc w:val="right"/>
              <w:rPr>
                <w:rFonts w:ascii="Calibri" w:eastAsia="Times New Roman" w:hAnsi="Calibri" w:cs="Calibri"/>
                <w:lang w:eastAsia="en-AU"/>
              </w:rPr>
            </w:pPr>
          </w:p>
        </w:tc>
        <w:tc>
          <w:tcPr>
            <w:tcW w:w="1984" w:type="dxa"/>
            <w:tcBorders>
              <w:top w:val="nil"/>
              <w:left w:val="single" w:sz="4" w:space="0" w:color="7F7F7F"/>
              <w:bottom w:val="single" w:sz="4" w:space="0" w:color="7F7F7F"/>
              <w:right w:val="nil"/>
            </w:tcBorders>
            <w:shd w:val="clear" w:color="auto" w:fill="E2F2EA" w:themeFill="accent6" w:themeFillTint="33"/>
            <w:noWrap/>
            <w:vAlign w:val="bottom"/>
          </w:tcPr>
          <w:p w14:paraId="55F9BBAB" w14:textId="77777777" w:rsidR="006A772A" w:rsidRPr="00404724" w:rsidRDefault="006A772A" w:rsidP="009F6CA8">
            <w:pPr>
              <w:spacing w:before="0" w:after="0"/>
              <w:jc w:val="right"/>
              <w:rPr>
                <w:rFonts w:ascii="Calibri" w:eastAsia="Times New Roman" w:hAnsi="Calibri" w:cs="Calibri"/>
                <w:lang w:eastAsia="en-AU"/>
              </w:rPr>
            </w:pPr>
          </w:p>
        </w:tc>
        <w:tc>
          <w:tcPr>
            <w:tcW w:w="2977" w:type="dxa"/>
            <w:tcBorders>
              <w:top w:val="nil"/>
              <w:left w:val="single" w:sz="4" w:space="0" w:color="7F7F7F"/>
              <w:bottom w:val="single" w:sz="4" w:space="0" w:color="7F7F7F"/>
              <w:right w:val="nil"/>
            </w:tcBorders>
            <w:shd w:val="clear" w:color="auto" w:fill="E2F2EA" w:themeFill="accent6" w:themeFillTint="33"/>
            <w:noWrap/>
            <w:vAlign w:val="bottom"/>
          </w:tcPr>
          <w:p w14:paraId="68A160A4" w14:textId="77777777" w:rsidR="006A772A" w:rsidRPr="00404724" w:rsidRDefault="006A772A" w:rsidP="009F6CA8">
            <w:pPr>
              <w:spacing w:before="0" w:after="0"/>
              <w:jc w:val="right"/>
              <w:rPr>
                <w:rFonts w:ascii="Calibri" w:eastAsia="Times New Roman" w:hAnsi="Calibri" w:cs="Calibri"/>
                <w:lang w:eastAsia="en-AU"/>
              </w:rPr>
            </w:pPr>
          </w:p>
        </w:tc>
      </w:tr>
      <w:tr w:rsidR="006A772A" w:rsidRPr="00404724" w14:paraId="3F8F3579" w14:textId="77777777" w:rsidTr="00F34B22">
        <w:trPr>
          <w:cantSplit/>
          <w:trHeight w:val="330"/>
        </w:trPr>
        <w:tc>
          <w:tcPr>
            <w:tcW w:w="2835" w:type="dxa"/>
            <w:tcBorders>
              <w:top w:val="nil"/>
              <w:left w:val="nil"/>
              <w:bottom w:val="nil"/>
              <w:right w:val="nil"/>
            </w:tcBorders>
            <w:noWrap/>
            <w:vAlign w:val="center"/>
            <w:hideMark/>
          </w:tcPr>
          <w:p w14:paraId="3BE1B377" w14:textId="77777777" w:rsidR="006A772A" w:rsidRPr="00404724" w:rsidRDefault="006A772A" w:rsidP="00BB5FCD">
            <w:pPr>
              <w:spacing w:before="0" w:after="0"/>
              <w:rPr>
                <w:rFonts w:ascii="Calibri" w:eastAsia="Times New Roman" w:hAnsi="Calibri" w:cs="Calibri"/>
                <w:color w:val="313131"/>
                <w:lang w:eastAsia="en-AU"/>
              </w:rPr>
            </w:pPr>
            <w:r w:rsidRPr="00404724">
              <w:rPr>
                <w:rFonts w:ascii="Calibri" w:eastAsia="Times New Roman" w:hAnsi="Calibri" w:cs="Calibri"/>
                <w:color w:val="313131"/>
                <w:lang w:eastAsia="en-AU"/>
              </w:rPr>
              <w:t>Courier Van-Utility</w:t>
            </w:r>
          </w:p>
        </w:tc>
        <w:tc>
          <w:tcPr>
            <w:tcW w:w="2127" w:type="dxa"/>
            <w:tcBorders>
              <w:top w:val="nil"/>
              <w:left w:val="single" w:sz="4" w:space="0" w:color="7F7F7F"/>
              <w:bottom w:val="single" w:sz="4" w:space="0" w:color="7F7F7F"/>
              <w:right w:val="nil"/>
            </w:tcBorders>
            <w:noWrap/>
            <w:vAlign w:val="bottom"/>
            <w:hideMark/>
          </w:tcPr>
          <w:p w14:paraId="5CAEAE80"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1.0</w:t>
            </w:r>
          </w:p>
        </w:tc>
        <w:tc>
          <w:tcPr>
            <w:tcW w:w="1984" w:type="dxa"/>
            <w:tcBorders>
              <w:top w:val="nil"/>
              <w:left w:val="single" w:sz="4" w:space="0" w:color="7F7F7F"/>
              <w:bottom w:val="single" w:sz="4" w:space="0" w:color="7F7F7F"/>
              <w:right w:val="nil"/>
            </w:tcBorders>
            <w:noWrap/>
            <w:vAlign w:val="bottom"/>
            <w:hideMark/>
          </w:tcPr>
          <w:p w14:paraId="34694F46"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$35.03</w:t>
            </w:r>
          </w:p>
        </w:tc>
        <w:tc>
          <w:tcPr>
            <w:tcW w:w="2977" w:type="dxa"/>
            <w:tcBorders>
              <w:top w:val="nil"/>
              <w:left w:val="single" w:sz="4" w:space="0" w:color="7F7F7F"/>
              <w:bottom w:val="single" w:sz="4" w:space="0" w:color="7F7F7F"/>
              <w:right w:val="nil"/>
            </w:tcBorders>
            <w:noWrap/>
            <w:vAlign w:val="bottom"/>
            <w:hideMark/>
          </w:tcPr>
          <w:p w14:paraId="4713040D"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w:t>
            </w:r>
          </w:p>
        </w:tc>
      </w:tr>
      <w:tr w:rsidR="006A772A" w:rsidRPr="00404724" w14:paraId="6D6C360D" w14:textId="77777777" w:rsidTr="00F34B22">
        <w:trPr>
          <w:cantSplit/>
          <w:trHeight w:val="330"/>
        </w:trPr>
        <w:tc>
          <w:tcPr>
            <w:tcW w:w="2835" w:type="dxa"/>
            <w:tcBorders>
              <w:top w:val="nil"/>
              <w:left w:val="nil"/>
              <w:bottom w:val="nil"/>
              <w:right w:val="nil"/>
            </w:tcBorders>
            <w:noWrap/>
            <w:vAlign w:val="center"/>
            <w:hideMark/>
          </w:tcPr>
          <w:p w14:paraId="7403391F" w14:textId="514407EC" w:rsidR="006A772A" w:rsidRPr="00404724" w:rsidRDefault="006A772A" w:rsidP="00BB5FCD">
            <w:pPr>
              <w:spacing w:before="0" w:after="0"/>
              <w:rPr>
                <w:rFonts w:ascii="Calibri" w:eastAsia="Times New Roman" w:hAnsi="Calibri" w:cs="Calibri"/>
                <w:color w:val="313131"/>
                <w:lang w:eastAsia="en-AU"/>
              </w:rPr>
            </w:pPr>
            <w:r w:rsidRPr="00404724">
              <w:rPr>
                <w:rFonts w:ascii="Calibri" w:eastAsia="Times New Roman" w:hAnsi="Calibri" w:cs="Calibri"/>
                <w:color w:val="313131"/>
                <w:lang w:eastAsia="en-AU"/>
              </w:rPr>
              <w:t xml:space="preserve">4WD </w:t>
            </w:r>
            <w:r w:rsidR="00404724" w:rsidRPr="00404724">
              <w:rPr>
                <w:rFonts w:ascii="Calibri" w:eastAsia="Times New Roman" w:hAnsi="Calibri" w:cs="Calibri"/>
                <w:color w:val="313131"/>
                <w:lang w:eastAsia="en-AU"/>
              </w:rPr>
              <w:t>Mid-Size</w:t>
            </w:r>
            <w:r w:rsidRPr="00404724">
              <w:rPr>
                <w:rFonts w:ascii="Calibri" w:eastAsia="Times New Roman" w:hAnsi="Calibri" w:cs="Calibri"/>
                <w:color w:val="313131"/>
                <w:lang w:eastAsia="en-AU"/>
              </w:rPr>
              <w:t xml:space="preserve"> Petrol</w:t>
            </w:r>
          </w:p>
        </w:tc>
        <w:tc>
          <w:tcPr>
            <w:tcW w:w="2127" w:type="dxa"/>
            <w:tcBorders>
              <w:top w:val="nil"/>
              <w:left w:val="single" w:sz="4" w:space="0" w:color="7F7F7F"/>
              <w:bottom w:val="single" w:sz="4" w:space="0" w:color="7F7F7F"/>
              <w:right w:val="nil"/>
            </w:tcBorders>
            <w:noWrap/>
            <w:vAlign w:val="bottom"/>
            <w:hideMark/>
          </w:tcPr>
          <w:p w14:paraId="3AB3561E"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1.5</w:t>
            </w:r>
          </w:p>
        </w:tc>
        <w:tc>
          <w:tcPr>
            <w:tcW w:w="1984" w:type="dxa"/>
            <w:tcBorders>
              <w:top w:val="nil"/>
              <w:left w:val="single" w:sz="4" w:space="0" w:color="7F7F7F"/>
              <w:bottom w:val="single" w:sz="4" w:space="0" w:color="7F7F7F"/>
              <w:right w:val="nil"/>
            </w:tcBorders>
            <w:noWrap/>
            <w:vAlign w:val="bottom"/>
            <w:hideMark/>
          </w:tcPr>
          <w:p w14:paraId="0CFBA07B"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$35.03</w:t>
            </w:r>
          </w:p>
        </w:tc>
        <w:tc>
          <w:tcPr>
            <w:tcW w:w="2977" w:type="dxa"/>
            <w:tcBorders>
              <w:top w:val="nil"/>
              <w:left w:val="single" w:sz="4" w:space="0" w:color="7F7F7F"/>
              <w:bottom w:val="single" w:sz="4" w:space="0" w:color="7F7F7F"/>
              <w:right w:val="nil"/>
            </w:tcBorders>
            <w:noWrap/>
            <w:vAlign w:val="bottom"/>
            <w:hideMark/>
          </w:tcPr>
          <w:p w14:paraId="2C485185"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w:t>
            </w:r>
          </w:p>
        </w:tc>
      </w:tr>
      <w:tr w:rsidR="006A772A" w:rsidRPr="00404724" w14:paraId="07ACF080" w14:textId="77777777" w:rsidTr="00F34B22">
        <w:trPr>
          <w:cantSplit/>
          <w:trHeight w:val="330"/>
        </w:trPr>
        <w:tc>
          <w:tcPr>
            <w:tcW w:w="2835" w:type="dxa"/>
            <w:tcBorders>
              <w:top w:val="nil"/>
              <w:left w:val="nil"/>
              <w:bottom w:val="nil"/>
              <w:right w:val="nil"/>
            </w:tcBorders>
            <w:shd w:val="clear" w:color="auto" w:fill="E2F2EA" w:themeFill="accent6" w:themeFillTint="33"/>
            <w:noWrap/>
            <w:vAlign w:val="center"/>
          </w:tcPr>
          <w:p w14:paraId="796C4B5A" w14:textId="20CBBCA1" w:rsidR="006A772A" w:rsidRPr="00404724" w:rsidRDefault="006A772A" w:rsidP="00BB5FCD">
            <w:pPr>
              <w:spacing w:before="0" w:after="0"/>
              <w:rPr>
                <w:rFonts w:ascii="Calibri" w:eastAsia="Times New Roman" w:hAnsi="Calibri" w:cs="Calibri"/>
                <w:color w:val="313131"/>
                <w:lang w:eastAsia="en-AU"/>
              </w:rPr>
            </w:pPr>
            <w:r w:rsidRPr="00404724">
              <w:rPr>
                <w:rFonts w:ascii="Calibri" w:eastAsia="Times New Roman" w:hAnsi="Calibri" w:cs="Calibri"/>
                <w:color w:val="313131"/>
                <w:lang w:eastAsia="en-AU"/>
              </w:rPr>
              <w:t>Rigid trucks</w:t>
            </w:r>
          </w:p>
        </w:tc>
        <w:tc>
          <w:tcPr>
            <w:tcW w:w="2127" w:type="dxa"/>
            <w:tcBorders>
              <w:top w:val="nil"/>
              <w:left w:val="single" w:sz="4" w:space="0" w:color="7F7F7F"/>
              <w:bottom w:val="single" w:sz="4" w:space="0" w:color="7F7F7F"/>
              <w:right w:val="nil"/>
            </w:tcBorders>
            <w:shd w:val="clear" w:color="auto" w:fill="E2F2EA" w:themeFill="accent6" w:themeFillTint="33"/>
            <w:noWrap/>
            <w:vAlign w:val="bottom"/>
          </w:tcPr>
          <w:p w14:paraId="4A93AC3D" w14:textId="77777777" w:rsidR="006A772A" w:rsidRPr="00404724" w:rsidRDefault="006A772A" w:rsidP="009F6CA8">
            <w:pPr>
              <w:spacing w:before="0" w:after="0"/>
              <w:jc w:val="right"/>
              <w:rPr>
                <w:rFonts w:ascii="Calibri" w:eastAsia="Times New Roman" w:hAnsi="Calibri" w:cs="Calibri"/>
                <w:lang w:eastAsia="en-AU"/>
              </w:rPr>
            </w:pPr>
          </w:p>
        </w:tc>
        <w:tc>
          <w:tcPr>
            <w:tcW w:w="1984" w:type="dxa"/>
            <w:tcBorders>
              <w:top w:val="nil"/>
              <w:left w:val="single" w:sz="4" w:space="0" w:color="7F7F7F"/>
              <w:bottom w:val="single" w:sz="4" w:space="0" w:color="7F7F7F"/>
              <w:right w:val="nil"/>
            </w:tcBorders>
            <w:shd w:val="clear" w:color="auto" w:fill="E2F2EA" w:themeFill="accent6" w:themeFillTint="33"/>
            <w:noWrap/>
            <w:vAlign w:val="bottom"/>
          </w:tcPr>
          <w:p w14:paraId="1E437368" w14:textId="77777777" w:rsidR="006A772A" w:rsidRPr="00404724" w:rsidRDefault="006A772A" w:rsidP="009F6CA8">
            <w:pPr>
              <w:spacing w:before="0" w:after="0"/>
              <w:jc w:val="right"/>
              <w:rPr>
                <w:rFonts w:ascii="Calibri" w:eastAsia="Times New Roman" w:hAnsi="Calibri" w:cs="Calibri"/>
                <w:lang w:eastAsia="en-AU"/>
              </w:rPr>
            </w:pPr>
          </w:p>
        </w:tc>
        <w:tc>
          <w:tcPr>
            <w:tcW w:w="2977" w:type="dxa"/>
            <w:tcBorders>
              <w:top w:val="nil"/>
              <w:left w:val="single" w:sz="4" w:space="0" w:color="7F7F7F"/>
              <w:bottom w:val="single" w:sz="4" w:space="0" w:color="7F7F7F"/>
              <w:right w:val="nil"/>
            </w:tcBorders>
            <w:shd w:val="clear" w:color="auto" w:fill="E2F2EA" w:themeFill="accent6" w:themeFillTint="33"/>
            <w:noWrap/>
            <w:vAlign w:val="bottom"/>
          </w:tcPr>
          <w:p w14:paraId="1CAF2F0E" w14:textId="77777777" w:rsidR="006A772A" w:rsidRPr="00404724" w:rsidRDefault="006A772A" w:rsidP="009F6CA8">
            <w:pPr>
              <w:spacing w:before="0" w:after="0"/>
              <w:jc w:val="right"/>
              <w:rPr>
                <w:rFonts w:ascii="Calibri" w:eastAsia="Times New Roman" w:hAnsi="Calibri" w:cs="Calibri"/>
                <w:lang w:eastAsia="en-AU"/>
              </w:rPr>
            </w:pPr>
          </w:p>
        </w:tc>
      </w:tr>
      <w:tr w:rsidR="006A772A" w:rsidRPr="00404724" w14:paraId="446CB836" w14:textId="77777777" w:rsidTr="00F34B22">
        <w:trPr>
          <w:cantSplit/>
          <w:trHeight w:val="330"/>
        </w:trPr>
        <w:tc>
          <w:tcPr>
            <w:tcW w:w="2835" w:type="dxa"/>
            <w:tcBorders>
              <w:top w:val="nil"/>
              <w:left w:val="nil"/>
              <w:bottom w:val="nil"/>
              <w:right w:val="nil"/>
            </w:tcBorders>
            <w:noWrap/>
            <w:vAlign w:val="center"/>
            <w:hideMark/>
          </w:tcPr>
          <w:p w14:paraId="6B628FA6" w14:textId="77777777" w:rsidR="006A772A" w:rsidRPr="00404724" w:rsidRDefault="006A772A" w:rsidP="00BB5FCD">
            <w:pPr>
              <w:spacing w:before="0" w:after="0"/>
              <w:rPr>
                <w:rFonts w:ascii="Calibri" w:eastAsia="Times New Roman" w:hAnsi="Calibri" w:cs="Calibri"/>
                <w:color w:val="313131"/>
                <w:lang w:eastAsia="en-AU"/>
              </w:rPr>
            </w:pPr>
            <w:r w:rsidRPr="00404724">
              <w:rPr>
                <w:rFonts w:ascii="Calibri" w:eastAsia="Times New Roman" w:hAnsi="Calibri" w:cs="Calibri"/>
                <w:color w:val="313131"/>
                <w:lang w:eastAsia="en-AU"/>
              </w:rPr>
              <w:t>Light Rigid</w:t>
            </w:r>
          </w:p>
        </w:tc>
        <w:tc>
          <w:tcPr>
            <w:tcW w:w="2127" w:type="dxa"/>
            <w:tcBorders>
              <w:top w:val="nil"/>
              <w:left w:val="single" w:sz="4" w:space="0" w:color="7F7F7F"/>
              <w:bottom w:val="single" w:sz="4" w:space="0" w:color="7F7F7F"/>
              <w:right w:val="nil"/>
            </w:tcBorders>
            <w:noWrap/>
            <w:vAlign w:val="bottom"/>
            <w:hideMark/>
          </w:tcPr>
          <w:p w14:paraId="3F2DC81E"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1.3</w:t>
            </w:r>
          </w:p>
        </w:tc>
        <w:tc>
          <w:tcPr>
            <w:tcW w:w="1984" w:type="dxa"/>
            <w:tcBorders>
              <w:top w:val="nil"/>
              <w:left w:val="single" w:sz="4" w:space="0" w:color="7F7F7F"/>
              <w:bottom w:val="single" w:sz="4" w:space="0" w:color="7F7F7F"/>
              <w:right w:val="nil"/>
            </w:tcBorders>
            <w:noWrap/>
            <w:vAlign w:val="bottom"/>
            <w:hideMark/>
          </w:tcPr>
          <w:p w14:paraId="5A6307A1"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$35.03</w:t>
            </w:r>
          </w:p>
        </w:tc>
        <w:tc>
          <w:tcPr>
            <w:tcW w:w="2977" w:type="dxa"/>
            <w:tcBorders>
              <w:top w:val="nil"/>
              <w:left w:val="single" w:sz="4" w:space="0" w:color="7F7F7F"/>
              <w:bottom w:val="single" w:sz="4" w:space="0" w:color="7F7F7F"/>
              <w:right w:val="nil"/>
            </w:tcBorders>
            <w:noWrap/>
            <w:vAlign w:val="bottom"/>
            <w:hideMark/>
          </w:tcPr>
          <w:p w14:paraId="24289870"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$1.08</w:t>
            </w:r>
          </w:p>
        </w:tc>
      </w:tr>
      <w:tr w:rsidR="006A772A" w:rsidRPr="00404724" w14:paraId="6E6BB4D5" w14:textId="77777777" w:rsidTr="00F34B22">
        <w:trPr>
          <w:cantSplit/>
          <w:trHeight w:val="330"/>
        </w:trPr>
        <w:tc>
          <w:tcPr>
            <w:tcW w:w="2835" w:type="dxa"/>
            <w:tcBorders>
              <w:top w:val="nil"/>
              <w:left w:val="nil"/>
              <w:bottom w:val="nil"/>
              <w:right w:val="nil"/>
            </w:tcBorders>
            <w:noWrap/>
            <w:vAlign w:val="center"/>
            <w:hideMark/>
          </w:tcPr>
          <w:p w14:paraId="19E3B9F3" w14:textId="77777777" w:rsidR="006A772A" w:rsidRPr="00404724" w:rsidRDefault="006A772A" w:rsidP="00BB5FCD">
            <w:pPr>
              <w:spacing w:before="0" w:after="0"/>
              <w:rPr>
                <w:rFonts w:ascii="Calibri" w:eastAsia="Times New Roman" w:hAnsi="Calibri" w:cs="Calibri"/>
                <w:color w:val="313131"/>
                <w:lang w:eastAsia="en-AU"/>
              </w:rPr>
            </w:pPr>
            <w:r w:rsidRPr="00404724">
              <w:rPr>
                <w:rFonts w:ascii="Calibri" w:eastAsia="Times New Roman" w:hAnsi="Calibri" w:cs="Calibri"/>
                <w:color w:val="313131"/>
                <w:lang w:eastAsia="en-AU"/>
              </w:rPr>
              <w:t>Medium Rigid</w:t>
            </w:r>
          </w:p>
        </w:tc>
        <w:tc>
          <w:tcPr>
            <w:tcW w:w="2127" w:type="dxa"/>
            <w:tcBorders>
              <w:top w:val="nil"/>
              <w:left w:val="single" w:sz="4" w:space="0" w:color="7F7F7F"/>
              <w:bottom w:val="single" w:sz="4" w:space="0" w:color="7F7F7F"/>
              <w:right w:val="nil"/>
            </w:tcBorders>
            <w:noWrap/>
            <w:vAlign w:val="bottom"/>
            <w:hideMark/>
          </w:tcPr>
          <w:p w14:paraId="506159F2"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1.2</w:t>
            </w:r>
          </w:p>
        </w:tc>
        <w:tc>
          <w:tcPr>
            <w:tcW w:w="1984" w:type="dxa"/>
            <w:tcBorders>
              <w:top w:val="nil"/>
              <w:left w:val="single" w:sz="4" w:space="0" w:color="7F7F7F"/>
              <w:bottom w:val="single" w:sz="4" w:space="0" w:color="7F7F7F"/>
              <w:right w:val="nil"/>
            </w:tcBorders>
            <w:noWrap/>
            <w:vAlign w:val="bottom"/>
            <w:hideMark/>
          </w:tcPr>
          <w:p w14:paraId="41C47B5F"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$35.45</w:t>
            </w:r>
          </w:p>
        </w:tc>
        <w:tc>
          <w:tcPr>
            <w:tcW w:w="2977" w:type="dxa"/>
            <w:tcBorders>
              <w:top w:val="nil"/>
              <w:left w:val="single" w:sz="4" w:space="0" w:color="7F7F7F"/>
              <w:bottom w:val="single" w:sz="4" w:space="0" w:color="7F7F7F"/>
              <w:right w:val="nil"/>
            </w:tcBorders>
            <w:noWrap/>
            <w:vAlign w:val="bottom"/>
            <w:hideMark/>
          </w:tcPr>
          <w:p w14:paraId="29BDB8EA"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$2.91</w:t>
            </w:r>
          </w:p>
        </w:tc>
      </w:tr>
      <w:tr w:rsidR="006A772A" w:rsidRPr="00404724" w14:paraId="634E2498" w14:textId="77777777" w:rsidTr="00F34B22">
        <w:trPr>
          <w:cantSplit/>
          <w:trHeight w:val="330"/>
        </w:trPr>
        <w:tc>
          <w:tcPr>
            <w:tcW w:w="2835" w:type="dxa"/>
            <w:tcBorders>
              <w:top w:val="nil"/>
              <w:left w:val="nil"/>
              <w:bottom w:val="nil"/>
              <w:right w:val="nil"/>
            </w:tcBorders>
            <w:noWrap/>
            <w:vAlign w:val="center"/>
            <w:hideMark/>
          </w:tcPr>
          <w:p w14:paraId="350548B0" w14:textId="77777777" w:rsidR="006A772A" w:rsidRPr="00404724" w:rsidRDefault="006A772A" w:rsidP="00BB5FCD">
            <w:pPr>
              <w:spacing w:before="0" w:after="0"/>
              <w:rPr>
                <w:rFonts w:ascii="Calibri" w:eastAsia="Times New Roman" w:hAnsi="Calibri" w:cs="Calibri"/>
                <w:color w:val="313131"/>
                <w:lang w:eastAsia="en-AU"/>
              </w:rPr>
            </w:pPr>
            <w:r w:rsidRPr="00404724">
              <w:rPr>
                <w:rFonts w:ascii="Calibri" w:eastAsia="Times New Roman" w:hAnsi="Calibri" w:cs="Calibri"/>
                <w:color w:val="313131"/>
                <w:lang w:eastAsia="en-AU"/>
              </w:rPr>
              <w:t>Heavy Rigid</w:t>
            </w:r>
          </w:p>
        </w:tc>
        <w:tc>
          <w:tcPr>
            <w:tcW w:w="2127" w:type="dxa"/>
            <w:tcBorders>
              <w:top w:val="nil"/>
              <w:left w:val="single" w:sz="4" w:space="0" w:color="7F7F7F"/>
              <w:bottom w:val="single" w:sz="4" w:space="0" w:color="7F7F7F"/>
              <w:right w:val="nil"/>
            </w:tcBorders>
            <w:noWrap/>
            <w:vAlign w:val="bottom"/>
            <w:hideMark/>
          </w:tcPr>
          <w:p w14:paraId="26C264C7"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1.0</w:t>
            </w:r>
          </w:p>
        </w:tc>
        <w:tc>
          <w:tcPr>
            <w:tcW w:w="1984" w:type="dxa"/>
            <w:tcBorders>
              <w:top w:val="nil"/>
              <w:left w:val="single" w:sz="4" w:space="0" w:color="7F7F7F"/>
              <w:bottom w:val="single" w:sz="4" w:space="0" w:color="7F7F7F"/>
              <w:right w:val="nil"/>
            </w:tcBorders>
            <w:noWrap/>
            <w:vAlign w:val="bottom"/>
            <w:hideMark/>
          </w:tcPr>
          <w:p w14:paraId="0AA0DBCC"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$36.10</w:t>
            </w:r>
          </w:p>
        </w:tc>
        <w:tc>
          <w:tcPr>
            <w:tcW w:w="2977" w:type="dxa"/>
            <w:tcBorders>
              <w:top w:val="nil"/>
              <w:left w:val="single" w:sz="4" w:space="0" w:color="7F7F7F"/>
              <w:bottom w:val="single" w:sz="4" w:space="0" w:color="7F7F7F"/>
              <w:right w:val="nil"/>
            </w:tcBorders>
            <w:noWrap/>
            <w:vAlign w:val="bottom"/>
            <w:hideMark/>
          </w:tcPr>
          <w:p w14:paraId="581CC8BF"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$9.95</w:t>
            </w:r>
          </w:p>
        </w:tc>
      </w:tr>
      <w:tr w:rsidR="006A772A" w:rsidRPr="00404724" w14:paraId="62BDBC81" w14:textId="77777777" w:rsidTr="00F34B22">
        <w:trPr>
          <w:cantSplit/>
          <w:trHeight w:val="330"/>
        </w:trPr>
        <w:tc>
          <w:tcPr>
            <w:tcW w:w="2835" w:type="dxa"/>
            <w:tcBorders>
              <w:top w:val="nil"/>
              <w:left w:val="nil"/>
              <w:bottom w:val="nil"/>
              <w:right w:val="nil"/>
            </w:tcBorders>
            <w:shd w:val="clear" w:color="auto" w:fill="E2F2EA" w:themeFill="accent6" w:themeFillTint="33"/>
            <w:noWrap/>
            <w:vAlign w:val="center"/>
          </w:tcPr>
          <w:p w14:paraId="4114C5AD" w14:textId="5858FF7A" w:rsidR="006A772A" w:rsidRPr="00404724" w:rsidRDefault="006A772A" w:rsidP="00BB5FCD">
            <w:pPr>
              <w:spacing w:before="0" w:after="0"/>
              <w:rPr>
                <w:rFonts w:ascii="Calibri" w:eastAsia="Times New Roman" w:hAnsi="Calibri" w:cs="Calibri"/>
                <w:color w:val="313131"/>
                <w:lang w:eastAsia="en-AU"/>
              </w:rPr>
            </w:pPr>
            <w:r w:rsidRPr="00404724">
              <w:rPr>
                <w:rFonts w:ascii="Calibri" w:eastAsia="Times New Roman" w:hAnsi="Calibri" w:cs="Calibri"/>
                <w:color w:val="313131"/>
                <w:lang w:eastAsia="en-AU"/>
              </w:rPr>
              <w:t>Buses</w:t>
            </w:r>
          </w:p>
        </w:tc>
        <w:tc>
          <w:tcPr>
            <w:tcW w:w="2127" w:type="dxa"/>
            <w:tcBorders>
              <w:top w:val="nil"/>
              <w:left w:val="single" w:sz="4" w:space="0" w:color="7F7F7F"/>
              <w:bottom w:val="single" w:sz="4" w:space="0" w:color="7F7F7F"/>
              <w:right w:val="nil"/>
            </w:tcBorders>
            <w:shd w:val="clear" w:color="auto" w:fill="E2F2EA" w:themeFill="accent6" w:themeFillTint="33"/>
            <w:noWrap/>
            <w:vAlign w:val="bottom"/>
          </w:tcPr>
          <w:p w14:paraId="54F043E8" w14:textId="77777777" w:rsidR="006A772A" w:rsidRPr="00404724" w:rsidRDefault="006A772A" w:rsidP="009F6CA8">
            <w:pPr>
              <w:spacing w:before="0" w:after="0"/>
              <w:jc w:val="right"/>
              <w:rPr>
                <w:rFonts w:ascii="Calibri" w:eastAsia="Times New Roman" w:hAnsi="Calibri" w:cs="Calibri"/>
                <w:lang w:eastAsia="en-AU"/>
              </w:rPr>
            </w:pPr>
          </w:p>
        </w:tc>
        <w:tc>
          <w:tcPr>
            <w:tcW w:w="1984" w:type="dxa"/>
            <w:tcBorders>
              <w:top w:val="nil"/>
              <w:left w:val="single" w:sz="4" w:space="0" w:color="7F7F7F"/>
              <w:bottom w:val="single" w:sz="4" w:space="0" w:color="7F7F7F"/>
              <w:right w:val="nil"/>
            </w:tcBorders>
            <w:shd w:val="clear" w:color="auto" w:fill="E2F2EA" w:themeFill="accent6" w:themeFillTint="33"/>
            <w:noWrap/>
            <w:vAlign w:val="bottom"/>
          </w:tcPr>
          <w:p w14:paraId="2069EEC1" w14:textId="77777777" w:rsidR="006A772A" w:rsidRPr="00404724" w:rsidRDefault="006A772A" w:rsidP="009F6CA8">
            <w:pPr>
              <w:spacing w:before="0" w:after="0"/>
              <w:jc w:val="right"/>
              <w:rPr>
                <w:rFonts w:ascii="Calibri" w:eastAsia="Times New Roman" w:hAnsi="Calibri" w:cs="Calibri"/>
                <w:lang w:eastAsia="en-AU"/>
              </w:rPr>
            </w:pPr>
          </w:p>
        </w:tc>
        <w:tc>
          <w:tcPr>
            <w:tcW w:w="2977" w:type="dxa"/>
            <w:tcBorders>
              <w:top w:val="nil"/>
              <w:left w:val="single" w:sz="4" w:space="0" w:color="7F7F7F"/>
              <w:bottom w:val="single" w:sz="4" w:space="0" w:color="7F7F7F"/>
              <w:right w:val="nil"/>
            </w:tcBorders>
            <w:shd w:val="clear" w:color="auto" w:fill="E2F2EA" w:themeFill="accent6" w:themeFillTint="33"/>
            <w:noWrap/>
            <w:vAlign w:val="bottom"/>
          </w:tcPr>
          <w:p w14:paraId="1AF922EE" w14:textId="77777777" w:rsidR="006A772A" w:rsidRPr="00404724" w:rsidRDefault="006A772A" w:rsidP="009F6CA8">
            <w:pPr>
              <w:spacing w:before="0" w:after="0"/>
              <w:jc w:val="right"/>
              <w:rPr>
                <w:rFonts w:ascii="Calibri" w:eastAsia="Times New Roman" w:hAnsi="Calibri" w:cs="Calibri"/>
                <w:lang w:eastAsia="en-AU"/>
              </w:rPr>
            </w:pPr>
          </w:p>
        </w:tc>
      </w:tr>
      <w:tr w:rsidR="006A772A" w:rsidRPr="00404724" w14:paraId="367D127E" w14:textId="77777777" w:rsidTr="00F34B22">
        <w:trPr>
          <w:cantSplit/>
          <w:trHeight w:val="330"/>
        </w:trPr>
        <w:tc>
          <w:tcPr>
            <w:tcW w:w="2835" w:type="dxa"/>
            <w:tcBorders>
              <w:top w:val="nil"/>
              <w:left w:val="nil"/>
              <w:bottom w:val="nil"/>
              <w:right w:val="nil"/>
            </w:tcBorders>
            <w:noWrap/>
            <w:vAlign w:val="center"/>
            <w:hideMark/>
          </w:tcPr>
          <w:p w14:paraId="47DED9EC" w14:textId="77777777" w:rsidR="006A772A" w:rsidRPr="00404724" w:rsidRDefault="006A772A" w:rsidP="00BB5FCD">
            <w:pPr>
              <w:spacing w:before="0" w:after="0"/>
              <w:rPr>
                <w:rFonts w:ascii="Calibri" w:eastAsia="Times New Roman" w:hAnsi="Calibri" w:cs="Calibri"/>
                <w:color w:val="313131"/>
                <w:lang w:eastAsia="en-AU"/>
              </w:rPr>
            </w:pPr>
            <w:r w:rsidRPr="00404724">
              <w:rPr>
                <w:rFonts w:ascii="Calibri" w:eastAsia="Times New Roman" w:hAnsi="Calibri" w:cs="Calibri"/>
                <w:color w:val="313131"/>
                <w:lang w:eastAsia="en-AU"/>
              </w:rPr>
              <w:t>Heavy Bus (driver)</w:t>
            </w:r>
          </w:p>
        </w:tc>
        <w:tc>
          <w:tcPr>
            <w:tcW w:w="2127" w:type="dxa"/>
            <w:tcBorders>
              <w:top w:val="nil"/>
              <w:left w:val="single" w:sz="4" w:space="0" w:color="7F7F7F"/>
              <w:bottom w:val="single" w:sz="4" w:space="0" w:color="7F7F7F"/>
              <w:right w:val="nil"/>
            </w:tcBorders>
            <w:noWrap/>
            <w:vAlign w:val="bottom"/>
            <w:hideMark/>
          </w:tcPr>
          <w:p w14:paraId="4B5B127E"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1.0</w:t>
            </w:r>
          </w:p>
        </w:tc>
        <w:tc>
          <w:tcPr>
            <w:tcW w:w="1984" w:type="dxa"/>
            <w:tcBorders>
              <w:top w:val="nil"/>
              <w:left w:val="single" w:sz="4" w:space="0" w:color="7F7F7F"/>
              <w:bottom w:val="single" w:sz="4" w:space="0" w:color="7F7F7F"/>
              <w:right w:val="nil"/>
            </w:tcBorders>
            <w:noWrap/>
            <w:vAlign w:val="bottom"/>
            <w:hideMark/>
          </w:tcPr>
          <w:p w14:paraId="7FE14ADB"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$35.45</w:t>
            </w:r>
          </w:p>
        </w:tc>
        <w:tc>
          <w:tcPr>
            <w:tcW w:w="2977" w:type="dxa"/>
            <w:tcBorders>
              <w:top w:val="nil"/>
              <w:left w:val="single" w:sz="4" w:space="0" w:color="7F7F7F"/>
              <w:bottom w:val="single" w:sz="4" w:space="0" w:color="7F7F7F"/>
              <w:right w:val="nil"/>
            </w:tcBorders>
            <w:noWrap/>
            <w:vAlign w:val="bottom"/>
            <w:hideMark/>
          </w:tcPr>
          <w:p w14:paraId="0101A0A9"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w:t>
            </w:r>
          </w:p>
        </w:tc>
      </w:tr>
      <w:tr w:rsidR="006A772A" w:rsidRPr="00404724" w14:paraId="2AD861B5" w14:textId="77777777" w:rsidTr="00F34B22">
        <w:trPr>
          <w:cantSplit/>
          <w:trHeight w:val="330"/>
        </w:trPr>
        <w:tc>
          <w:tcPr>
            <w:tcW w:w="2835" w:type="dxa"/>
            <w:tcBorders>
              <w:top w:val="nil"/>
              <w:left w:val="nil"/>
              <w:bottom w:val="nil"/>
              <w:right w:val="nil"/>
            </w:tcBorders>
            <w:noWrap/>
            <w:vAlign w:val="center"/>
            <w:hideMark/>
          </w:tcPr>
          <w:p w14:paraId="773B2DDC" w14:textId="77777777" w:rsidR="006A772A" w:rsidRPr="00404724" w:rsidRDefault="006A772A" w:rsidP="00BB5FCD">
            <w:pPr>
              <w:spacing w:before="0" w:after="0"/>
              <w:rPr>
                <w:rFonts w:ascii="Calibri" w:eastAsia="Times New Roman" w:hAnsi="Calibri" w:cs="Calibri"/>
                <w:color w:val="313131"/>
                <w:lang w:eastAsia="en-AU"/>
              </w:rPr>
            </w:pPr>
            <w:r w:rsidRPr="00404724">
              <w:rPr>
                <w:rFonts w:ascii="Calibri" w:eastAsia="Times New Roman" w:hAnsi="Calibri" w:cs="Calibri"/>
                <w:color w:val="313131"/>
                <w:lang w:eastAsia="en-AU"/>
              </w:rPr>
              <w:t>Heavy Bus (passenger)</w:t>
            </w:r>
          </w:p>
        </w:tc>
        <w:tc>
          <w:tcPr>
            <w:tcW w:w="2127" w:type="dxa"/>
            <w:tcBorders>
              <w:top w:val="nil"/>
              <w:left w:val="single" w:sz="4" w:space="0" w:color="7F7F7F"/>
              <w:bottom w:val="single" w:sz="4" w:space="0" w:color="7F7F7F"/>
              <w:right w:val="nil"/>
            </w:tcBorders>
            <w:noWrap/>
            <w:vAlign w:val="bottom"/>
            <w:hideMark/>
          </w:tcPr>
          <w:p w14:paraId="345B3E2B"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20.0</w:t>
            </w:r>
          </w:p>
        </w:tc>
        <w:tc>
          <w:tcPr>
            <w:tcW w:w="1984" w:type="dxa"/>
            <w:tcBorders>
              <w:top w:val="nil"/>
              <w:left w:val="single" w:sz="4" w:space="0" w:color="7F7F7F"/>
              <w:bottom w:val="single" w:sz="4" w:space="0" w:color="7F7F7F"/>
              <w:right w:val="nil"/>
            </w:tcBorders>
            <w:noWrap/>
            <w:vAlign w:val="bottom"/>
            <w:hideMark/>
          </w:tcPr>
          <w:p w14:paraId="2B6CCB2B"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$20.66</w:t>
            </w:r>
          </w:p>
        </w:tc>
        <w:tc>
          <w:tcPr>
            <w:tcW w:w="2977" w:type="dxa"/>
            <w:tcBorders>
              <w:top w:val="nil"/>
              <w:left w:val="single" w:sz="4" w:space="0" w:color="7F7F7F"/>
              <w:bottom w:val="single" w:sz="4" w:space="0" w:color="7F7F7F"/>
              <w:right w:val="nil"/>
            </w:tcBorders>
            <w:noWrap/>
            <w:vAlign w:val="bottom"/>
            <w:hideMark/>
          </w:tcPr>
          <w:p w14:paraId="07BAF868"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w:t>
            </w:r>
          </w:p>
        </w:tc>
      </w:tr>
      <w:tr w:rsidR="006A772A" w:rsidRPr="00404724" w14:paraId="39BD00E2" w14:textId="77777777" w:rsidTr="00F34B22">
        <w:trPr>
          <w:cantSplit/>
          <w:trHeight w:val="330"/>
        </w:trPr>
        <w:tc>
          <w:tcPr>
            <w:tcW w:w="2835" w:type="dxa"/>
            <w:tcBorders>
              <w:top w:val="nil"/>
              <w:left w:val="nil"/>
              <w:bottom w:val="nil"/>
              <w:right w:val="nil"/>
            </w:tcBorders>
            <w:shd w:val="clear" w:color="auto" w:fill="E2F2EA" w:themeFill="accent6" w:themeFillTint="33"/>
            <w:noWrap/>
            <w:vAlign w:val="center"/>
          </w:tcPr>
          <w:p w14:paraId="6317AAF5" w14:textId="1FADFE62" w:rsidR="006A772A" w:rsidRPr="00404724" w:rsidRDefault="006A772A" w:rsidP="00BB5FCD">
            <w:pPr>
              <w:spacing w:before="0" w:after="0"/>
              <w:rPr>
                <w:rFonts w:ascii="Calibri" w:eastAsia="Times New Roman" w:hAnsi="Calibri" w:cs="Calibri"/>
                <w:color w:val="313131"/>
                <w:lang w:eastAsia="en-AU"/>
              </w:rPr>
            </w:pPr>
            <w:r w:rsidRPr="00404724">
              <w:rPr>
                <w:rFonts w:ascii="Calibri" w:eastAsia="Times New Roman" w:hAnsi="Calibri" w:cs="Calibri"/>
                <w:color w:val="313131"/>
                <w:lang w:eastAsia="en-AU"/>
              </w:rPr>
              <w:t>Articulated trucks</w:t>
            </w:r>
          </w:p>
        </w:tc>
        <w:tc>
          <w:tcPr>
            <w:tcW w:w="2127" w:type="dxa"/>
            <w:tcBorders>
              <w:top w:val="nil"/>
              <w:left w:val="single" w:sz="4" w:space="0" w:color="7F7F7F"/>
              <w:bottom w:val="single" w:sz="4" w:space="0" w:color="7F7F7F"/>
              <w:right w:val="nil"/>
            </w:tcBorders>
            <w:shd w:val="clear" w:color="auto" w:fill="E2F2EA" w:themeFill="accent6" w:themeFillTint="33"/>
            <w:noWrap/>
            <w:vAlign w:val="bottom"/>
          </w:tcPr>
          <w:p w14:paraId="1E065B50" w14:textId="77777777" w:rsidR="006A772A" w:rsidRPr="00404724" w:rsidRDefault="006A772A" w:rsidP="009F6CA8">
            <w:pPr>
              <w:spacing w:before="0" w:after="0"/>
              <w:jc w:val="right"/>
              <w:rPr>
                <w:rFonts w:ascii="Calibri" w:eastAsia="Times New Roman" w:hAnsi="Calibri" w:cs="Calibri"/>
                <w:lang w:eastAsia="en-AU"/>
              </w:rPr>
            </w:pPr>
          </w:p>
        </w:tc>
        <w:tc>
          <w:tcPr>
            <w:tcW w:w="1984" w:type="dxa"/>
            <w:tcBorders>
              <w:top w:val="nil"/>
              <w:left w:val="single" w:sz="4" w:space="0" w:color="7F7F7F"/>
              <w:bottom w:val="single" w:sz="4" w:space="0" w:color="7F7F7F"/>
              <w:right w:val="nil"/>
            </w:tcBorders>
            <w:shd w:val="clear" w:color="auto" w:fill="E2F2EA" w:themeFill="accent6" w:themeFillTint="33"/>
            <w:noWrap/>
            <w:vAlign w:val="bottom"/>
          </w:tcPr>
          <w:p w14:paraId="74E9CB86" w14:textId="77777777" w:rsidR="006A772A" w:rsidRPr="00404724" w:rsidRDefault="006A772A" w:rsidP="009F6CA8">
            <w:pPr>
              <w:spacing w:before="0" w:after="0"/>
              <w:jc w:val="right"/>
              <w:rPr>
                <w:rFonts w:ascii="Calibri" w:eastAsia="Times New Roman" w:hAnsi="Calibri" w:cs="Calibri"/>
                <w:lang w:eastAsia="en-AU"/>
              </w:rPr>
            </w:pPr>
          </w:p>
        </w:tc>
        <w:tc>
          <w:tcPr>
            <w:tcW w:w="2977" w:type="dxa"/>
            <w:tcBorders>
              <w:top w:val="nil"/>
              <w:left w:val="single" w:sz="4" w:space="0" w:color="7F7F7F"/>
              <w:bottom w:val="single" w:sz="4" w:space="0" w:color="7F7F7F"/>
              <w:right w:val="nil"/>
            </w:tcBorders>
            <w:shd w:val="clear" w:color="auto" w:fill="E2F2EA" w:themeFill="accent6" w:themeFillTint="33"/>
            <w:noWrap/>
            <w:vAlign w:val="bottom"/>
          </w:tcPr>
          <w:p w14:paraId="4831CE1D" w14:textId="77777777" w:rsidR="006A772A" w:rsidRPr="00404724" w:rsidRDefault="006A772A" w:rsidP="009F6CA8">
            <w:pPr>
              <w:spacing w:before="0" w:after="0"/>
              <w:jc w:val="right"/>
              <w:rPr>
                <w:rFonts w:ascii="Calibri" w:eastAsia="Times New Roman" w:hAnsi="Calibri" w:cs="Calibri"/>
                <w:lang w:eastAsia="en-AU"/>
              </w:rPr>
            </w:pPr>
          </w:p>
        </w:tc>
      </w:tr>
      <w:tr w:rsidR="006A772A" w:rsidRPr="00404724" w14:paraId="7E5C088B" w14:textId="77777777" w:rsidTr="00F34B22">
        <w:trPr>
          <w:cantSplit/>
          <w:trHeight w:val="330"/>
        </w:trPr>
        <w:tc>
          <w:tcPr>
            <w:tcW w:w="2835" w:type="dxa"/>
            <w:tcBorders>
              <w:top w:val="nil"/>
              <w:left w:val="nil"/>
              <w:bottom w:val="nil"/>
              <w:right w:val="nil"/>
            </w:tcBorders>
            <w:noWrap/>
            <w:vAlign w:val="center"/>
            <w:hideMark/>
          </w:tcPr>
          <w:p w14:paraId="4A2931DF" w14:textId="77777777" w:rsidR="006A772A" w:rsidRPr="00404724" w:rsidRDefault="006A772A" w:rsidP="00BB5FCD">
            <w:pPr>
              <w:spacing w:before="0" w:after="0"/>
              <w:rPr>
                <w:rFonts w:ascii="Calibri" w:eastAsia="Times New Roman" w:hAnsi="Calibri" w:cs="Calibri"/>
                <w:color w:val="313131"/>
                <w:lang w:eastAsia="en-AU"/>
              </w:rPr>
            </w:pPr>
            <w:r w:rsidRPr="00404724">
              <w:rPr>
                <w:rFonts w:ascii="Calibri" w:eastAsia="Times New Roman" w:hAnsi="Calibri" w:cs="Calibri"/>
                <w:color w:val="313131"/>
                <w:lang w:eastAsia="en-AU"/>
              </w:rPr>
              <w:t>Artic 4 Axle</w:t>
            </w:r>
          </w:p>
        </w:tc>
        <w:tc>
          <w:tcPr>
            <w:tcW w:w="2127" w:type="dxa"/>
            <w:tcBorders>
              <w:top w:val="nil"/>
              <w:left w:val="single" w:sz="4" w:space="0" w:color="7F7F7F"/>
              <w:bottom w:val="single" w:sz="4" w:space="0" w:color="7F7F7F"/>
              <w:right w:val="nil"/>
            </w:tcBorders>
            <w:noWrap/>
            <w:vAlign w:val="bottom"/>
            <w:hideMark/>
          </w:tcPr>
          <w:p w14:paraId="296B1F0A"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1.0</w:t>
            </w:r>
          </w:p>
        </w:tc>
        <w:tc>
          <w:tcPr>
            <w:tcW w:w="1984" w:type="dxa"/>
            <w:tcBorders>
              <w:top w:val="nil"/>
              <w:left w:val="single" w:sz="4" w:space="0" w:color="7F7F7F"/>
              <w:bottom w:val="single" w:sz="4" w:space="0" w:color="7F7F7F"/>
              <w:right w:val="nil"/>
            </w:tcBorders>
            <w:noWrap/>
            <w:vAlign w:val="bottom"/>
            <w:hideMark/>
          </w:tcPr>
          <w:p w14:paraId="0D92931C"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$36.96</w:t>
            </w:r>
          </w:p>
        </w:tc>
        <w:tc>
          <w:tcPr>
            <w:tcW w:w="2977" w:type="dxa"/>
            <w:tcBorders>
              <w:top w:val="nil"/>
              <w:left w:val="single" w:sz="4" w:space="0" w:color="7F7F7F"/>
              <w:bottom w:val="single" w:sz="4" w:space="0" w:color="7F7F7F"/>
              <w:right w:val="nil"/>
            </w:tcBorders>
            <w:noWrap/>
            <w:vAlign w:val="bottom"/>
            <w:hideMark/>
          </w:tcPr>
          <w:p w14:paraId="4B224FCB"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$21.41</w:t>
            </w:r>
          </w:p>
        </w:tc>
      </w:tr>
      <w:tr w:rsidR="006A772A" w:rsidRPr="00404724" w14:paraId="2F653B26" w14:textId="77777777" w:rsidTr="00F34B22">
        <w:trPr>
          <w:cantSplit/>
          <w:trHeight w:val="330"/>
        </w:trPr>
        <w:tc>
          <w:tcPr>
            <w:tcW w:w="2835" w:type="dxa"/>
            <w:tcBorders>
              <w:top w:val="nil"/>
              <w:left w:val="nil"/>
              <w:bottom w:val="nil"/>
              <w:right w:val="nil"/>
            </w:tcBorders>
            <w:noWrap/>
            <w:vAlign w:val="center"/>
            <w:hideMark/>
          </w:tcPr>
          <w:p w14:paraId="2BC0A89F" w14:textId="77777777" w:rsidR="006A772A" w:rsidRPr="00404724" w:rsidRDefault="006A772A" w:rsidP="00BB5FCD">
            <w:pPr>
              <w:spacing w:before="0" w:after="0"/>
              <w:rPr>
                <w:rFonts w:ascii="Calibri" w:eastAsia="Times New Roman" w:hAnsi="Calibri" w:cs="Calibri"/>
                <w:color w:val="313131"/>
                <w:lang w:eastAsia="en-AU"/>
              </w:rPr>
            </w:pPr>
            <w:r w:rsidRPr="00404724">
              <w:rPr>
                <w:rFonts w:ascii="Calibri" w:eastAsia="Times New Roman" w:hAnsi="Calibri" w:cs="Calibri"/>
                <w:color w:val="313131"/>
                <w:lang w:eastAsia="en-AU"/>
              </w:rPr>
              <w:t>Artic 5 Axle</w:t>
            </w:r>
          </w:p>
        </w:tc>
        <w:tc>
          <w:tcPr>
            <w:tcW w:w="2127" w:type="dxa"/>
            <w:tcBorders>
              <w:top w:val="nil"/>
              <w:left w:val="single" w:sz="4" w:space="0" w:color="7F7F7F"/>
              <w:bottom w:val="single" w:sz="4" w:space="0" w:color="7F7F7F"/>
              <w:right w:val="nil"/>
            </w:tcBorders>
            <w:noWrap/>
            <w:vAlign w:val="bottom"/>
            <w:hideMark/>
          </w:tcPr>
          <w:p w14:paraId="19119370"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1.0</w:t>
            </w:r>
          </w:p>
        </w:tc>
        <w:tc>
          <w:tcPr>
            <w:tcW w:w="1984" w:type="dxa"/>
            <w:tcBorders>
              <w:top w:val="nil"/>
              <w:left w:val="single" w:sz="4" w:space="0" w:color="7F7F7F"/>
              <w:bottom w:val="single" w:sz="4" w:space="0" w:color="7F7F7F"/>
              <w:right w:val="nil"/>
            </w:tcBorders>
            <w:noWrap/>
            <w:vAlign w:val="bottom"/>
            <w:hideMark/>
          </w:tcPr>
          <w:p w14:paraId="5251E197"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$36.96</w:t>
            </w:r>
          </w:p>
        </w:tc>
        <w:tc>
          <w:tcPr>
            <w:tcW w:w="2977" w:type="dxa"/>
            <w:tcBorders>
              <w:top w:val="nil"/>
              <w:left w:val="single" w:sz="4" w:space="0" w:color="7F7F7F"/>
              <w:bottom w:val="single" w:sz="4" w:space="0" w:color="7F7F7F"/>
              <w:right w:val="nil"/>
            </w:tcBorders>
            <w:noWrap/>
            <w:vAlign w:val="bottom"/>
            <w:hideMark/>
          </w:tcPr>
          <w:p w14:paraId="2A4836A6"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$27.29</w:t>
            </w:r>
          </w:p>
        </w:tc>
      </w:tr>
      <w:tr w:rsidR="006A772A" w:rsidRPr="00404724" w14:paraId="06789678" w14:textId="77777777" w:rsidTr="00F34B22">
        <w:trPr>
          <w:cantSplit/>
          <w:trHeight w:val="330"/>
        </w:trPr>
        <w:tc>
          <w:tcPr>
            <w:tcW w:w="2835" w:type="dxa"/>
            <w:tcBorders>
              <w:top w:val="nil"/>
              <w:left w:val="nil"/>
              <w:bottom w:val="nil"/>
              <w:right w:val="nil"/>
            </w:tcBorders>
            <w:noWrap/>
            <w:vAlign w:val="center"/>
            <w:hideMark/>
          </w:tcPr>
          <w:p w14:paraId="599AE729" w14:textId="77777777" w:rsidR="006A772A" w:rsidRPr="00404724" w:rsidRDefault="006A772A" w:rsidP="00BB5FCD">
            <w:pPr>
              <w:spacing w:before="0" w:after="0"/>
              <w:rPr>
                <w:rFonts w:ascii="Calibri" w:eastAsia="Times New Roman" w:hAnsi="Calibri" w:cs="Calibri"/>
                <w:color w:val="313131"/>
                <w:lang w:eastAsia="en-AU"/>
              </w:rPr>
            </w:pPr>
            <w:r w:rsidRPr="00404724">
              <w:rPr>
                <w:rFonts w:ascii="Calibri" w:eastAsia="Times New Roman" w:hAnsi="Calibri" w:cs="Calibri"/>
                <w:color w:val="313131"/>
                <w:lang w:eastAsia="en-AU"/>
              </w:rPr>
              <w:t>Artic 6 Axle</w:t>
            </w:r>
          </w:p>
        </w:tc>
        <w:tc>
          <w:tcPr>
            <w:tcW w:w="2127" w:type="dxa"/>
            <w:tcBorders>
              <w:top w:val="nil"/>
              <w:left w:val="single" w:sz="4" w:space="0" w:color="7F7F7F"/>
              <w:bottom w:val="single" w:sz="4" w:space="0" w:color="7F7F7F"/>
              <w:right w:val="nil"/>
            </w:tcBorders>
            <w:noWrap/>
            <w:vAlign w:val="bottom"/>
            <w:hideMark/>
          </w:tcPr>
          <w:p w14:paraId="26A2FF3D"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1.0</w:t>
            </w:r>
          </w:p>
        </w:tc>
        <w:tc>
          <w:tcPr>
            <w:tcW w:w="1984" w:type="dxa"/>
            <w:tcBorders>
              <w:top w:val="nil"/>
              <w:left w:val="single" w:sz="4" w:space="0" w:color="7F7F7F"/>
              <w:bottom w:val="single" w:sz="4" w:space="0" w:color="7F7F7F"/>
              <w:right w:val="nil"/>
            </w:tcBorders>
            <w:noWrap/>
            <w:vAlign w:val="bottom"/>
            <w:hideMark/>
          </w:tcPr>
          <w:p w14:paraId="56269DDA"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$36.96</w:t>
            </w:r>
          </w:p>
        </w:tc>
        <w:tc>
          <w:tcPr>
            <w:tcW w:w="2977" w:type="dxa"/>
            <w:tcBorders>
              <w:top w:val="nil"/>
              <w:left w:val="single" w:sz="4" w:space="0" w:color="7F7F7F"/>
              <w:bottom w:val="single" w:sz="4" w:space="0" w:color="7F7F7F"/>
              <w:right w:val="nil"/>
            </w:tcBorders>
            <w:noWrap/>
            <w:vAlign w:val="bottom"/>
            <w:hideMark/>
          </w:tcPr>
          <w:p w14:paraId="2282941B" w14:textId="77777777" w:rsidR="006A772A" w:rsidRPr="00404724" w:rsidRDefault="006A772A" w:rsidP="009F6CA8">
            <w:pPr>
              <w:spacing w:before="0" w:after="0"/>
              <w:jc w:val="right"/>
              <w:rPr>
                <w:rFonts w:ascii="Calibri" w:eastAsia="Times New Roman" w:hAnsi="Calibri" w:cs="Calibri"/>
                <w:lang w:eastAsia="en-AU"/>
              </w:rPr>
            </w:pPr>
            <w:r w:rsidRPr="00404724">
              <w:rPr>
                <w:rFonts w:ascii="Calibri" w:eastAsia="Times New Roman" w:hAnsi="Calibri" w:cs="Calibri"/>
                <w:lang w:eastAsia="en-AU"/>
              </w:rPr>
              <w:t>$29.44</w:t>
            </w:r>
          </w:p>
        </w:tc>
      </w:tr>
    </w:tbl>
    <w:p w14:paraId="146E2827" w14:textId="55431E0B" w:rsidR="000C2CE6" w:rsidRPr="00404724" w:rsidRDefault="000C2CE6" w:rsidP="00340F53">
      <w:r w:rsidRPr="00404724">
        <w:t xml:space="preserve">The calculation of the costs associated with an increase </w:t>
      </w:r>
      <w:r w:rsidR="00045455" w:rsidRPr="00404724">
        <w:t xml:space="preserve">in </w:t>
      </w:r>
      <w:r w:rsidRPr="00404724">
        <w:t>travel time will be determined by multiplying the relevant VKT for the vehicle by the difference in speeds before and after the speed reduction scenario by the average value of travel time for the vehicle class.</w:t>
      </w:r>
    </w:p>
    <w:tbl>
      <w:tblPr>
        <w:tblStyle w:val="aacTablenolines"/>
        <w:tblW w:w="5000" w:type="pct"/>
        <w:tblLayout w:type="fixed"/>
        <w:tblLook w:val="04A0" w:firstRow="1" w:lastRow="0" w:firstColumn="1" w:lastColumn="0" w:noHBand="0" w:noVBand="1"/>
        <w:tblCaption w:val="Figure 12"/>
        <w:tblDescription w:val="Approach to modelling travel time costs for each vehicle type, road type, remoteness areas, and modelling scenario"/>
      </w:tblPr>
      <w:tblGrid>
        <w:gridCol w:w="9864"/>
      </w:tblGrid>
      <w:tr w:rsidR="000C2CE6" w:rsidRPr="00404724" w14:paraId="6907C169" w14:textId="77777777" w:rsidTr="00CF1735">
        <w:trPr>
          <w:cantSplit/>
        </w:trPr>
        <w:tc>
          <w:tcPr>
            <w:tcW w:w="9864" w:type="dxa"/>
          </w:tcPr>
          <w:p w14:paraId="61071D9C" w14:textId="26A1F254" w:rsidR="000C2CE6" w:rsidRPr="00404724" w:rsidRDefault="00CF1735" w:rsidP="003979C3">
            <w:pPr>
              <w:pStyle w:val="Tablefigureheading"/>
            </w:pPr>
            <w:bookmarkStart w:id="446" w:name="_Toc210040384"/>
            <w:bookmarkStart w:id="447" w:name="_Toc210051920"/>
            <w:r w:rsidRPr="00404724">
              <w:t xml:space="preserve">Figure </w:t>
            </w:r>
            <w:r w:rsidR="003979C3">
              <w:fldChar w:fldCharType="begin"/>
            </w:r>
            <w:r w:rsidR="003979C3">
              <w:instrText xml:space="preserve"> SEQ Figure \* ARABIC </w:instrText>
            </w:r>
            <w:r w:rsidR="003979C3">
              <w:fldChar w:fldCharType="separate"/>
            </w:r>
            <w:r w:rsidR="00BF489D">
              <w:rPr>
                <w:noProof/>
              </w:rPr>
              <w:t>14</w:t>
            </w:r>
            <w:r w:rsidR="003979C3">
              <w:rPr>
                <w:noProof/>
              </w:rPr>
              <w:fldChar w:fldCharType="end"/>
            </w:r>
            <w:r w:rsidR="000C2CE6" w:rsidRPr="00404724">
              <w:tab/>
              <w:t xml:space="preserve">Approach to modelling travel time costs for each vehicle type, </w:t>
            </w:r>
            <w:r w:rsidR="000C2CE6" w:rsidRPr="00404724">
              <w:rPr>
                <w:rStyle w:val="Strong"/>
                <w:b/>
              </w:rPr>
              <w:t>road type, remoteness areas, and modelling scenario</w:t>
            </w:r>
            <w:bookmarkEnd w:id="446"/>
            <w:bookmarkEnd w:id="447"/>
          </w:p>
        </w:tc>
      </w:tr>
      <w:tr w:rsidR="000C2CE6" w:rsidRPr="00404724" w14:paraId="664E30CA" w14:textId="77777777" w:rsidTr="00CF1735">
        <w:trPr>
          <w:cantSplit/>
        </w:trPr>
        <w:tc>
          <w:tcPr>
            <w:tcW w:w="9864" w:type="dxa"/>
          </w:tcPr>
          <w:p w14:paraId="6993CDE1" w14:textId="77777777" w:rsidR="000C2CE6" w:rsidRPr="00404724" w:rsidRDefault="000C2CE6" w:rsidP="00BB5FCD">
            <w:pPr>
              <w:pStyle w:val="Figure"/>
            </w:pPr>
            <w:r w:rsidRPr="00404724">
              <w:rPr>
                <w:noProof/>
              </w:rPr>
              <w:drawing>
                <wp:inline distT="0" distB="0" distL="0" distR="0" wp14:anchorId="3FBEB967" wp14:editId="77EE39F7">
                  <wp:extent cx="6115857" cy="1160890"/>
                  <wp:effectExtent l="0" t="0" r="0" b="1270"/>
                  <wp:docPr id="860858572" name="Picture 14" descr="The calculation of the costs associated with an increase in travel time will be determined by multiplying the relevant VKT for the vehicle by the difference in speeds before and after the speed reduction scenario by the average value of travel time for the vehicle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58572" name="Picture 14" descr="The calculation of the costs associated with an increase in travel time will be determined by multiplying the relevant VKT for the vehicle by the difference in speeds before and after the speed reduction scenario by the average value of travel time for the vehicle clas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41121" cy="1165685"/>
                          </a:xfrm>
                          <a:prstGeom prst="rect">
                            <a:avLst/>
                          </a:prstGeom>
                          <a:noFill/>
                          <a:ln>
                            <a:noFill/>
                          </a:ln>
                        </pic:spPr>
                      </pic:pic>
                    </a:graphicData>
                  </a:graphic>
                </wp:inline>
              </w:drawing>
            </w:r>
          </w:p>
        </w:tc>
      </w:tr>
    </w:tbl>
    <w:p w14:paraId="5DBFAE63" w14:textId="4C4BC2EC" w:rsidR="00206607" w:rsidRPr="00404724" w:rsidRDefault="006D575C" w:rsidP="00340F53">
      <w:pPr>
        <w:rPr>
          <w:b/>
        </w:rPr>
      </w:pPr>
      <w:r w:rsidRPr="00404724">
        <w:t xml:space="preserve">While it </w:t>
      </w:r>
      <w:r w:rsidR="00206607" w:rsidRPr="00404724">
        <w:t>is typically assu</w:t>
      </w:r>
      <w:r w:rsidR="00674EF5" w:rsidRPr="00404724">
        <w:t>med that the costs incurred by businesses are passed through to the consumer in the form of increased prices for goods and services</w:t>
      </w:r>
      <w:r w:rsidRPr="00404724">
        <w:t>, for the purposes of this report, only the first order distributional impacts have been identified. That is to say that additional freight and business costs are described as accruing to freight and businesses. Who bears the cost in practice depends on the elasticities of demand and supply, and an exercise to determine these are outside the scope of this exercise.</w:t>
      </w:r>
    </w:p>
    <w:p w14:paraId="07FAD7E8" w14:textId="260D3F45" w:rsidR="000C2CE6" w:rsidRPr="00404724" w:rsidRDefault="00C4433C" w:rsidP="00D7348D">
      <w:pPr>
        <w:pStyle w:val="Heading4"/>
      </w:pPr>
      <w:bookmarkStart w:id="448" w:name="_Toc210042572"/>
      <w:bookmarkStart w:id="449" w:name="_Toc210049214"/>
      <w:bookmarkStart w:id="450" w:name="_Toc210051654"/>
      <w:bookmarkStart w:id="451" w:name="_Toc210051735"/>
      <w:r>
        <w:lastRenderedPageBreak/>
        <w:t>4</w:t>
      </w:r>
      <w:r w:rsidR="00D7348D">
        <w:t>.3.10</w:t>
      </w:r>
      <w:r w:rsidR="00D7348D">
        <w:tab/>
      </w:r>
      <w:r w:rsidR="000C2CE6" w:rsidRPr="00404724">
        <w:t>Government costs</w:t>
      </w:r>
      <w:bookmarkEnd w:id="448"/>
      <w:bookmarkEnd w:id="449"/>
      <w:bookmarkEnd w:id="450"/>
      <w:bookmarkEnd w:id="451"/>
    </w:p>
    <w:p w14:paraId="3D398BB7" w14:textId="66C2CEA4" w:rsidR="000C2CE6" w:rsidRPr="00404724" w:rsidRDefault="000C2CE6" w:rsidP="000C2CE6">
      <w:pPr>
        <w:pStyle w:val="BodyText"/>
      </w:pPr>
      <w:r w:rsidRPr="00404724">
        <w:t xml:space="preserve">Implementing speed limit reductions on </w:t>
      </w:r>
      <w:r w:rsidR="005E4B70" w:rsidRPr="00404724">
        <w:t xml:space="preserve">default </w:t>
      </w:r>
      <w:r w:rsidRPr="00404724">
        <w:t xml:space="preserve">roads primarily involves administrative costs rather than physical infrastructure expenses, given that existing signage will remain unchanged. The primary administrative activities include revising state and territory legislation to reflect the updated speed regulations. This legislative update involves costs associated with the drafting, reviewing, and approval processes within government agencies and parliamentary bodies. </w:t>
      </w:r>
    </w:p>
    <w:p w14:paraId="63B1BA4E" w14:textId="66515F52" w:rsidR="000C2CE6" w:rsidRPr="00404724" w:rsidRDefault="000C2CE6" w:rsidP="000C2CE6">
      <w:pPr>
        <w:pStyle w:val="BodyText"/>
      </w:pPr>
      <w:r w:rsidRPr="00404724">
        <w:t>Another significant financial consideration is the potential reduction in government revenue due to decreased fuel-excise receipts. As vehicles operate more efficiently at reduced speeds, fuel consumption will decrease, resulting in lower revenue from fuel taxes. This decline may have implications for road maintenance budgets and other transport-related public expenditures, necessitating adjustments to fiscal planning. These figures will be calculated using the fuel reductions calculations described above. Notably, these would be considered an economic transfer rather than a cost</w:t>
      </w:r>
      <w:r w:rsidR="00045455" w:rsidRPr="00404724">
        <w:t xml:space="preserve"> to Government</w:t>
      </w:r>
      <w:r w:rsidRPr="00404724">
        <w:t xml:space="preserve"> (but reflected in the distributional analysis).</w:t>
      </w:r>
    </w:p>
    <w:p w14:paraId="0612C46F" w14:textId="0AAD6F1B" w:rsidR="000A20DF" w:rsidRPr="00404724" w:rsidRDefault="000A20DF" w:rsidP="000C2CE6">
      <w:pPr>
        <w:pStyle w:val="BodyText"/>
      </w:pPr>
      <w:r w:rsidRPr="00404724">
        <w:t xml:space="preserve">In addition to the costs described above, </w:t>
      </w:r>
      <w:r w:rsidR="00045455" w:rsidRPr="00404724">
        <w:t xml:space="preserve">it is assumed </w:t>
      </w:r>
      <w:r w:rsidR="00C94374" w:rsidRPr="00404724">
        <w:t>that governments</w:t>
      </w:r>
      <w:r w:rsidRPr="00404724">
        <w:t xml:space="preserve"> will undertake media campaign</w:t>
      </w:r>
      <w:r w:rsidR="00045455" w:rsidRPr="00404724">
        <w:t>s</w:t>
      </w:r>
      <w:r w:rsidRPr="00404724">
        <w:t xml:space="preserve"> to inform drivers of the new limits. While jurisdictional stakeholders agreed that such a campaign would be necessary, a cost was not established. For the purposes of estimating a cost, </w:t>
      </w:r>
      <w:r w:rsidR="00AA7C94" w:rsidRPr="00404724">
        <w:t>it was</w:t>
      </w:r>
      <w:r w:rsidRPr="00404724">
        <w:t xml:space="preserve"> assumed that the national cost of any campaign would be equal to the </w:t>
      </w:r>
      <w:r w:rsidR="00045455" w:rsidRPr="00404724">
        <w:t xml:space="preserve">Australian Government’s </w:t>
      </w:r>
      <w:r w:rsidRPr="00404724">
        <w:t>2024-25 National Road</w:t>
      </w:r>
      <w:r w:rsidRPr="00404724">
        <w:rPr>
          <w:rFonts w:ascii="Cambria Math" w:hAnsi="Cambria Math" w:cs="Cambria Math"/>
        </w:rPr>
        <w:t>‑</w:t>
      </w:r>
      <w:r w:rsidRPr="00404724">
        <w:t xml:space="preserve">Safety Education and Awareness campaign, which cost $10.8 million. For the purpose of modelling, </w:t>
      </w:r>
      <w:r w:rsidR="00C84858" w:rsidRPr="00404724">
        <w:t xml:space="preserve">it is </w:t>
      </w:r>
      <w:r w:rsidRPr="00404724">
        <w:t>assumed that</w:t>
      </w:r>
      <w:r w:rsidR="00340F53" w:rsidRPr="00404724">
        <w:t>:</w:t>
      </w:r>
    </w:p>
    <w:p w14:paraId="3B2EE283" w14:textId="7B632FBA" w:rsidR="000A20DF" w:rsidRPr="00404724" w:rsidRDefault="000A20DF" w:rsidP="00485648">
      <w:pPr>
        <w:pStyle w:val="Listparagraphbullets"/>
      </w:pPr>
      <w:r w:rsidRPr="00404724">
        <w:t>these costs would be a one-off cost</w:t>
      </w:r>
    </w:p>
    <w:p w14:paraId="53C4F8E5" w14:textId="618AFFB9" w:rsidR="000A20DF" w:rsidRPr="00404724" w:rsidRDefault="000A20DF" w:rsidP="00485648">
      <w:pPr>
        <w:pStyle w:val="Listparagraphbullets"/>
      </w:pPr>
      <w:r w:rsidRPr="00404724">
        <w:t>these campaigns are necessary to get the level of compliance described above</w:t>
      </w:r>
    </w:p>
    <w:p w14:paraId="69766825" w14:textId="283C6489" w:rsidR="000A20DF" w:rsidRPr="00404724" w:rsidRDefault="000A20DF" w:rsidP="00485648">
      <w:pPr>
        <w:pStyle w:val="Listparagraphbullets"/>
      </w:pPr>
      <w:r w:rsidRPr="00404724">
        <w:t>there would be separate campaigns for sealed and unsealed road changes</w:t>
      </w:r>
      <w:r w:rsidR="00340F53" w:rsidRPr="00404724">
        <w:t>.</w:t>
      </w:r>
    </w:p>
    <w:p w14:paraId="5AD53654" w14:textId="327F5295" w:rsidR="000C2CE6" w:rsidRPr="00404724" w:rsidRDefault="00C4433C" w:rsidP="00D7348D">
      <w:pPr>
        <w:pStyle w:val="Heading4"/>
      </w:pPr>
      <w:bookmarkStart w:id="452" w:name="_Toc210042573"/>
      <w:bookmarkStart w:id="453" w:name="_Toc210049215"/>
      <w:bookmarkStart w:id="454" w:name="_Toc210051655"/>
      <w:bookmarkStart w:id="455" w:name="_Toc210051736"/>
      <w:r>
        <w:t>4</w:t>
      </w:r>
      <w:r w:rsidR="00D7348D">
        <w:t>.3.11</w:t>
      </w:r>
      <w:r w:rsidR="00D7348D">
        <w:tab/>
      </w:r>
      <w:r w:rsidR="000C2CE6" w:rsidRPr="00404724">
        <w:t xml:space="preserve">Other </w:t>
      </w:r>
      <w:r w:rsidR="006A772A" w:rsidRPr="00404724">
        <w:t xml:space="preserve">possible </w:t>
      </w:r>
      <w:r w:rsidR="000C2CE6" w:rsidRPr="00404724">
        <w:t>costs</w:t>
      </w:r>
      <w:bookmarkEnd w:id="452"/>
      <w:bookmarkEnd w:id="453"/>
      <w:bookmarkEnd w:id="454"/>
      <w:bookmarkEnd w:id="455"/>
    </w:p>
    <w:p w14:paraId="40921865" w14:textId="17700BCD" w:rsidR="000C2CE6" w:rsidRPr="00404724" w:rsidRDefault="000C2CE6" w:rsidP="000C2CE6">
      <w:pPr>
        <w:pStyle w:val="NormalWeb"/>
        <w:rPr>
          <w:rFonts w:ascii="Calibri" w:hAnsi="Calibri" w:cs="Calibri"/>
          <w:b/>
          <w:bCs/>
          <w:sz w:val="22"/>
          <w:szCs w:val="22"/>
        </w:rPr>
      </w:pPr>
      <w:r w:rsidRPr="00404724">
        <w:rPr>
          <w:rFonts w:ascii="Calibri" w:hAnsi="Calibri" w:cs="Calibri"/>
          <w:sz w:val="22"/>
          <w:szCs w:val="22"/>
        </w:rPr>
        <w:t xml:space="preserve">Implementing speed limit reductions also carries costs beyond administrative and economic considerations, particularly in terms of public perception and social acceptance. Public </w:t>
      </w:r>
      <w:r w:rsidR="00045455" w:rsidRPr="00404724">
        <w:rPr>
          <w:rFonts w:ascii="Calibri" w:hAnsi="Calibri" w:cs="Calibri"/>
          <w:sz w:val="22"/>
          <w:szCs w:val="22"/>
        </w:rPr>
        <w:t>opinion may influence speed limit reductions</w:t>
      </w:r>
      <w:r w:rsidRPr="00404724">
        <w:rPr>
          <w:rFonts w:ascii="Calibri" w:hAnsi="Calibri" w:cs="Calibri"/>
          <w:sz w:val="22"/>
          <w:szCs w:val="22"/>
        </w:rPr>
        <w:t>, as demonstrated in 2025 when the Adelaide City Council rejected a proposal to introduce a blanket 30</w:t>
      </w:r>
      <w:r w:rsidR="00C82E00" w:rsidRPr="00404724">
        <w:rPr>
          <w:rFonts w:ascii="Calibri" w:hAnsi="Calibri" w:cs="Calibri"/>
          <w:sz w:val="22"/>
          <w:szCs w:val="22"/>
        </w:rPr>
        <w:t xml:space="preserve"> km/h</w:t>
      </w:r>
      <w:r w:rsidRPr="00404724">
        <w:rPr>
          <w:rFonts w:ascii="Calibri" w:hAnsi="Calibri" w:cs="Calibri"/>
          <w:sz w:val="22"/>
          <w:szCs w:val="22"/>
        </w:rPr>
        <w:t xml:space="preserve"> speed limit across the city in response to strong community opposition.</w:t>
      </w:r>
      <w:r w:rsidRPr="00404724">
        <w:rPr>
          <w:rStyle w:val="FootnoteReference"/>
          <w:rFonts w:ascii="Calibri" w:hAnsi="Calibri" w:cs="Calibri"/>
          <w:sz w:val="22"/>
          <w:szCs w:val="22"/>
        </w:rPr>
        <w:footnoteReference w:id="126"/>
      </w:r>
      <w:r w:rsidRPr="00404724">
        <w:rPr>
          <w:rFonts w:ascii="Calibri" w:hAnsi="Calibri" w:cs="Calibri"/>
          <w:sz w:val="22"/>
          <w:szCs w:val="22"/>
        </w:rPr>
        <w:t xml:space="preserve"> Similar resistance has been seen internationally, such as the 470,000-signature petition against Wales’s implementation of a 20</w:t>
      </w:r>
      <w:r w:rsidR="00D47A15" w:rsidRPr="00404724">
        <w:rPr>
          <w:rFonts w:ascii="Calibri" w:hAnsi="Calibri" w:cs="Calibri"/>
          <w:sz w:val="22"/>
          <w:szCs w:val="22"/>
        </w:rPr>
        <w:t> </w:t>
      </w:r>
      <w:r w:rsidRPr="00404724">
        <w:rPr>
          <w:rFonts w:ascii="Calibri" w:hAnsi="Calibri" w:cs="Calibri"/>
          <w:sz w:val="22"/>
          <w:szCs w:val="22"/>
        </w:rPr>
        <w:t xml:space="preserve">miles per hour speed limit. </w:t>
      </w:r>
      <w:r w:rsidRPr="00404724">
        <w:rPr>
          <w:rStyle w:val="FootnoteReference"/>
          <w:rFonts w:ascii="Calibri" w:hAnsi="Calibri" w:cs="Calibri"/>
          <w:sz w:val="22"/>
          <w:szCs w:val="22"/>
        </w:rPr>
        <w:footnoteReference w:id="127"/>
      </w:r>
      <w:r w:rsidRPr="00404724">
        <w:rPr>
          <w:rFonts w:ascii="Calibri" w:hAnsi="Calibri" w:cs="Calibri"/>
          <w:sz w:val="22"/>
          <w:szCs w:val="22"/>
        </w:rPr>
        <w:t xml:space="preserve"> </w:t>
      </w:r>
    </w:p>
    <w:p w14:paraId="3AFAB6B2" w14:textId="61787B9D" w:rsidR="00537732" w:rsidRPr="00404724" w:rsidRDefault="00C4433C" w:rsidP="00D7348D">
      <w:pPr>
        <w:pStyle w:val="Heading3"/>
      </w:pPr>
      <w:bookmarkStart w:id="456" w:name="_Toc210040322"/>
      <w:bookmarkStart w:id="457" w:name="_Toc210042574"/>
      <w:bookmarkStart w:id="458" w:name="_Toc210049216"/>
      <w:bookmarkStart w:id="459" w:name="_Toc210051656"/>
      <w:bookmarkStart w:id="460" w:name="_Toc210051737"/>
      <w:r>
        <w:t>4</w:t>
      </w:r>
      <w:r w:rsidR="00D7348D">
        <w:t>.4</w:t>
      </w:r>
      <w:r w:rsidR="00D7348D">
        <w:tab/>
      </w:r>
      <w:r w:rsidR="00537732" w:rsidRPr="00404724">
        <w:t>Questions for stakeholders</w:t>
      </w:r>
      <w:bookmarkEnd w:id="456"/>
      <w:bookmarkEnd w:id="457"/>
      <w:bookmarkEnd w:id="458"/>
      <w:bookmarkEnd w:id="459"/>
      <w:bookmarkEnd w:id="460"/>
    </w:p>
    <w:p w14:paraId="6A66CE3D" w14:textId="7165D43A" w:rsidR="00537732" w:rsidRPr="00D7348D" w:rsidRDefault="00537732" w:rsidP="00832A33">
      <w:pPr>
        <w:pStyle w:val="Listparagraphbullets"/>
      </w:pPr>
      <w:r w:rsidRPr="00D7348D">
        <w:t>Are the lists of costs and benefits considered in this methodology sufficient to capture the costs and benefits of the proposed change?</w:t>
      </w:r>
    </w:p>
    <w:p w14:paraId="4A7D8307" w14:textId="1390FED0" w:rsidR="00537732" w:rsidRPr="00D7348D" w:rsidRDefault="00537732" w:rsidP="00832A33">
      <w:pPr>
        <w:pStyle w:val="Listparagraphbullets"/>
      </w:pPr>
      <w:r w:rsidRPr="00D7348D">
        <w:t>Do the scenarios considered capture the full range of uncertainty about the costs and benefits of the policy?</w:t>
      </w:r>
    </w:p>
    <w:p w14:paraId="7DA9C8A8" w14:textId="390BCE04" w:rsidR="00537732" w:rsidRPr="00D7348D" w:rsidRDefault="00537732" w:rsidP="00832A33">
      <w:pPr>
        <w:pStyle w:val="Listparagraphbullets"/>
      </w:pPr>
      <w:r w:rsidRPr="00D7348D">
        <w:t>Are there any additional data that ought to have been considered when constructing the baseline FSI, VKT, efficiency and fuel costs?</w:t>
      </w:r>
    </w:p>
    <w:p w14:paraId="7993E1B8" w14:textId="2EC4D25B" w:rsidR="00537732" w:rsidRPr="00404724" w:rsidRDefault="00537732" w:rsidP="00832A33">
      <w:pPr>
        <w:pStyle w:val="Listparagraphbullets"/>
      </w:pPr>
      <w:r w:rsidRPr="00D7348D">
        <w:t>I</w:t>
      </w:r>
      <w:r w:rsidRPr="00404724">
        <w:t xml:space="preserve">s the approach to measuring the impact of policy change appropriate? Where assumptions have been made, do you have any specific alternative assumptions that ought to have been considered? </w:t>
      </w:r>
    </w:p>
    <w:p w14:paraId="4F1E6FC4" w14:textId="1DAEE4E2" w:rsidR="00426C98" w:rsidRPr="00404724" w:rsidRDefault="00446051" w:rsidP="000C1C23">
      <w:r w:rsidRPr="00404724">
        <w:br w:type="page"/>
      </w:r>
    </w:p>
    <w:p w14:paraId="6B127176" w14:textId="3B55487D" w:rsidR="00C426BA" w:rsidRPr="00404724" w:rsidRDefault="00C4433C" w:rsidP="00D7348D">
      <w:pPr>
        <w:pStyle w:val="Heading2"/>
      </w:pPr>
      <w:bookmarkStart w:id="461" w:name="_Toc210040323"/>
      <w:bookmarkStart w:id="462" w:name="_Toc210042575"/>
      <w:bookmarkStart w:id="463" w:name="_Toc210049217"/>
      <w:bookmarkStart w:id="464" w:name="_Toc210051657"/>
      <w:bookmarkStart w:id="465" w:name="_Toc210051738"/>
      <w:r>
        <w:lastRenderedPageBreak/>
        <w:t>5</w:t>
      </w:r>
      <w:r w:rsidR="00D7348D">
        <w:t>.</w:t>
      </w:r>
      <w:r w:rsidR="00D7348D">
        <w:tab/>
      </w:r>
      <w:bookmarkStart w:id="466" w:name="_Ref208494915"/>
      <w:r w:rsidR="00C0090B" w:rsidRPr="00404724">
        <w:t>Net impacts on the economy</w:t>
      </w:r>
      <w:bookmarkEnd w:id="466"/>
      <w:bookmarkEnd w:id="461"/>
      <w:bookmarkEnd w:id="462"/>
      <w:bookmarkEnd w:id="463"/>
      <w:bookmarkEnd w:id="464"/>
      <w:bookmarkEnd w:id="465"/>
    </w:p>
    <w:p w14:paraId="3EDD3BD7" w14:textId="1240EA57" w:rsidR="00C426BA" w:rsidRPr="00404724" w:rsidRDefault="00C4433C" w:rsidP="00D7348D">
      <w:pPr>
        <w:pStyle w:val="Heading3"/>
        <w:spacing w:before="120"/>
      </w:pPr>
      <w:bookmarkStart w:id="467" w:name="_Ref209705647"/>
      <w:bookmarkStart w:id="468" w:name="_Toc210040324"/>
      <w:bookmarkStart w:id="469" w:name="_Toc210042576"/>
      <w:bookmarkStart w:id="470" w:name="_Toc210049218"/>
      <w:bookmarkStart w:id="471" w:name="_Toc210051658"/>
      <w:bookmarkStart w:id="472" w:name="_Toc210051739"/>
      <w:r>
        <w:t>5</w:t>
      </w:r>
      <w:r w:rsidR="00D7348D">
        <w:t>.1</w:t>
      </w:r>
      <w:r w:rsidR="00D7348D">
        <w:tab/>
      </w:r>
      <w:r w:rsidR="00C426BA" w:rsidRPr="00404724">
        <w:t>Sealed roads</w:t>
      </w:r>
      <w:bookmarkEnd w:id="467"/>
      <w:bookmarkEnd w:id="468"/>
      <w:bookmarkEnd w:id="469"/>
      <w:bookmarkEnd w:id="470"/>
      <w:bookmarkEnd w:id="471"/>
      <w:bookmarkEnd w:id="472"/>
    </w:p>
    <w:p w14:paraId="484D7122" w14:textId="74E3DD0E" w:rsidR="00C426BA" w:rsidRPr="00404724" w:rsidRDefault="00C4433C" w:rsidP="00D7348D">
      <w:pPr>
        <w:pStyle w:val="Heading4"/>
      </w:pPr>
      <w:bookmarkStart w:id="473" w:name="_Toc210042577"/>
      <w:bookmarkStart w:id="474" w:name="_Toc210049219"/>
      <w:bookmarkStart w:id="475" w:name="_Toc210051659"/>
      <w:bookmarkStart w:id="476" w:name="_Toc210051740"/>
      <w:r>
        <w:t>5</w:t>
      </w:r>
      <w:r w:rsidR="00D7348D">
        <w:t>.1.1</w:t>
      </w:r>
      <w:r w:rsidR="00D7348D">
        <w:tab/>
      </w:r>
      <w:r w:rsidR="00C426BA" w:rsidRPr="00404724">
        <w:t>Reduction in fatalities and serious injuries</w:t>
      </w:r>
      <w:bookmarkEnd w:id="473"/>
      <w:bookmarkEnd w:id="474"/>
      <w:bookmarkEnd w:id="475"/>
      <w:bookmarkEnd w:id="476"/>
    </w:p>
    <w:p w14:paraId="5DFA10DF" w14:textId="59C224CE" w:rsidR="00C426BA" w:rsidRPr="00404724" w:rsidRDefault="009F6CA8" w:rsidP="00C426BA">
      <w:pPr>
        <w:rPr>
          <w:rFonts w:ascii="Calibri" w:hAnsi="Calibri" w:cs="Calibri"/>
        </w:rPr>
      </w:pPr>
      <w:r w:rsidRPr="009F6CA8">
        <w:rPr>
          <w:rFonts w:ascii="Calibri" w:hAnsi="Calibri" w:cs="Calibri"/>
        </w:rPr>
        <w:t xml:space="preserve">As noted in </w:t>
      </w:r>
      <w:r w:rsidR="00681B56">
        <w:rPr>
          <w:rFonts w:ascii="Calibri" w:hAnsi="Calibri" w:cs="Calibri"/>
        </w:rPr>
        <w:t xml:space="preserve">Chapter </w:t>
      </w:r>
      <w:r w:rsidR="00681B56">
        <w:rPr>
          <w:rFonts w:ascii="Calibri" w:hAnsi="Calibri" w:cs="Calibri"/>
        </w:rPr>
        <w:fldChar w:fldCharType="begin"/>
      </w:r>
      <w:r w:rsidR="00681B56">
        <w:rPr>
          <w:rFonts w:ascii="Calibri" w:hAnsi="Calibri" w:cs="Calibri"/>
        </w:rPr>
        <w:instrText xml:space="preserve"> REF _Ref209776755 \n \h </w:instrText>
      </w:r>
      <w:r w:rsidR="00681B56">
        <w:rPr>
          <w:rFonts w:ascii="Calibri" w:hAnsi="Calibri" w:cs="Calibri"/>
        </w:rPr>
      </w:r>
      <w:r w:rsidR="00681B56">
        <w:rPr>
          <w:rFonts w:ascii="Calibri" w:hAnsi="Calibri" w:cs="Calibri"/>
        </w:rPr>
        <w:fldChar w:fldCharType="separate"/>
      </w:r>
      <w:r w:rsidR="00BF489D">
        <w:rPr>
          <w:rFonts w:ascii="Calibri" w:hAnsi="Calibri" w:cs="Calibri"/>
        </w:rPr>
        <w:t>4</w:t>
      </w:r>
      <w:r w:rsidR="00681B56">
        <w:rPr>
          <w:rFonts w:ascii="Calibri" w:hAnsi="Calibri" w:cs="Calibri"/>
        </w:rPr>
        <w:fldChar w:fldCharType="end"/>
      </w:r>
      <w:r w:rsidRPr="009F6CA8">
        <w:rPr>
          <w:rFonts w:ascii="Calibri" w:hAnsi="Calibri" w:cs="Calibri"/>
        </w:rPr>
        <w:t xml:space="preserve">, available data do not specify the exact share of FSI on sealed default speed-limited roads outside built-up areas. </w:t>
      </w:r>
      <w:r w:rsidR="00681B56">
        <w:rPr>
          <w:rFonts w:ascii="Calibri" w:hAnsi="Calibri" w:cs="Calibri"/>
        </w:rPr>
        <w:fldChar w:fldCharType="begin"/>
      </w:r>
      <w:r w:rsidR="00681B56">
        <w:rPr>
          <w:rFonts w:ascii="Calibri" w:hAnsi="Calibri" w:cs="Calibri"/>
        </w:rPr>
        <w:instrText xml:space="preserve"> REF _Ref209776773 \h </w:instrText>
      </w:r>
      <w:r w:rsidR="00681B56">
        <w:rPr>
          <w:rFonts w:ascii="Calibri" w:hAnsi="Calibri" w:cs="Calibri"/>
        </w:rPr>
      </w:r>
      <w:r w:rsidR="00681B56">
        <w:rPr>
          <w:rFonts w:ascii="Calibri" w:hAnsi="Calibri" w:cs="Calibri"/>
        </w:rPr>
        <w:fldChar w:fldCharType="separate"/>
      </w:r>
      <w:r w:rsidR="00BF489D" w:rsidRPr="00404724">
        <w:t xml:space="preserve">Table </w:t>
      </w:r>
      <w:r w:rsidR="00BF489D">
        <w:rPr>
          <w:noProof/>
        </w:rPr>
        <w:t>37</w:t>
      </w:r>
      <w:r w:rsidR="00681B56">
        <w:rPr>
          <w:rFonts w:ascii="Calibri" w:hAnsi="Calibri" w:cs="Calibri"/>
        </w:rPr>
        <w:fldChar w:fldCharType="end"/>
      </w:r>
      <w:r w:rsidR="00681B56">
        <w:rPr>
          <w:rFonts w:ascii="Calibri" w:hAnsi="Calibri" w:cs="Calibri"/>
        </w:rPr>
        <w:t xml:space="preserve"> </w:t>
      </w:r>
      <w:r w:rsidRPr="009F6CA8">
        <w:rPr>
          <w:rFonts w:ascii="Calibri" w:hAnsi="Calibri" w:cs="Calibri"/>
        </w:rPr>
        <w:t>shows the projected reduction in fatalities in Australia (2026–2036) by speed reduction scenario, with sensitivity testing on the percentage of FSI in these areas</w:t>
      </w:r>
      <w:r w:rsidR="00C426BA" w:rsidRPr="00404724">
        <w:rPr>
          <w:rFonts w:ascii="Calibri" w:hAnsi="Calibri" w:cs="Calibri"/>
        </w:rPr>
        <w:t>.</w:t>
      </w:r>
      <w:r w:rsidR="00FB1958" w:rsidRPr="00404724">
        <w:rPr>
          <w:rFonts w:ascii="Calibri" w:hAnsi="Calibri" w:cs="Calibri"/>
        </w:rPr>
        <w:t xml:space="preserve"> </w:t>
      </w:r>
    </w:p>
    <w:p w14:paraId="2DDB6ED0" w14:textId="30A46F85" w:rsidR="00DB7FA3" w:rsidRPr="00404724" w:rsidRDefault="00DB7FA3" w:rsidP="003979C3">
      <w:pPr>
        <w:pStyle w:val="Tablefigureheading"/>
        <w:rPr>
          <w:rFonts w:cs="Calibri"/>
        </w:rPr>
      </w:pPr>
      <w:bookmarkStart w:id="477" w:name="_Ref209776773"/>
      <w:bookmarkStart w:id="478" w:name="_Toc210040385"/>
      <w:bookmarkStart w:id="479" w:name="_Toc210051921"/>
      <w:r w:rsidRPr="00404724">
        <w:t xml:space="preserve">Table </w:t>
      </w:r>
      <w:r w:rsidR="00EC39D5">
        <w:fldChar w:fldCharType="begin"/>
      </w:r>
      <w:r w:rsidR="00EC39D5">
        <w:instrText xml:space="preserve"> SEQ Table \* ARABIC </w:instrText>
      </w:r>
      <w:r w:rsidR="00EC39D5">
        <w:fldChar w:fldCharType="separate"/>
      </w:r>
      <w:r w:rsidR="00BF489D">
        <w:rPr>
          <w:noProof/>
        </w:rPr>
        <w:t>37</w:t>
      </w:r>
      <w:r w:rsidR="00EC39D5">
        <w:rPr>
          <w:noProof/>
        </w:rPr>
        <w:fldChar w:fldCharType="end"/>
      </w:r>
      <w:bookmarkEnd w:id="477"/>
      <w:r w:rsidRPr="00404724">
        <w:tab/>
      </w:r>
      <w:r w:rsidR="00405420" w:rsidRPr="00404724">
        <w:t>Annual a</w:t>
      </w:r>
      <w:r w:rsidRPr="00404724">
        <w:t>voided FSI by option by scenario</w:t>
      </w:r>
      <w:bookmarkEnd w:id="478"/>
      <w:bookmarkEnd w:id="479"/>
    </w:p>
    <w:tbl>
      <w:tblPr>
        <w:tblStyle w:val="TableGrid"/>
        <w:tblW w:w="9918" w:type="dxa"/>
        <w:tblLook w:val="04A0" w:firstRow="1" w:lastRow="0" w:firstColumn="1" w:lastColumn="0" w:noHBand="0" w:noVBand="1"/>
        <w:tblCaption w:val="Table 37 Annual avoided FSI by option by scenario"/>
        <w:tblDescription w:val="Table 37 Annual avoided FSI by option by scenario"/>
      </w:tblPr>
      <w:tblGrid>
        <w:gridCol w:w="3256"/>
        <w:gridCol w:w="2220"/>
        <w:gridCol w:w="2221"/>
        <w:gridCol w:w="2221"/>
      </w:tblGrid>
      <w:tr w:rsidR="00C426BA" w:rsidRPr="00404724" w14:paraId="272A6F69" w14:textId="77777777" w:rsidTr="00D7348D">
        <w:trPr>
          <w:cantSplit/>
          <w:tblHeader/>
        </w:trPr>
        <w:tc>
          <w:tcPr>
            <w:tcW w:w="3256" w:type="dxa"/>
            <w:vMerge w:val="restart"/>
            <w:shd w:val="clear" w:color="auto" w:fill="081E3E" w:themeFill="text2"/>
          </w:tcPr>
          <w:p w14:paraId="5D662DF3" w14:textId="77777777" w:rsidR="00C426BA" w:rsidRPr="00404724" w:rsidRDefault="00C426BA" w:rsidP="00BB5FCD">
            <w:pPr>
              <w:rPr>
                <w:rFonts w:ascii="Calibri" w:eastAsia="Times New Roman" w:hAnsi="Calibri" w:cs="Calibri"/>
                <w:b/>
                <w:bCs/>
                <w:color w:val="FFFFFF" w:themeColor="background1"/>
                <w:lang w:eastAsia="en-AU"/>
              </w:rPr>
            </w:pPr>
            <w:r w:rsidRPr="00404724">
              <w:rPr>
                <w:rFonts w:ascii="Calibri" w:eastAsia="Times New Roman" w:hAnsi="Calibri" w:cs="Calibri"/>
                <w:b/>
                <w:bCs/>
                <w:color w:val="FFFFFF" w:themeColor="background1"/>
                <w:lang w:eastAsia="en-AU"/>
              </w:rPr>
              <w:t>Speed reduction scenario</w:t>
            </w:r>
          </w:p>
        </w:tc>
        <w:tc>
          <w:tcPr>
            <w:tcW w:w="6662" w:type="dxa"/>
            <w:gridSpan w:val="3"/>
            <w:shd w:val="clear" w:color="auto" w:fill="081E3E" w:themeFill="text2"/>
          </w:tcPr>
          <w:p w14:paraId="33FDB58B" w14:textId="76814C55" w:rsidR="00C426BA" w:rsidRPr="00404724" w:rsidRDefault="00C426BA" w:rsidP="00BB5FCD">
            <w:pPr>
              <w:rPr>
                <w:rFonts w:ascii="Calibri" w:eastAsia="Times New Roman" w:hAnsi="Calibri" w:cs="Calibri"/>
                <w:b/>
                <w:bCs/>
                <w:color w:val="FFFFFF" w:themeColor="background1"/>
                <w:lang w:eastAsia="en-AU"/>
              </w:rPr>
            </w:pPr>
            <w:r w:rsidRPr="00404724">
              <w:rPr>
                <w:rFonts w:ascii="Calibri" w:eastAsia="Times New Roman" w:hAnsi="Calibri" w:cs="Calibri"/>
                <w:b/>
                <w:bCs/>
                <w:color w:val="FFFFFF" w:themeColor="background1"/>
                <w:lang w:eastAsia="en-AU"/>
              </w:rPr>
              <w:t>% of FSI on default</w:t>
            </w:r>
            <w:r w:rsidR="00045455" w:rsidRPr="00404724">
              <w:rPr>
                <w:rFonts w:ascii="Calibri" w:eastAsia="Times New Roman" w:hAnsi="Calibri" w:cs="Calibri"/>
                <w:b/>
                <w:bCs/>
                <w:color w:val="FFFFFF" w:themeColor="background1"/>
                <w:lang w:eastAsia="en-AU"/>
              </w:rPr>
              <w:t>-speed limited roads</w:t>
            </w:r>
            <w:r w:rsidRPr="00404724">
              <w:rPr>
                <w:rFonts w:ascii="Calibri" w:eastAsia="Times New Roman" w:hAnsi="Calibri" w:cs="Calibri"/>
                <w:b/>
                <w:bCs/>
                <w:color w:val="FFFFFF" w:themeColor="background1"/>
                <w:lang w:eastAsia="en-AU"/>
              </w:rPr>
              <w:t xml:space="preserve"> sealed roads</w:t>
            </w:r>
            <w:r w:rsidR="00045455" w:rsidRPr="00404724">
              <w:rPr>
                <w:rFonts w:ascii="Calibri" w:eastAsia="Times New Roman" w:hAnsi="Calibri" w:cs="Calibri"/>
                <w:b/>
                <w:bCs/>
                <w:color w:val="FFFFFF" w:themeColor="background1"/>
                <w:lang w:eastAsia="en-AU"/>
              </w:rPr>
              <w:t xml:space="preserve"> outside of built-up areas</w:t>
            </w:r>
          </w:p>
        </w:tc>
      </w:tr>
      <w:tr w:rsidR="00C426BA" w:rsidRPr="00404724" w14:paraId="14427288" w14:textId="77777777" w:rsidTr="00D7348D">
        <w:trPr>
          <w:cantSplit/>
          <w:tblHeader/>
        </w:trPr>
        <w:tc>
          <w:tcPr>
            <w:tcW w:w="3256" w:type="dxa"/>
            <w:vMerge/>
            <w:shd w:val="clear" w:color="auto" w:fill="081E3E" w:themeFill="text2"/>
          </w:tcPr>
          <w:p w14:paraId="2200E7C9" w14:textId="77777777" w:rsidR="00C426BA" w:rsidRPr="00404724" w:rsidRDefault="00C426BA" w:rsidP="00BB5FCD">
            <w:pPr>
              <w:rPr>
                <w:rFonts w:ascii="Calibri" w:eastAsia="Times New Roman" w:hAnsi="Calibri" w:cs="Calibri"/>
                <w:b/>
                <w:bCs/>
                <w:color w:val="FFFFFF" w:themeColor="background1"/>
                <w:lang w:eastAsia="en-AU"/>
              </w:rPr>
            </w:pPr>
          </w:p>
        </w:tc>
        <w:tc>
          <w:tcPr>
            <w:tcW w:w="2220" w:type="dxa"/>
            <w:shd w:val="clear" w:color="auto" w:fill="081E3E" w:themeFill="text2"/>
          </w:tcPr>
          <w:p w14:paraId="17C8DF4A" w14:textId="77777777" w:rsidR="00C426BA" w:rsidRPr="00404724" w:rsidRDefault="00C426BA" w:rsidP="000A13C5">
            <w:pPr>
              <w:jc w:val="right"/>
              <w:rPr>
                <w:rFonts w:ascii="Calibri" w:eastAsia="Times New Roman" w:hAnsi="Calibri" w:cs="Calibri"/>
                <w:b/>
                <w:bCs/>
                <w:color w:val="FFFFFF" w:themeColor="background1"/>
                <w:lang w:eastAsia="en-AU"/>
              </w:rPr>
            </w:pPr>
            <w:r w:rsidRPr="00404724">
              <w:rPr>
                <w:rFonts w:ascii="Calibri" w:eastAsia="Times New Roman" w:hAnsi="Calibri" w:cs="Calibri"/>
                <w:b/>
                <w:bCs/>
                <w:color w:val="FFFFFF" w:themeColor="background1"/>
                <w:lang w:eastAsia="en-AU"/>
              </w:rPr>
              <w:t>10%</w:t>
            </w:r>
          </w:p>
        </w:tc>
        <w:tc>
          <w:tcPr>
            <w:tcW w:w="2221" w:type="dxa"/>
            <w:shd w:val="clear" w:color="auto" w:fill="081E3E" w:themeFill="text2"/>
          </w:tcPr>
          <w:p w14:paraId="102AE87C" w14:textId="77777777" w:rsidR="00C426BA" w:rsidRPr="00404724" w:rsidRDefault="00C426BA" w:rsidP="000A13C5">
            <w:pPr>
              <w:jc w:val="right"/>
              <w:rPr>
                <w:rFonts w:ascii="Calibri" w:eastAsia="Times New Roman" w:hAnsi="Calibri" w:cs="Calibri"/>
                <w:b/>
                <w:bCs/>
                <w:color w:val="FFFFFF" w:themeColor="background1"/>
                <w:lang w:eastAsia="en-AU"/>
              </w:rPr>
            </w:pPr>
            <w:r w:rsidRPr="00404724">
              <w:rPr>
                <w:rFonts w:ascii="Calibri" w:eastAsia="Times New Roman" w:hAnsi="Calibri" w:cs="Calibri"/>
                <w:b/>
                <w:bCs/>
                <w:color w:val="FFFFFF" w:themeColor="background1"/>
                <w:lang w:eastAsia="en-AU"/>
              </w:rPr>
              <w:t>20%</w:t>
            </w:r>
          </w:p>
        </w:tc>
        <w:tc>
          <w:tcPr>
            <w:tcW w:w="2221" w:type="dxa"/>
            <w:shd w:val="clear" w:color="auto" w:fill="081E3E" w:themeFill="text2"/>
          </w:tcPr>
          <w:p w14:paraId="5925A547" w14:textId="77777777" w:rsidR="00C426BA" w:rsidRPr="00404724" w:rsidRDefault="00C426BA" w:rsidP="000A13C5">
            <w:pPr>
              <w:jc w:val="right"/>
              <w:rPr>
                <w:rFonts w:ascii="Calibri" w:eastAsia="Times New Roman" w:hAnsi="Calibri" w:cs="Calibri"/>
                <w:b/>
                <w:bCs/>
                <w:color w:val="FFFFFF" w:themeColor="background1"/>
                <w:lang w:eastAsia="en-AU"/>
              </w:rPr>
            </w:pPr>
            <w:r w:rsidRPr="00404724">
              <w:rPr>
                <w:rFonts w:ascii="Calibri" w:eastAsia="Times New Roman" w:hAnsi="Calibri" w:cs="Calibri"/>
                <w:b/>
                <w:bCs/>
                <w:color w:val="FFFFFF" w:themeColor="background1"/>
                <w:lang w:eastAsia="en-AU"/>
              </w:rPr>
              <w:t>38%</w:t>
            </w:r>
          </w:p>
        </w:tc>
      </w:tr>
      <w:tr w:rsidR="00C426BA" w:rsidRPr="00404724" w14:paraId="70FCF01D" w14:textId="77777777" w:rsidTr="00D7348D">
        <w:trPr>
          <w:cantSplit/>
        </w:trPr>
        <w:tc>
          <w:tcPr>
            <w:tcW w:w="3256" w:type="dxa"/>
            <w:shd w:val="clear" w:color="auto" w:fill="EAECEF" w:themeFill="accent4" w:themeFillTint="33"/>
          </w:tcPr>
          <w:p w14:paraId="543087CC" w14:textId="52D88FD4" w:rsidR="00C426BA" w:rsidRPr="00404724" w:rsidRDefault="00C426BA" w:rsidP="00BB5FCD">
            <w:pPr>
              <w:rPr>
                <w:rFonts w:ascii="Calibri" w:eastAsia="Times New Roman" w:hAnsi="Calibri" w:cs="Calibri"/>
                <w:color w:val="313131"/>
                <w:lang w:eastAsia="en-AU"/>
              </w:rPr>
            </w:pPr>
            <w:r w:rsidRPr="00404724">
              <w:rPr>
                <w:rFonts w:ascii="Calibri" w:eastAsia="Times New Roman" w:hAnsi="Calibri" w:cs="Calibri"/>
                <w:color w:val="313131"/>
                <w:lang w:eastAsia="en-AU"/>
              </w:rPr>
              <w:t>Fatalities</w:t>
            </w:r>
            <w:r w:rsidR="00045455" w:rsidRPr="00404724">
              <w:rPr>
                <w:rFonts w:ascii="Calibri" w:eastAsia="Times New Roman" w:hAnsi="Calibri" w:cs="Calibri"/>
                <w:color w:val="313131"/>
                <w:lang w:eastAsia="en-AU"/>
              </w:rPr>
              <w:t xml:space="preserve"> avoided</w:t>
            </w:r>
          </w:p>
        </w:tc>
        <w:tc>
          <w:tcPr>
            <w:tcW w:w="2220" w:type="dxa"/>
            <w:shd w:val="clear" w:color="auto" w:fill="EAECEF" w:themeFill="accent4" w:themeFillTint="33"/>
          </w:tcPr>
          <w:p w14:paraId="64D68662" w14:textId="77777777" w:rsidR="00C426BA" w:rsidRPr="00404724" w:rsidRDefault="00C426BA" w:rsidP="000A13C5">
            <w:pPr>
              <w:jc w:val="right"/>
              <w:rPr>
                <w:rFonts w:ascii="Calibri" w:eastAsia="Times New Roman" w:hAnsi="Calibri" w:cs="Calibri"/>
                <w:color w:val="313131"/>
                <w:lang w:eastAsia="en-AU"/>
              </w:rPr>
            </w:pPr>
          </w:p>
        </w:tc>
        <w:tc>
          <w:tcPr>
            <w:tcW w:w="2221" w:type="dxa"/>
            <w:shd w:val="clear" w:color="auto" w:fill="EAECEF" w:themeFill="accent4" w:themeFillTint="33"/>
          </w:tcPr>
          <w:p w14:paraId="14EE3F50" w14:textId="77777777" w:rsidR="00C426BA" w:rsidRPr="00404724" w:rsidRDefault="00C426BA" w:rsidP="000A13C5">
            <w:pPr>
              <w:jc w:val="right"/>
              <w:rPr>
                <w:rFonts w:ascii="Calibri" w:eastAsia="Times New Roman" w:hAnsi="Calibri" w:cs="Calibri"/>
                <w:color w:val="313131"/>
                <w:lang w:eastAsia="en-AU"/>
              </w:rPr>
            </w:pPr>
          </w:p>
        </w:tc>
        <w:tc>
          <w:tcPr>
            <w:tcW w:w="2221" w:type="dxa"/>
            <w:shd w:val="clear" w:color="auto" w:fill="EAECEF" w:themeFill="accent4" w:themeFillTint="33"/>
          </w:tcPr>
          <w:p w14:paraId="12FF8E25" w14:textId="77777777" w:rsidR="00C426BA" w:rsidRPr="00404724" w:rsidRDefault="00C426BA" w:rsidP="000A13C5">
            <w:pPr>
              <w:jc w:val="right"/>
              <w:rPr>
                <w:rFonts w:ascii="Calibri" w:eastAsia="Times New Roman" w:hAnsi="Calibri" w:cs="Calibri"/>
                <w:color w:val="313131"/>
                <w:lang w:eastAsia="en-AU"/>
              </w:rPr>
            </w:pPr>
          </w:p>
        </w:tc>
      </w:tr>
      <w:tr w:rsidR="00C426BA" w:rsidRPr="00404724" w14:paraId="32D0D5CE" w14:textId="77777777" w:rsidTr="00D7348D">
        <w:trPr>
          <w:cantSplit/>
        </w:trPr>
        <w:tc>
          <w:tcPr>
            <w:tcW w:w="3256" w:type="dxa"/>
          </w:tcPr>
          <w:p w14:paraId="32947E19" w14:textId="637A9ABF" w:rsidR="00C426BA" w:rsidRPr="00404724" w:rsidRDefault="00C426BA" w:rsidP="00BB5FCD">
            <w:pPr>
              <w:rPr>
                <w:rFonts w:ascii="Calibri" w:eastAsia="Times New Roman" w:hAnsi="Calibri" w:cs="Calibri"/>
                <w:color w:val="313131"/>
                <w:lang w:eastAsia="en-AU"/>
              </w:rPr>
            </w:pPr>
            <w:r w:rsidRPr="00404724">
              <w:rPr>
                <w:rFonts w:ascii="Calibri" w:eastAsia="Times New Roman" w:hAnsi="Calibri" w:cs="Calibri"/>
                <w:color w:val="313131"/>
                <w:lang w:eastAsia="en-AU"/>
              </w:rPr>
              <w:t>Low (100</w:t>
            </w:r>
            <w:r w:rsidR="00C82E00" w:rsidRPr="00404724">
              <w:rPr>
                <w:rFonts w:ascii="Calibri" w:eastAsia="Times New Roman" w:hAnsi="Calibri" w:cs="Calibri"/>
                <w:color w:val="313131"/>
                <w:lang w:eastAsia="en-AU"/>
              </w:rPr>
              <w:t xml:space="preserve"> km/h</w:t>
            </w:r>
            <w:r w:rsidRPr="00404724">
              <w:rPr>
                <w:rFonts w:ascii="Calibri" w:eastAsia="Times New Roman" w:hAnsi="Calibri" w:cs="Calibri"/>
                <w:color w:val="313131"/>
                <w:lang w:eastAsia="en-AU"/>
              </w:rPr>
              <w:t xml:space="preserve"> to 90</w:t>
            </w:r>
            <w:r w:rsidR="00C82E00" w:rsidRPr="00404724">
              <w:rPr>
                <w:rFonts w:ascii="Calibri" w:eastAsia="Times New Roman" w:hAnsi="Calibri" w:cs="Calibri"/>
                <w:color w:val="313131"/>
                <w:lang w:eastAsia="en-AU"/>
              </w:rPr>
              <w:t xml:space="preserve"> km/h</w:t>
            </w:r>
            <w:r w:rsidRPr="00404724">
              <w:rPr>
                <w:rFonts w:ascii="Calibri" w:eastAsia="Times New Roman" w:hAnsi="Calibri" w:cs="Calibri"/>
                <w:color w:val="313131"/>
                <w:lang w:eastAsia="en-AU"/>
              </w:rPr>
              <w:t>)</w:t>
            </w:r>
          </w:p>
        </w:tc>
        <w:tc>
          <w:tcPr>
            <w:tcW w:w="2220" w:type="dxa"/>
          </w:tcPr>
          <w:p w14:paraId="05B65EC6" w14:textId="77777777" w:rsidR="00C426BA" w:rsidRPr="00404724" w:rsidRDefault="00C426BA" w:rsidP="000A13C5">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95</w:t>
            </w:r>
          </w:p>
        </w:tc>
        <w:tc>
          <w:tcPr>
            <w:tcW w:w="2221" w:type="dxa"/>
          </w:tcPr>
          <w:p w14:paraId="405E95AA" w14:textId="77777777" w:rsidR="00C426BA" w:rsidRPr="00404724" w:rsidRDefault="00C426BA" w:rsidP="000A13C5">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190</w:t>
            </w:r>
          </w:p>
        </w:tc>
        <w:tc>
          <w:tcPr>
            <w:tcW w:w="2221" w:type="dxa"/>
          </w:tcPr>
          <w:p w14:paraId="07A07C65" w14:textId="77777777" w:rsidR="00C426BA" w:rsidRPr="00404724" w:rsidRDefault="00C426BA" w:rsidP="000A13C5">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361</w:t>
            </w:r>
          </w:p>
        </w:tc>
      </w:tr>
      <w:tr w:rsidR="00C426BA" w:rsidRPr="00404724" w14:paraId="4928AB1F" w14:textId="77777777" w:rsidTr="00D7348D">
        <w:trPr>
          <w:cantSplit/>
        </w:trPr>
        <w:tc>
          <w:tcPr>
            <w:tcW w:w="3256" w:type="dxa"/>
          </w:tcPr>
          <w:p w14:paraId="10A712A3" w14:textId="0759FFA5" w:rsidR="00C426BA" w:rsidRPr="00404724" w:rsidRDefault="00C426BA" w:rsidP="00BB5FCD">
            <w:pPr>
              <w:rPr>
                <w:rFonts w:ascii="Calibri" w:eastAsia="Times New Roman" w:hAnsi="Calibri" w:cs="Calibri"/>
                <w:color w:val="313131"/>
                <w:lang w:eastAsia="en-AU"/>
              </w:rPr>
            </w:pPr>
            <w:r w:rsidRPr="00404724">
              <w:rPr>
                <w:rFonts w:ascii="Calibri" w:eastAsia="Times New Roman" w:hAnsi="Calibri" w:cs="Calibri"/>
                <w:color w:val="313131"/>
                <w:lang w:eastAsia="en-AU"/>
              </w:rPr>
              <w:t>Medium (100</w:t>
            </w:r>
            <w:r w:rsidR="00C82E00" w:rsidRPr="00404724">
              <w:rPr>
                <w:rFonts w:ascii="Calibri" w:eastAsia="Times New Roman" w:hAnsi="Calibri" w:cs="Calibri"/>
                <w:color w:val="313131"/>
                <w:lang w:eastAsia="en-AU"/>
              </w:rPr>
              <w:t xml:space="preserve"> km/h</w:t>
            </w:r>
            <w:r w:rsidRPr="00404724">
              <w:rPr>
                <w:rFonts w:ascii="Calibri" w:eastAsia="Times New Roman" w:hAnsi="Calibri" w:cs="Calibri"/>
                <w:color w:val="313131"/>
                <w:lang w:eastAsia="en-AU"/>
              </w:rPr>
              <w:t xml:space="preserve"> to 80</w:t>
            </w:r>
            <w:r w:rsidR="00C82E00" w:rsidRPr="00404724">
              <w:rPr>
                <w:rFonts w:ascii="Calibri" w:eastAsia="Times New Roman" w:hAnsi="Calibri" w:cs="Calibri"/>
                <w:color w:val="313131"/>
                <w:lang w:eastAsia="en-AU"/>
              </w:rPr>
              <w:t xml:space="preserve"> km/h</w:t>
            </w:r>
            <w:r w:rsidRPr="00404724">
              <w:rPr>
                <w:rFonts w:ascii="Calibri" w:eastAsia="Times New Roman" w:hAnsi="Calibri" w:cs="Calibri"/>
                <w:color w:val="313131"/>
                <w:lang w:eastAsia="en-AU"/>
              </w:rPr>
              <w:t>)</w:t>
            </w:r>
          </w:p>
        </w:tc>
        <w:tc>
          <w:tcPr>
            <w:tcW w:w="2220" w:type="dxa"/>
          </w:tcPr>
          <w:p w14:paraId="74829FAC" w14:textId="77777777" w:rsidR="00C426BA" w:rsidRPr="00404724" w:rsidRDefault="00C426BA" w:rsidP="000A13C5">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201</w:t>
            </w:r>
          </w:p>
        </w:tc>
        <w:tc>
          <w:tcPr>
            <w:tcW w:w="2221" w:type="dxa"/>
          </w:tcPr>
          <w:p w14:paraId="52348CFC" w14:textId="77777777" w:rsidR="00C426BA" w:rsidRPr="00404724" w:rsidRDefault="00C426BA" w:rsidP="000A13C5">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401</w:t>
            </w:r>
          </w:p>
        </w:tc>
        <w:tc>
          <w:tcPr>
            <w:tcW w:w="2221" w:type="dxa"/>
          </w:tcPr>
          <w:p w14:paraId="451170FE" w14:textId="77777777" w:rsidR="00C426BA" w:rsidRPr="00404724" w:rsidRDefault="00C426BA" w:rsidP="000A13C5">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763</w:t>
            </w:r>
          </w:p>
        </w:tc>
      </w:tr>
      <w:tr w:rsidR="00C426BA" w:rsidRPr="00404724" w14:paraId="3883419D" w14:textId="77777777" w:rsidTr="00D7348D">
        <w:trPr>
          <w:cantSplit/>
        </w:trPr>
        <w:tc>
          <w:tcPr>
            <w:tcW w:w="3256" w:type="dxa"/>
          </w:tcPr>
          <w:p w14:paraId="38399EDA" w14:textId="10277050" w:rsidR="00C426BA" w:rsidRPr="00404724" w:rsidRDefault="00C426BA" w:rsidP="00BB5FCD">
            <w:pPr>
              <w:rPr>
                <w:rFonts w:ascii="Calibri" w:eastAsia="Times New Roman" w:hAnsi="Calibri" w:cs="Calibri"/>
                <w:color w:val="313131"/>
                <w:lang w:eastAsia="en-AU"/>
              </w:rPr>
            </w:pPr>
            <w:r w:rsidRPr="00404724">
              <w:rPr>
                <w:rFonts w:ascii="Calibri" w:eastAsia="Times New Roman" w:hAnsi="Calibri" w:cs="Calibri"/>
                <w:color w:val="313131"/>
                <w:lang w:eastAsia="en-AU"/>
              </w:rPr>
              <w:t>High (100</w:t>
            </w:r>
            <w:r w:rsidR="00C82E00" w:rsidRPr="00404724">
              <w:rPr>
                <w:rFonts w:ascii="Calibri" w:eastAsia="Times New Roman" w:hAnsi="Calibri" w:cs="Calibri"/>
                <w:color w:val="313131"/>
                <w:lang w:eastAsia="en-AU"/>
              </w:rPr>
              <w:t xml:space="preserve"> km/h</w:t>
            </w:r>
            <w:r w:rsidRPr="00404724">
              <w:rPr>
                <w:rFonts w:ascii="Calibri" w:eastAsia="Times New Roman" w:hAnsi="Calibri" w:cs="Calibri"/>
                <w:color w:val="313131"/>
                <w:lang w:eastAsia="en-AU"/>
              </w:rPr>
              <w:t xml:space="preserve"> to 70</w:t>
            </w:r>
            <w:r w:rsidR="00C82E00" w:rsidRPr="00404724">
              <w:rPr>
                <w:rFonts w:ascii="Calibri" w:eastAsia="Times New Roman" w:hAnsi="Calibri" w:cs="Calibri"/>
                <w:color w:val="313131"/>
                <w:lang w:eastAsia="en-AU"/>
              </w:rPr>
              <w:t xml:space="preserve"> km/h</w:t>
            </w:r>
            <w:r w:rsidRPr="00404724">
              <w:rPr>
                <w:rFonts w:ascii="Calibri" w:eastAsia="Times New Roman" w:hAnsi="Calibri" w:cs="Calibri"/>
                <w:color w:val="313131"/>
                <w:lang w:eastAsia="en-AU"/>
              </w:rPr>
              <w:t>)</w:t>
            </w:r>
          </w:p>
        </w:tc>
        <w:tc>
          <w:tcPr>
            <w:tcW w:w="2220" w:type="dxa"/>
          </w:tcPr>
          <w:p w14:paraId="158FDBD4" w14:textId="77777777" w:rsidR="00C426BA" w:rsidRPr="00404724" w:rsidRDefault="00C426BA" w:rsidP="000A13C5">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286</w:t>
            </w:r>
          </w:p>
        </w:tc>
        <w:tc>
          <w:tcPr>
            <w:tcW w:w="2221" w:type="dxa"/>
          </w:tcPr>
          <w:p w14:paraId="4AF10432" w14:textId="77777777" w:rsidR="00C426BA" w:rsidRPr="00404724" w:rsidRDefault="00C426BA" w:rsidP="000A13C5">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572</w:t>
            </w:r>
          </w:p>
        </w:tc>
        <w:tc>
          <w:tcPr>
            <w:tcW w:w="2221" w:type="dxa"/>
          </w:tcPr>
          <w:p w14:paraId="1B3AC423" w14:textId="77777777" w:rsidR="00C426BA" w:rsidRPr="00404724" w:rsidRDefault="00C426BA" w:rsidP="000A13C5">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1,087</w:t>
            </w:r>
          </w:p>
        </w:tc>
      </w:tr>
      <w:tr w:rsidR="00C426BA" w:rsidRPr="00404724" w14:paraId="6753F420" w14:textId="77777777" w:rsidTr="00D7348D">
        <w:trPr>
          <w:cantSplit/>
        </w:trPr>
        <w:tc>
          <w:tcPr>
            <w:tcW w:w="3256" w:type="dxa"/>
            <w:shd w:val="clear" w:color="auto" w:fill="EAECEF" w:themeFill="accent4" w:themeFillTint="33"/>
          </w:tcPr>
          <w:p w14:paraId="1E790824" w14:textId="0B09963B" w:rsidR="00C426BA" w:rsidRPr="00404724" w:rsidRDefault="00C426BA" w:rsidP="00BB5FCD">
            <w:pPr>
              <w:rPr>
                <w:rFonts w:ascii="Calibri" w:eastAsia="Times New Roman" w:hAnsi="Calibri" w:cs="Calibri"/>
                <w:color w:val="313131"/>
                <w:lang w:eastAsia="en-AU"/>
              </w:rPr>
            </w:pPr>
            <w:r w:rsidRPr="00404724">
              <w:rPr>
                <w:rFonts w:ascii="Calibri" w:eastAsia="Times New Roman" w:hAnsi="Calibri" w:cs="Calibri"/>
                <w:color w:val="313131"/>
                <w:lang w:eastAsia="en-AU"/>
              </w:rPr>
              <w:t>Serious injuries</w:t>
            </w:r>
            <w:r w:rsidR="00045455" w:rsidRPr="00404724">
              <w:rPr>
                <w:rFonts w:ascii="Calibri" w:eastAsia="Times New Roman" w:hAnsi="Calibri" w:cs="Calibri"/>
                <w:color w:val="313131"/>
                <w:lang w:eastAsia="en-AU"/>
              </w:rPr>
              <w:t xml:space="preserve"> avoided</w:t>
            </w:r>
          </w:p>
        </w:tc>
        <w:tc>
          <w:tcPr>
            <w:tcW w:w="2220" w:type="dxa"/>
            <w:shd w:val="clear" w:color="auto" w:fill="EAECEF" w:themeFill="accent4" w:themeFillTint="33"/>
          </w:tcPr>
          <w:p w14:paraId="243A1A55" w14:textId="77777777" w:rsidR="00C426BA" w:rsidRPr="00404724" w:rsidRDefault="00C426BA" w:rsidP="000A13C5">
            <w:pPr>
              <w:jc w:val="right"/>
              <w:rPr>
                <w:rFonts w:ascii="Calibri" w:eastAsia="Times New Roman" w:hAnsi="Calibri" w:cs="Calibri"/>
                <w:color w:val="313131"/>
                <w:lang w:eastAsia="en-AU"/>
              </w:rPr>
            </w:pPr>
          </w:p>
        </w:tc>
        <w:tc>
          <w:tcPr>
            <w:tcW w:w="2221" w:type="dxa"/>
            <w:shd w:val="clear" w:color="auto" w:fill="EAECEF" w:themeFill="accent4" w:themeFillTint="33"/>
          </w:tcPr>
          <w:p w14:paraId="6410ECC5" w14:textId="77777777" w:rsidR="00C426BA" w:rsidRPr="00404724" w:rsidRDefault="00C426BA" w:rsidP="000A13C5">
            <w:pPr>
              <w:jc w:val="right"/>
              <w:rPr>
                <w:rFonts w:ascii="Calibri" w:eastAsia="Times New Roman" w:hAnsi="Calibri" w:cs="Calibri"/>
                <w:color w:val="313131"/>
                <w:lang w:eastAsia="en-AU"/>
              </w:rPr>
            </w:pPr>
          </w:p>
        </w:tc>
        <w:tc>
          <w:tcPr>
            <w:tcW w:w="2221" w:type="dxa"/>
            <w:shd w:val="clear" w:color="auto" w:fill="EAECEF" w:themeFill="accent4" w:themeFillTint="33"/>
          </w:tcPr>
          <w:p w14:paraId="78581CC0" w14:textId="77777777" w:rsidR="00C426BA" w:rsidRPr="00404724" w:rsidRDefault="00C426BA" w:rsidP="000A13C5">
            <w:pPr>
              <w:jc w:val="right"/>
              <w:rPr>
                <w:rFonts w:ascii="Calibri" w:eastAsia="Times New Roman" w:hAnsi="Calibri" w:cs="Calibri"/>
                <w:color w:val="313131"/>
                <w:lang w:eastAsia="en-AU"/>
              </w:rPr>
            </w:pPr>
          </w:p>
        </w:tc>
      </w:tr>
      <w:tr w:rsidR="00C426BA" w:rsidRPr="00404724" w14:paraId="472FB82F" w14:textId="77777777" w:rsidTr="00D7348D">
        <w:trPr>
          <w:cantSplit/>
        </w:trPr>
        <w:tc>
          <w:tcPr>
            <w:tcW w:w="3256" w:type="dxa"/>
          </w:tcPr>
          <w:p w14:paraId="1AC94B91" w14:textId="74D782B3" w:rsidR="00C426BA" w:rsidRPr="00404724" w:rsidRDefault="00C426BA" w:rsidP="00BB5FCD">
            <w:pPr>
              <w:rPr>
                <w:rFonts w:ascii="Calibri" w:eastAsia="Times New Roman" w:hAnsi="Calibri" w:cs="Calibri"/>
                <w:color w:val="313131"/>
                <w:lang w:eastAsia="en-AU"/>
              </w:rPr>
            </w:pPr>
            <w:r w:rsidRPr="00404724">
              <w:rPr>
                <w:rFonts w:ascii="Calibri" w:eastAsia="Times New Roman" w:hAnsi="Calibri" w:cs="Calibri"/>
                <w:color w:val="313131"/>
                <w:lang w:eastAsia="en-AU"/>
              </w:rPr>
              <w:t>Low (100</w:t>
            </w:r>
            <w:r w:rsidR="00C82E00" w:rsidRPr="00404724">
              <w:rPr>
                <w:rFonts w:ascii="Calibri" w:eastAsia="Times New Roman" w:hAnsi="Calibri" w:cs="Calibri"/>
                <w:color w:val="313131"/>
                <w:lang w:eastAsia="en-AU"/>
              </w:rPr>
              <w:t xml:space="preserve"> km/h</w:t>
            </w:r>
            <w:r w:rsidRPr="00404724">
              <w:rPr>
                <w:rFonts w:ascii="Calibri" w:eastAsia="Times New Roman" w:hAnsi="Calibri" w:cs="Calibri"/>
                <w:color w:val="313131"/>
                <w:lang w:eastAsia="en-AU"/>
              </w:rPr>
              <w:t xml:space="preserve"> to 90</w:t>
            </w:r>
            <w:r w:rsidR="00C82E00" w:rsidRPr="00404724">
              <w:rPr>
                <w:rFonts w:ascii="Calibri" w:eastAsia="Times New Roman" w:hAnsi="Calibri" w:cs="Calibri"/>
                <w:color w:val="313131"/>
                <w:lang w:eastAsia="en-AU"/>
              </w:rPr>
              <w:t xml:space="preserve"> km/h</w:t>
            </w:r>
            <w:r w:rsidRPr="00404724">
              <w:rPr>
                <w:rFonts w:ascii="Calibri" w:eastAsia="Times New Roman" w:hAnsi="Calibri" w:cs="Calibri"/>
                <w:color w:val="313131"/>
                <w:lang w:eastAsia="en-AU"/>
              </w:rPr>
              <w:t>)</w:t>
            </w:r>
          </w:p>
        </w:tc>
        <w:tc>
          <w:tcPr>
            <w:tcW w:w="2220" w:type="dxa"/>
          </w:tcPr>
          <w:p w14:paraId="3764A848" w14:textId="77777777" w:rsidR="00C426BA" w:rsidRPr="00404724" w:rsidRDefault="00C426BA" w:rsidP="000A13C5">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1,444</w:t>
            </w:r>
          </w:p>
        </w:tc>
        <w:tc>
          <w:tcPr>
            <w:tcW w:w="2221" w:type="dxa"/>
          </w:tcPr>
          <w:p w14:paraId="2B98AB3F" w14:textId="77777777" w:rsidR="00C426BA" w:rsidRPr="00404724" w:rsidRDefault="00C426BA" w:rsidP="000A13C5">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2,888</w:t>
            </w:r>
          </w:p>
        </w:tc>
        <w:tc>
          <w:tcPr>
            <w:tcW w:w="2221" w:type="dxa"/>
          </w:tcPr>
          <w:p w14:paraId="1AEE689B" w14:textId="77777777" w:rsidR="00C426BA" w:rsidRPr="00404724" w:rsidRDefault="00C426BA" w:rsidP="000A13C5">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5,487</w:t>
            </w:r>
          </w:p>
        </w:tc>
      </w:tr>
      <w:tr w:rsidR="00C426BA" w:rsidRPr="00404724" w14:paraId="726D3917" w14:textId="77777777" w:rsidTr="00D7348D">
        <w:trPr>
          <w:cantSplit/>
        </w:trPr>
        <w:tc>
          <w:tcPr>
            <w:tcW w:w="3256" w:type="dxa"/>
          </w:tcPr>
          <w:p w14:paraId="0CB9AD8E" w14:textId="01D660A2" w:rsidR="00C426BA" w:rsidRPr="00404724" w:rsidRDefault="00C426BA" w:rsidP="00BB5FCD">
            <w:pPr>
              <w:rPr>
                <w:rFonts w:ascii="Calibri" w:eastAsia="Times New Roman" w:hAnsi="Calibri" w:cs="Calibri"/>
                <w:color w:val="313131"/>
                <w:lang w:eastAsia="en-AU"/>
              </w:rPr>
            </w:pPr>
            <w:r w:rsidRPr="00404724">
              <w:rPr>
                <w:rFonts w:ascii="Calibri" w:eastAsia="Times New Roman" w:hAnsi="Calibri" w:cs="Calibri"/>
                <w:color w:val="313131"/>
                <w:lang w:eastAsia="en-AU"/>
              </w:rPr>
              <w:t>Medium (100</w:t>
            </w:r>
            <w:r w:rsidR="00C82E00" w:rsidRPr="00404724">
              <w:rPr>
                <w:rFonts w:ascii="Calibri" w:eastAsia="Times New Roman" w:hAnsi="Calibri" w:cs="Calibri"/>
                <w:color w:val="313131"/>
                <w:lang w:eastAsia="en-AU"/>
              </w:rPr>
              <w:t xml:space="preserve"> km/h</w:t>
            </w:r>
            <w:r w:rsidRPr="00404724">
              <w:rPr>
                <w:rFonts w:ascii="Calibri" w:eastAsia="Times New Roman" w:hAnsi="Calibri" w:cs="Calibri"/>
                <w:color w:val="313131"/>
                <w:lang w:eastAsia="en-AU"/>
              </w:rPr>
              <w:t xml:space="preserve"> to 80</w:t>
            </w:r>
            <w:r w:rsidR="00C82E00" w:rsidRPr="00404724">
              <w:rPr>
                <w:rFonts w:ascii="Calibri" w:eastAsia="Times New Roman" w:hAnsi="Calibri" w:cs="Calibri"/>
                <w:color w:val="313131"/>
                <w:lang w:eastAsia="en-AU"/>
              </w:rPr>
              <w:t xml:space="preserve"> km/h</w:t>
            </w:r>
            <w:r w:rsidRPr="00404724">
              <w:rPr>
                <w:rFonts w:ascii="Calibri" w:eastAsia="Times New Roman" w:hAnsi="Calibri" w:cs="Calibri"/>
                <w:color w:val="313131"/>
                <w:lang w:eastAsia="en-AU"/>
              </w:rPr>
              <w:t>)</w:t>
            </w:r>
          </w:p>
        </w:tc>
        <w:tc>
          <w:tcPr>
            <w:tcW w:w="2220" w:type="dxa"/>
          </w:tcPr>
          <w:p w14:paraId="4A43E931" w14:textId="77777777" w:rsidR="00C426BA" w:rsidRPr="00404724" w:rsidRDefault="00C426BA" w:rsidP="000A13C5">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3,156</w:t>
            </w:r>
          </w:p>
        </w:tc>
        <w:tc>
          <w:tcPr>
            <w:tcW w:w="2221" w:type="dxa"/>
          </w:tcPr>
          <w:p w14:paraId="2A55D704" w14:textId="77777777" w:rsidR="00C426BA" w:rsidRPr="00404724" w:rsidRDefault="00C426BA" w:rsidP="000A13C5">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6,312</w:t>
            </w:r>
          </w:p>
        </w:tc>
        <w:tc>
          <w:tcPr>
            <w:tcW w:w="2221" w:type="dxa"/>
          </w:tcPr>
          <w:p w14:paraId="3A26829B" w14:textId="77777777" w:rsidR="00C426BA" w:rsidRPr="00404724" w:rsidRDefault="00C426BA" w:rsidP="000A13C5">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11,992</w:t>
            </w:r>
          </w:p>
        </w:tc>
      </w:tr>
      <w:tr w:rsidR="00C426BA" w:rsidRPr="00404724" w14:paraId="60D215AD" w14:textId="77777777" w:rsidTr="00D7348D">
        <w:trPr>
          <w:cantSplit/>
        </w:trPr>
        <w:tc>
          <w:tcPr>
            <w:tcW w:w="3256" w:type="dxa"/>
          </w:tcPr>
          <w:p w14:paraId="63341DD1" w14:textId="2EDD1529" w:rsidR="00C426BA" w:rsidRPr="00404724" w:rsidRDefault="00C426BA" w:rsidP="00BB5FCD">
            <w:pPr>
              <w:rPr>
                <w:rFonts w:ascii="Calibri" w:eastAsia="Times New Roman" w:hAnsi="Calibri" w:cs="Calibri"/>
                <w:color w:val="313131"/>
                <w:lang w:eastAsia="en-AU"/>
              </w:rPr>
            </w:pPr>
            <w:r w:rsidRPr="00404724">
              <w:rPr>
                <w:rFonts w:ascii="Calibri" w:eastAsia="Times New Roman" w:hAnsi="Calibri" w:cs="Calibri"/>
                <w:color w:val="313131"/>
                <w:lang w:eastAsia="en-AU"/>
              </w:rPr>
              <w:t>High (100</w:t>
            </w:r>
            <w:r w:rsidR="00C82E00" w:rsidRPr="00404724">
              <w:rPr>
                <w:rFonts w:ascii="Calibri" w:eastAsia="Times New Roman" w:hAnsi="Calibri" w:cs="Calibri"/>
                <w:color w:val="313131"/>
                <w:lang w:eastAsia="en-AU"/>
              </w:rPr>
              <w:t xml:space="preserve"> km/h</w:t>
            </w:r>
            <w:r w:rsidRPr="00404724">
              <w:rPr>
                <w:rFonts w:ascii="Calibri" w:eastAsia="Times New Roman" w:hAnsi="Calibri" w:cs="Calibri"/>
                <w:color w:val="313131"/>
                <w:lang w:eastAsia="en-AU"/>
              </w:rPr>
              <w:t xml:space="preserve"> to 70</w:t>
            </w:r>
            <w:r w:rsidR="00C82E00" w:rsidRPr="00404724">
              <w:rPr>
                <w:rFonts w:ascii="Calibri" w:eastAsia="Times New Roman" w:hAnsi="Calibri" w:cs="Calibri"/>
                <w:color w:val="313131"/>
                <w:lang w:eastAsia="en-AU"/>
              </w:rPr>
              <w:t xml:space="preserve"> km/h</w:t>
            </w:r>
            <w:r w:rsidRPr="00404724">
              <w:rPr>
                <w:rFonts w:ascii="Calibri" w:eastAsia="Times New Roman" w:hAnsi="Calibri" w:cs="Calibri"/>
                <w:color w:val="313131"/>
                <w:lang w:eastAsia="en-AU"/>
              </w:rPr>
              <w:t>)</w:t>
            </w:r>
          </w:p>
        </w:tc>
        <w:tc>
          <w:tcPr>
            <w:tcW w:w="2220" w:type="dxa"/>
          </w:tcPr>
          <w:p w14:paraId="6168BB82" w14:textId="77777777" w:rsidR="00C426BA" w:rsidRPr="00404724" w:rsidRDefault="00C426BA" w:rsidP="000A13C5">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4,644</w:t>
            </w:r>
          </w:p>
        </w:tc>
        <w:tc>
          <w:tcPr>
            <w:tcW w:w="2221" w:type="dxa"/>
          </w:tcPr>
          <w:p w14:paraId="09EE493D" w14:textId="77777777" w:rsidR="00C426BA" w:rsidRPr="00404724" w:rsidRDefault="00C426BA" w:rsidP="000A13C5">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9,287</w:t>
            </w:r>
          </w:p>
        </w:tc>
        <w:tc>
          <w:tcPr>
            <w:tcW w:w="2221" w:type="dxa"/>
          </w:tcPr>
          <w:p w14:paraId="157C68ED" w14:textId="77777777" w:rsidR="00C426BA" w:rsidRPr="00404724" w:rsidRDefault="00C426BA" w:rsidP="000A13C5">
            <w:pPr>
              <w:jc w:val="right"/>
              <w:rPr>
                <w:rFonts w:ascii="Calibri" w:eastAsia="Times New Roman" w:hAnsi="Calibri" w:cs="Calibri"/>
                <w:color w:val="313131"/>
                <w:lang w:eastAsia="en-AU"/>
              </w:rPr>
            </w:pPr>
            <w:r w:rsidRPr="00404724">
              <w:rPr>
                <w:rFonts w:ascii="Calibri" w:eastAsia="Times New Roman" w:hAnsi="Calibri" w:cs="Calibri"/>
                <w:color w:val="313131"/>
                <w:lang w:eastAsia="en-AU"/>
              </w:rPr>
              <w:t>17,646</w:t>
            </w:r>
          </w:p>
        </w:tc>
      </w:tr>
    </w:tbl>
    <w:p w14:paraId="55312C1C" w14:textId="671A1B12" w:rsidR="00867A18" w:rsidRPr="00404724" w:rsidRDefault="00681B56" w:rsidP="00CF1735">
      <w:pPr>
        <w:rPr>
          <w:rFonts w:ascii="Calibri" w:hAnsi="Calibri" w:cs="Calibri"/>
        </w:rPr>
      </w:pPr>
      <w:r w:rsidRPr="00681B56">
        <w:rPr>
          <w:rFonts w:ascii="Calibri" w:hAnsi="Calibri" w:cs="Calibri"/>
        </w:rPr>
        <w:t>Given the link between speed and FSI, it</w:t>
      </w:r>
      <w:r>
        <w:rPr>
          <w:rFonts w:ascii="Calibri" w:hAnsi="Calibri" w:cs="Calibri"/>
        </w:rPr>
        <w:t xml:space="preserve"> i</w:t>
      </w:r>
      <w:r w:rsidRPr="00681B56">
        <w:rPr>
          <w:rFonts w:ascii="Calibri" w:hAnsi="Calibri" w:cs="Calibri"/>
        </w:rPr>
        <w:t>s expected that lowering speed limits reduces FSI. As the default speed decreases (from 100 to 90, 80, and 70), fatalities and serious injuries decrease across all FSI percentage assumptions</w:t>
      </w:r>
      <w:r w:rsidR="00867A18" w:rsidRPr="00404724">
        <w:rPr>
          <w:rFonts w:ascii="Calibri" w:hAnsi="Calibri" w:cs="Calibri"/>
        </w:rPr>
        <w:t>.</w:t>
      </w:r>
    </w:p>
    <w:p w14:paraId="210B7D4A" w14:textId="074D4D00" w:rsidR="00C426BA" w:rsidRPr="00404724" w:rsidRDefault="00C4433C" w:rsidP="00D7348D">
      <w:pPr>
        <w:pStyle w:val="Heading4"/>
        <w:spacing w:before="120"/>
      </w:pPr>
      <w:bookmarkStart w:id="480" w:name="_Toc210042578"/>
      <w:bookmarkStart w:id="481" w:name="_Toc210049220"/>
      <w:bookmarkStart w:id="482" w:name="_Toc210051660"/>
      <w:bookmarkStart w:id="483" w:name="_Toc210051741"/>
      <w:r>
        <w:t>5</w:t>
      </w:r>
      <w:r w:rsidR="00D7348D">
        <w:t>.1.2</w:t>
      </w:r>
      <w:r w:rsidR="00D7348D">
        <w:tab/>
      </w:r>
      <w:r w:rsidR="00C426BA" w:rsidRPr="00404724">
        <w:t>Cost-benefit analysis</w:t>
      </w:r>
      <w:bookmarkEnd w:id="480"/>
      <w:bookmarkEnd w:id="481"/>
      <w:bookmarkEnd w:id="482"/>
      <w:bookmarkEnd w:id="483"/>
    </w:p>
    <w:p w14:paraId="6B7D93BC" w14:textId="595A4A18" w:rsidR="00867A18" w:rsidRPr="00404724" w:rsidRDefault="00867A18" w:rsidP="00867A18">
      <w:pPr>
        <w:rPr>
          <w:rFonts w:ascii="Calibri" w:hAnsi="Calibri" w:cs="Calibri"/>
        </w:rPr>
      </w:pPr>
      <w:r w:rsidRPr="00404724">
        <w:rPr>
          <w:rFonts w:ascii="Calibri" w:hAnsi="Calibri" w:cs="Calibri"/>
        </w:rPr>
        <w:t xml:space="preserve">The model allows for assumptions both about the proportion of fatalities that occur on </w:t>
      </w:r>
      <w:r w:rsidR="00B71912" w:rsidRPr="00404724">
        <w:rPr>
          <w:rFonts w:ascii="Calibri" w:hAnsi="Calibri" w:cs="Calibri"/>
        </w:rPr>
        <w:t xml:space="preserve">sealed </w:t>
      </w:r>
      <w:r w:rsidRPr="00404724">
        <w:rPr>
          <w:rFonts w:ascii="Calibri" w:hAnsi="Calibri" w:cs="Calibri"/>
        </w:rPr>
        <w:t xml:space="preserve">default </w:t>
      </w:r>
      <w:r w:rsidR="00B71912" w:rsidRPr="00404724">
        <w:rPr>
          <w:rFonts w:ascii="Calibri" w:hAnsi="Calibri" w:cs="Calibri"/>
        </w:rPr>
        <w:t xml:space="preserve">speed-limited </w:t>
      </w:r>
      <w:r w:rsidRPr="00404724">
        <w:rPr>
          <w:rFonts w:ascii="Calibri" w:hAnsi="Calibri" w:cs="Calibri"/>
        </w:rPr>
        <w:t>roads</w:t>
      </w:r>
      <w:r w:rsidR="00B71912" w:rsidRPr="00404724">
        <w:rPr>
          <w:rFonts w:ascii="Calibri" w:hAnsi="Calibri" w:cs="Calibri"/>
        </w:rPr>
        <w:t xml:space="preserve"> outside of built-up areas</w:t>
      </w:r>
      <w:r w:rsidRPr="00404724">
        <w:rPr>
          <w:rFonts w:ascii="Calibri" w:hAnsi="Calibri" w:cs="Calibri"/>
        </w:rPr>
        <w:t xml:space="preserve"> and the proportion of total driving that occurs on those roads. </w:t>
      </w:r>
    </w:p>
    <w:p w14:paraId="2E369D7F" w14:textId="63A1DBDE" w:rsidR="00C426BA" w:rsidRPr="00404724" w:rsidRDefault="00867A18" w:rsidP="00867A18">
      <w:pPr>
        <w:rPr>
          <w:rFonts w:ascii="Calibri" w:hAnsi="Calibri" w:cs="Calibri"/>
        </w:rPr>
      </w:pPr>
      <w:r w:rsidRPr="00404724">
        <w:rPr>
          <w:rFonts w:ascii="Calibri" w:hAnsi="Calibri" w:cs="Calibri"/>
        </w:rPr>
        <w:t xml:space="preserve">As a result, there are a range of assumption permutations that are possible for each speed reduction scenario. While not perfectly </w:t>
      </w:r>
      <w:r w:rsidR="00404724" w:rsidRPr="00404724">
        <w:rPr>
          <w:rFonts w:ascii="Calibri" w:hAnsi="Calibri" w:cs="Calibri"/>
        </w:rPr>
        <w:t>correlated, the</w:t>
      </w:r>
      <w:r w:rsidRPr="00404724">
        <w:rPr>
          <w:rFonts w:ascii="Calibri" w:hAnsi="Calibri" w:cs="Calibri"/>
        </w:rPr>
        <w:t xml:space="preserve"> more driving that occurs on sealed </w:t>
      </w:r>
      <w:r w:rsidR="00E373FB" w:rsidRPr="00404724">
        <w:rPr>
          <w:rFonts w:ascii="Calibri" w:hAnsi="Calibri" w:cs="Calibri"/>
        </w:rPr>
        <w:t xml:space="preserve">default speed-limited </w:t>
      </w:r>
      <w:r w:rsidRPr="00404724">
        <w:rPr>
          <w:rFonts w:ascii="Calibri" w:hAnsi="Calibri" w:cs="Calibri"/>
        </w:rPr>
        <w:t>roads, the greater the proportional FSI on those roads. In fact, research has shown that these roads actually account for disproportionately higher FSI relative to the amount of driving. As such, the outputs presented in this section will be those on the diagonal (highlighted in the table below).</w:t>
      </w:r>
    </w:p>
    <w:p w14:paraId="4C62431A" w14:textId="2C107BE6" w:rsidR="00E60A8C" w:rsidRPr="00404724" w:rsidRDefault="00E60A8C" w:rsidP="00C4433C">
      <w:pPr>
        <w:spacing w:after="120"/>
        <w:rPr>
          <w:rFonts w:ascii="Calibri" w:hAnsi="Calibri" w:cs="Calibri"/>
        </w:rPr>
      </w:pPr>
      <w:r w:rsidRPr="00404724">
        <w:rPr>
          <w:rFonts w:ascii="Calibri" w:hAnsi="Calibri" w:cs="Calibri"/>
        </w:rPr>
        <w:t xml:space="preserve">The tables below </w:t>
      </w:r>
      <w:r w:rsidR="00C94374" w:rsidRPr="00404724">
        <w:rPr>
          <w:rFonts w:ascii="Calibri" w:hAnsi="Calibri" w:cs="Calibri"/>
        </w:rPr>
        <w:t>show</w:t>
      </w:r>
      <w:r w:rsidRPr="00404724">
        <w:rPr>
          <w:rFonts w:ascii="Calibri" w:hAnsi="Calibri" w:cs="Calibri"/>
        </w:rPr>
        <w:t xml:space="preserve"> the BCR outputs for all 9 assumption permutations for each reduction scenario.</w:t>
      </w:r>
    </w:p>
    <w:p w14:paraId="0F7D93A1" w14:textId="4FB49AF6" w:rsidR="00DB7FA3" w:rsidRPr="00404724" w:rsidRDefault="00DB7FA3" w:rsidP="00867A18">
      <w:pPr>
        <w:rPr>
          <w:rFonts w:ascii="Calibri" w:hAnsi="Calibri" w:cs="Calibri"/>
        </w:rPr>
      </w:pPr>
      <w:r w:rsidRPr="00404724">
        <w:rPr>
          <w:b/>
          <w:bCs/>
        </w:rPr>
        <w:t xml:space="preserve">Table </w:t>
      </w:r>
      <w:r w:rsidRPr="00404724">
        <w:rPr>
          <w:b/>
          <w:bCs/>
        </w:rPr>
        <w:fldChar w:fldCharType="begin"/>
      </w:r>
      <w:r w:rsidRPr="00404724">
        <w:rPr>
          <w:b/>
          <w:bCs/>
        </w:rPr>
        <w:instrText xml:space="preserve"> SEQ Table \* ARABIC </w:instrText>
      </w:r>
      <w:r w:rsidRPr="00404724">
        <w:rPr>
          <w:b/>
          <w:bCs/>
        </w:rPr>
        <w:fldChar w:fldCharType="separate"/>
      </w:r>
      <w:r w:rsidR="00BF489D">
        <w:rPr>
          <w:b/>
          <w:bCs/>
          <w:noProof/>
        </w:rPr>
        <w:t>38</w:t>
      </w:r>
      <w:r w:rsidRPr="00404724">
        <w:rPr>
          <w:b/>
          <w:bCs/>
        </w:rPr>
        <w:fldChar w:fldCharType="end"/>
      </w:r>
      <w:r w:rsidRPr="00404724">
        <w:rPr>
          <w:b/>
          <w:bCs/>
        </w:rPr>
        <w:tab/>
      </w:r>
      <w:r w:rsidR="00B71912" w:rsidRPr="00404724">
        <w:rPr>
          <w:b/>
          <w:bCs/>
        </w:rPr>
        <w:t xml:space="preserve">Benefit-cost ratio </w:t>
      </w:r>
      <w:r w:rsidR="00E373FB" w:rsidRPr="00404724">
        <w:rPr>
          <w:b/>
          <w:bCs/>
        </w:rPr>
        <w:t xml:space="preserve">(BCR) </w:t>
      </w:r>
      <w:r w:rsidRPr="00404724">
        <w:rPr>
          <w:b/>
          <w:bCs/>
        </w:rPr>
        <w:t>results by option by scenario</w:t>
      </w:r>
    </w:p>
    <w:tbl>
      <w:tblPr>
        <w:tblStyle w:val="TableGrid"/>
        <w:tblW w:w="9918" w:type="dxa"/>
        <w:tblLook w:val="04A0" w:firstRow="1" w:lastRow="0" w:firstColumn="1" w:lastColumn="0" w:noHBand="0" w:noVBand="1"/>
        <w:tblCaption w:val="Table 38 Benefit-cost ratio (BCR) results by option by scenario"/>
        <w:tblDescription w:val="Table 38 Benefit-cost ratio (BCR) results by option by scenario"/>
      </w:tblPr>
      <w:tblGrid>
        <w:gridCol w:w="3256"/>
        <w:gridCol w:w="2220"/>
        <w:gridCol w:w="2221"/>
        <w:gridCol w:w="2221"/>
      </w:tblGrid>
      <w:tr w:rsidR="00C426BA" w:rsidRPr="00404724" w14:paraId="3BE8563C" w14:textId="77777777" w:rsidTr="00D7348D">
        <w:trPr>
          <w:cantSplit/>
          <w:tblHeader/>
        </w:trPr>
        <w:tc>
          <w:tcPr>
            <w:tcW w:w="3256" w:type="dxa"/>
            <w:vMerge w:val="restart"/>
            <w:shd w:val="clear" w:color="auto" w:fill="081E3E" w:themeFill="text2"/>
          </w:tcPr>
          <w:p w14:paraId="0044DB2C" w14:textId="77777777" w:rsidR="00C426BA" w:rsidRPr="00404724" w:rsidRDefault="00C426BA" w:rsidP="00BB5FCD">
            <w:pPr>
              <w:rPr>
                <w:rFonts w:ascii="Calibri" w:hAnsi="Calibri" w:cs="Calibri"/>
                <w:b/>
                <w:bCs/>
                <w:color w:val="FFFFFF" w:themeColor="background1"/>
              </w:rPr>
            </w:pPr>
            <w:r w:rsidRPr="00404724">
              <w:rPr>
                <w:rFonts w:ascii="Calibri" w:hAnsi="Calibri" w:cs="Calibri"/>
                <w:b/>
                <w:bCs/>
                <w:color w:val="FFFFFF" w:themeColor="background1"/>
              </w:rPr>
              <w:t>VKT Bound</w:t>
            </w:r>
          </w:p>
        </w:tc>
        <w:tc>
          <w:tcPr>
            <w:tcW w:w="6662" w:type="dxa"/>
            <w:gridSpan w:val="3"/>
            <w:shd w:val="clear" w:color="auto" w:fill="081E3E" w:themeFill="text2"/>
          </w:tcPr>
          <w:p w14:paraId="6C98C5C7" w14:textId="06ED1894" w:rsidR="00C426BA" w:rsidRPr="00404724" w:rsidRDefault="00C426BA" w:rsidP="00BB5FCD">
            <w:pPr>
              <w:jc w:val="center"/>
              <w:rPr>
                <w:rFonts w:ascii="Calibri" w:hAnsi="Calibri" w:cs="Calibri"/>
                <w:b/>
                <w:bCs/>
                <w:color w:val="FFFFFF" w:themeColor="background1"/>
              </w:rPr>
            </w:pPr>
            <w:r w:rsidRPr="00404724">
              <w:rPr>
                <w:rFonts w:ascii="Calibri" w:hAnsi="Calibri" w:cs="Calibri"/>
                <w:b/>
                <w:bCs/>
                <w:color w:val="FFFFFF" w:themeColor="background1"/>
              </w:rPr>
              <w:t>% of FSI on default sealed roads</w:t>
            </w:r>
            <w:r w:rsidR="007843DB" w:rsidRPr="00404724">
              <w:rPr>
                <w:rFonts w:ascii="Calibri" w:hAnsi="Calibri" w:cs="Calibri"/>
                <w:b/>
                <w:bCs/>
                <w:color w:val="FFFFFF" w:themeColor="background1"/>
              </w:rPr>
              <w:t xml:space="preserve"> outside of </w:t>
            </w:r>
            <w:r w:rsidR="00C94374" w:rsidRPr="00404724">
              <w:rPr>
                <w:rFonts w:ascii="Calibri" w:hAnsi="Calibri" w:cs="Calibri"/>
                <w:b/>
                <w:bCs/>
                <w:color w:val="FFFFFF" w:themeColor="background1"/>
              </w:rPr>
              <w:t>built-up</w:t>
            </w:r>
            <w:r w:rsidR="007843DB" w:rsidRPr="00404724">
              <w:rPr>
                <w:rFonts w:ascii="Calibri" w:hAnsi="Calibri" w:cs="Calibri"/>
                <w:b/>
                <w:bCs/>
                <w:color w:val="FFFFFF" w:themeColor="background1"/>
              </w:rPr>
              <w:t xml:space="preserve"> areas</w:t>
            </w:r>
          </w:p>
        </w:tc>
      </w:tr>
      <w:tr w:rsidR="00C426BA" w:rsidRPr="00404724" w14:paraId="45D379EE" w14:textId="77777777" w:rsidTr="00D7348D">
        <w:trPr>
          <w:cantSplit/>
          <w:tblHeader/>
        </w:trPr>
        <w:tc>
          <w:tcPr>
            <w:tcW w:w="3256" w:type="dxa"/>
            <w:vMerge/>
            <w:shd w:val="clear" w:color="auto" w:fill="081E3E" w:themeFill="text2"/>
          </w:tcPr>
          <w:p w14:paraId="5B411616" w14:textId="77777777" w:rsidR="00C426BA" w:rsidRPr="00404724" w:rsidRDefault="00C426BA" w:rsidP="00BB5FCD">
            <w:pPr>
              <w:rPr>
                <w:rFonts w:ascii="Calibri" w:hAnsi="Calibri" w:cs="Calibri"/>
                <w:b/>
                <w:bCs/>
                <w:color w:val="FFFFFF" w:themeColor="background1"/>
              </w:rPr>
            </w:pPr>
          </w:p>
        </w:tc>
        <w:tc>
          <w:tcPr>
            <w:tcW w:w="2220" w:type="dxa"/>
            <w:shd w:val="clear" w:color="auto" w:fill="081E3E" w:themeFill="text2"/>
          </w:tcPr>
          <w:p w14:paraId="6AF91F1C" w14:textId="77777777" w:rsidR="00C426BA" w:rsidRPr="00404724" w:rsidRDefault="00C426BA" w:rsidP="000A13C5">
            <w:pPr>
              <w:jc w:val="center"/>
              <w:rPr>
                <w:rFonts w:ascii="Calibri" w:hAnsi="Calibri" w:cs="Calibri"/>
                <w:b/>
                <w:bCs/>
                <w:color w:val="FFFFFF" w:themeColor="background1"/>
              </w:rPr>
            </w:pPr>
            <w:r w:rsidRPr="00404724">
              <w:rPr>
                <w:rFonts w:ascii="Calibri" w:hAnsi="Calibri" w:cs="Calibri"/>
                <w:b/>
                <w:bCs/>
                <w:color w:val="FFFFFF" w:themeColor="background1"/>
              </w:rPr>
              <w:t>10%</w:t>
            </w:r>
          </w:p>
        </w:tc>
        <w:tc>
          <w:tcPr>
            <w:tcW w:w="2221" w:type="dxa"/>
            <w:shd w:val="clear" w:color="auto" w:fill="081E3E" w:themeFill="text2"/>
          </w:tcPr>
          <w:p w14:paraId="722B5C32" w14:textId="77777777" w:rsidR="00C426BA" w:rsidRPr="00404724" w:rsidRDefault="00C426BA" w:rsidP="000A13C5">
            <w:pPr>
              <w:jc w:val="center"/>
              <w:rPr>
                <w:rFonts w:ascii="Calibri" w:hAnsi="Calibri" w:cs="Calibri"/>
                <w:b/>
                <w:bCs/>
                <w:color w:val="FFFFFF" w:themeColor="background1"/>
              </w:rPr>
            </w:pPr>
            <w:r w:rsidRPr="00404724">
              <w:rPr>
                <w:rFonts w:ascii="Calibri" w:hAnsi="Calibri" w:cs="Calibri"/>
                <w:b/>
                <w:bCs/>
                <w:color w:val="FFFFFF" w:themeColor="background1"/>
              </w:rPr>
              <w:t>20%</w:t>
            </w:r>
          </w:p>
        </w:tc>
        <w:tc>
          <w:tcPr>
            <w:tcW w:w="2221" w:type="dxa"/>
            <w:shd w:val="clear" w:color="auto" w:fill="081E3E" w:themeFill="text2"/>
          </w:tcPr>
          <w:p w14:paraId="047CE114" w14:textId="77777777" w:rsidR="00C426BA" w:rsidRPr="00404724" w:rsidRDefault="00C426BA" w:rsidP="000A13C5">
            <w:pPr>
              <w:jc w:val="center"/>
              <w:rPr>
                <w:rFonts w:ascii="Calibri" w:hAnsi="Calibri" w:cs="Calibri"/>
                <w:b/>
                <w:bCs/>
                <w:color w:val="FFFFFF" w:themeColor="background1"/>
              </w:rPr>
            </w:pPr>
            <w:r w:rsidRPr="00404724">
              <w:rPr>
                <w:rFonts w:ascii="Calibri" w:hAnsi="Calibri" w:cs="Calibri"/>
                <w:b/>
                <w:bCs/>
                <w:color w:val="FFFFFF" w:themeColor="background1"/>
              </w:rPr>
              <w:t>38%</w:t>
            </w:r>
          </w:p>
        </w:tc>
      </w:tr>
      <w:tr w:rsidR="00C426BA" w:rsidRPr="00404724" w14:paraId="6FA17B2D" w14:textId="77777777" w:rsidTr="00D7348D">
        <w:trPr>
          <w:cantSplit/>
        </w:trPr>
        <w:tc>
          <w:tcPr>
            <w:tcW w:w="3256" w:type="dxa"/>
            <w:shd w:val="clear" w:color="auto" w:fill="EAECEF" w:themeFill="accent4" w:themeFillTint="33"/>
          </w:tcPr>
          <w:p w14:paraId="5CF98C1B" w14:textId="4F79FA16" w:rsidR="00C426BA" w:rsidRPr="00404724" w:rsidRDefault="00C426BA" w:rsidP="00BB5FCD">
            <w:pPr>
              <w:rPr>
                <w:rFonts w:ascii="Calibri" w:hAnsi="Calibri" w:cs="Calibri"/>
              </w:rPr>
            </w:pPr>
            <w:r w:rsidRPr="00404724">
              <w:rPr>
                <w:rFonts w:ascii="Calibri" w:hAnsi="Calibri" w:cs="Calibri"/>
              </w:rPr>
              <w:t>100</w:t>
            </w:r>
            <w:r w:rsidR="00C82E00" w:rsidRPr="00404724">
              <w:rPr>
                <w:rFonts w:ascii="Calibri" w:hAnsi="Calibri" w:cs="Calibri"/>
              </w:rPr>
              <w:t xml:space="preserve"> km/h</w:t>
            </w:r>
            <w:r w:rsidRPr="00404724">
              <w:rPr>
                <w:rFonts w:ascii="Calibri" w:hAnsi="Calibri" w:cs="Calibri"/>
              </w:rPr>
              <w:t xml:space="preserve"> to 90</w:t>
            </w:r>
            <w:r w:rsidR="00C82E00" w:rsidRPr="00404724">
              <w:rPr>
                <w:rFonts w:ascii="Calibri" w:hAnsi="Calibri" w:cs="Calibri"/>
              </w:rPr>
              <w:t xml:space="preserve"> km/h</w:t>
            </w:r>
          </w:p>
        </w:tc>
        <w:tc>
          <w:tcPr>
            <w:tcW w:w="2220" w:type="dxa"/>
            <w:shd w:val="clear" w:color="auto" w:fill="EAECEF" w:themeFill="accent4" w:themeFillTint="33"/>
          </w:tcPr>
          <w:p w14:paraId="6C80D02E" w14:textId="77777777" w:rsidR="00C426BA" w:rsidRPr="00404724" w:rsidRDefault="00C426BA" w:rsidP="000A13C5">
            <w:pPr>
              <w:jc w:val="center"/>
              <w:rPr>
                <w:rFonts w:ascii="Calibri" w:hAnsi="Calibri" w:cs="Calibri"/>
              </w:rPr>
            </w:pPr>
          </w:p>
        </w:tc>
        <w:tc>
          <w:tcPr>
            <w:tcW w:w="2221" w:type="dxa"/>
            <w:shd w:val="clear" w:color="auto" w:fill="EAECEF" w:themeFill="accent4" w:themeFillTint="33"/>
          </w:tcPr>
          <w:p w14:paraId="24BF75E4" w14:textId="77777777" w:rsidR="00C426BA" w:rsidRPr="00404724" w:rsidRDefault="00C426BA" w:rsidP="000A13C5">
            <w:pPr>
              <w:jc w:val="center"/>
              <w:rPr>
                <w:rFonts w:ascii="Calibri" w:hAnsi="Calibri" w:cs="Calibri"/>
              </w:rPr>
            </w:pPr>
          </w:p>
        </w:tc>
        <w:tc>
          <w:tcPr>
            <w:tcW w:w="2221" w:type="dxa"/>
            <w:shd w:val="clear" w:color="auto" w:fill="EAECEF" w:themeFill="accent4" w:themeFillTint="33"/>
          </w:tcPr>
          <w:p w14:paraId="601A64FF" w14:textId="77777777" w:rsidR="00C426BA" w:rsidRPr="00404724" w:rsidRDefault="00C426BA" w:rsidP="000A13C5">
            <w:pPr>
              <w:jc w:val="center"/>
              <w:rPr>
                <w:rFonts w:ascii="Calibri" w:hAnsi="Calibri" w:cs="Calibri"/>
              </w:rPr>
            </w:pPr>
          </w:p>
        </w:tc>
      </w:tr>
      <w:tr w:rsidR="00C426BA" w:rsidRPr="00404724" w14:paraId="34D11E4F" w14:textId="77777777" w:rsidTr="00D7348D">
        <w:trPr>
          <w:cantSplit/>
        </w:trPr>
        <w:tc>
          <w:tcPr>
            <w:tcW w:w="3256" w:type="dxa"/>
          </w:tcPr>
          <w:p w14:paraId="20FF66CF" w14:textId="77777777" w:rsidR="00C426BA" w:rsidRPr="00404724" w:rsidRDefault="00C426BA" w:rsidP="00BB5FCD">
            <w:pPr>
              <w:rPr>
                <w:rFonts w:ascii="Calibri" w:hAnsi="Calibri" w:cs="Calibri"/>
              </w:rPr>
            </w:pPr>
            <w:r w:rsidRPr="00404724">
              <w:rPr>
                <w:rFonts w:ascii="Calibri" w:hAnsi="Calibri" w:cs="Calibri"/>
              </w:rPr>
              <w:t>Lower bound VKT estimate</w:t>
            </w:r>
          </w:p>
        </w:tc>
        <w:tc>
          <w:tcPr>
            <w:tcW w:w="2220" w:type="dxa"/>
            <w:shd w:val="clear" w:color="auto" w:fill="E2F2EA" w:themeFill="accent6" w:themeFillTint="33"/>
          </w:tcPr>
          <w:p w14:paraId="0117D79D" w14:textId="77777777" w:rsidR="00C426BA" w:rsidRPr="00404724" w:rsidRDefault="00C426BA" w:rsidP="000A13C5">
            <w:pPr>
              <w:jc w:val="center"/>
              <w:rPr>
                <w:rFonts w:ascii="Calibri" w:hAnsi="Calibri" w:cs="Calibri"/>
              </w:rPr>
            </w:pPr>
            <w:r w:rsidRPr="00404724">
              <w:rPr>
                <w:rFonts w:ascii="Calibri" w:hAnsi="Calibri" w:cs="Calibri"/>
              </w:rPr>
              <w:t>2.4</w:t>
            </w:r>
          </w:p>
        </w:tc>
        <w:tc>
          <w:tcPr>
            <w:tcW w:w="2221" w:type="dxa"/>
          </w:tcPr>
          <w:p w14:paraId="0AB74F4C" w14:textId="77777777" w:rsidR="00C426BA" w:rsidRPr="00404724" w:rsidRDefault="00C426BA" w:rsidP="000A13C5">
            <w:pPr>
              <w:jc w:val="center"/>
              <w:rPr>
                <w:rFonts w:ascii="Calibri" w:hAnsi="Calibri" w:cs="Calibri"/>
              </w:rPr>
            </w:pPr>
            <w:r w:rsidRPr="00404724">
              <w:rPr>
                <w:rFonts w:ascii="Calibri" w:hAnsi="Calibri" w:cs="Calibri"/>
              </w:rPr>
              <w:t>4.5</w:t>
            </w:r>
          </w:p>
        </w:tc>
        <w:tc>
          <w:tcPr>
            <w:tcW w:w="2221" w:type="dxa"/>
          </w:tcPr>
          <w:p w14:paraId="3569BEFF" w14:textId="77777777" w:rsidR="00C426BA" w:rsidRPr="00404724" w:rsidRDefault="00C426BA" w:rsidP="000A13C5">
            <w:pPr>
              <w:jc w:val="center"/>
              <w:rPr>
                <w:rFonts w:ascii="Calibri" w:hAnsi="Calibri" w:cs="Calibri"/>
              </w:rPr>
            </w:pPr>
            <w:r w:rsidRPr="00404724">
              <w:rPr>
                <w:rFonts w:ascii="Calibri" w:hAnsi="Calibri" w:cs="Calibri"/>
              </w:rPr>
              <w:t>8.4</w:t>
            </w:r>
          </w:p>
        </w:tc>
      </w:tr>
      <w:tr w:rsidR="00C426BA" w:rsidRPr="00404724" w14:paraId="1AC93FFE" w14:textId="77777777" w:rsidTr="00D7348D">
        <w:trPr>
          <w:cantSplit/>
        </w:trPr>
        <w:tc>
          <w:tcPr>
            <w:tcW w:w="3256" w:type="dxa"/>
          </w:tcPr>
          <w:p w14:paraId="55847A70" w14:textId="37FB212F" w:rsidR="00C426BA" w:rsidRPr="00404724" w:rsidRDefault="007843DB" w:rsidP="00BB5FCD">
            <w:pPr>
              <w:rPr>
                <w:rFonts w:ascii="Calibri" w:hAnsi="Calibri" w:cs="Calibri"/>
              </w:rPr>
            </w:pPr>
            <w:r w:rsidRPr="00404724">
              <w:rPr>
                <w:rFonts w:ascii="Calibri" w:hAnsi="Calibri" w:cs="Calibri"/>
              </w:rPr>
              <w:t>Middle</w:t>
            </w:r>
            <w:r w:rsidR="00C426BA" w:rsidRPr="00404724">
              <w:rPr>
                <w:rFonts w:ascii="Calibri" w:hAnsi="Calibri" w:cs="Calibri"/>
              </w:rPr>
              <w:t xml:space="preserve"> VKT estimate</w:t>
            </w:r>
          </w:p>
        </w:tc>
        <w:tc>
          <w:tcPr>
            <w:tcW w:w="2220" w:type="dxa"/>
          </w:tcPr>
          <w:p w14:paraId="565A0E4D" w14:textId="77777777" w:rsidR="00C426BA" w:rsidRPr="00404724" w:rsidRDefault="00C426BA" w:rsidP="000A13C5">
            <w:pPr>
              <w:jc w:val="center"/>
              <w:rPr>
                <w:rFonts w:ascii="Calibri" w:hAnsi="Calibri" w:cs="Calibri"/>
              </w:rPr>
            </w:pPr>
            <w:r w:rsidRPr="00404724">
              <w:rPr>
                <w:rFonts w:ascii="Calibri" w:hAnsi="Calibri" w:cs="Calibri"/>
              </w:rPr>
              <w:t>1.4</w:t>
            </w:r>
          </w:p>
        </w:tc>
        <w:tc>
          <w:tcPr>
            <w:tcW w:w="2221" w:type="dxa"/>
            <w:shd w:val="clear" w:color="auto" w:fill="E2F2EA" w:themeFill="accent6" w:themeFillTint="33"/>
          </w:tcPr>
          <w:p w14:paraId="57E3843A" w14:textId="77777777" w:rsidR="00C426BA" w:rsidRPr="00404724" w:rsidRDefault="00C426BA" w:rsidP="000A13C5">
            <w:pPr>
              <w:jc w:val="center"/>
              <w:rPr>
                <w:rFonts w:ascii="Calibri" w:hAnsi="Calibri" w:cs="Calibri"/>
              </w:rPr>
            </w:pPr>
            <w:r w:rsidRPr="00404724">
              <w:rPr>
                <w:rFonts w:ascii="Calibri" w:hAnsi="Calibri" w:cs="Calibri"/>
              </w:rPr>
              <w:t>2.4</w:t>
            </w:r>
          </w:p>
        </w:tc>
        <w:tc>
          <w:tcPr>
            <w:tcW w:w="2221" w:type="dxa"/>
          </w:tcPr>
          <w:p w14:paraId="4E548042" w14:textId="77777777" w:rsidR="00C426BA" w:rsidRPr="00404724" w:rsidRDefault="00C426BA" w:rsidP="000A13C5">
            <w:pPr>
              <w:jc w:val="center"/>
              <w:rPr>
                <w:rFonts w:ascii="Calibri" w:hAnsi="Calibri" w:cs="Calibri"/>
              </w:rPr>
            </w:pPr>
            <w:r w:rsidRPr="00404724">
              <w:rPr>
                <w:rFonts w:ascii="Calibri" w:hAnsi="Calibri" w:cs="Calibri"/>
              </w:rPr>
              <w:t>4.3</w:t>
            </w:r>
          </w:p>
        </w:tc>
      </w:tr>
      <w:tr w:rsidR="00C426BA" w:rsidRPr="00404724" w14:paraId="3BB33FC8" w14:textId="77777777" w:rsidTr="00D7348D">
        <w:trPr>
          <w:cantSplit/>
        </w:trPr>
        <w:tc>
          <w:tcPr>
            <w:tcW w:w="3256" w:type="dxa"/>
          </w:tcPr>
          <w:p w14:paraId="35A8A8D9" w14:textId="77777777" w:rsidR="00C426BA" w:rsidRPr="00404724" w:rsidRDefault="00C426BA" w:rsidP="00BB5FCD">
            <w:pPr>
              <w:rPr>
                <w:rFonts w:ascii="Calibri" w:hAnsi="Calibri" w:cs="Calibri"/>
              </w:rPr>
            </w:pPr>
            <w:r w:rsidRPr="00404724">
              <w:rPr>
                <w:rFonts w:ascii="Calibri" w:hAnsi="Calibri" w:cs="Calibri"/>
              </w:rPr>
              <w:t>Upper bound VKT estimate</w:t>
            </w:r>
          </w:p>
        </w:tc>
        <w:tc>
          <w:tcPr>
            <w:tcW w:w="2220" w:type="dxa"/>
          </w:tcPr>
          <w:p w14:paraId="226261CE" w14:textId="77777777" w:rsidR="00C426BA" w:rsidRPr="00404724" w:rsidRDefault="00C426BA" w:rsidP="000A13C5">
            <w:pPr>
              <w:jc w:val="center"/>
              <w:rPr>
                <w:rFonts w:ascii="Calibri" w:hAnsi="Calibri" w:cs="Calibri"/>
              </w:rPr>
            </w:pPr>
            <w:r w:rsidRPr="00404724">
              <w:rPr>
                <w:rFonts w:ascii="Calibri" w:hAnsi="Calibri" w:cs="Calibri"/>
              </w:rPr>
              <w:t>0.6</w:t>
            </w:r>
          </w:p>
        </w:tc>
        <w:tc>
          <w:tcPr>
            <w:tcW w:w="2221" w:type="dxa"/>
          </w:tcPr>
          <w:p w14:paraId="334ECE90" w14:textId="77777777" w:rsidR="00C426BA" w:rsidRPr="00404724" w:rsidRDefault="00C426BA" w:rsidP="000A13C5">
            <w:pPr>
              <w:jc w:val="center"/>
              <w:rPr>
                <w:rFonts w:ascii="Calibri" w:hAnsi="Calibri" w:cs="Calibri"/>
              </w:rPr>
            </w:pPr>
            <w:r w:rsidRPr="00404724">
              <w:rPr>
                <w:rFonts w:ascii="Calibri" w:hAnsi="Calibri" w:cs="Calibri"/>
              </w:rPr>
              <w:t>1.0</w:t>
            </w:r>
          </w:p>
        </w:tc>
        <w:tc>
          <w:tcPr>
            <w:tcW w:w="2221" w:type="dxa"/>
            <w:shd w:val="clear" w:color="auto" w:fill="E2F2EA" w:themeFill="accent6" w:themeFillTint="33"/>
          </w:tcPr>
          <w:p w14:paraId="71574306" w14:textId="77777777" w:rsidR="00C426BA" w:rsidRPr="00404724" w:rsidRDefault="00C426BA" w:rsidP="000A13C5">
            <w:pPr>
              <w:jc w:val="center"/>
              <w:rPr>
                <w:rFonts w:ascii="Calibri" w:hAnsi="Calibri" w:cs="Calibri"/>
              </w:rPr>
            </w:pPr>
            <w:r w:rsidRPr="00404724">
              <w:rPr>
                <w:rFonts w:ascii="Calibri" w:hAnsi="Calibri" w:cs="Calibri"/>
              </w:rPr>
              <w:t>1.7</w:t>
            </w:r>
          </w:p>
        </w:tc>
      </w:tr>
      <w:tr w:rsidR="00C426BA" w:rsidRPr="00404724" w14:paraId="7164F51B" w14:textId="77777777" w:rsidTr="00D7348D">
        <w:trPr>
          <w:cantSplit/>
        </w:trPr>
        <w:tc>
          <w:tcPr>
            <w:tcW w:w="3256" w:type="dxa"/>
            <w:shd w:val="clear" w:color="auto" w:fill="EAECEF" w:themeFill="accent4" w:themeFillTint="33"/>
          </w:tcPr>
          <w:p w14:paraId="66A2A635" w14:textId="504AA902" w:rsidR="00C426BA" w:rsidRPr="00404724" w:rsidRDefault="00C426BA" w:rsidP="00BB5FCD">
            <w:pPr>
              <w:rPr>
                <w:rFonts w:ascii="Calibri" w:hAnsi="Calibri" w:cs="Calibri"/>
              </w:rPr>
            </w:pPr>
            <w:r w:rsidRPr="00404724">
              <w:rPr>
                <w:rFonts w:ascii="Calibri" w:hAnsi="Calibri" w:cs="Calibri"/>
              </w:rPr>
              <w:t>100</w:t>
            </w:r>
            <w:r w:rsidR="00C82E00" w:rsidRPr="00404724">
              <w:rPr>
                <w:rFonts w:ascii="Calibri" w:hAnsi="Calibri" w:cs="Calibri"/>
              </w:rPr>
              <w:t xml:space="preserve"> km/h</w:t>
            </w:r>
            <w:r w:rsidRPr="00404724">
              <w:rPr>
                <w:rFonts w:ascii="Calibri" w:hAnsi="Calibri" w:cs="Calibri"/>
              </w:rPr>
              <w:t xml:space="preserve"> to 80</w:t>
            </w:r>
            <w:r w:rsidR="00C82E00" w:rsidRPr="00404724">
              <w:rPr>
                <w:rFonts w:ascii="Calibri" w:hAnsi="Calibri" w:cs="Calibri"/>
              </w:rPr>
              <w:t xml:space="preserve"> km/h</w:t>
            </w:r>
          </w:p>
        </w:tc>
        <w:tc>
          <w:tcPr>
            <w:tcW w:w="2220" w:type="dxa"/>
            <w:shd w:val="clear" w:color="auto" w:fill="EAECEF" w:themeFill="accent4" w:themeFillTint="33"/>
          </w:tcPr>
          <w:p w14:paraId="08CF3532" w14:textId="77777777" w:rsidR="00C426BA" w:rsidRPr="00404724" w:rsidRDefault="00C426BA" w:rsidP="000A13C5">
            <w:pPr>
              <w:jc w:val="center"/>
              <w:rPr>
                <w:rFonts w:ascii="Calibri" w:hAnsi="Calibri" w:cs="Calibri"/>
              </w:rPr>
            </w:pPr>
          </w:p>
        </w:tc>
        <w:tc>
          <w:tcPr>
            <w:tcW w:w="2221" w:type="dxa"/>
            <w:shd w:val="clear" w:color="auto" w:fill="EAECEF" w:themeFill="accent4" w:themeFillTint="33"/>
          </w:tcPr>
          <w:p w14:paraId="10386EE6" w14:textId="77777777" w:rsidR="00C426BA" w:rsidRPr="00404724" w:rsidRDefault="00C426BA" w:rsidP="000A13C5">
            <w:pPr>
              <w:jc w:val="center"/>
              <w:rPr>
                <w:rFonts w:ascii="Calibri" w:hAnsi="Calibri" w:cs="Calibri"/>
              </w:rPr>
            </w:pPr>
          </w:p>
        </w:tc>
        <w:tc>
          <w:tcPr>
            <w:tcW w:w="2221" w:type="dxa"/>
            <w:shd w:val="clear" w:color="auto" w:fill="EAECEF" w:themeFill="accent4" w:themeFillTint="33"/>
          </w:tcPr>
          <w:p w14:paraId="600315B7" w14:textId="77777777" w:rsidR="00C426BA" w:rsidRPr="00404724" w:rsidRDefault="00C426BA" w:rsidP="000A13C5">
            <w:pPr>
              <w:jc w:val="center"/>
              <w:rPr>
                <w:rFonts w:ascii="Calibri" w:hAnsi="Calibri" w:cs="Calibri"/>
              </w:rPr>
            </w:pPr>
          </w:p>
        </w:tc>
      </w:tr>
      <w:tr w:rsidR="00C426BA" w:rsidRPr="00404724" w14:paraId="0D7B0B1D" w14:textId="77777777" w:rsidTr="00D7348D">
        <w:trPr>
          <w:cantSplit/>
        </w:trPr>
        <w:tc>
          <w:tcPr>
            <w:tcW w:w="3256" w:type="dxa"/>
          </w:tcPr>
          <w:p w14:paraId="491BEEAA" w14:textId="77777777" w:rsidR="00C426BA" w:rsidRPr="00404724" w:rsidRDefault="00C426BA" w:rsidP="00BB5FCD">
            <w:pPr>
              <w:rPr>
                <w:rFonts w:ascii="Calibri" w:hAnsi="Calibri" w:cs="Calibri"/>
              </w:rPr>
            </w:pPr>
            <w:r w:rsidRPr="00404724">
              <w:rPr>
                <w:rFonts w:ascii="Calibri" w:hAnsi="Calibri" w:cs="Calibri"/>
              </w:rPr>
              <w:t>Lower bound VKT estimate</w:t>
            </w:r>
          </w:p>
        </w:tc>
        <w:tc>
          <w:tcPr>
            <w:tcW w:w="2220" w:type="dxa"/>
            <w:shd w:val="clear" w:color="auto" w:fill="E2F2EA" w:themeFill="accent6" w:themeFillTint="33"/>
          </w:tcPr>
          <w:p w14:paraId="4F9FD24A" w14:textId="77777777" w:rsidR="00C426BA" w:rsidRPr="00404724" w:rsidRDefault="00C426BA" w:rsidP="000A13C5">
            <w:pPr>
              <w:jc w:val="center"/>
              <w:rPr>
                <w:rFonts w:ascii="Calibri" w:hAnsi="Calibri" w:cs="Calibri"/>
              </w:rPr>
            </w:pPr>
            <w:r w:rsidRPr="00404724">
              <w:rPr>
                <w:rFonts w:ascii="Calibri" w:hAnsi="Calibri" w:cs="Calibri"/>
              </w:rPr>
              <w:t>2.2</w:t>
            </w:r>
          </w:p>
        </w:tc>
        <w:tc>
          <w:tcPr>
            <w:tcW w:w="2221" w:type="dxa"/>
          </w:tcPr>
          <w:p w14:paraId="41533541" w14:textId="77777777" w:rsidR="00C426BA" w:rsidRPr="00404724" w:rsidRDefault="00C426BA" w:rsidP="000A13C5">
            <w:pPr>
              <w:jc w:val="center"/>
              <w:rPr>
                <w:rFonts w:ascii="Calibri" w:hAnsi="Calibri" w:cs="Calibri"/>
              </w:rPr>
            </w:pPr>
            <w:r w:rsidRPr="00404724">
              <w:rPr>
                <w:rFonts w:ascii="Calibri" w:hAnsi="Calibri" w:cs="Calibri"/>
              </w:rPr>
              <w:t>4.1</w:t>
            </w:r>
          </w:p>
        </w:tc>
        <w:tc>
          <w:tcPr>
            <w:tcW w:w="2221" w:type="dxa"/>
          </w:tcPr>
          <w:p w14:paraId="302EC652" w14:textId="77777777" w:rsidR="00C426BA" w:rsidRPr="00404724" w:rsidRDefault="00C426BA" w:rsidP="000A13C5">
            <w:pPr>
              <w:jc w:val="center"/>
              <w:rPr>
                <w:rFonts w:ascii="Calibri" w:hAnsi="Calibri" w:cs="Calibri"/>
              </w:rPr>
            </w:pPr>
            <w:r w:rsidRPr="00404724">
              <w:rPr>
                <w:rFonts w:ascii="Calibri" w:hAnsi="Calibri" w:cs="Calibri"/>
              </w:rPr>
              <w:t>7.5</w:t>
            </w:r>
          </w:p>
        </w:tc>
      </w:tr>
      <w:tr w:rsidR="00C426BA" w:rsidRPr="00404724" w14:paraId="7AEAC631" w14:textId="77777777" w:rsidTr="00D7348D">
        <w:trPr>
          <w:cantSplit/>
        </w:trPr>
        <w:tc>
          <w:tcPr>
            <w:tcW w:w="3256" w:type="dxa"/>
          </w:tcPr>
          <w:p w14:paraId="44660A69" w14:textId="3834CE48" w:rsidR="00C426BA" w:rsidRPr="00404724" w:rsidRDefault="007843DB" w:rsidP="00BB5FCD">
            <w:pPr>
              <w:rPr>
                <w:rFonts w:ascii="Calibri" w:hAnsi="Calibri" w:cs="Calibri"/>
              </w:rPr>
            </w:pPr>
            <w:r w:rsidRPr="00404724">
              <w:rPr>
                <w:rFonts w:ascii="Calibri" w:hAnsi="Calibri" w:cs="Calibri"/>
              </w:rPr>
              <w:t>Middle</w:t>
            </w:r>
            <w:r w:rsidR="00C426BA" w:rsidRPr="00404724">
              <w:rPr>
                <w:rFonts w:ascii="Calibri" w:hAnsi="Calibri" w:cs="Calibri"/>
              </w:rPr>
              <w:t xml:space="preserve"> VKT estimate</w:t>
            </w:r>
          </w:p>
        </w:tc>
        <w:tc>
          <w:tcPr>
            <w:tcW w:w="2220" w:type="dxa"/>
          </w:tcPr>
          <w:p w14:paraId="19AA44CD" w14:textId="77777777" w:rsidR="00C426BA" w:rsidRPr="00404724" w:rsidRDefault="00C426BA" w:rsidP="000A13C5">
            <w:pPr>
              <w:jc w:val="center"/>
              <w:rPr>
                <w:rFonts w:ascii="Calibri" w:hAnsi="Calibri" w:cs="Calibri"/>
              </w:rPr>
            </w:pPr>
            <w:r w:rsidRPr="00404724">
              <w:rPr>
                <w:rFonts w:ascii="Calibri" w:hAnsi="Calibri" w:cs="Calibri"/>
              </w:rPr>
              <w:t>1.2</w:t>
            </w:r>
          </w:p>
        </w:tc>
        <w:tc>
          <w:tcPr>
            <w:tcW w:w="2221" w:type="dxa"/>
            <w:shd w:val="clear" w:color="auto" w:fill="E2F2EA" w:themeFill="accent6" w:themeFillTint="33"/>
          </w:tcPr>
          <w:p w14:paraId="341E1A1B" w14:textId="77777777" w:rsidR="00C426BA" w:rsidRPr="00404724" w:rsidRDefault="00C426BA" w:rsidP="000A13C5">
            <w:pPr>
              <w:jc w:val="center"/>
              <w:rPr>
                <w:rFonts w:ascii="Calibri" w:hAnsi="Calibri" w:cs="Calibri"/>
              </w:rPr>
            </w:pPr>
            <w:r w:rsidRPr="00404724">
              <w:rPr>
                <w:rFonts w:ascii="Calibri" w:hAnsi="Calibri" w:cs="Calibri"/>
              </w:rPr>
              <w:t>2.2</w:t>
            </w:r>
          </w:p>
        </w:tc>
        <w:tc>
          <w:tcPr>
            <w:tcW w:w="2221" w:type="dxa"/>
          </w:tcPr>
          <w:p w14:paraId="01DC490A" w14:textId="77777777" w:rsidR="00C426BA" w:rsidRPr="00404724" w:rsidRDefault="00C426BA" w:rsidP="000A13C5">
            <w:pPr>
              <w:jc w:val="center"/>
              <w:rPr>
                <w:rFonts w:ascii="Calibri" w:hAnsi="Calibri" w:cs="Calibri"/>
              </w:rPr>
            </w:pPr>
            <w:r w:rsidRPr="00404724">
              <w:rPr>
                <w:rFonts w:ascii="Calibri" w:hAnsi="Calibri" w:cs="Calibri"/>
              </w:rPr>
              <w:t>3.9</w:t>
            </w:r>
          </w:p>
        </w:tc>
      </w:tr>
      <w:tr w:rsidR="00C426BA" w:rsidRPr="00404724" w14:paraId="69CE97CA" w14:textId="77777777" w:rsidTr="00D7348D">
        <w:trPr>
          <w:cantSplit/>
        </w:trPr>
        <w:tc>
          <w:tcPr>
            <w:tcW w:w="3256" w:type="dxa"/>
          </w:tcPr>
          <w:p w14:paraId="1BC24389" w14:textId="77777777" w:rsidR="00C426BA" w:rsidRPr="00404724" w:rsidRDefault="00C426BA" w:rsidP="00BB5FCD">
            <w:pPr>
              <w:rPr>
                <w:rFonts w:ascii="Calibri" w:hAnsi="Calibri" w:cs="Calibri"/>
              </w:rPr>
            </w:pPr>
            <w:r w:rsidRPr="00404724">
              <w:rPr>
                <w:rFonts w:ascii="Calibri" w:hAnsi="Calibri" w:cs="Calibri"/>
              </w:rPr>
              <w:t>Upper bound VKT estimate</w:t>
            </w:r>
          </w:p>
        </w:tc>
        <w:tc>
          <w:tcPr>
            <w:tcW w:w="2220" w:type="dxa"/>
          </w:tcPr>
          <w:p w14:paraId="06A5A162" w14:textId="77777777" w:rsidR="00C426BA" w:rsidRPr="00404724" w:rsidRDefault="00C426BA" w:rsidP="000A13C5">
            <w:pPr>
              <w:jc w:val="center"/>
              <w:rPr>
                <w:rFonts w:ascii="Calibri" w:hAnsi="Calibri" w:cs="Calibri"/>
              </w:rPr>
            </w:pPr>
            <w:r w:rsidRPr="00404724">
              <w:rPr>
                <w:rFonts w:ascii="Calibri" w:hAnsi="Calibri" w:cs="Calibri"/>
              </w:rPr>
              <w:t>0.6</w:t>
            </w:r>
          </w:p>
        </w:tc>
        <w:tc>
          <w:tcPr>
            <w:tcW w:w="2221" w:type="dxa"/>
          </w:tcPr>
          <w:p w14:paraId="1B2CF270" w14:textId="77777777" w:rsidR="00C426BA" w:rsidRPr="00404724" w:rsidRDefault="00C426BA" w:rsidP="000A13C5">
            <w:pPr>
              <w:jc w:val="center"/>
              <w:rPr>
                <w:rFonts w:ascii="Calibri" w:hAnsi="Calibri" w:cs="Calibri"/>
              </w:rPr>
            </w:pPr>
            <w:r w:rsidRPr="00404724">
              <w:rPr>
                <w:rFonts w:ascii="Calibri" w:hAnsi="Calibri" w:cs="Calibri"/>
              </w:rPr>
              <w:t>0.9</w:t>
            </w:r>
          </w:p>
        </w:tc>
        <w:tc>
          <w:tcPr>
            <w:tcW w:w="2221" w:type="dxa"/>
            <w:shd w:val="clear" w:color="auto" w:fill="E2F2EA" w:themeFill="accent6" w:themeFillTint="33"/>
          </w:tcPr>
          <w:p w14:paraId="265D7141" w14:textId="77777777" w:rsidR="00C426BA" w:rsidRPr="00404724" w:rsidRDefault="00C426BA" w:rsidP="000A13C5">
            <w:pPr>
              <w:jc w:val="center"/>
              <w:rPr>
                <w:rFonts w:ascii="Calibri" w:hAnsi="Calibri" w:cs="Calibri"/>
              </w:rPr>
            </w:pPr>
            <w:r w:rsidRPr="00404724">
              <w:rPr>
                <w:rFonts w:ascii="Calibri" w:hAnsi="Calibri" w:cs="Calibri"/>
              </w:rPr>
              <w:t>1.5</w:t>
            </w:r>
          </w:p>
        </w:tc>
      </w:tr>
      <w:tr w:rsidR="00C426BA" w:rsidRPr="00404724" w14:paraId="01C53936" w14:textId="77777777" w:rsidTr="00D7348D">
        <w:trPr>
          <w:cantSplit/>
        </w:trPr>
        <w:tc>
          <w:tcPr>
            <w:tcW w:w="3256" w:type="dxa"/>
            <w:shd w:val="clear" w:color="auto" w:fill="EAECEF" w:themeFill="accent4" w:themeFillTint="33"/>
          </w:tcPr>
          <w:p w14:paraId="35A1FDAB" w14:textId="69E29C45" w:rsidR="00C426BA" w:rsidRPr="00404724" w:rsidRDefault="00C426BA" w:rsidP="00BB5FCD">
            <w:pPr>
              <w:rPr>
                <w:rFonts w:ascii="Calibri" w:hAnsi="Calibri" w:cs="Calibri"/>
              </w:rPr>
            </w:pPr>
            <w:r w:rsidRPr="00404724">
              <w:rPr>
                <w:rFonts w:ascii="Calibri" w:hAnsi="Calibri" w:cs="Calibri"/>
              </w:rPr>
              <w:t>100</w:t>
            </w:r>
            <w:r w:rsidR="00C82E00" w:rsidRPr="00404724">
              <w:rPr>
                <w:rFonts w:ascii="Calibri" w:hAnsi="Calibri" w:cs="Calibri"/>
              </w:rPr>
              <w:t xml:space="preserve"> km/h</w:t>
            </w:r>
            <w:r w:rsidRPr="00404724">
              <w:rPr>
                <w:rFonts w:ascii="Calibri" w:hAnsi="Calibri" w:cs="Calibri"/>
              </w:rPr>
              <w:t xml:space="preserve"> to 70</w:t>
            </w:r>
            <w:r w:rsidR="00C82E00" w:rsidRPr="00404724">
              <w:rPr>
                <w:rFonts w:ascii="Calibri" w:hAnsi="Calibri" w:cs="Calibri"/>
              </w:rPr>
              <w:t xml:space="preserve"> km/h</w:t>
            </w:r>
          </w:p>
        </w:tc>
        <w:tc>
          <w:tcPr>
            <w:tcW w:w="2220" w:type="dxa"/>
            <w:shd w:val="clear" w:color="auto" w:fill="EAECEF" w:themeFill="accent4" w:themeFillTint="33"/>
          </w:tcPr>
          <w:p w14:paraId="228D686F" w14:textId="77777777" w:rsidR="00C426BA" w:rsidRPr="00404724" w:rsidRDefault="00C426BA" w:rsidP="000A13C5">
            <w:pPr>
              <w:jc w:val="center"/>
              <w:rPr>
                <w:rFonts w:ascii="Calibri" w:hAnsi="Calibri" w:cs="Calibri"/>
              </w:rPr>
            </w:pPr>
          </w:p>
        </w:tc>
        <w:tc>
          <w:tcPr>
            <w:tcW w:w="2221" w:type="dxa"/>
            <w:shd w:val="clear" w:color="auto" w:fill="EAECEF" w:themeFill="accent4" w:themeFillTint="33"/>
          </w:tcPr>
          <w:p w14:paraId="25EC1F9A" w14:textId="77777777" w:rsidR="00C426BA" w:rsidRPr="00404724" w:rsidRDefault="00C426BA" w:rsidP="000A13C5">
            <w:pPr>
              <w:jc w:val="center"/>
              <w:rPr>
                <w:rFonts w:ascii="Calibri" w:hAnsi="Calibri" w:cs="Calibri"/>
              </w:rPr>
            </w:pPr>
          </w:p>
        </w:tc>
        <w:tc>
          <w:tcPr>
            <w:tcW w:w="2221" w:type="dxa"/>
            <w:shd w:val="clear" w:color="auto" w:fill="EAECEF" w:themeFill="accent4" w:themeFillTint="33"/>
          </w:tcPr>
          <w:p w14:paraId="6E85100A" w14:textId="77777777" w:rsidR="00C426BA" w:rsidRPr="00404724" w:rsidRDefault="00C426BA" w:rsidP="000A13C5">
            <w:pPr>
              <w:jc w:val="center"/>
              <w:rPr>
                <w:rFonts w:ascii="Calibri" w:hAnsi="Calibri" w:cs="Calibri"/>
              </w:rPr>
            </w:pPr>
          </w:p>
        </w:tc>
      </w:tr>
      <w:tr w:rsidR="00C426BA" w:rsidRPr="00404724" w14:paraId="4FC21EF4" w14:textId="77777777" w:rsidTr="00D7348D">
        <w:trPr>
          <w:cantSplit/>
        </w:trPr>
        <w:tc>
          <w:tcPr>
            <w:tcW w:w="3256" w:type="dxa"/>
          </w:tcPr>
          <w:p w14:paraId="06307D8D" w14:textId="77777777" w:rsidR="00C426BA" w:rsidRPr="00404724" w:rsidRDefault="00C426BA" w:rsidP="00BB5FCD">
            <w:pPr>
              <w:rPr>
                <w:rFonts w:ascii="Calibri" w:hAnsi="Calibri" w:cs="Calibri"/>
              </w:rPr>
            </w:pPr>
            <w:r w:rsidRPr="00404724">
              <w:rPr>
                <w:rFonts w:ascii="Calibri" w:hAnsi="Calibri" w:cs="Calibri"/>
              </w:rPr>
              <w:t>Lower bound VKT estimate</w:t>
            </w:r>
          </w:p>
        </w:tc>
        <w:tc>
          <w:tcPr>
            <w:tcW w:w="2220" w:type="dxa"/>
            <w:shd w:val="clear" w:color="auto" w:fill="E2F2EA" w:themeFill="accent6" w:themeFillTint="33"/>
          </w:tcPr>
          <w:p w14:paraId="0D4D2ECB" w14:textId="77777777" w:rsidR="00C426BA" w:rsidRPr="00404724" w:rsidRDefault="00C426BA" w:rsidP="000A13C5">
            <w:pPr>
              <w:jc w:val="center"/>
              <w:rPr>
                <w:rFonts w:ascii="Calibri" w:hAnsi="Calibri" w:cs="Calibri"/>
              </w:rPr>
            </w:pPr>
            <w:r w:rsidRPr="00404724">
              <w:rPr>
                <w:rFonts w:ascii="Calibri" w:hAnsi="Calibri" w:cs="Calibri"/>
              </w:rPr>
              <w:t>1.9</w:t>
            </w:r>
          </w:p>
        </w:tc>
        <w:tc>
          <w:tcPr>
            <w:tcW w:w="2221" w:type="dxa"/>
          </w:tcPr>
          <w:p w14:paraId="6508DE6D" w14:textId="77777777" w:rsidR="00C426BA" w:rsidRPr="00404724" w:rsidRDefault="00C426BA" w:rsidP="000A13C5">
            <w:pPr>
              <w:jc w:val="center"/>
              <w:rPr>
                <w:rFonts w:ascii="Calibri" w:hAnsi="Calibri" w:cs="Calibri"/>
              </w:rPr>
            </w:pPr>
            <w:r w:rsidRPr="00404724">
              <w:rPr>
                <w:rFonts w:ascii="Calibri" w:hAnsi="Calibri" w:cs="Calibri"/>
              </w:rPr>
              <w:t>3.6</w:t>
            </w:r>
          </w:p>
        </w:tc>
        <w:tc>
          <w:tcPr>
            <w:tcW w:w="2221" w:type="dxa"/>
          </w:tcPr>
          <w:p w14:paraId="2049F17D" w14:textId="77777777" w:rsidR="00C426BA" w:rsidRPr="00404724" w:rsidRDefault="00C426BA" w:rsidP="000A13C5">
            <w:pPr>
              <w:jc w:val="center"/>
              <w:rPr>
                <w:rFonts w:ascii="Calibri" w:hAnsi="Calibri" w:cs="Calibri"/>
              </w:rPr>
            </w:pPr>
            <w:r w:rsidRPr="00404724">
              <w:rPr>
                <w:rFonts w:ascii="Calibri" w:hAnsi="Calibri" w:cs="Calibri"/>
              </w:rPr>
              <w:t>6.6</w:t>
            </w:r>
          </w:p>
        </w:tc>
      </w:tr>
      <w:tr w:rsidR="00C426BA" w:rsidRPr="00404724" w14:paraId="5B292A5F" w14:textId="77777777" w:rsidTr="00D7348D">
        <w:trPr>
          <w:cantSplit/>
        </w:trPr>
        <w:tc>
          <w:tcPr>
            <w:tcW w:w="3256" w:type="dxa"/>
          </w:tcPr>
          <w:p w14:paraId="652A489C" w14:textId="5CDA8190" w:rsidR="00C426BA" w:rsidRPr="00404724" w:rsidRDefault="007843DB" w:rsidP="00BB5FCD">
            <w:pPr>
              <w:rPr>
                <w:rFonts w:ascii="Calibri" w:hAnsi="Calibri" w:cs="Calibri"/>
              </w:rPr>
            </w:pPr>
            <w:r w:rsidRPr="00404724">
              <w:rPr>
                <w:rFonts w:ascii="Calibri" w:hAnsi="Calibri" w:cs="Calibri"/>
              </w:rPr>
              <w:t>Middle</w:t>
            </w:r>
            <w:r w:rsidR="00C426BA" w:rsidRPr="00404724">
              <w:rPr>
                <w:rFonts w:ascii="Calibri" w:hAnsi="Calibri" w:cs="Calibri"/>
              </w:rPr>
              <w:t xml:space="preserve"> VKT estimate</w:t>
            </w:r>
          </w:p>
        </w:tc>
        <w:tc>
          <w:tcPr>
            <w:tcW w:w="2220" w:type="dxa"/>
          </w:tcPr>
          <w:p w14:paraId="22307DF0" w14:textId="77777777" w:rsidR="00C426BA" w:rsidRPr="00404724" w:rsidRDefault="00C426BA" w:rsidP="000A13C5">
            <w:pPr>
              <w:jc w:val="center"/>
              <w:rPr>
                <w:rFonts w:ascii="Calibri" w:hAnsi="Calibri" w:cs="Calibri"/>
              </w:rPr>
            </w:pPr>
            <w:r w:rsidRPr="00404724">
              <w:rPr>
                <w:rFonts w:ascii="Calibri" w:hAnsi="Calibri" w:cs="Calibri"/>
              </w:rPr>
              <w:t>1.1</w:t>
            </w:r>
          </w:p>
        </w:tc>
        <w:tc>
          <w:tcPr>
            <w:tcW w:w="2221" w:type="dxa"/>
            <w:shd w:val="clear" w:color="auto" w:fill="E2F2EA" w:themeFill="accent6" w:themeFillTint="33"/>
          </w:tcPr>
          <w:p w14:paraId="395C1DEE" w14:textId="77777777" w:rsidR="00C426BA" w:rsidRPr="00404724" w:rsidRDefault="00C426BA" w:rsidP="000A13C5">
            <w:pPr>
              <w:jc w:val="center"/>
              <w:rPr>
                <w:rFonts w:ascii="Calibri" w:hAnsi="Calibri" w:cs="Calibri"/>
              </w:rPr>
            </w:pPr>
            <w:r w:rsidRPr="00404724">
              <w:rPr>
                <w:rFonts w:ascii="Calibri" w:hAnsi="Calibri" w:cs="Calibri"/>
              </w:rPr>
              <w:t>1.9</w:t>
            </w:r>
          </w:p>
        </w:tc>
        <w:tc>
          <w:tcPr>
            <w:tcW w:w="2221" w:type="dxa"/>
          </w:tcPr>
          <w:p w14:paraId="1DF500B7" w14:textId="77777777" w:rsidR="00C426BA" w:rsidRPr="00404724" w:rsidRDefault="00C426BA" w:rsidP="000A13C5">
            <w:pPr>
              <w:jc w:val="center"/>
              <w:rPr>
                <w:rFonts w:ascii="Calibri" w:hAnsi="Calibri" w:cs="Calibri"/>
              </w:rPr>
            </w:pPr>
            <w:r w:rsidRPr="00404724">
              <w:rPr>
                <w:rFonts w:ascii="Calibri" w:hAnsi="Calibri" w:cs="Calibri"/>
              </w:rPr>
              <w:t>3.4</w:t>
            </w:r>
          </w:p>
        </w:tc>
      </w:tr>
      <w:tr w:rsidR="00C426BA" w:rsidRPr="00404724" w14:paraId="32F2CAD1" w14:textId="77777777" w:rsidTr="00D7348D">
        <w:trPr>
          <w:cantSplit/>
        </w:trPr>
        <w:tc>
          <w:tcPr>
            <w:tcW w:w="3256" w:type="dxa"/>
          </w:tcPr>
          <w:p w14:paraId="554B59B3" w14:textId="77777777" w:rsidR="00C426BA" w:rsidRPr="00404724" w:rsidRDefault="00C426BA" w:rsidP="00BB5FCD">
            <w:pPr>
              <w:rPr>
                <w:rFonts w:ascii="Calibri" w:hAnsi="Calibri" w:cs="Calibri"/>
              </w:rPr>
            </w:pPr>
            <w:r w:rsidRPr="00404724">
              <w:rPr>
                <w:rFonts w:ascii="Calibri" w:hAnsi="Calibri" w:cs="Calibri"/>
              </w:rPr>
              <w:t>Upper bound VKT estimate</w:t>
            </w:r>
          </w:p>
        </w:tc>
        <w:tc>
          <w:tcPr>
            <w:tcW w:w="2220" w:type="dxa"/>
          </w:tcPr>
          <w:p w14:paraId="46BD040A" w14:textId="77777777" w:rsidR="00C426BA" w:rsidRPr="00404724" w:rsidRDefault="00C426BA" w:rsidP="000A13C5">
            <w:pPr>
              <w:jc w:val="center"/>
              <w:rPr>
                <w:rFonts w:ascii="Calibri" w:hAnsi="Calibri" w:cs="Calibri"/>
              </w:rPr>
            </w:pPr>
            <w:r w:rsidRPr="00404724">
              <w:rPr>
                <w:rFonts w:ascii="Calibri" w:hAnsi="Calibri" w:cs="Calibri"/>
              </w:rPr>
              <w:t>0.5</w:t>
            </w:r>
          </w:p>
        </w:tc>
        <w:tc>
          <w:tcPr>
            <w:tcW w:w="2221" w:type="dxa"/>
          </w:tcPr>
          <w:p w14:paraId="5C50CF92" w14:textId="77777777" w:rsidR="00C426BA" w:rsidRPr="00404724" w:rsidRDefault="00C426BA" w:rsidP="000A13C5">
            <w:pPr>
              <w:jc w:val="center"/>
              <w:rPr>
                <w:rFonts w:ascii="Calibri" w:hAnsi="Calibri" w:cs="Calibri"/>
              </w:rPr>
            </w:pPr>
            <w:r w:rsidRPr="00404724">
              <w:rPr>
                <w:rFonts w:ascii="Calibri" w:hAnsi="Calibri" w:cs="Calibri"/>
              </w:rPr>
              <w:t>0.8</w:t>
            </w:r>
          </w:p>
        </w:tc>
        <w:tc>
          <w:tcPr>
            <w:tcW w:w="2221" w:type="dxa"/>
            <w:shd w:val="clear" w:color="auto" w:fill="E2F2EA" w:themeFill="accent6" w:themeFillTint="33"/>
          </w:tcPr>
          <w:p w14:paraId="2337E903" w14:textId="77777777" w:rsidR="00C426BA" w:rsidRPr="00404724" w:rsidRDefault="00C426BA" w:rsidP="000A13C5">
            <w:pPr>
              <w:jc w:val="center"/>
              <w:rPr>
                <w:rFonts w:ascii="Calibri" w:hAnsi="Calibri" w:cs="Calibri"/>
              </w:rPr>
            </w:pPr>
            <w:r w:rsidRPr="00404724">
              <w:rPr>
                <w:rFonts w:ascii="Calibri" w:hAnsi="Calibri" w:cs="Calibri"/>
              </w:rPr>
              <w:t>1.3</w:t>
            </w:r>
          </w:p>
        </w:tc>
      </w:tr>
    </w:tbl>
    <w:p w14:paraId="275B8CA5" w14:textId="07696CCD" w:rsidR="00C426BA" w:rsidRPr="00404724" w:rsidRDefault="00E60A8C" w:rsidP="00C426BA">
      <w:pPr>
        <w:rPr>
          <w:rFonts w:ascii="Calibri" w:hAnsi="Calibri" w:cs="Calibri"/>
        </w:rPr>
      </w:pPr>
      <w:r w:rsidRPr="00404724">
        <w:rPr>
          <w:rFonts w:ascii="Calibri" w:hAnsi="Calibri" w:cs="Calibri"/>
        </w:rPr>
        <w:lastRenderedPageBreak/>
        <w:t xml:space="preserve">The tables below </w:t>
      </w:r>
      <w:r w:rsidR="00C94374" w:rsidRPr="00404724">
        <w:rPr>
          <w:rFonts w:ascii="Calibri" w:hAnsi="Calibri" w:cs="Calibri"/>
        </w:rPr>
        <w:t>show</w:t>
      </w:r>
      <w:r w:rsidRPr="00404724">
        <w:rPr>
          <w:rFonts w:ascii="Calibri" w:hAnsi="Calibri" w:cs="Calibri"/>
        </w:rPr>
        <w:t xml:space="preserve"> the NPV outputs for all 9 assumption permutations for each reduction scenario.</w:t>
      </w:r>
    </w:p>
    <w:p w14:paraId="416BA2F0" w14:textId="7A39264C" w:rsidR="00DB7FA3" w:rsidRPr="00404724" w:rsidRDefault="00DB7FA3" w:rsidP="00C426BA">
      <w:pPr>
        <w:rPr>
          <w:rFonts w:ascii="Calibri" w:hAnsi="Calibri" w:cs="Calibri"/>
          <w:b/>
          <w:bCs/>
        </w:rPr>
      </w:pPr>
      <w:r w:rsidRPr="00404724">
        <w:rPr>
          <w:b/>
          <w:bCs/>
        </w:rPr>
        <w:t xml:space="preserve">Table </w:t>
      </w:r>
      <w:r w:rsidRPr="00404724">
        <w:rPr>
          <w:b/>
          <w:bCs/>
        </w:rPr>
        <w:fldChar w:fldCharType="begin"/>
      </w:r>
      <w:r w:rsidRPr="00404724">
        <w:rPr>
          <w:b/>
          <w:bCs/>
        </w:rPr>
        <w:instrText xml:space="preserve"> SEQ Table \* ARABIC </w:instrText>
      </w:r>
      <w:r w:rsidRPr="00404724">
        <w:rPr>
          <w:b/>
          <w:bCs/>
        </w:rPr>
        <w:fldChar w:fldCharType="separate"/>
      </w:r>
      <w:r w:rsidR="00BF489D">
        <w:rPr>
          <w:b/>
          <w:bCs/>
          <w:noProof/>
        </w:rPr>
        <w:t>39</w:t>
      </w:r>
      <w:r w:rsidRPr="00404724">
        <w:rPr>
          <w:b/>
          <w:bCs/>
        </w:rPr>
        <w:fldChar w:fldCharType="end"/>
      </w:r>
      <w:r w:rsidRPr="00404724">
        <w:rPr>
          <w:b/>
          <w:bCs/>
        </w:rPr>
        <w:tab/>
      </w:r>
      <w:r w:rsidR="00E373FB" w:rsidRPr="00404724">
        <w:rPr>
          <w:b/>
          <w:bCs/>
        </w:rPr>
        <w:t xml:space="preserve">Net present value (NPV) </w:t>
      </w:r>
      <w:r w:rsidRPr="00404724">
        <w:rPr>
          <w:b/>
          <w:bCs/>
        </w:rPr>
        <w:t>results by option by scenario</w:t>
      </w:r>
      <w:r w:rsidR="00463798" w:rsidRPr="00404724">
        <w:rPr>
          <w:b/>
          <w:bCs/>
        </w:rPr>
        <w:t xml:space="preserve"> (2025$)</w:t>
      </w:r>
    </w:p>
    <w:tbl>
      <w:tblPr>
        <w:tblStyle w:val="TableGrid"/>
        <w:tblW w:w="9918" w:type="dxa"/>
        <w:tblLook w:val="04A0" w:firstRow="1" w:lastRow="0" w:firstColumn="1" w:lastColumn="0" w:noHBand="0" w:noVBand="1"/>
        <w:tblCaption w:val="Table 39 Net present value (NPV) results by option by scenario (2025$)"/>
        <w:tblDescription w:val="Table 39 Net present value (NPV) results by option by scenario (2025$)"/>
      </w:tblPr>
      <w:tblGrid>
        <w:gridCol w:w="3256"/>
        <w:gridCol w:w="2220"/>
        <w:gridCol w:w="2221"/>
        <w:gridCol w:w="2221"/>
      </w:tblGrid>
      <w:tr w:rsidR="00C426BA" w:rsidRPr="00404724" w14:paraId="78CB6D89" w14:textId="77777777" w:rsidTr="008D533E">
        <w:trPr>
          <w:cantSplit/>
          <w:tblHeader/>
        </w:trPr>
        <w:tc>
          <w:tcPr>
            <w:tcW w:w="3256" w:type="dxa"/>
            <w:vMerge w:val="restart"/>
            <w:shd w:val="clear" w:color="auto" w:fill="081E3E" w:themeFill="text2"/>
          </w:tcPr>
          <w:p w14:paraId="7E2F4BD0" w14:textId="77777777" w:rsidR="00C426BA" w:rsidRPr="00404724" w:rsidRDefault="00C426BA" w:rsidP="00BB5FCD">
            <w:pPr>
              <w:rPr>
                <w:rFonts w:ascii="Calibri" w:hAnsi="Calibri" w:cs="Calibri"/>
                <w:b/>
                <w:bCs/>
                <w:color w:val="FFFFFF" w:themeColor="background1"/>
              </w:rPr>
            </w:pPr>
            <w:r w:rsidRPr="00404724">
              <w:rPr>
                <w:rFonts w:ascii="Calibri" w:hAnsi="Calibri" w:cs="Calibri"/>
                <w:b/>
                <w:bCs/>
                <w:color w:val="FFFFFF" w:themeColor="background1"/>
              </w:rPr>
              <w:t>VKT Bound</w:t>
            </w:r>
          </w:p>
        </w:tc>
        <w:tc>
          <w:tcPr>
            <w:tcW w:w="6662" w:type="dxa"/>
            <w:gridSpan w:val="3"/>
            <w:shd w:val="clear" w:color="auto" w:fill="081E3E" w:themeFill="text2"/>
          </w:tcPr>
          <w:p w14:paraId="777C5B67" w14:textId="284950B5" w:rsidR="00C426BA" w:rsidRPr="00404724" w:rsidRDefault="00C426BA" w:rsidP="00BB5FCD">
            <w:pPr>
              <w:jc w:val="center"/>
              <w:rPr>
                <w:rFonts w:ascii="Calibri" w:hAnsi="Calibri" w:cs="Calibri"/>
                <w:b/>
                <w:bCs/>
                <w:color w:val="FFFFFF" w:themeColor="background1"/>
              </w:rPr>
            </w:pPr>
            <w:r w:rsidRPr="00404724">
              <w:rPr>
                <w:rFonts w:ascii="Calibri" w:hAnsi="Calibri" w:cs="Calibri"/>
                <w:b/>
                <w:bCs/>
                <w:color w:val="FFFFFF" w:themeColor="background1"/>
              </w:rPr>
              <w:t>% of FSI on default sealed roads</w:t>
            </w:r>
            <w:r w:rsidR="007843DB" w:rsidRPr="00404724">
              <w:rPr>
                <w:rFonts w:ascii="Calibri" w:hAnsi="Calibri" w:cs="Calibri"/>
                <w:b/>
                <w:bCs/>
                <w:color w:val="FFFFFF" w:themeColor="background1"/>
              </w:rPr>
              <w:t xml:space="preserve"> outside of </w:t>
            </w:r>
            <w:r w:rsidR="00C94374" w:rsidRPr="00404724">
              <w:rPr>
                <w:rFonts w:ascii="Calibri" w:hAnsi="Calibri" w:cs="Calibri"/>
                <w:b/>
                <w:bCs/>
                <w:color w:val="FFFFFF" w:themeColor="background1"/>
              </w:rPr>
              <w:t>built-up</w:t>
            </w:r>
            <w:r w:rsidR="007843DB" w:rsidRPr="00404724">
              <w:rPr>
                <w:rFonts w:ascii="Calibri" w:hAnsi="Calibri" w:cs="Calibri"/>
                <w:b/>
                <w:bCs/>
                <w:color w:val="FFFFFF" w:themeColor="background1"/>
              </w:rPr>
              <w:t xml:space="preserve"> areas</w:t>
            </w:r>
          </w:p>
        </w:tc>
      </w:tr>
      <w:tr w:rsidR="00C426BA" w:rsidRPr="00404724" w14:paraId="20A8832F" w14:textId="77777777" w:rsidTr="008D533E">
        <w:trPr>
          <w:cantSplit/>
        </w:trPr>
        <w:tc>
          <w:tcPr>
            <w:tcW w:w="3256" w:type="dxa"/>
            <w:vMerge/>
            <w:shd w:val="clear" w:color="auto" w:fill="081E3E" w:themeFill="text2"/>
          </w:tcPr>
          <w:p w14:paraId="2F3608FF" w14:textId="77777777" w:rsidR="00C426BA" w:rsidRPr="00404724" w:rsidRDefault="00C426BA" w:rsidP="00BB5FCD">
            <w:pPr>
              <w:rPr>
                <w:rFonts w:ascii="Calibri" w:hAnsi="Calibri" w:cs="Calibri"/>
                <w:b/>
                <w:bCs/>
                <w:color w:val="FFFFFF" w:themeColor="background1"/>
              </w:rPr>
            </w:pPr>
          </w:p>
        </w:tc>
        <w:tc>
          <w:tcPr>
            <w:tcW w:w="2220" w:type="dxa"/>
            <w:shd w:val="clear" w:color="auto" w:fill="081E3E" w:themeFill="text2"/>
          </w:tcPr>
          <w:p w14:paraId="4703EB97" w14:textId="77777777" w:rsidR="00C426BA" w:rsidRPr="00404724" w:rsidRDefault="00C426BA" w:rsidP="000A13C5">
            <w:pPr>
              <w:jc w:val="right"/>
              <w:rPr>
                <w:rFonts w:ascii="Calibri" w:hAnsi="Calibri" w:cs="Calibri"/>
                <w:b/>
                <w:bCs/>
                <w:color w:val="FFFFFF" w:themeColor="background1"/>
              </w:rPr>
            </w:pPr>
            <w:r w:rsidRPr="00404724">
              <w:rPr>
                <w:rFonts w:ascii="Calibri" w:hAnsi="Calibri" w:cs="Calibri"/>
                <w:b/>
                <w:bCs/>
                <w:color w:val="FFFFFF" w:themeColor="background1"/>
              </w:rPr>
              <w:t>10%</w:t>
            </w:r>
          </w:p>
        </w:tc>
        <w:tc>
          <w:tcPr>
            <w:tcW w:w="2221" w:type="dxa"/>
            <w:shd w:val="clear" w:color="auto" w:fill="081E3E" w:themeFill="text2"/>
          </w:tcPr>
          <w:p w14:paraId="7C71C83C" w14:textId="77777777" w:rsidR="00C426BA" w:rsidRPr="00404724" w:rsidRDefault="00C426BA" w:rsidP="000A13C5">
            <w:pPr>
              <w:jc w:val="right"/>
              <w:rPr>
                <w:rFonts w:ascii="Calibri" w:hAnsi="Calibri" w:cs="Calibri"/>
                <w:b/>
                <w:bCs/>
                <w:color w:val="FFFFFF" w:themeColor="background1"/>
              </w:rPr>
            </w:pPr>
            <w:r w:rsidRPr="00404724">
              <w:rPr>
                <w:rFonts w:ascii="Calibri" w:hAnsi="Calibri" w:cs="Calibri"/>
                <w:b/>
                <w:bCs/>
                <w:color w:val="FFFFFF" w:themeColor="background1"/>
              </w:rPr>
              <w:t>20%</w:t>
            </w:r>
          </w:p>
        </w:tc>
        <w:tc>
          <w:tcPr>
            <w:tcW w:w="2221" w:type="dxa"/>
            <w:shd w:val="clear" w:color="auto" w:fill="081E3E" w:themeFill="text2"/>
          </w:tcPr>
          <w:p w14:paraId="341B9178" w14:textId="77777777" w:rsidR="00C426BA" w:rsidRPr="00404724" w:rsidRDefault="00C426BA" w:rsidP="000A13C5">
            <w:pPr>
              <w:jc w:val="right"/>
              <w:rPr>
                <w:rFonts w:ascii="Calibri" w:hAnsi="Calibri" w:cs="Calibri"/>
                <w:b/>
                <w:bCs/>
                <w:color w:val="FFFFFF" w:themeColor="background1"/>
              </w:rPr>
            </w:pPr>
            <w:r w:rsidRPr="00404724">
              <w:rPr>
                <w:rFonts w:ascii="Calibri" w:hAnsi="Calibri" w:cs="Calibri"/>
                <w:b/>
                <w:bCs/>
                <w:color w:val="FFFFFF" w:themeColor="background1"/>
              </w:rPr>
              <w:t>38%</w:t>
            </w:r>
          </w:p>
        </w:tc>
      </w:tr>
      <w:tr w:rsidR="00C426BA" w:rsidRPr="00404724" w14:paraId="71DD40DE" w14:textId="77777777" w:rsidTr="008D533E">
        <w:trPr>
          <w:cantSplit/>
        </w:trPr>
        <w:tc>
          <w:tcPr>
            <w:tcW w:w="3256" w:type="dxa"/>
            <w:shd w:val="clear" w:color="auto" w:fill="EAECEF" w:themeFill="accent4" w:themeFillTint="33"/>
          </w:tcPr>
          <w:p w14:paraId="7BBD6CB3" w14:textId="1C1C688A" w:rsidR="00C426BA" w:rsidRPr="00404724" w:rsidRDefault="00C426BA" w:rsidP="00BB5FCD">
            <w:pPr>
              <w:rPr>
                <w:rFonts w:ascii="Calibri" w:hAnsi="Calibri" w:cs="Calibri"/>
              </w:rPr>
            </w:pPr>
            <w:r w:rsidRPr="00404724">
              <w:rPr>
                <w:rFonts w:ascii="Calibri" w:hAnsi="Calibri" w:cs="Calibri"/>
              </w:rPr>
              <w:t>100</w:t>
            </w:r>
            <w:r w:rsidR="00C82E00" w:rsidRPr="00404724">
              <w:rPr>
                <w:rFonts w:ascii="Calibri" w:hAnsi="Calibri" w:cs="Calibri"/>
              </w:rPr>
              <w:t xml:space="preserve"> km/h</w:t>
            </w:r>
            <w:r w:rsidRPr="00404724">
              <w:rPr>
                <w:rFonts w:ascii="Calibri" w:hAnsi="Calibri" w:cs="Calibri"/>
              </w:rPr>
              <w:t xml:space="preserve"> to 90</w:t>
            </w:r>
            <w:r w:rsidR="00C82E00" w:rsidRPr="00404724">
              <w:rPr>
                <w:rFonts w:ascii="Calibri" w:hAnsi="Calibri" w:cs="Calibri"/>
              </w:rPr>
              <w:t xml:space="preserve"> km/h</w:t>
            </w:r>
          </w:p>
        </w:tc>
        <w:tc>
          <w:tcPr>
            <w:tcW w:w="2220" w:type="dxa"/>
            <w:shd w:val="clear" w:color="auto" w:fill="EAECEF" w:themeFill="accent4" w:themeFillTint="33"/>
          </w:tcPr>
          <w:p w14:paraId="2D000BEF" w14:textId="77777777" w:rsidR="00C426BA" w:rsidRPr="00404724" w:rsidRDefault="00C426BA" w:rsidP="000A13C5">
            <w:pPr>
              <w:jc w:val="right"/>
              <w:rPr>
                <w:rFonts w:ascii="Calibri" w:hAnsi="Calibri" w:cs="Calibri"/>
              </w:rPr>
            </w:pPr>
          </w:p>
        </w:tc>
        <w:tc>
          <w:tcPr>
            <w:tcW w:w="2221" w:type="dxa"/>
            <w:shd w:val="clear" w:color="auto" w:fill="EAECEF" w:themeFill="accent4" w:themeFillTint="33"/>
          </w:tcPr>
          <w:p w14:paraId="75D6A1DE" w14:textId="77777777" w:rsidR="00C426BA" w:rsidRPr="00404724" w:rsidRDefault="00C426BA" w:rsidP="000A13C5">
            <w:pPr>
              <w:jc w:val="right"/>
              <w:rPr>
                <w:rFonts w:ascii="Calibri" w:hAnsi="Calibri" w:cs="Calibri"/>
              </w:rPr>
            </w:pPr>
          </w:p>
        </w:tc>
        <w:tc>
          <w:tcPr>
            <w:tcW w:w="2221" w:type="dxa"/>
            <w:shd w:val="clear" w:color="auto" w:fill="EAECEF" w:themeFill="accent4" w:themeFillTint="33"/>
          </w:tcPr>
          <w:p w14:paraId="460CBDE1" w14:textId="77777777" w:rsidR="00C426BA" w:rsidRPr="00404724" w:rsidRDefault="00C426BA" w:rsidP="000A13C5">
            <w:pPr>
              <w:jc w:val="right"/>
              <w:rPr>
                <w:rFonts w:ascii="Calibri" w:hAnsi="Calibri" w:cs="Calibri"/>
              </w:rPr>
            </w:pPr>
          </w:p>
        </w:tc>
      </w:tr>
      <w:tr w:rsidR="00C426BA" w:rsidRPr="00404724" w14:paraId="6AEE7491" w14:textId="77777777" w:rsidTr="008D533E">
        <w:trPr>
          <w:cantSplit/>
        </w:trPr>
        <w:tc>
          <w:tcPr>
            <w:tcW w:w="3256" w:type="dxa"/>
          </w:tcPr>
          <w:p w14:paraId="500E8693" w14:textId="77777777" w:rsidR="00C426BA" w:rsidRPr="00404724" w:rsidRDefault="00C426BA" w:rsidP="00BB5FCD">
            <w:pPr>
              <w:rPr>
                <w:rFonts w:ascii="Calibri" w:hAnsi="Calibri" w:cs="Calibri"/>
              </w:rPr>
            </w:pPr>
            <w:r w:rsidRPr="00404724">
              <w:rPr>
                <w:rFonts w:ascii="Calibri" w:hAnsi="Calibri" w:cs="Calibri"/>
              </w:rPr>
              <w:t>Lower bound VKT estimate</w:t>
            </w:r>
          </w:p>
        </w:tc>
        <w:tc>
          <w:tcPr>
            <w:tcW w:w="2220" w:type="dxa"/>
            <w:shd w:val="clear" w:color="auto" w:fill="E2F2EA" w:themeFill="accent6" w:themeFillTint="33"/>
          </w:tcPr>
          <w:p w14:paraId="584D8E0B" w14:textId="77777777" w:rsidR="00C426BA" w:rsidRPr="00404724" w:rsidRDefault="00C426BA" w:rsidP="000A13C5">
            <w:pPr>
              <w:jc w:val="right"/>
              <w:rPr>
                <w:rFonts w:ascii="Calibri" w:hAnsi="Calibri" w:cs="Calibri"/>
              </w:rPr>
            </w:pPr>
            <w:r w:rsidRPr="00404724">
              <w:rPr>
                <w:rFonts w:ascii="Calibri" w:hAnsi="Calibri" w:cs="Calibri"/>
              </w:rPr>
              <w:t>$678.7</w:t>
            </w:r>
          </w:p>
        </w:tc>
        <w:tc>
          <w:tcPr>
            <w:tcW w:w="2221" w:type="dxa"/>
          </w:tcPr>
          <w:p w14:paraId="324F1144" w14:textId="77777777" w:rsidR="00C426BA" w:rsidRPr="00404724" w:rsidRDefault="00C426BA" w:rsidP="000A13C5">
            <w:pPr>
              <w:jc w:val="right"/>
              <w:rPr>
                <w:rFonts w:ascii="Calibri" w:hAnsi="Calibri" w:cs="Calibri"/>
              </w:rPr>
            </w:pPr>
            <w:r w:rsidRPr="00404724">
              <w:rPr>
                <w:rFonts w:ascii="Calibri" w:hAnsi="Calibri" w:cs="Calibri"/>
              </w:rPr>
              <w:t>$1,705.9</w:t>
            </w:r>
          </w:p>
        </w:tc>
        <w:tc>
          <w:tcPr>
            <w:tcW w:w="2221" w:type="dxa"/>
          </w:tcPr>
          <w:p w14:paraId="1E562C4E" w14:textId="77777777" w:rsidR="00C426BA" w:rsidRPr="00404724" w:rsidRDefault="00C426BA" w:rsidP="000A13C5">
            <w:pPr>
              <w:jc w:val="right"/>
              <w:rPr>
                <w:rFonts w:ascii="Calibri" w:hAnsi="Calibri" w:cs="Calibri"/>
              </w:rPr>
            </w:pPr>
            <w:r w:rsidRPr="00404724">
              <w:rPr>
                <w:rFonts w:ascii="Calibri" w:hAnsi="Calibri" w:cs="Calibri"/>
              </w:rPr>
              <w:t>$3,554.6</w:t>
            </w:r>
          </w:p>
        </w:tc>
      </w:tr>
      <w:tr w:rsidR="00C426BA" w:rsidRPr="00404724" w14:paraId="33BA1DEE" w14:textId="77777777" w:rsidTr="008D533E">
        <w:trPr>
          <w:cantSplit/>
        </w:trPr>
        <w:tc>
          <w:tcPr>
            <w:tcW w:w="3256" w:type="dxa"/>
          </w:tcPr>
          <w:p w14:paraId="58FABC69" w14:textId="1A9C7927" w:rsidR="00C426BA" w:rsidRPr="00404724" w:rsidRDefault="007843DB" w:rsidP="00BB5FCD">
            <w:pPr>
              <w:rPr>
                <w:rFonts w:ascii="Calibri" w:hAnsi="Calibri" w:cs="Calibri"/>
              </w:rPr>
            </w:pPr>
            <w:r w:rsidRPr="00404724">
              <w:rPr>
                <w:rFonts w:ascii="Calibri" w:hAnsi="Calibri" w:cs="Calibri"/>
              </w:rPr>
              <w:t>Middle</w:t>
            </w:r>
            <w:r w:rsidR="00C426BA" w:rsidRPr="00404724">
              <w:rPr>
                <w:rFonts w:ascii="Calibri" w:hAnsi="Calibri" w:cs="Calibri"/>
              </w:rPr>
              <w:t xml:space="preserve"> VKT estimate</w:t>
            </w:r>
          </w:p>
        </w:tc>
        <w:tc>
          <w:tcPr>
            <w:tcW w:w="2220" w:type="dxa"/>
          </w:tcPr>
          <w:p w14:paraId="261AEAFA" w14:textId="77777777" w:rsidR="00C426BA" w:rsidRPr="00404724" w:rsidRDefault="00C426BA" w:rsidP="000A13C5">
            <w:pPr>
              <w:jc w:val="right"/>
              <w:rPr>
                <w:rFonts w:ascii="Calibri" w:hAnsi="Calibri" w:cs="Calibri"/>
              </w:rPr>
            </w:pPr>
            <w:r w:rsidRPr="00404724">
              <w:rPr>
                <w:rFonts w:ascii="Calibri" w:hAnsi="Calibri" w:cs="Calibri"/>
              </w:rPr>
              <w:t>$341.5</w:t>
            </w:r>
          </w:p>
        </w:tc>
        <w:tc>
          <w:tcPr>
            <w:tcW w:w="2221" w:type="dxa"/>
            <w:shd w:val="clear" w:color="auto" w:fill="E2F2EA" w:themeFill="accent6" w:themeFillTint="33"/>
          </w:tcPr>
          <w:p w14:paraId="71B542B2" w14:textId="77777777" w:rsidR="00C426BA" w:rsidRPr="00404724" w:rsidRDefault="00C426BA" w:rsidP="000A13C5">
            <w:pPr>
              <w:jc w:val="right"/>
              <w:rPr>
                <w:rFonts w:ascii="Calibri" w:hAnsi="Calibri" w:cs="Calibri"/>
              </w:rPr>
            </w:pPr>
            <w:r w:rsidRPr="00404724">
              <w:rPr>
                <w:rFonts w:ascii="Calibri" w:hAnsi="Calibri" w:cs="Calibri"/>
              </w:rPr>
              <w:t>$1,368.7</w:t>
            </w:r>
          </w:p>
        </w:tc>
        <w:tc>
          <w:tcPr>
            <w:tcW w:w="2221" w:type="dxa"/>
          </w:tcPr>
          <w:p w14:paraId="51CCAA9D" w14:textId="77777777" w:rsidR="00C426BA" w:rsidRPr="00404724" w:rsidRDefault="00C426BA" w:rsidP="000A13C5">
            <w:pPr>
              <w:jc w:val="right"/>
              <w:rPr>
                <w:rFonts w:ascii="Calibri" w:hAnsi="Calibri" w:cs="Calibri"/>
              </w:rPr>
            </w:pPr>
            <w:r w:rsidRPr="00404724">
              <w:rPr>
                <w:rFonts w:ascii="Calibri" w:hAnsi="Calibri" w:cs="Calibri"/>
              </w:rPr>
              <w:t>$3,217.4</w:t>
            </w:r>
          </w:p>
        </w:tc>
      </w:tr>
      <w:tr w:rsidR="00C426BA" w:rsidRPr="00404724" w14:paraId="5C2D7E8E" w14:textId="77777777" w:rsidTr="008D533E">
        <w:trPr>
          <w:cantSplit/>
        </w:trPr>
        <w:tc>
          <w:tcPr>
            <w:tcW w:w="3256" w:type="dxa"/>
          </w:tcPr>
          <w:p w14:paraId="061B0596" w14:textId="77777777" w:rsidR="00C426BA" w:rsidRPr="00404724" w:rsidRDefault="00C426BA" w:rsidP="00BB5FCD">
            <w:pPr>
              <w:rPr>
                <w:rFonts w:ascii="Calibri" w:hAnsi="Calibri" w:cs="Calibri"/>
              </w:rPr>
            </w:pPr>
            <w:r w:rsidRPr="00404724">
              <w:rPr>
                <w:rFonts w:ascii="Calibri" w:hAnsi="Calibri" w:cs="Calibri"/>
              </w:rPr>
              <w:t>Upper bound VKT estimate</w:t>
            </w:r>
          </w:p>
        </w:tc>
        <w:tc>
          <w:tcPr>
            <w:tcW w:w="2220" w:type="dxa"/>
          </w:tcPr>
          <w:p w14:paraId="55B201F7" w14:textId="77777777" w:rsidR="00C426BA" w:rsidRPr="00404724" w:rsidRDefault="00C426BA" w:rsidP="000A13C5">
            <w:pPr>
              <w:jc w:val="right"/>
              <w:rPr>
                <w:rFonts w:ascii="Calibri" w:hAnsi="Calibri" w:cs="Calibri"/>
              </w:rPr>
            </w:pPr>
            <w:r w:rsidRPr="00404724">
              <w:rPr>
                <w:rFonts w:ascii="Calibri" w:hAnsi="Calibri" w:cs="Calibri"/>
                <w:color w:val="EE0000"/>
              </w:rPr>
              <w:t>-$1,016.3</w:t>
            </w:r>
          </w:p>
        </w:tc>
        <w:tc>
          <w:tcPr>
            <w:tcW w:w="2221" w:type="dxa"/>
          </w:tcPr>
          <w:p w14:paraId="29023C98" w14:textId="77777777" w:rsidR="00C426BA" w:rsidRPr="00404724" w:rsidRDefault="00C426BA" w:rsidP="000A13C5">
            <w:pPr>
              <w:jc w:val="right"/>
              <w:rPr>
                <w:rFonts w:ascii="Calibri" w:hAnsi="Calibri" w:cs="Calibri"/>
              </w:rPr>
            </w:pPr>
            <w:r w:rsidRPr="00404724">
              <w:rPr>
                <w:rFonts w:ascii="Calibri" w:hAnsi="Calibri" w:cs="Calibri"/>
              </w:rPr>
              <w:t>$10.9</w:t>
            </w:r>
          </w:p>
        </w:tc>
        <w:tc>
          <w:tcPr>
            <w:tcW w:w="2221" w:type="dxa"/>
            <w:shd w:val="clear" w:color="auto" w:fill="E2F2EA" w:themeFill="accent6" w:themeFillTint="33"/>
          </w:tcPr>
          <w:p w14:paraId="55DB6138" w14:textId="77777777" w:rsidR="00C426BA" w:rsidRPr="00404724" w:rsidRDefault="00C426BA" w:rsidP="000A13C5">
            <w:pPr>
              <w:jc w:val="right"/>
              <w:rPr>
                <w:rFonts w:ascii="Calibri" w:hAnsi="Calibri" w:cs="Calibri"/>
              </w:rPr>
            </w:pPr>
            <w:r w:rsidRPr="00404724">
              <w:rPr>
                <w:rFonts w:ascii="Calibri" w:hAnsi="Calibri" w:cs="Calibri"/>
              </w:rPr>
              <w:t>$1,859.6</w:t>
            </w:r>
          </w:p>
        </w:tc>
      </w:tr>
      <w:tr w:rsidR="00C426BA" w:rsidRPr="00404724" w14:paraId="7CDC2640" w14:textId="77777777" w:rsidTr="008D533E">
        <w:trPr>
          <w:cantSplit/>
        </w:trPr>
        <w:tc>
          <w:tcPr>
            <w:tcW w:w="3256" w:type="dxa"/>
            <w:shd w:val="clear" w:color="auto" w:fill="EAECEF" w:themeFill="accent4" w:themeFillTint="33"/>
          </w:tcPr>
          <w:p w14:paraId="585CE5ED" w14:textId="147BD29A" w:rsidR="00C426BA" w:rsidRPr="00404724" w:rsidRDefault="00C426BA" w:rsidP="00BB5FCD">
            <w:pPr>
              <w:rPr>
                <w:rFonts w:ascii="Calibri" w:hAnsi="Calibri" w:cs="Calibri"/>
              </w:rPr>
            </w:pPr>
            <w:r w:rsidRPr="00404724">
              <w:rPr>
                <w:rFonts w:ascii="Calibri" w:hAnsi="Calibri" w:cs="Calibri"/>
              </w:rPr>
              <w:t>100</w:t>
            </w:r>
            <w:r w:rsidR="00C82E00" w:rsidRPr="00404724">
              <w:rPr>
                <w:rFonts w:ascii="Calibri" w:hAnsi="Calibri" w:cs="Calibri"/>
              </w:rPr>
              <w:t xml:space="preserve"> km/h</w:t>
            </w:r>
            <w:r w:rsidRPr="00404724">
              <w:rPr>
                <w:rFonts w:ascii="Calibri" w:hAnsi="Calibri" w:cs="Calibri"/>
              </w:rPr>
              <w:t xml:space="preserve"> to 80</w:t>
            </w:r>
            <w:r w:rsidR="00C82E00" w:rsidRPr="00404724">
              <w:rPr>
                <w:rFonts w:ascii="Calibri" w:hAnsi="Calibri" w:cs="Calibri"/>
              </w:rPr>
              <w:t xml:space="preserve"> km/h</w:t>
            </w:r>
          </w:p>
        </w:tc>
        <w:tc>
          <w:tcPr>
            <w:tcW w:w="2220" w:type="dxa"/>
            <w:shd w:val="clear" w:color="auto" w:fill="EAECEF" w:themeFill="accent4" w:themeFillTint="33"/>
          </w:tcPr>
          <w:p w14:paraId="7EED94DA" w14:textId="77777777" w:rsidR="00C426BA" w:rsidRPr="00404724" w:rsidRDefault="00C426BA" w:rsidP="000A13C5">
            <w:pPr>
              <w:jc w:val="right"/>
              <w:rPr>
                <w:rFonts w:ascii="Calibri" w:hAnsi="Calibri" w:cs="Calibri"/>
              </w:rPr>
            </w:pPr>
          </w:p>
        </w:tc>
        <w:tc>
          <w:tcPr>
            <w:tcW w:w="2221" w:type="dxa"/>
            <w:shd w:val="clear" w:color="auto" w:fill="EAECEF" w:themeFill="accent4" w:themeFillTint="33"/>
          </w:tcPr>
          <w:p w14:paraId="7B7474A4" w14:textId="77777777" w:rsidR="00C426BA" w:rsidRPr="00404724" w:rsidRDefault="00C426BA" w:rsidP="000A13C5">
            <w:pPr>
              <w:jc w:val="right"/>
              <w:rPr>
                <w:rFonts w:ascii="Calibri" w:hAnsi="Calibri" w:cs="Calibri"/>
              </w:rPr>
            </w:pPr>
          </w:p>
        </w:tc>
        <w:tc>
          <w:tcPr>
            <w:tcW w:w="2221" w:type="dxa"/>
            <w:shd w:val="clear" w:color="auto" w:fill="EAECEF" w:themeFill="accent4" w:themeFillTint="33"/>
          </w:tcPr>
          <w:p w14:paraId="3DABA4C0" w14:textId="77777777" w:rsidR="00C426BA" w:rsidRPr="00404724" w:rsidRDefault="00C426BA" w:rsidP="000A13C5">
            <w:pPr>
              <w:jc w:val="right"/>
              <w:rPr>
                <w:rFonts w:ascii="Calibri" w:hAnsi="Calibri" w:cs="Calibri"/>
              </w:rPr>
            </w:pPr>
          </w:p>
        </w:tc>
      </w:tr>
      <w:tr w:rsidR="00C426BA" w:rsidRPr="00404724" w14:paraId="3BA21674" w14:textId="77777777" w:rsidTr="008D533E">
        <w:trPr>
          <w:cantSplit/>
        </w:trPr>
        <w:tc>
          <w:tcPr>
            <w:tcW w:w="3256" w:type="dxa"/>
          </w:tcPr>
          <w:p w14:paraId="24B4508D" w14:textId="77777777" w:rsidR="00C426BA" w:rsidRPr="00404724" w:rsidRDefault="00C426BA" w:rsidP="00BB5FCD">
            <w:pPr>
              <w:rPr>
                <w:rFonts w:ascii="Calibri" w:hAnsi="Calibri" w:cs="Calibri"/>
              </w:rPr>
            </w:pPr>
            <w:r w:rsidRPr="00404724">
              <w:rPr>
                <w:rFonts w:ascii="Calibri" w:hAnsi="Calibri" w:cs="Calibri"/>
              </w:rPr>
              <w:t>Lower bound VKT estimate</w:t>
            </w:r>
          </w:p>
        </w:tc>
        <w:tc>
          <w:tcPr>
            <w:tcW w:w="2220" w:type="dxa"/>
            <w:shd w:val="clear" w:color="auto" w:fill="E2F2EA" w:themeFill="accent6" w:themeFillTint="33"/>
          </w:tcPr>
          <w:p w14:paraId="3482E8E5" w14:textId="77777777" w:rsidR="00C426BA" w:rsidRPr="00404724" w:rsidRDefault="00C426BA" w:rsidP="000A13C5">
            <w:pPr>
              <w:jc w:val="right"/>
              <w:rPr>
                <w:rFonts w:ascii="Calibri" w:hAnsi="Calibri" w:cs="Calibri"/>
              </w:rPr>
            </w:pPr>
            <w:r w:rsidRPr="00404724">
              <w:rPr>
                <w:rFonts w:ascii="Calibri" w:hAnsi="Calibri" w:cs="Calibri"/>
              </w:rPr>
              <w:t>$1,348.7</w:t>
            </w:r>
          </w:p>
        </w:tc>
        <w:tc>
          <w:tcPr>
            <w:tcW w:w="2221" w:type="dxa"/>
          </w:tcPr>
          <w:p w14:paraId="1D2D7176" w14:textId="77777777" w:rsidR="00C426BA" w:rsidRPr="00404724" w:rsidRDefault="00C426BA" w:rsidP="000A13C5">
            <w:pPr>
              <w:jc w:val="right"/>
              <w:rPr>
                <w:rFonts w:ascii="Calibri" w:hAnsi="Calibri" w:cs="Calibri"/>
              </w:rPr>
            </w:pPr>
            <w:r w:rsidRPr="00404724">
              <w:rPr>
                <w:rFonts w:ascii="Calibri" w:hAnsi="Calibri" w:cs="Calibri"/>
              </w:rPr>
              <w:t>$3,567.9</w:t>
            </w:r>
          </w:p>
        </w:tc>
        <w:tc>
          <w:tcPr>
            <w:tcW w:w="2221" w:type="dxa"/>
          </w:tcPr>
          <w:p w14:paraId="73666E4B" w14:textId="77777777" w:rsidR="00C426BA" w:rsidRPr="00404724" w:rsidRDefault="00C426BA" w:rsidP="000A13C5">
            <w:pPr>
              <w:jc w:val="right"/>
              <w:rPr>
                <w:rFonts w:ascii="Calibri" w:hAnsi="Calibri" w:cs="Calibri"/>
              </w:rPr>
            </w:pPr>
            <w:r w:rsidRPr="00404724">
              <w:rPr>
                <w:rFonts w:ascii="Calibri" w:hAnsi="Calibri" w:cs="Calibri"/>
              </w:rPr>
              <w:t>$7,562.3</w:t>
            </w:r>
          </w:p>
        </w:tc>
      </w:tr>
      <w:tr w:rsidR="00C426BA" w:rsidRPr="00404724" w14:paraId="68E0E5AD" w14:textId="77777777" w:rsidTr="008D533E">
        <w:trPr>
          <w:cantSplit/>
        </w:trPr>
        <w:tc>
          <w:tcPr>
            <w:tcW w:w="3256" w:type="dxa"/>
          </w:tcPr>
          <w:p w14:paraId="5444267F" w14:textId="7FE08FA0" w:rsidR="00C426BA" w:rsidRPr="00404724" w:rsidRDefault="007843DB" w:rsidP="00BB5FCD">
            <w:pPr>
              <w:rPr>
                <w:rFonts w:ascii="Calibri" w:hAnsi="Calibri" w:cs="Calibri"/>
              </w:rPr>
            </w:pPr>
            <w:r w:rsidRPr="00404724">
              <w:rPr>
                <w:rFonts w:ascii="Calibri" w:hAnsi="Calibri" w:cs="Calibri"/>
              </w:rPr>
              <w:t>Middle</w:t>
            </w:r>
            <w:r w:rsidR="00C426BA" w:rsidRPr="00404724">
              <w:rPr>
                <w:rFonts w:ascii="Calibri" w:hAnsi="Calibri" w:cs="Calibri"/>
              </w:rPr>
              <w:t xml:space="preserve"> VKT estimate</w:t>
            </w:r>
          </w:p>
        </w:tc>
        <w:tc>
          <w:tcPr>
            <w:tcW w:w="2220" w:type="dxa"/>
          </w:tcPr>
          <w:p w14:paraId="5585C57B" w14:textId="77777777" w:rsidR="00C426BA" w:rsidRPr="00404724" w:rsidRDefault="00C426BA" w:rsidP="000A13C5">
            <w:pPr>
              <w:jc w:val="right"/>
              <w:rPr>
                <w:rFonts w:ascii="Calibri" w:hAnsi="Calibri" w:cs="Calibri"/>
              </w:rPr>
            </w:pPr>
            <w:r w:rsidRPr="00404724">
              <w:rPr>
                <w:rFonts w:ascii="Calibri" w:hAnsi="Calibri" w:cs="Calibri"/>
              </w:rPr>
              <w:t>$478.3</w:t>
            </w:r>
          </w:p>
        </w:tc>
        <w:tc>
          <w:tcPr>
            <w:tcW w:w="2221" w:type="dxa"/>
            <w:shd w:val="clear" w:color="auto" w:fill="E2F2EA" w:themeFill="accent6" w:themeFillTint="33"/>
          </w:tcPr>
          <w:p w14:paraId="07F5D661" w14:textId="77777777" w:rsidR="00C426BA" w:rsidRPr="00404724" w:rsidRDefault="00C426BA" w:rsidP="000A13C5">
            <w:pPr>
              <w:jc w:val="right"/>
              <w:rPr>
                <w:rFonts w:ascii="Calibri" w:hAnsi="Calibri" w:cs="Calibri"/>
              </w:rPr>
            </w:pPr>
            <w:r w:rsidRPr="00404724">
              <w:rPr>
                <w:rFonts w:ascii="Calibri" w:hAnsi="Calibri" w:cs="Calibri"/>
              </w:rPr>
              <w:t>$2,697.4</w:t>
            </w:r>
          </w:p>
        </w:tc>
        <w:tc>
          <w:tcPr>
            <w:tcW w:w="2221" w:type="dxa"/>
          </w:tcPr>
          <w:p w14:paraId="7D2E00C8" w14:textId="77777777" w:rsidR="00C426BA" w:rsidRPr="00404724" w:rsidRDefault="00C426BA" w:rsidP="000A13C5">
            <w:pPr>
              <w:jc w:val="right"/>
              <w:rPr>
                <w:rFonts w:ascii="Calibri" w:hAnsi="Calibri" w:cs="Calibri"/>
              </w:rPr>
            </w:pPr>
            <w:r w:rsidRPr="00404724">
              <w:rPr>
                <w:rFonts w:ascii="Calibri" w:hAnsi="Calibri" w:cs="Calibri"/>
              </w:rPr>
              <w:t>$6,691.9</w:t>
            </w:r>
          </w:p>
        </w:tc>
      </w:tr>
      <w:tr w:rsidR="00C426BA" w:rsidRPr="00404724" w14:paraId="4E4CB7DE" w14:textId="77777777" w:rsidTr="008D533E">
        <w:trPr>
          <w:cantSplit/>
        </w:trPr>
        <w:tc>
          <w:tcPr>
            <w:tcW w:w="3256" w:type="dxa"/>
          </w:tcPr>
          <w:p w14:paraId="16D802C7" w14:textId="77777777" w:rsidR="00C426BA" w:rsidRPr="00404724" w:rsidRDefault="00C426BA" w:rsidP="00BB5FCD">
            <w:pPr>
              <w:rPr>
                <w:rFonts w:ascii="Calibri" w:hAnsi="Calibri" w:cs="Calibri"/>
              </w:rPr>
            </w:pPr>
            <w:r w:rsidRPr="00404724">
              <w:rPr>
                <w:rFonts w:ascii="Calibri" w:hAnsi="Calibri" w:cs="Calibri"/>
              </w:rPr>
              <w:t>Upper bound VKT estimate</w:t>
            </w:r>
          </w:p>
        </w:tc>
        <w:tc>
          <w:tcPr>
            <w:tcW w:w="2220" w:type="dxa"/>
          </w:tcPr>
          <w:p w14:paraId="77EF5977" w14:textId="77777777" w:rsidR="00C426BA" w:rsidRPr="00404724" w:rsidRDefault="00C426BA" w:rsidP="000A13C5">
            <w:pPr>
              <w:jc w:val="right"/>
              <w:rPr>
                <w:rFonts w:ascii="Calibri" w:hAnsi="Calibri" w:cs="Calibri"/>
                <w:color w:val="EE0000"/>
              </w:rPr>
            </w:pPr>
            <w:r w:rsidRPr="00404724">
              <w:rPr>
                <w:rFonts w:ascii="Calibri" w:hAnsi="Calibri" w:cs="Calibri"/>
                <w:color w:val="EE0000"/>
              </w:rPr>
              <w:t>-$3,003.3</w:t>
            </w:r>
          </w:p>
        </w:tc>
        <w:tc>
          <w:tcPr>
            <w:tcW w:w="2221" w:type="dxa"/>
          </w:tcPr>
          <w:p w14:paraId="34482DE1" w14:textId="77777777" w:rsidR="00C426BA" w:rsidRPr="00404724" w:rsidRDefault="00C426BA" w:rsidP="000A13C5">
            <w:pPr>
              <w:jc w:val="right"/>
              <w:rPr>
                <w:rFonts w:ascii="Calibri" w:hAnsi="Calibri" w:cs="Calibri"/>
                <w:color w:val="EE0000"/>
              </w:rPr>
            </w:pPr>
            <w:r w:rsidRPr="00404724">
              <w:rPr>
                <w:rFonts w:ascii="Calibri" w:hAnsi="Calibri" w:cs="Calibri"/>
                <w:color w:val="EE0000"/>
              </w:rPr>
              <w:t>-$784.1</w:t>
            </w:r>
          </w:p>
        </w:tc>
        <w:tc>
          <w:tcPr>
            <w:tcW w:w="2221" w:type="dxa"/>
            <w:shd w:val="clear" w:color="auto" w:fill="E2F2EA" w:themeFill="accent6" w:themeFillTint="33"/>
          </w:tcPr>
          <w:p w14:paraId="5014F01F" w14:textId="77777777" w:rsidR="00C426BA" w:rsidRPr="00404724" w:rsidRDefault="00C426BA" w:rsidP="000A13C5">
            <w:pPr>
              <w:jc w:val="right"/>
              <w:rPr>
                <w:rFonts w:ascii="Calibri" w:hAnsi="Calibri" w:cs="Calibri"/>
              </w:rPr>
            </w:pPr>
            <w:r w:rsidRPr="00404724">
              <w:rPr>
                <w:rFonts w:ascii="Calibri" w:hAnsi="Calibri" w:cs="Calibri"/>
              </w:rPr>
              <w:t>$3,210.3</w:t>
            </w:r>
          </w:p>
        </w:tc>
      </w:tr>
      <w:tr w:rsidR="00C426BA" w:rsidRPr="00404724" w14:paraId="3BE96FC8" w14:textId="77777777" w:rsidTr="008D533E">
        <w:trPr>
          <w:cantSplit/>
        </w:trPr>
        <w:tc>
          <w:tcPr>
            <w:tcW w:w="3256" w:type="dxa"/>
            <w:shd w:val="clear" w:color="auto" w:fill="EAECEF" w:themeFill="accent4" w:themeFillTint="33"/>
          </w:tcPr>
          <w:p w14:paraId="70369AFC" w14:textId="6E04A94F" w:rsidR="00C426BA" w:rsidRPr="00404724" w:rsidRDefault="00C426BA" w:rsidP="00BB5FCD">
            <w:pPr>
              <w:rPr>
                <w:rFonts w:ascii="Calibri" w:hAnsi="Calibri" w:cs="Calibri"/>
              </w:rPr>
            </w:pPr>
            <w:r w:rsidRPr="00404724">
              <w:rPr>
                <w:rFonts w:ascii="Calibri" w:hAnsi="Calibri" w:cs="Calibri"/>
              </w:rPr>
              <w:t>100</w:t>
            </w:r>
            <w:r w:rsidR="00C82E00" w:rsidRPr="00404724">
              <w:rPr>
                <w:rFonts w:ascii="Calibri" w:hAnsi="Calibri" w:cs="Calibri"/>
              </w:rPr>
              <w:t xml:space="preserve"> km/h</w:t>
            </w:r>
            <w:r w:rsidRPr="00404724">
              <w:rPr>
                <w:rFonts w:ascii="Calibri" w:hAnsi="Calibri" w:cs="Calibri"/>
              </w:rPr>
              <w:t xml:space="preserve"> to 70</w:t>
            </w:r>
            <w:r w:rsidR="00C82E00" w:rsidRPr="00404724">
              <w:rPr>
                <w:rFonts w:ascii="Calibri" w:hAnsi="Calibri" w:cs="Calibri"/>
              </w:rPr>
              <w:t xml:space="preserve"> km/h</w:t>
            </w:r>
          </w:p>
        </w:tc>
        <w:tc>
          <w:tcPr>
            <w:tcW w:w="2220" w:type="dxa"/>
            <w:shd w:val="clear" w:color="auto" w:fill="EAECEF" w:themeFill="accent4" w:themeFillTint="33"/>
          </w:tcPr>
          <w:p w14:paraId="79E49F7E" w14:textId="77777777" w:rsidR="00C426BA" w:rsidRPr="00404724" w:rsidRDefault="00C426BA" w:rsidP="000A13C5">
            <w:pPr>
              <w:jc w:val="right"/>
              <w:rPr>
                <w:rFonts w:ascii="Calibri" w:hAnsi="Calibri" w:cs="Calibri"/>
              </w:rPr>
            </w:pPr>
          </w:p>
        </w:tc>
        <w:tc>
          <w:tcPr>
            <w:tcW w:w="2221" w:type="dxa"/>
            <w:shd w:val="clear" w:color="auto" w:fill="EAECEF" w:themeFill="accent4" w:themeFillTint="33"/>
          </w:tcPr>
          <w:p w14:paraId="52C79EFB" w14:textId="77777777" w:rsidR="00C426BA" w:rsidRPr="00404724" w:rsidRDefault="00C426BA" w:rsidP="000A13C5">
            <w:pPr>
              <w:jc w:val="right"/>
              <w:rPr>
                <w:rFonts w:ascii="Calibri" w:hAnsi="Calibri" w:cs="Calibri"/>
              </w:rPr>
            </w:pPr>
          </w:p>
        </w:tc>
        <w:tc>
          <w:tcPr>
            <w:tcW w:w="2221" w:type="dxa"/>
            <w:shd w:val="clear" w:color="auto" w:fill="EAECEF" w:themeFill="accent4" w:themeFillTint="33"/>
          </w:tcPr>
          <w:p w14:paraId="4F2AE6EA" w14:textId="77777777" w:rsidR="00C426BA" w:rsidRPr="00404724" w:rsidRDefault="00C426BA" w:rsidP="000A13C5">
            <w:pPr>
              <w:jc w:val="right"/>
              <w:rPr>
                <w:rFonts w:ascii="Calibri" w:hAnsi="Calibri" w:cs="Calibri"/>
              </w:rPr>
            </w:pPr>
          </w:p>
        </w:tc>
      </w:tr>
      <w:tr w:rsidR="00C426BA" w:rsidRPr="00404724" w14:paraId="4D689238" w14:textId="77777777" w:rsidTr="008D533E">
        <w:trPr>
          <w:cantSplit/>
        </w:trPr>
        <w:tc>
          <w:tcPr>
            <w:tcW w:w="3256" w:type="dxa"/>
          </w:tcPr>
          <w:p w14:paraId="05721E28" w14:textId="77777777" w:rsidR="00C426BA" w:rsidRPr="00404724" w:rsidRDefault="00C426BA" w:rsidP="00BB5FCD">
            <w:pPr>
              <w:rPr>
                <w:rFonts w:ascii="Calibri" w:hAnsi="Calibri" w:cs="Calibri"/>
              </w:rPr>
            </w:pPr>
            <w:r w:rsidRPr="00404724">
              <w:rPr>
                <w:rFonts w:ascii="Calibri" w:hAnsi="Calibri" w:cs="Calibri"/>
              </w:rPr>
              <w:t>Lower bound VKT estimate</w:t>
            </w:r>
          </w:p>
        </w:tc>
        <w:tc>
          <w:tcPr>
            <w:tcW w:w="2220" w:type="dxa"/>
            <w:shd w:val="clear" w:color="auto" w:fill="E2F2EA" w:themeFill="accent6" w:themeFillTint="33"/>
          </w:tcPr>
          <w:p w14:paraId="05FB977D" w14:textId="77777777" w:rsidR="00C426BA" w:rsidRPr="00404724" w:rsidRDefault="00C426BA" w:rsidP="000A13C5">
            <w:pPr>
              <w:jc w:val="right"/>
              <w:rPr>
                <w:rFonts w:ascii="Calibri" w:hAnsi="Calibri" w:cs="Calibri"/>
              </w:rPr>
            </w:pPr>
            <w:r w:rsidRPr="00404724">
              <w:rPr>
                <w:rFonts w:ascii="Calibri" w:hAnsi="Calibri" w:cs="Calibri"/>
              </w:rPr>
              <w:t>$1,759.7</w:t>
            </w:r>
          </w:p>
        </w:tc>
        <w:tc>
          <w:tcPr>
            <w:tcW w:w="2221" w:type="dxa"/>
          </w:tcPr>
          <w:p w14:paraId="1FEF374E" w14:textId="77777777" w:rsidR="00C426BA" w:rsidRPr="00404724" w:rsidRDefault="00C426BA" w:rsidP="000A13C5">
            <w:pPr>
              <w:jc w:val="right"/>
              <w:rPr>
                <w:rFonts w:ascii="Calibri" w:hAnsi="Calibri" w:cs="Calibri"/>
              </w:rPr>
            </w:pPr>
            <w:r w:rsidRPr="00404724">
              <w:rPr>
                <w:rFonts w:ascii="Calibri" w:hAnsi="Calibri" w:cs="Calibri"/>
              </w:rPr>
              <w:t>$4,988.9</w:t>
            </w:r>
          </w:p>
        </w:tc>
        <w:tc>
          <w:tcPr>
            <w:tcW w:w="2221" w:type="dxa"/>
          </w:tcPr>
          <w:p w14:paraId="37297B36" w14:textId="77777777" w:rsidR="00C426BA" w:rsidRPr="00404724" w:rsidRDefault="00C426BA" w:rsidP="000A13C5">
            <w:pPr>
              <w:jc w:val="right"/>
              <w:rPr>
                <w:rFonts w:ascii="Calibri" w:hAnsi="Calibri" w:cs="Calibri"/>
              </w:rPr>
            </w:pPr>
            <w:r w:rsidRPr="00404724">
              <w:rPr>
                <w:rFonts w:ascii="Calibri" w:hAnsi="Calibri" w:cs="Calibri"/>
              </w:rPr>
              <w:t>$10,802.2</w:t>
            </w:r>
          </w:p>
        </w:tc>
      </w:tr>
      <w:tr w:rsidR="00C426BA" w:rsidRPr="00404724" w14:paraId="65AEC518" w14:textId="77777777" w:rsidTr="008D533E">
        <w:trPr>
          <w:cantSplit/>
        </w:trPr>
        <w:tc>
          <w:tcPr>
            <w:tcW w:w="3256" w:type="dxa"/>
          </w:tcPr>
          <w:p w14:paraId="3FBE52BF" w14:textId="64F2F1BF" w:rsidR="00C426BA" w:rsidRPr="00404724" w:rsidRDefault="007843DB" w:rsidP="00BB5FCD">
            <w:pPr>
              <w:rPr>
                <w:rFonts w:ascii="Calibri" w:hAnsi="Calibri" w:cs="Calibri"/>
              </w:rPr>
            </w:pPr>
            <w:r w:rsidRPr="00404724">
              <w:rPr>
                <w:rFonts w:ascii="Calibri" w:hAnsi="Calibri" w:cs="Calibri"/>
              </w:rPr>
              <w:t>Middle</w:t>
            </w:r>
            <w:r w:rsidR="00C426BA" w:rsidRPr="00404724">
              <w:rPr>
                <w:rFonts w:ascii="Calibri" w:hAnsi="Calibri" w:cs="Calibri"/>
              </w:rPr>
              <w:t xml:space="preserve"> VKT estimate</w:t>
            </w:r>
          </w:p>
        </w:tc>
        <w:tc>
          <w:tcPr>
            <w:tcW w:w="2220" w:type="dxa"/>
          </w:tcPr>
          <w:p w14:paraId="03795284" w14:textId="77777777" w:rsidR="00C426BA" w:rsidRPr="00404724" w:rsidRDefault="00C426BA" w:rsidP="000A13C5">
            <w:pPr>
              <w:jc w:val="right"/>
              <w:rPr>
                <w:rFonts w:ascii="Calibri" w:hAnsi="Calibri" w:cs="Calibri"/>
              </w:rPr>
            </w:pPr>
            <w:r w:rsidRPr="00404724">
              <w:rPr>
                <w:rFonts w:ascii="Calibri" w:hAnsi="Calibri" w:cs="Calibri"/>
              </w:rPr>
              <w:t>$298.1</w:t>
            </w:r>
          </w:p>
        </w:tc>
        <w:tc>
          <w:tcPr>
            <w:tcW w:w="2221" w:type="dxa"/>
            <w:shd w:val="clear" w:color="auto" w:fill="E2F2EA" w:themeFill="accent6" w:themeFillTint="33"/>
          </w:tcPr>
          <w:p w14:paraId="605F3F5C" w14:textId="77777777" w:rsidR="00C426BA" w:rsidRPr="00404724" w:rsidRDefault="00C426BA" w:rsidP="000A13C5">
            <w:pPr>
              <w:jc w:val="right"/>
              <w:rPr>
                <w:rFonts w:ascii="Calibri" w:hAnsi="Calibri" w:cs="Calibri"/>
              </w:rPr>
            </w:pPr>
            <w:r w:rsidRPr="00404724">
              <w:rPr>
                <w:rFonts w:ascii="Calibri" w:hAnsi="Calibri" w:cs="Calibri"/>
              </w:rPr>
              <w:t>$3,527.4</w:t>
            </w:r>
          </w:p>
        </w:tc>
        <w:tc>
          <w:tcPr>
            <w:tcW w:w="2221" w:type="dxa"/>
          </w:tcPr>
          <w:p w14:paraId="410E891C" w14:textId="77777777" w:rsidR="00C426BA" w:rsidRPr="00404724" w:rsidRDefault="00C426BA" w:rsidP="000A13C5">
            <w:pPr>
              <w:jc w:val="right"/>
              <w:rPr>
                <w:rFonts w:ascii="Calibri" w:hAnsi="Calibri" w:cs="Calibri"/>
              </w:rPr>
            </w:pPr>
            <w:r w:rsidRPr="00404724">
              <w:rPr>
                <w:rFonts w:ascii="Calibri" w:hAnsi="Calibri" w:cs="Calibri"/>
              </w:rPr>
              <w:t>$9,340.7</w:t>
            </w:r>
          </w:p>
        </w:tc>
      </w:tr>
      <w:tr w:rsidR="00C426BA" w:rsidRPr="00404724" w14:paraId="19C4EE71" w14:textId="77777777" w:rsidTr="008D533E">
        <w:trPr>
          <w:cantSplit/>
        </w:trPr>
        <w:tc>
          <w:tcPr>
            <w:tcW w:w="3256" w:type="dxa"/>
          </w:tcPr>
          <w:p w14:paraId="7CCC2652" w14:textId="77777777" w:rsidR="00C426BA" w:rsidRPr="00404724" w:rsidRDefault="00C426BA" w:rsidP="00BB5FCD">
            <w:pPr>
              <w:rPr>
                <w:rFonts w:ascii="Calibri" w:hAnsi="Calibri" w:cs="Calibri"/>
              </w:rPr>
            </w:pPr>
            <w:r w:rsidRPr="00404724">
              <w:rPr>
                <w:rFonts w:ascii="Calibri" w:hAnsi="Calibri" w:cs="Calibri"/>
              </w:rPr>
              <w:t>Upper bound VKT estimate</w:t>
            </w:r>
          </w:p>
        </w:tc>
        <w:tc>
          <w:tcPr>
            <w:tcW w:w="2220" w:type="dxa"/>
          </w:tcPr>
          <w:p w14:paraId="3EE71A9D" w14:textId="77777777" w:rsidR="00C426BA" w:rsidRPr="00404724" w:rsidRDefault="00C426BA" w:rsidP="000A13C5">
            <w:pPr>
              <w:jc w:val="right"/>
              <w:rPr>
                <w:rFonts w:ascii="Calibri" w:hAnsi="Calibri" w:cs="Calibri"/>
                <w:color w:val="EE0000"/>
              </w:rPr>
            </w:pPr>
            <w:r w:rsidRPr="00404724">
              <w:rPr>
                <w:rFonts w:ascii="Calibri" w:hAnsi="Calibri" w:cs="Calibri"/>
                <w:color w:val="EE0000"/>
              </w:rPr>
              <w:t>-$5,537.0</w:t>
            </w:r>
          </w:p>
        </w:tc>
        <w:tc>
          <w:tcPr>
            <w:tcW w:w="2221" w:type="dxa"/>
          </w:tcPr>
          <w:p w14:paraId="42F4D892" w14:textId="77777777" w:rsidR="00C426BA" w:rsidRPr="00404724" w:rsidRDefault="00C426BA" w:rsidP="000A13C5">
            <w:pPr>
              <w:jc w:val="right"/>
              <w:rPr>
                <w:rFonts w:ascii="Calibri" w:hAnsi="Calibri" w:cs="Calibri"/>
                <w:color w:val="EE0000"/>
              </w:rPr>
            </w:pPr>
            <w:r w:rsidRPr="00404724">
              <w:rPr>
                <w:rFonts w:ascii="Calibri" w:hAnsi="Calibri" w:cs="Calibri"/>
                <w:color w:val="EE0000"/>
              </w:rPr>
              <w:t>-$2,307.8</w:t>
            </w:r>
          </w:p>
        </w:tc>
        <w:tc>
          <w:tcPr>
            <w:tcW w:w="2221" w:type="dxa"/>
            <w:shd w:val="clear" w:color="auto" w:fill="E2F2EA" w:themeFill="accent6" w:themeFillTint="33"/>
          </w:tcPr>
          <w:p w14:paraId="46252338" w14:textId="77777777" w:rsidR="00C426BA" w:rsidRPr="00404724" w:rsidRDefault="00C426BA" w:rsidP="000A13C5">
            <w:pPr>
              <w:jc w:val="right"/>
              <w:rPr>
                <w:rFonts w:ascii="Calibri" w:hAnsi="Calibri" w:cs="Calibri"/>
              </w:rPr>
            </w:pPr>
            <w:r w:rsidRPr="00404724">
              <w:rPr>
                <w:rFonts w:ascii="Calibri" w:hAnsi="Calibri" w:cs="Calibri"/>
              </w:rPr>
              <w:t>$3,505.5</w:t>
            </w:r>
          </w:p>
        </w:tc>
      </w:tr>
    </w:tbl>
    <w:p w14:paraId="577B8B45" w14:textId="5B5686C8" w:rsidR="00C426BA" w:rsidRPr="00404724" w:rsidRDefault="00867A18" w:rsidP="00C426BA">
      <w:pPr>
        <w:rPr>
          <w:rFonts w:ascii="Calibri" w:hAnsi="Calibri" w:cs="Calibri"/>
        </w:rPr>
      </w:pPr>
      <w:r w:rsidRPr="00404724">
        <w:rPr>
          <w:rFonts w:ascii="Calibri" w:hAnsi="Calibri" w:cs="Calibri"/>
        </w:rPr>
        <w:t xml:space="preserve">The central estimates are the diagonal (highlighted in the table above) figures, and represent the lower, middle and upper assumption groupings shown in the NPV and sensitivity tables. These sets of assumptions are called the central VKT-FSI assumption groupings. </w:t>
      </w:r>
      <w:r w:rsidR="00C426BA" w:rsidRPr="00404724">
        <w:rPr>
          <w:rFonts w:ascii="Calibri" w:hAnsi="Calibri" w:cs="Calibri"/>
        </w:rPr>
        <w:t>Central estimates BCRs:</w:t>
      </w:r>
    </w:p>
    <w:p w14:paraId="4BEC19B1" w14:textId="2B8AA6A3" w:rsidR="00DB7FA3" w:rsidRPr="00404724" w:rsidRDefault="00DB7FA3" w:rsidP="003979C3">
      <w:pPr>
        <w:pStyle w:val="Tablefigureheading"/>
        <w:rPr>
          <w:rFonts w:cs="Calibri"/>
        </w:rPr>
      </w:pPr>
      <w:bookmarkStart w:id="484" w:name="_Toc210040386"/>
      <w:bookmarkStart w:id="485" w:name="_Toc210051922"/>
      <w:r w:rsidRPr="00404724">
        <w:t xml:space="preserve">Table </w:t>
      </w:r>
      <w:r w:rsidR="00EC39D5">
        <w:fldChar w:fldCharType="begin"/>
      </w:r>
      <w:r w:rsidR="00EC39D5">
        <w:instrText xml:space="preserve"> SEQ Table \* ARABIC </w:instrText>
      </w:r>
      <w:r w:rsidR="00EC39D5">
        <w:fldChar w:fldCharType="separate"/>
      </w:r>
      <w:r w:rsidR="00BF489D">
        <w:rPr>
          <w:noProof/>
        </w:rPr>
        <w:t>40</w:t>
      </w:r>
      <w:r w:rsidR="00EC39D5">
        <w:rPr>
          <w:noProof/>
        </w:rPr>
        <w:fldChar w:fldCharType="end"/>
      </w:r>
      <w:r w:rsidRPr="00404724">
        <w:tab/>
        <w:t>Central estimate BCRs</w:t>
      </w:r>
      <w:bookmarkEnd w:id="484"/>
      <w:bookmarkEnd w:id="485"/>
    </w:p>
    <w:tbl>
      <w:tblPr>
        <w:tblStyle w:val="TableGrid"/>
        <w:tblW w:w="9918" w:type="dxa"/>
        <w:tblLook w:val="04A0" w:firstRow="1" w:lastRow="0" w:firstColumn="1" w:lastColumn="0" w:noHBand="0" w:noVBand="1"/>
        <w:tblCaption w:val="Table 40 Central estimate BCRs"/>
        <w:tblDescription w:val="Table 40 Central estimate BCRs"/>
      </w:tblPr>
      <w:tblGrid>
        <w:gridCol w:w="3256"/>
        <w:gridCol w:w="2220"/>
        <w:gridCol w:w="2221"/>
        <w:gridCol w:w="2221"/>
      </w:tblGrid>
      <w:tr w:rsidR="00C426BA" w:rsidRPr="00404724" w14:paraId="2F79B50D" w14:textId="77777777" w:rsidTr="008D533E">
        <w:trPr>
          <w:cantSplit/>
          <w:tblHeader/>
        </w:trPr>
        <w:tc>
          <w:tcPr>
            <w:tcW w:w="3256" w:type="dxa"/>
            <w:shd w:val="clear" w:color="auto" w:fill="081E3E" w:themeFill="text2"/>
          </w:tcPr>
          <w:p w14:paraId="399AABDC" w14:textId="77777777" w:rsidR="00C426BA" w:rsidRPr="00404724" w:rsidRDefault="00C426BA" w:rsidP="00BB5FCD">
            <w:pPr>
              <w:rPr>
                <w:rFonts w:ascii="Calibri" w:hAnsi="Calibri" w:cs="Calibri"/>
                <w:b/>
                <w:bCs/>
                <w:color w:val="FFFFFF" w:themeColor="background1"/>
              </w:rPr>
            </w:pPr>
            <w:r w:rsidRPr="00404724">
              <w:rPr>
                <w:rFonts w:ascii="Calibri" w:hAnsi="Calibri" w:cs="Calibri"/>
                <w:b/>
                <w:bCs/>
                <w:color w:val="FFFFFF" w:themeColor="background1"/>
              </w:rPr>
              <w:t>Speed reduction scenario</w:t>
            </w:r>
          </w:p>
        </w:tc>
        <w:tc>
          <w:tcPr>
            <w:tcW w:w="2220" w:type="dxa"/>
            <w:shd w:val="clear" w:color="auto" w:fill="081E3E" w:themeFill="text2"/>
          </w:tcPr>
          <w:p w14:paraId="7DBFEFEF" w14:textId="77777777" w:rsidR="00C426BA" w:rsidRPr="00404724" w:rsidRDefault="00C426BA" w:rsidP="00DC35FB">
            <w:pPr>
              <w:jc w:val="center"/>
              <w:rPr>
                <w:rFonts w:ascii="Calibri" w:hAnsi="Calibri" w:cs="Calibri"/>
                <w:b/>
                <w:bCs/>
                <w:color w:val="FFFFFF" w:themeColor="background1"/>
              </w:rPr>
            </w:pPr>
            <w:r w:rsidRPr="00404724">
              <w:rPr>
                <w:rFonts w:ascii="Calibri" w:hAnsi="Calibri" w:cs="Calibri"/>
                <w:b/>
                <w:bCs/>
                <w:color w:val="FFFFFF" w:themeColor="background1"/>
              </w:rPr>
              <w:t>Lower estimate</w:t>
            </w:r>
          </w:p>
        </w:tc>
        <w:tc>
          <w:tcPr>
            <w:tcW w:w="2221" w:type="dxa"/>
            <w:shd w:val="clear" w:color="auto" w:fill="081E3E" w:themeFill="text2"/>
          </w:tcPr>
          <w:p w14:paraId="47649BEF" w14:textId="77777777" w:rsidR="00C426BA" w:rsidRPr="00404724" w:rsidRDefault="00C426BA" w:rsidP="00DC35FB">
            <w:pPr>
              <w:jc w:val="center"/>
              <w:rPr>
                <w:rFonts w:ascii="Calibri" w:hAnsi="Calibri" w:cs="Calibri"/>
                <w:b/>
                <w:bCs/>
                <w:color w:val="FFFFFF" w:themeColor="background1"/>
              </w:rPr>
            </w:pPr>
            <w:r w:rsidRPr="00404724">
              <w:rPr>
                <w:rFonts w:ascii="Calibri" w:hAnsi="Calibri" w:cs="Calibri"/>
                <w:b/>
                <w:bCs/>
                <w:color w:val="FFFFFF" w:themeColor="background1"/>
              </w:rPr>
              <w:t>Middle estimate</w:t>
            </w:r>
          </w:p>
        </w:tc>
        <w:tc>
          <w:tcPr>
            <w:tcW w:w="2221" w:type="dxa"/>
            <w:shd w:val="clear" w:color="auto" w:fill="081E3E" w:themeFill="text2"/>
          </w:tcPr>
          <w:p w14:paraId="79BF0041" w14:textId="77777777" w:rsidR="00C426BA" w:rsidRPr="00404724" w:rsidRDefault="00C426BA" w:rsidP="00DC35FB">
            <w:pPr>
              <w:jc w:val="center"/>
              <w:rPr>
                <w:rFonts w:ascii="Calibri" w:hAnsi="Calibri" w:cs="Calibri"/>
                <w:b/>
                <w:bCs/>
                <w:color w:val="FFFFFF" w:themeColor="background1"/>
              </w:rPr>
            </w:pPr>
            <w:r w:rsidRPr="00404724">
              <w:rPr>
                <w:rFonts w:ascii="Calibri" w:hAnsi="Calibri" w:cs="Calibri"/>
                <w:b/>
                <w:bCs/>
                <w:color w:val="FFFFFF" w:themeColor="background1"/>
              </w:rPr>
              <w:t>Upper estimate</w:t>
            </w:r>
          </w:p>
        </w:tc>
      </w:tr>
      <w:tr w:rsidR="00C426BA" w:rsidRPr="00404724" w14:paraId="20961A1C" w14:textId="77777777" w:rsidTr="008D533E">
        <w:trPr>
          <w:cantSplit/>
        </w:trPr>
        <w:tc>
          <w:tcPr>
            <w:tcW w:w="3256" w:type="dxa"/>
          </w:tcPr>
          <w:p w14:paraId="6B237BE0" w14:textId="48FB61A1" w:rsidR="00C426BA" w:rsidRPr="00404724" w:rsidRDefault="00C426BA" w:rsidP="00BB5FCD">
            <w:pPr>
              <w:rPr>
                <w:rFonts w:ascii="Calibri" w:hAnsi="Calibri" w:cs="Calibri"/>
              </w:rPr>
            </w:pPr>
            <w:r w:rsidRPr="00404724">
              <w:rPr>
                <w:rFonts w:ascii="Calibri" w:hAnsi="Calibri" w:cs="Calibri"/>
              </w:rPr>
              <w:t>Low (100</w:t>
            </w:r>
            <w:r w:rsidR="00C82E00" w:rsidRPr="00404724">
              <w:rPr>
                <w:rFonts w:ascii="Calibri" w:eastAsia="Times New Roman" w:hAnsi="Calibri" w:cs="Calibri"/>
                <w:color w:val="313131"/>
                <w:lang w:eastAsia="en-AU"/>
              </w:rPr>
              <w:t xml:space="preserve"> km/h</w:t>
            </w:r>
            <w:r w:rsidRPr="00404724">
              <w:rPr>
                <w:rFonts w:ascii="Calibri" w:hAnsi="Calibri" w:cs="Calibri"/>
              </w:rPr>
              <w:t xml:space="preserve"> to 90</w:t>
            </w:r>
            <w:r w:rsidR="00C82E00" w:rsidRPr="00404724">
              <w:rPr>
                <w:rFonts w:ascii="Calibri" w:eastAsia="Times New Roman" w:hAnsi="Calibri" w:cs="Calibri"/>
                <w:color w:val="313131"/>
                <w:lang w:eastAsia="en-AU"/>
              </w:rPr>
              <w:t xml:space="preserve"> km/h</w:t>
            </w:r>
            <w:r w:rsidRPr="00404724">
              <w:rPr>
                <w:rFonts w:ascii="Calibri" w:hAnsi="Calibri" w:cs="Calibri"/>
              </w:rPr>
              <w:t>)</w:t>
            </w:r>
          </w:p>
        </w:tc>
        <w:tc>
          <w:tcPr>
            <w:tcW w:w="2220" w:type="dxa"/>
          </w:tcPr>
          <w:p w14:paraId="4B543D81" w14:textId="77777777" w:rsidR="00C426BA" w:rsidRPr="00404724" w:rsidRDefault="00C426BA" w:rsidP="00DC35FB">
            <w:pPr>
              <w:jc w:val="center"/>
              <w:rPr>
                <w:rFonts w:ascii="Calibri" w:hAnsi="Calibri" w:cs="Calibri"/>
              </w:rPr>
            </w:pPr>
            <w:r w:rsidRPr="00404724">
              <w:rPr>
                <w:rFonts w:ascii="Calibri" w:hAnsi="Calibri" w:cs="Calibri"/>
              </w:rPr>
              <w:t>2.4</w:t>
            </w:r>
          </w:p>
        </w:tc>
        <w:tc>
          <w:tcPr>
            <w:tcW w:w="2221" w:type="dxa"/>
          </w:tcPr>
          <w:p w14:paraId="79C864E3" w14:textId="77777777" w:rsidR="00C426BA" w:rsidRPr="00404724" w:rsidRDefault="00C426BA" w:rsidP="00DC35FB">
            <w:pPr>
              <w:jc w:val="center"/>
              <w:rPr>
                <w:rFonts w:ascii="Calibri" w:hAnsi="Calibri" w:cs="Calibri"/>
              </w:rPr>
            </w:pPr>
            <w:r w:rsidRPr="00404724">
              <w:rPr>
                <w:rFonts w:ascii="Calibri" w:hAnsi="Calibri" w:cs="Calibri"/>
              </w:rPr>
              <w:t>2.4</w:t>
            </w:r>
          </w:p>
        </w:tc>
        <w:tc>
          <w:tcPr>
            <w:tcW w:w="2221" w:type="dxa"/>
          </w:tcPr>
          <w:p w14:paraId="17D34F4E" w14:textId="77777777" w:rsidR="00C426BA" w:rsidRPr="00404724" w:rsidRDefault="00C426BA" w:rsidP="00DC35FB">
            <w:pPr>
              <w:jc w:val="center"/>
              <w:rPr>
                <w:rFonts w:ascii="Calibri" w:hAnsi="Calibri" w:cs="Calibri"/>
              </w:rPr>
            </w:pPr>
            <w:r w:rsidRPr="00404724">
              <w:rPr>
                <w:rFonts w:ascii="Calibri" w:hAnsi="Calibri" w:cs="Calibri"/>
              </w:rPr>
              <w:t>1.7</w:t>
            </w:r>
          </w:p>
        </w:tc>
      </w:tr>
      <w:tr w:rsidR="00C426BA" w:rsidRPr="00404724" w14:paraId="04035374" w14:textId="77777777" w:rsidTr="008D533E">
        <w:trPr>
          <w:cantSplit/>
        </w:trPr>
        <w:tc>
          <w:tcPr>
            <w:tcW w:w="3256" w:type="dxa"/>
          </w:tcPr>
          <w:p w14:paraId="3974758B" w14:textId="32FC1985" w:rsidR="00C426BA" w:rsidRPr="00404724" w:rsidRDefault="00C426BA" w:rsidP="00BB5FCD">
            <w:pPr>
              <w:rPr>
                <w:rFonts w:ascii="Calibri" w:hAnsi="Calibri" w:cs="Calibri"/>
              </w:rPr>
            </w:pPr>
            <w:r w:rsidRPr="00404724">
              <w:rPr>
                <w:rFonts w:ascii="Calibri" w:hAnsi="Calibri" w:cs="Calibri"/>
              </w:rPr>
              <w:t>Medium (100</w:t>
            </w:r>
            <w:r w:rsidR="00C82E00" w:rsidRPr="00404724">
              <w:rPr>
                <w:rFonts w:ascii="Calibri" w:eastAsia="Times New Roman" w:hAnsi="Calibri" w:cs="Calibri"/>
                <w:color w:val="313131"/>
                <w:lang w:eastAsia="en-AU"/>
              </w:rPr>
              <w:t xml:space="preserve"> km/h</w:t>
            </w:r>
            <w:r w:rsidRPr="00404724">
              <w:rPr>
                <w:rFonts w:ascii="Calibri" w:hAnsi="Calibri" w:cs="Calibri"/>
              </w:rPr>
              <w:t xml:space="preserve"> to 80</w:t>
            </w:r>
            <w:r w:rsidR="00C82E00" w:rsidRPr="00404724">
              <w:rPr>
                <w:rFonts w:ascii="Calibri" w:eastAsia="Times New Roman" w:hAnsi="Calibri" w:cs="Calibri"/>
                <w:color w:val="313131"/>
                <w:lang w:eastAsia="en-AU"/>
              </w:rPr>
              <w:t xml:space="preserve"> km/h</w:t>
            </w:r>
            <w:r w:rsidRPr="00404724">
              <w:rPr>
                <w:rFonts w:ascii="Calibri" w:hAnsi="Calibri" w:cs="Calibri"/>
              </w:rPr>
              <w:t>)</w:t>
            </w:r>
          </w:p>
        </w:tc>
        <w:tc>
          <w:tcPr>
            <w:tcW w:w="2220" w:type="dxa"/>
          </w:tcPr>
          <w:p w14:paraId="43CE3960" w14:textId="77777777" w:rsidR="00C426BA" w:rsidRPr="00404724" w:rsidRDefault="00C426BA" w:rsidP="00DC35FB">
            <w:pPr>
              <w:jc w:val="center"/>
              <w:rPr>
                <w:rFonts w:ascii="Calibri" w:hAnsi="Calibri" w:cs="Calibri"/>
              </w:rPr>
            </w:pPr>
            <w:r w:rsidRPr="00404724">
              <w:rPr>
                <w:rFonts w:ascii="Calibri" w:hAnsi="Calibri" w:cs="Calibri"/>
              </w:rPr>
              <w:t>2.2</w:t>
            </w:r>
          </w:p>
        </w:tc>
        <w:tc>
          <w:tcPr>
            <w:tcW w:w="2221" w:type="dxa"/>
          </w:tcPr>
          <w:p w14:paraId="597BF695" w14:textId="77777777" w:rsidR="00C426BA" w:rsidRPr="00404724" w:rsidRDefault="00C426BA" w:rsidP="00DC35FB">
            <w:pPr>
              <w:jc w:val="center"/>
              <w:rPr>
                <w:rFonts w:ascii="Calibri" w:hAnsi="Calibri" w:cs="Calibri"/>
              </w:rPr>
            </w:pPr>
            <w:r w:rsidRPr="00404724">
              <w:rPr>
                <w:rFonts w:ascii="Calibri" w:hAnsi="Calibri" w:cs="Calibri"/>
              </w:rPr>
              <w:t>2.2</w:t>
            </w:r>
          </w:p>
        </w:tc>
        <w:tc>
          <w:tcPr>
            <w:tcW w:w="2221" w:type="dxa"/>
          </w:tcPr>
          <w:p w14:paraId="03AFA2C0" w14:textId="77777777" w:rsidR="00C426BA" w:rsidRPr="00404724" w:rsidRDefault="00C426BA" w:rsidP="00DC35FB">
            <w:pPr>
              <w:jc w:val="center"/>
              <w:rPr>
                <w:rFonts w:ascii="Calibri" w:hAnsi="Calibri" w:cs="Calibri"/>
              </w:rPr>
            </w:pPr>
            <w:r w:rsidRPr="00404724">
              <w:rPr>
                <w:rFonts w:ascii="Calibri" w:hAnsi="Calibri" w:cs="Calibri"/>
              </w:rPr>
              <w:t>1.5</w:t>
            </w:r>
          </w:p>
        </w:tc>
      </w:tr>
      <w:tr w:rsidR="00C426BA" w:rsidRPr="00404724" w14:paraId="2A30424B" w14:textId="77777777" w:rsidTr="008D533E">
        <w:trPr>
          <w:cantSplit/>
        </w:trPr>
        <w:tc>
          <w:tcPr>
            <w:tcW w:w="3256" w:type="dxa"/>
          </w:tcPr>
          <w:p w14:paraId="0EA5495C" w14:textId="6ECBA770" w:rsidR="00C426BA" w:rsidRPr="00404724" w:rsidRDefault="00C426BA" w:rsidP="00BB5FCD">
            <w:pPr>
              <w:rPr>
                <w:rFonts w:ascii="Calibri" w:hAnsi="Calibri" w:cs="Calibri"/>
              </w:rPr>
            </w:pPr>
            <w:r w:rsidRPr="00404724">
              <w:rPr>
                <w:rFonts w:ascii="Calibri" w:hAnsi="Calibri" w:cs="Calibri"/>
              </w:rPr>
              <w:t>High (100</w:t>
            </w:r>
            <w:r w:rsidR="00C82E00" w:rsidRPr="00404724">
              <w:rPr>
                <w:rFonts w:ascii="Calibri" w:eastAsia="Times New Roman" w:hAnsi="Calibri" w:cs="Calibri"/>
                <w:color w:val="313131"/>
                <w:lang w:eastAsia="en-AU"/>
              </w:rPr>
              <w:t xml:space="preserve"> km/h</w:t>
            </w:r>
            <w:r w:rsidRPr="00404724">
              <w:rPr>
                <w:rFonts w:ascii="Calibri" w:hAnsi="Calibri" w:cs="Calibri"/>
              </w:rPr>
              <w:t xml:space="preserve"> to 70</w:t>
            </w:r>
            <w:r w:rsidR="00C82E00" w:rsidRPr="00404724">
              <w:rPr>
                <w:rFonts w:ascii="Calibri" w:eastAsia="Times New Roman" w:hAnsi="Calibri" w:cs="Calibri"/>
                <w:color w:val="313131"/>
                <w:lang w:eastAsia="en-AU"/>
              </w:rPr>
              <w:t xml:space="preserve"> km/h</w:t>
            </w:r>
            <w:r w:rsidRPr="00404724">
              <w:rPr>
                <w:rFonts w:ascii="Calibri" w:hAnsi="Calibri" w:cs="Calibri"/>
              </w:rPr>
              <w:t>)</w:t>
            </w:r>
          </w:p>
        </w:tc>
        <w:tc>
          <w:tcPr>
            <w:tcW w:w="2220" w:type="dxa"/>
          </w:tcPr>
          <w:p w14:paraId="75FBF515" w14:textId="77777777" w:rsidR="00C426BA" w:rsidRPr="00404724" w:rsidRDefault="00C426BA" w:rsidP="00DC35FB">
            <w:pPr>
              <w:jc w:val="center"/>
              <w:rPr>
                <w:rFonts w:ascii="Calibri" w:hAnsi="Calibri" w:cs="Calibri"/>
              </w:rPr>
            </w:pPr>
            <w:r w:rsidRPr="00404724">
              <w:rPr>
                <w:rFonts w:ascii="Calibri" w:hAnsi="Calibri" w:cs="Calibri"/>
              </w:rPr>
              <w:t>1.9</w:t>
            </w:r>
          </w:p>
        </w:tc>
        <w:tc>
          <w:tcPr>
            <w:tcW w:w="2221" w:type="dxa"/>
          </w:tcPr>
          <w:p w14:paraId="5DF61C57" w14:textId="77777777" w:rsidR="00C426BA" w:rsidRPr="00404724" w:rsidRDefault="00C426BA" w:rsidP="00DC35FB">
            <w:pPr>
              <w:jc w:val="center"/>
              <w:rPr>
                <w:rFonts w:ascii="Calibri" w:hAnsi="Calibri" w:cs="Calibri"/>
              </w:rPr>
            </w:pPr>
            <w:r w:rsidRPr="00404724">
              <w:rPr>
                <w:rFonts w:ascii="Calibri" w:hAnsi="Calibri" w:cs="Calibri"/>
              </w:rPr>
              <w:t>1.9</w:t>
            </w:r>
          </w:p>
        </w:tc>
        <w:tc>
          <w:tcPr>
            <w:tcW w:w="2221" w:type="dxa"/>
          </w:tcPr>
          <w:p w14:paraId="45AA1D3B" w14:textId="77777777" w:rsidR="00C426BA" w:rsidRPr="00404724" w:rsidRDefault="00C426BA" w:rsidP="00DC35FB">
            <w:pPr>
              <w:jc w:val="center"/>
              <w:rPr>
                <w:rFonts w:ascii="Calibri" w:hAnsi="Calibri" w:cs="Calibri"/>
              </w:rPr>
            </w:pPr>
            <w:r w:rsidRPr="00404724">
              <w:rPr>
                <w:rFonts w:ascii="Calibri" w:hAnsi="Calibri" w:cs="Calibri"/>
              </w:rPr>
              <w:t>1.3</w:t>
            </w:r>
          </w:p>
        </w:tc>
      </w:tr>
    </w:tbl>
    <w:p w14:paraId="345A52FE" w14:textId="77777777" w:rsidR="00867A18" w:rsidRPr="00404724" w:rsidRDefault="00867A18" w:rsidP="00867A18">
      <w:pPr>
        <w:rPr>
          <w:rFonts w:ascii="Calibri" w:hAnsi="Calibri" w:cs="Calibri"/>
        </w:rPr>
      </w:pPr>
      <w:r w:rsidRPr="00404724">
        <w:rPr>
          <w:rFonts w:ascii="Calibri" w:hAnsi="Calibri" w:cs="Calibri"/>
        </w:rPr>
        <w:t xml:space="preserve">The table overleaf shows the costs, benefits, NPV and BCR for each central estimate VKT-FSI assumption groupings. </w:t>
      </w:r>
    </w:p>
    <w:p w14:paraId="082EA608" w14:textId="25D89A28" w:rsidR="00867A18" w:rsidRPr="00404724" w:rsidRDefault="00867A18" w:rsidP="00867A18">
      <w:pPr>
        <w:rPr>
          <w:rFonts w:ascii="Calibri" w:hAnsi="Calibri" w:cs="Calibri"/>
        </w:rPr>
      </w:pPr>
      <w:r w:rsidRPr="00404724">
        <w:rPr>
          <w:rFonts w:ascii="Calibri" w:hAnsi="Calibri" w:cs="Calibri"/>
        </w:rPr>
        <w:t xml:space="preserve">For all central estimate assumption groupings, each speed reduction achieves a positive NPV and BCR. The </w:t>
      </w:r>
      <w:r w:rsidR="00AE613F" w:rsidRPr="00404724">
        <w:rPr>
          <w:rFonts w:ascii="Calibri" w:hAnsi="Calibri" w:cs="Calibri"/>
        </w:rPr>
        <w:t xml:space="preserve">largest </w:t>
      </w:r>
      <w:r w:rsidRPr="00404724">
        <w:rPr>
          <w:rFonts w:ascii="Calibri" w:hAnsi="Calibri" w:cs="Calibri"/>
        </w:rPr>
        <w:t>BCRs are achieved through the reduction of speed on sealed default roads from 100</w:t>
      </w:r>
      <w:r w:rsidR="00C82E00" w:rsidRPr="00404724">
        <w:rPr>
          <w:rFonts w:ascii="Calibri" w:hAnsi="Calibri" w:cs="Calibri"/>
        </w:rPr>
        <w:t xml:space="preserve"> km/h</w:t>
      </w:r>
      <w:r w:rsidRPr="00404724">
        <w:rPr>
          <w:rFonts w:ascii="Calibri" w:hAnsi="Calibri" w:cs="Calibri"/>
        </w:rPr>
        <w:t xml:space="preserve"> to 90</w:t>
      </w:r>
      <w:r w:rsidR="00C82E00" w:rsidRPr="00404724">
        <w:rPr>
          <w:rFonts w:ascii="Calibri" w:hAnsi="Calibri" w:cs="Calibri"/>
        </w:rPr>
        <w:t xml:space="preserve"> km/h</w:t>
      </w:r>
      <w:r w:rsidRPr="00404724">
        <w:rPr>
          <w:rFonts w:ascii="Calibri" w:hAnsi="Calibri" w:cs="Calibri"/>
        </w:rPr>
        <w:t xml:space="preserve">. While the NPVs increase as speed is reduced further, so too do the travel time costs, leading to a lower overall BCR for these speed reduction scenarios. </w:t>
      </w:r>
    </w:p>
    <w:p w14:paraId="00A42686" w14:textId="6768BF3E" w:rsidR="00867A18" w:rsidRPr="00404724" w:rsidRDefault="00867A18" w:rsidP="00867A18">
      <w:pPr>
        <w:rPr>
          <w:rFonts w:ascii="Calibri" w:hAnsi="Calibri" w:cs="Calibri"/>
        </w:rPr>
      </w:pPr>
      <w:r w:rsidRPr="00404724">
        <w:rPr>
          <w:rFonts w:ascii="Calibri" w:hAnsi="Calibri" w:cs="Calibri"/>
        </w:rPr>
        <w:t xml:space="preserve">The sensitivity tables </w:t>
      </w:r>
      <w:r w:rsidR="007F46D9" w:rsidRPr="00404724">
        <w:rPr>
          <w:rFonts w:ascii="Calibri" w:hAnsi="Calibri" w:cs="Calibri"/>
        </w:rPr>
        <w:t>highlight</w:t>
      </w:r>
      <w:r w:rsidRPr="00404724">
        <w:rPr>
          <w:rFonts w:ascii="Calibri" w:hAnsi="Calibri" w:cs="Calibri"/>
        </w:rPr>
        <w:t xml:space="preserve"> the NPVs for the speed reduction scenarios varying key inputs. For all discount rates, all speed reduction scenarios produce positive </w:t>
      </w:r>
      <w:r w:rsidR="00FE3595" w:rsidRPr="00404724">
        <w:rPr>
          <w:rFonts w:ascii="Calibri" w:hAnsi="Calibri" w:cs="Calibri"/>
        </w:rPr>
        <w:t>NPVs</w:t>
      </w:r>
      <w:r w:rsidRPr="00404724">
        <w:rPr>
          <w:rFonts w:ascii="Calibri" w:hAnsi="Calibri" w:cs="Calibri"/>
        </w:rPr>
        <w:t>. A significant reduction in the value of a statistical life (here using a casualty-cost approach estimate of $3,056,003</w:t>
      </w:r>
      <w:r w:rsidRPr="00404724">
        <w:rPr>
          <w:rStyle w:val="FootnoteReference"/>
          <w:rFonts w:ascii="Calibri" w:hAnsi="Calibri" w:cs="Calibri"/>
        </w:rPr>
        <w:footnoteReference w:id="128"/>
      </w:r>
      <w:r w:rsidRPr="00404724">
        <w:rPr>
          <w:rFonts w:ascii="Calibri" w:hAnsi="Calibri" w:cs="Calibri"/>
        </w:rPr>
        <w:t>) still produces positive NPVs for all speed reduction scenarios. The inclusion of minor injuries has a relatively small impact, but does increase all NPVs from the central case estimates.</w:t>
      </w:r>
    </w:p>
    <w:p w14:paraId="2703FC55" w14:textId="7F37C75A" w:rsidR="00867A18" w:rsidRPr="00404724" w:rsidRDefault="00867A18" w:rsidP="000C1C23">
      <w:r w:rsidRPr="00404724">
        <w:rPr>
          <w:rFonts w:ascii="Calibri" w:hAnsi="Calibri" w:cs="Calibri"/>
        </w:rPr>
        <w:t xml:space="preserve">The model tested the sensitivity of the travel cost assumptions by increasing all hourly travel costs estimate for all vehicles by 10%. Even with this increase in costs, final NPVs remain positive for all speed reduction scenarios. </w:t>
      </w:r>
    </w:p>
    <w:p w14:paraId="6A147DB8" w14:textId="77777777" w:rsidR="00867A18" w:rsidRPr="00404724" w:rsidRDefault="00867A18" w:rsidP="000C1C23">
      <w:pPr>
        <w:sectPr w:rsidR="00867A18" w:rsidRPr="00404724" w:rsidSect="00701000">
          <w:headerReference w:type="default" r:id="rId41"/>
          <w:headerReference w:type="first" r:id="rId42"/>
          <w:pgSz w:w="11906" w:h="16838" w:code="9"/>
          <w:pgMar w:top="1021" w:right="1021" w:bottom="1021" w:left="1021" w:header="340" w:footer="397" w:gutter="0"/>
          <w:cols w:space="708"/>
          <w:docGrid w:linePitch="360"/>
        </w:sectPr>
      </w:pPr>
    </w:p>
    <w:tbl>
      <w:tblPr>
        <w:tblW w:w="14732" w:type="dxa"/>
        <w:tblLayout w:type="fixed"/>
        <w:tblLook w:val="04A0" w:firstRow="1" w:lastRow="0" w:firstColumn="1" w:lastColumn="0" w:noHBand="0" w:noVBand="1"/>
      </w:tblPr>
      <w:tblGrid>
        <w:gridCol w:w="3676"/>
        <w:gridCol w:w="1228"/>
        <w:gridCol w:w="1228"/>
        <w:gridCol w:w="1229"/>
        <w:gridCol w:w="1228"/>
        <w:gridCol w:w="1229"/>
        <w:gridCol w:w="1228"/>
        <w:gridCol w:w="1229"/>
        <w:gridCol w:w="1228"/>
        <w:gridCol w:w="1229"/>
      </w:tblGrid>
      <w:tr w:rsidR="00C426BA" w:rsidRPr="00404724" w14:paraId="566EF2C7" w14:textId="77777777" w:rsidTr="00C426BA">
        <w:trPr>
          <w:trHeight w:val="330"/>
        </w:trPr>
        <w:tc>
          <w:tcPr>
            <w:tcW w:w="3676" w:type="dxa"/>
            <w:tcBorders>
              <w:top w:val="single" w:sz="8" w:space="0" w:color="auto"/>
              <w:left w:val="single" w:sz="8" w:space="0" w:color="auto"/>
              <w:bottom w:val="nil"/>
              <w:right w:val="nil"/>
            </w:tcBorders>
            <w:shd w:val="clear" w:color="000000" w:fill="140034"/>
            <w:noWrap/>
            <w:vAlign w:val="bottom"/>
          </w:tcPr>
          <w:p w14:paraId="6AFC0604" w14:textId="77777777" w:rsidR="00C426BA" w:rsidRPr="00404724" w:rsidRDefault="00C426BA" w:rsidP="00C426BA">
            <w:pPr>
              <w:spacing w:before="0" w:after="0"/>
              <w:rPr>
                <w:rFonts w:cstheme="minorHAnsi"/>
                <w:color w:val="FFFFFF" w:themeColor="background1"/>
              </w:rPr>
            </w:pPr>
          </w:p>
        </w:tc>
        <w:tc>
          <w:tcPr>
            <w:tcW w:w="3685" w:type="dxa"/>
            <w:gridSpan w:val="3"/>
            <w:tcBorders>
              <w:top w:val="nil"/>
              <w:left w:val="single" w:sz="8" w:space="0" w:color="auto"/>
              <w:bottom w:val="nil"/>
              <w:right w:val="nil"/>
            </w:tcBorders>
            <w:shd w:val="clear" w:color="000000" w:fill="140034"/>
          </w:tcPr>
          <w:p w14:paraId="617FBE5D" w14:textId="1CAF5A8C" w:rsidR="00C426BA" w:rsidRPr="00404724" w:rsidRDefault="00C426BA" w:rsidP="00C426BA">
            <w:pPr>
              <w:spacing w:before="0" w:after="0"/>
              <w:rPr>
                <w:rFonts w:cstheme="minorHAnsi"/>
                <w:color w:val="FFFFFF" w:themeColor="background1"/>
              </w:rPr>
            </w:pPr>
            <w:r w:rsidRPr="00404724">
              <w:rPr>
                <w:rFonts w:cstheme="minorHAnsi"/>
                <w:color w:val="FFFFFF" w:themeColor="background1"/>
              </w:rPr>
              <w:t>100</w:t>
            </w:r>
            <w:r w:rsidR="00C82E00" w:rsidRPr="00404724">
              <w:rPr>
                <w:rFonts w:cstheme="minorHAnsi"/>
                <w:color w:val="FFFFFF" w:themeColor="background1"/>
              </w:rPr>
              <w:t xml:space="preserve"> km/h</w:t>
            </w:r>
            <w:r w:rsidRPr="00404724">
              <w:rPr>
                <w:rFonts w:cstheme="minorHAnsi"/>
                <w:color w:val="FFFFFF" w:themeColor="background1"/>
              </w:rPr>
              <w:t xml:space="preserve"> to 90</w:t>
            </w:r>
            <w:r w:rsidR="00C82E00" w:rsidRPr="00404724">
              <w:rPr>
                <w:rFonts w:cstheme="minorHAnsi"/>
                <w:color w:val="FFFFFF" w:themeColor="background1"/>
              </w:rPr>
              <w:t xml:space="preserve"> km/h</w:t>
            </w:r>
          </w:p>
        </w:tc>
        <w:tc>
          <w:tcPr>
            <w:tcW w:w="3685" w:type="dxa"/>
            <w:gridSpan w:val="3"/>
            <w:tcBorders>
              <w:top w:val="nil"/>
              <w:left w:val="single" w:sz="8" w:space="0" w:color="auto"/>
              <w:bottom w:val="nil"/>
              <w:right w:val="single" w:sz="8" w:space="0" w:color="auto"/>
            </w:tcBorders>
            <w:shd w:val="clear" w:color="000000" w:fill="140034"/>
          </w:tcPr>
          <w:p w14:paraId="7CB6D9D0" w14:textId="16049495" w:rsidR="00C426BA" w:rsidRPr="00404724" w:rsidRDefault="00C426BA" w:rsidP="00C426BA">
            <w:pPr>
              <w:spacing w:before="0" w:after="0"/>
              <w:rPr>
                <w:rFonts w:cstheme="minorHAnsi"/>
                <w:color w:val="FFFFFF" w:themeColor="background1"/>
              </w:rPr>
            </w:pPr>
            <w:r w:rsidRPr="00404724">
              <w:rPr>
                <w:rFonts w:cstheme="minorHAnsi"/>
                <w:color w:val="FFFFFF" w:themeColor="background1"/>
              </w:rPr>
              <w:t>100</w:t>
            </w:r>
            <w:r w:rsidR="00C82E00" w:rsidRPr="00404724">
              <w:rPr>
                <w:rFonts w:cstheme="minorHAnsi"/>
                <w:color w:val="FFFFFF" w:themeColor="background1"/>
              </w:rPr>
              <w:t xml:space="preserve"> km/h</w:t>
            </w:r>
            <w:r w:rsidRPr="00404724">
              <w:rPr>
                <w:rFonts w:cstheme="minorHAnsi"/>
                <w:color w:val="FFFFFF" w:themeColor="background1"/>
              </w:rPr>
              <w:t xml:space="preserve"> to 80</w:t>
            </w:r>
            <w:r w:rsidR="00C82E00" w:rsidRPr="00404724">
              <w:rPr>
                <w:rFonts w:cstheme="minorHAnsi"/>
                <w:color w:val="FFFFFF" w:themeColor="background1"/>
              </w:rPr>
              <w:t xml:space="preserve"> km/h</w:t>
            </w:r>
          </w:p>
        </w:tc>
        <w:tc>
          <w:tcPr>
            <w:tcW w:w="3686" w:type="dxa"/>
            <w:gridSpan w:val="3"/>
            <w:tcBorders>
              <w:top w:val="nil"/>
              <w:left w:val="single" w:sz="8" w:space="0" w:color="auto"/>
              <w:bottom w:val="nil"/>
              <w:right w:val="single" w:sz="8" w:space="0" w:color="auto"/>
            </w:tcBorders>
            <w:shd w:val="clear" w:color="000000" w:fill="140034"/>
          </w:tcPr>
          <w:p w14:paraId="0DCEED36" w14:textId="3FEBEFB1" w:rsidR="00C426BA" w:rsidRPr="00404724" w:rsidRDefault="00C426BA" w:rsidP="00C426BA">
            <w:pPr>
              <w:spacing w:before="0" w:after="0"/>
              <w:rPr>
                <w:rFonts w:cstheme="minorHAnsi"/>
                <w:color w:val="FFFFFF" w:themeColor="background1"/>
              </w:rPr>
            </w:pPr>
            <w:r w:rsidRPr="00404724">
              <w:rPr>
                <w:rFonts w:cstheme="minorHAnsi"/>
                <w:color w:val="FFFFFF" w:themeColor="background1"/>
              </w:rPr>
              <w:t>100</w:t>
            </w:r>
            <w:r w:rsidR="00C82E00" w:rsidRPr="00404724">
              <w:rPr>
                <w:rFonts w:cstheme="minorHAnsi"/>
                <w:color w:val="FFFFFF" w:themeColor="background1"/>
              </w:rPr>
              <w:t xml:space="preserve"> km/h</w:t>
            </w:r>
            <w:r w:rsidRPr="00404724">
              <w:rPr>
                <w:rFonts w:cstheme="minorHAnsi"/>
                <w:color w:val="FFFFFF" w:themeColor="background1"/>
              </w:rPr>
              <w:t xml:space="preserve"> to 70</w:t>
            </w:r>
            <w:r w:rsidR="00C82E00" w:rsidRPr="00404724">
              <w:rPr>
                <w:rFonts w:cstheme="minorHAnsi"/>
                <w:color w:val="FFFFFF" w:themeColor="background1"/>
              </w:rPr>
              <w:t xml:space="preserve"> km/h</w:t>
            </w:r>
          </w:p>
        </w:tc>
      </w:tr>
      <w:tr w:rsidR="00C426BA" w:rsidRPr="00404724" w14:paraId="24E11AAD" w14:textId="77777777" w:rsidTr="00C426BA">
        <w:trPr>
          <w:trHeight w:val="330"/>
        </w:trPr>
        <w:tc>
          <w:tcPr>
            <w:tcW w:w="3676" w:type="dxa"/>
            <w:tcBorders>
              <w:top w:val="single" w:sz="8" w:space="0" w:color="auto"/>
              <w:left w:val="single" w:sz="8" w:space="0" w:color="auto"/>
              <w:bottom w:val="nil"/>
              <w:right w:val="nil"/>
            </w:tcBorders>
            <w:shd w:val="clear" w:color="000000" w:fill="140034"/>
            <w:noWrap/>
            <w:vAlign w:val="bottom"/>
            <w:hideMark/>
          </w:tcPr>
          <w:p w14:paraId="7964A50A" w14:textId="77777777" w:rsidR="00C426BA" w:rsidRPr="00404724" w:rsidRDefault="00C426BA" w:rsidP="00C426BA">
            <w:pPr>
              <w:spacing w:before="0" w:after="0"/>
              <w:rPr>
                <w:rFonts w:cstheme="minorHAnsi"/>
                <w:color w:val="FFFFFF" w:themeColor="background1"/>
              </w:rPr>
            </w:pPr>
          </w:p>
        </w:tc>
        <w:tc>
          <w:tcPr>
            <w:tcW w:w="1228" w:type="dxa"/>
            <w:tcBorders>
              <w:top w:val="nil"/>
              <w:left w:val="single" w:sz="8" w:space="0" w:color="auto"/>
              <w:bottom w:val="nil"/>
              <w:right w:val="nil"/>
            </w:tcBorders>
            <w:shd w:val="clear" w:color="000000" w:fill="140034"/>
            <w:hideMark/>
          </w:tcPr>
          <w:p w14:paraId="251C6E4A" w14:textId="77777777" w:rsidR="00C426BA" w:rsidRPr="00404724" w:rsidRDefault="00C426BA" w:rsidP="000A13C5">
            <w:pPr>
              <w:spacing w:before="0" w:after="0"/>
              <w:jc w:val="right"/>
              <w:rPr>
                <w:rFonts w:cstheme="minorHAnsi"/>
                <w:color w:val="FFFFFF" w:themeColor="background1"/>
              </w:rPr>
            </w:pPr>
            <w:r w:rsidRPr="00404724">
              <w:rPr>
                <w:rFonts w:cstheme="minorHAnsi"/>
                <w:color w:val="FFFFFF" w:themeColor="background1"/>
              </w:rPr>
              <w:t>Lower</w:t>
            </w:r>
          </w:p>
        </w:tc>
        <w:tc>
          <w:tcPr>
            <w:tcW w:w="1228" w:type="dxa"/>
            <w:tcBorders>
              <w:top w:val="nil"/>
              <w:left w:val="single" w:sz="8" w:space="0" w:color="auto"/>
              <w:bottom w:val="nil"/>
              <w:right w:val="nil"/>
            </w:tcBorders>
            <w:shd w:val="clear" w:color="000000" w:fill="140034"/>
          </w:tcPr>
          <w:p w14:paraId="4EBFD7E3" w14:textId="77777777" w:rsidR="00C426BA" w:rsidRPr="00404724" w:rsidRDefault="00C426BA" w:rsidP="000A13C5">
            <w:pPr>
              <w:spacing w:before="0" w:after="0"/>
              <w:jc w:val="right"/>
              <w:rPr>
                <w:rFonts w:cstheme="minorHAnsi"/>
                <w:color w:val="FFFFFF" w:themeColor="background1"/>
              </w:rPr>
            </w:pPr>
            <w:r w:rsidRPr="00404724">
              <w:rPr>
                <w:rFonts w:cstheme="minorHAnsi"/>
                <w:color w:val="FFFFFF" w:themeColor="background1"/>
              </w:rPr>
              <w:t>Middle</w:t>
            </w:r>
          </w:p>
        </w:tc>
        <w:tc>
          <w:tcPr>
            <w:tcW w:w="1229" w:type="dxa"/>
            <w:tcBorders>
              <w:top w:val="nil"/>
              <w:left w:val="single" w:sz="8" w:space="0" w:color="auto"/>
              <w:bottom w:val="nil"/>
              <w:right w:val="nil"/>
            </w:tcBorders>
            <w:shd w:val="clear" w:color="000000" w:fill="140034"/>
          </w:tcPr>
          <w:p w14:paraId="30C9F27D" w14:textId="77777777" w:rsidR="00C426BA" w:rsidRPr="00404724" w:rsidRDefault="00C426BA" w:rsidP="000A13C5">
            <w:pPr>
              <w:spacing w:before="0" w:after="0"/>
              <w:jc w:val="right"/>
              <w:rPr>
                <w:rFonts w:cstheme="minorHAnsi"/>
                <w:color w:val="FFFFFF" w:themeColor="background1"/>
              </w:rPr>
            </w:pPr>
            <w:r w:rsidRPr="00404724">
              <w:rPr>
                <w:rFonts w:cstheme="minorHAnsi"/>
                <w:color w:val="FFFFFF" w:themeColor="background1"/>
              </w:rPr>
              <w:t>Upper</w:t>
            </w:r>
          </w:p>
        </w:tc>
        <w:tc>
          <w:tcPr>
            <w:tcW w:w="1228" w:type="dxa"/>
            <w:tcBorders>
              <w:top w:val="nil"/>
              <w:left w:val="single" w:sz="8" w:space="0" w:color="auto"/>
              <w:bottom w:val="nil"/>
              <w:right w:val="nil"/>
            </w:tcBorders>
            <w:shd w:val="clear" w:color="000000" w:fill="140034"/>
          </w:tcPr>
          <w:p w14:paraId="4E6862C7" w14:textId="77777777" w:rsidR="00C426BA" w:rsidRPr="00404724" w:rsidRDefault="00C426BA" w:rsidP="000A13C5">
            <w:pPr>
              <w:spacing w:before="0" w:after="0"/>
              <w:jc w:val="right"/>
              <w:rPr>
                <w:rFonts w:cstheme="minorHAnsi"/>
                <w:color w:val="FFFFFF" w:themeColor="background1"/>
              </w:rPr>
            </w:pPr>
            <w:r w:rsidRPr="00404724">
              <w:rPr>
                <w:rFonts w:cstheme="minorHAnsi"/>
                <w:color w:val="FFFFFF" w:themeColor="background1"/>
              </w:rPr>
              <w:t>Lower</w:t>
            </w:r>
          </w:p>
        </w:tc>
        <w:tc>
          <w:tcPr>
            <w:tcW w:w="1229" w:type="dxa"/>
            <w:tcBorders>
              <w:top w:val="nil"/>
              <w:left w:val="single" w:sz="8" w:space="0" w:color="auto"/>
              <w:bottom w:val="nil"/>
              <w:right w:val="single" w:sz="8" w:space="0" w:color="auto"/>
            </w:tcBorders>
            <w:shd w:val="clear" w:color="000000" w:fill="140034"/>
          </w:tcPr>
          <w:p w14:paraId="15A23D12" w14:textId="77777777" w:rsidR="00C426BA" w:rsidRPr="00404724" w:rsidRDefault="00C426BA" w:rsidP="000A13C5">
            <w:pPr>
              <w:spacing w:before="0" w:after="0"/>
              <w:jc w:val="right"/>
              <w:rPr>
                <w:rFonts w:cstheme="minorHAnsi"/>
                <w:color w:val="FFFFFF" w:themeColor="background1"/>
              </w:rPr>
            </w:pPr>
            <w:r w:rsidRPr="00404724">
              <w:rPr>
                <w:rFonts w:cstheme="minorHAnsi"/>
                <w:color w:val="FFFFFF" w:themeColor="background1"/>
              </w:rPr>
              <w:t>Middle</w:t>
            </w:r>
          </w:p>
        </w:tc>
        <w:tc>
          <w:tcPr>
            <w:tcW w:w="1228" w:type="dxa"/>
            <w:tcBorders>
              <w:top w:val="nil"/>
              <w:left w:val="single" w:sz="8" w:space="0" w:color="auto"/>
              <w:bottom w:val="nil"/>
              <w:right w:val="single" w:sz="8" w:space="0" w:color="auto"/>
            </w:tcBorders>
            <w:shd w:val="clear" w:color="000000" w:fill="140034"/>
          </w:tcPr>
          <w:p w14:paraId="0C0D87AD" w14:textId="77777777" w:rsidR="00C426BA" w:rsidRPr="00404724" w:rsidRDefault="00C426BA" w:rsidP="000A13C5">
            <w:pPr>
              <w:spacing w:before="0" w:after="0"/>
              <w:jc w:val="right"/>
              <w:rPr>
                <w:rFonts w:cstheme="minorHAnsi"/>
                <w:color w:val="FFFFFF" w:themeColor="background1"/>
              </w:rPr>
            </w:pPr>
            <w:r w:rsidRPr="00404724">
              <w:rPr>
                <w:rFonts w:cstheme="minorHAnsi"/>
                <w:color w:val="FFFFFF" w:themeColor="background1"/>
              </w:rPr>
              <w:t>Upper</w:t>
            </w:r>
          </w:p>
        </w:tc>
        <w:tc>
          <w:tcPr>
            <w:tcW w:w="1229" w:type="dxa"/>
            <w:tcBorders>
              <w:top w:val="nil"/>
              <w:left w:val="single" w:sz="8" w:space="0" w:color="auto"/>
              <w:bottom w:val="nil"/>
              <w:right w:val="single" w:sz="8" w:space="0" w:color="auto"/>
            </w:tcBorders>
            <w:shd w:val="clear" w:color="000000" w:fill="140034"/>
          </w:tcPr>
          <w:p w14:paraId="7E1AAACC" w14:textId="77777777" w:rsidR="00C426BA" w:rsidRPr="00404724" w:rsidRDefault="00C426BA" w:rsidP="000A13C5">
            <w:pPr>
              <w:spacing w:before="0" w:after="0"/>
              <w:jc w:val="right"/>
              <w:rPr>
                <w:rFonts w:cstheme="minorHAnsi"/>
                <w:color w:val="FFFFFF" w:themeColor="background1"/>
              </w:rPr>
            </w:pPr>
            <w:r w:rsidRPr="00404724">
              <w:rPr>
                <w:rFonts w:cstheme="minorHAnsi"/>
                <w:color w:val="FFFFFF" w:themeColor="background1"/>
              </w:rPr>
              <w:t>Lower</w:t>
            </w:r>
          </w:p>
        </w:tc>
        <w:tc>
          <w:tcPr>
            <w:tcW w:w="1228" w:type="dxa"/>
            <w:tcBorders>
              <w:top w:val="nil"/>
              <w:left w:val="single" w:sz="8" w:space="0" w:color="auto"/>
              <w:bottom w:val="nil"/>
              <w:right w:val="single" w:sz="8" w:space="0" w:color="auto"/>
            </w:tcBorders>
            <w:shd w:val="clear" w:color="000000" w:fill="140034"/>
          </w:tcPr>
          <w:p w14:paraId="601741BA" w14:textId="77777777" w:rsidR="00C426BA" w:rsidRPr="00404724" w:rsidRDefault="00C426BA" w:rsidP="000A13C5">
            <w:pPr>
              <w:spacing w:before="0" w:after="0"/>
              <w:jc w:val="right"/>
              <w:rPr>
                <w:rFonts w:cstheme="minorHAnsi"/>
                <w:color w:val="FFFFFF" w:themeColor="background1"/>
              </w:rPr>
            </w:pPr>
            <w:r w:rsidRPr="00404724">
              <w:rPr>
                <w:rFonts w:cstheme="minorHAnsi"/>
                <w:color w:val="FFFFFF" w:themeColor="background1"/>
              </w:rPr>
              <w:t>Middle</w:t>
            </w:r>
          </w:p>
        </w:tc>
        <w:tc>
          <w:tcPr>
            <w:tcW w:w="1229" w:type="dxa"/>
            <w:tcBorders>
              <w:top w:val="nil"/>
              <w:left w:val="single" w:sz="8" w:space="0" w:color="auto"/>
              <w:bottom w:val="nil"/>
              <w:right w:val="nil"/>
            </w:tcBorders>
            <w:shd w:val="clear" w:color="000000" w:fill="140034"/>
          </w:tcPr>
          <w:p w14:paraId="774172E1" w14:textId="77777777" w:rsidR="00C426BA" w:rsidRPr="00404724" w:rsidRDefault="00C426BA" w:rsidP="000A13C5">
            <w:pPr>
              <w:spacing w:before="0" w:after="0"/>
              <w:jc w:val="right"/>
              <w:rPr>
                <w:rFonts w:cstheme="minorHAnsi"/>
                <w:color w:val="FFFFFF" w:themeColor="background1"/>
              </w:rPr>
            </w:pPr>
            <w:r w:rsidRPr="00404724">
              <w:rPr>
                <w:rFonts w:cstheme="minorHAnsi"/>
                <w:color w:val="FFFFFF" w:themeColor="background1"/>
              </w:rPr>
              <w:t>Upper</w:t>
            </w:r>
          </w:p>
        </w:tc>
      </w:tr>
      <w:tr w:rsidR="00D614F3" w:rsidRPr="00404724" w14:paraId="42B8AFBE" w14:textId="77777777" w:rsidTr="00C426BA">
        <w:trPr>
          <w:trHeight w:val="330"/>
        </w:trPr>
        <w:tc>
          <w:tcPr>
            <w:tcW w:w="3676" w:type="dxa"/>
            <w:tcBorders>
              <w:top w:val="nil"/>
              <w:left w:val="single" w:sz="8" w:space="0" w:color="auto"/>
              <w:bottom w:val="nil"/>
              <w:right w:val="nil"/>
            </w:tcBorders>
            <w:shd w:val="clear" w:color="000000" w:fill="E4E4E4"/>
            <w:noWrap/>
            <w:hideMark/>
          </w:tcPr>
          <w:p w14:paraId="6AC918EA" w14:textId="77777777" w:rsidR="00D614F3" w:rsidRPr="00404724" w:rsidRDefault="00D614F3" w:rsidP="00D614F3">
            <w:pPr>
              <w:spacing w:before="0" w:after="0"/>
              <w:rPr>
                <w:rFonts w:cstheme="minorHAnsi"/>
              </w:rPr>
            </w:pPr>
            <w:r w:rsidRPr="00404724">
              <w:rPr>
                <w:rFonts w:cstheme="minorHAnsi"/>
              </w:rPr>
              <w:t>Avoided fatalities and serious injuries</w:t>
            </w:r>
          </w:p>
        </w:tc>
        <w:tc>
          <w:tcPr>
            <w:tcW w:w="1228" w:type="dxa"/>
            <w:tcBorders>
              <w:top w:val="nil"/>
              <w:left w:val="single" w:sz="8" w:space="0" w:color="auto"/>
              <w:bottom w:val="nil"/>
              <w:right w:val="nil"/>
            </w:tcBorders>
            <w:shd w:val="clear" w:color="000000" w:fill="E4E4E4"/>
            <w:noWrap/>
            <w:hideMark/>
          </w:tcPr>
          <w:p w14:paraId="3FCDC072" w14:textId="06CD3961" w:rsidR="00D614F3" w:rsidRPr="00404724" w:rsidRDefault="00D614F3" w:rsidP="000A13C5">
            <w:pPr>
              <w:spacing w:before="0" w:after="0"/>
              <w:jc w:val="right"/>
              <w:rPr>
                <w:rFonts w:cstheme="minorHAnsi"/>
              </w:rPr>
            </w:pPr>
            <w:r w:rsidRPr="00404724">
              <w:rPr>
                <w:rFonts w:cstheme="minorHAnsi"/>
              </w:rPr>
              <w:t>($m)</w:t>
            </w:r>
          </w:p>
        </w:tc>
        <w:tc>
          <w:tcPr>
            <w:tcW w:w="1228" w:type="dxa"/>
            <w:tcBorders>
              <w:top w:val="nil"/>
              <w:left w:val="single" w:sz="8" w:space="0" w:color="auto"/>
              <w:bottom w:val="nil"/>
              <w:right w:val="nil"/>
            </w:tcBorders>
            <w:shd w:val="clear" w:color="000000" w:fill="E4E4E4"/>
          </w:tcPr>
          <w:p w14:paraId="535C9D92" w14:textId="20E9C50A" w:rsidR="00D614F3" w:rsidRPr="00404724" w:rsidRDefault="00D614F3" w:rsidP="000A13C5">
            <w:pPr>
              <w:spacing w:before="0" w:after="0"/>
              <w:jc w:val="right"/>
              <w:rPr>
                <w:rFonts w:cstheme="minorHAnsi"/>
              </w:rPr>
            </w:pPr>
            <w:r w:rsidRPr="00404724">
              <w:rPr>
                <w:rFonts w:cstheme="minorHAnsi"/>
              </w:rPr>
              <w:t>($m)</w:t>
            </w:r>
          </w:p>
        </w:tc>
        <w:tc>
          <w:tcPr>
            <w:tcW w:w="1229" w:type="dxa"/>
            <w:tcBorders>
              <w:top w:val="nil"/>
              <w:left w:val="single" w:sz="8" w:space="0" w:color="auto"/>
              <w:bottom w:val="nil"/>
              <w:right w:val="nil"/>
            </w:tcBorders>
            <w:shd w:val="clear" w:color="000000" w:fill="E4E4E4"/>
          </w:tcPr>
          <w:p w14:paraId="2315C0CF" w14:textId="4338D5B8" w:rsidR="00D614F3" w:rsidRPr="00404724" w:rsidRDefault="00D614F3" w:rsidP="000A13C5">
            <w:pPr>
              <w:spacing w:before="0" w:after="0"/>
              <w:jc w:val="right"/>
              <w:rPr>
                <w:rFonts w:cstheme="minorHAnsi"/>
              </w:rPr>
            </w:pPr>
            <w:r w:rsidRPr="00404724">
              <w:rPr>
                <w:rFonts w:cstheme="minorHAnsi"/>
              </w:rPr>
              <w:t>($m)</w:t>
            </w:r>
          </w:p>
        </w:tc>
        <w:tc>
          <w:tcPr>
            <w:tcW w:w="1228" w:type="dxa"/>
            <w:tcBorders>
              <w:top w:val="nil"/>
              <w:left w:val="single" w:sz="8" w:space="0" w:color="auto"/>
              <w:bottom w:val="nil"/>
              <w:right w:val="nil"/>
            </w:tcBorders>
            <w:shd w:val="clear" w:color="000000" w:fill="E4E4E4"/>
          </w:tcPr>
          <w:p w14:paraId="149285B7" w14:textId="766BC4F3" w:rsidR="00D614F3" w:rsidRPr="00404724" w:rsidRDefault="00D614F3" w:rsidP="000A13C5">
            <w:pPr>
              <w:spacing w:before="0" w:after="0"/>
              <w:jc w:val="right"/>
              <w:rPr>
                <w:rFonts w:cstheme="minorHAnsi"/>
              </w:rPr>
            </w:pPr>
            <w:r w:rsidRPr="00404724">
              <w:rPr>
                <w:rFonts w:cstheme="minorHAnsi"/>
              </w:rPr>
              <w:t>($m)</w:t>
            </w:r>
          </w:p>
        </w:tc>
        <w:tc>
          <w:tcPr>
            <w:tcW w:w="1229" w:type="dxa"/>
            <w:tcBorders>
              <w:top w:val="nil"/>
              <w:left w:val="single" w:sz="8" w:space="0" w:color="auto"/>
              <w:bottom w:val="nil"/>
              <w:right w:val="single" w:sz="8" w:space="0" w:color="auto"/>
            </w:tcBorders>
            <w:shd w:val="clear" w:color="000000" w:fill="E4E4E4"/>
          </w:tcPr>
          <w:p w14:paraId="54208004" w14:textId="1F6FA35A" w:rsidR="00D614F3" w:rsidRPr="00404724" w:rsidRDefault="00D614F3" w:rsidP="000A13C5">
            <w:pPr>
              <w:spacing w:before="0" w:after="0"/>
              <w:jc w:val="right"/>
              <w:rPr>
                <w:rFonts w:cstheme="minorHAnsi"/>
              </w:rPr>
            </w:pPr>
            <w:r w:rsidRPr="00404724">
              <w:rPr>
                <w:rFonts w:cstheme="minorHAnsi"/>
              </w:rPr>
              <w:t>($m)</w:t>
            </w:r>
          </w:p>
        </w:tc>
        <w:tc>
          <w:tcPr>
            <w:tcW w:w="1228" w:type="dxa"/>
            <w:tcBorders>
              <w:top w:val="nil"/>
              <w:left w:val="single" w:sz="8" w:space="0" w:color="auto"/>
              <w:bottom w:val="nil"/>
              <w:right w:val="single" w:sz="8" w:space="0" w:color="auto"/>
            </w:tcBorders>
            <w:shd w:val="clear" w:color="000000" w:fill="E4E4E4"/>
          </w:tcPr>
          <w:p w14:paraId="7DDBFEAE" w14:textId="18DA7DF4" w:rsidR="00D614F3" w:rsidRPr="00404724" w:rsidRDefault="00D614F3" w:rsidP="000A13C5">
            <w:pPr>
              <w:spacing w:before="0" w:after="0"/>
              <w:jc w:val="right"/>
              <w:rPr>
                <w:rFonts w:cstheme="minorHAnsi"/>
              </w:rPr>
            </w:pPr>
            <w:r w:rsidRPr="00404724">
              <w:rPr>
                <w:rFonts w:cstheme="minorHAnsi"/>
              </w:rPr>
              <w:t>($m)</w:t>
            </w:r>
          </w:p>
        </w:tc>
        <w:tc>
          <w:tcPr>
            <w:tcW w:w="1229" w:type="dxa"/>
            <w:tcBorders>
              <w:top w:val="nil"/>
              <w:left w:val="single" w:sz="8" w:space="0" w:color="auto"/>
              <w:bottom w:val="nil"/>
              <w:right w:val="single" w:sz="8" w:space="0" w:color="auto"/>
            </w:tcBorders>
            <w:shd w:val="clear" w:color="000000" w:fill="E4E4E4"/>
          </w:tcPr>
          <w:p w14:paraId="7BC64242" w14:textId="111EAD58" w:rsidR="00D614F3" w:rsidRPr="00404724" w:rsidRDefault="00D614F3" w:rsidP="000A13C5">
            <w:pPr>
              <w:spacing w:before="0" w:after="0"/>
              <w:jc w:val="right"/>
              <w:rPr>
                <w:rFonts w:cstheme="minorHAnsi"/>
              </w:rPr>
            </w:pPr>
            <w:r w:rsidRPr="00404724">
              <w:rPr>
                <w:rFonts w:cstheme="minorHAnsi"/>
              </w:rPr>
              <w:t>($m)</w:t>
            </w:r>
          </w:p>
        </w:tc>
        <w:tc>
          <w:tcPr>
            <w:tcW w:w="1228" w:type="dxa"/>
            <w:tcBorders>
              <w:top w:val="nil"/>
              <w:left w:val="single" w:sz="8" w:space="0" w:color="auto"/>
              <w:bottom w:val="nil"/>
              <w:right w:val="single" w:sz="8" w:space="0" w:color="auto"/>
            </w:tcBorders>
            <w:shd w:val="clear" w:color="000000" w:fill="E4E4E4"/>
          </w:tcPr>
          <w:p w14:paraId="7FE8D14A" w14:textId="60ECC92E" w:rsidR="00D614F3" w:rsidRPr="00404724" w:rsidRDefault="00D614F3" w:rsidP="000A13C5">
            <w:pPr>
              <w:spacing w:before="0" w:after="0"/>
              <w:jc w:val="right"/>
              <w:rPr>
                <w:rFonts w:cstheme="minorHAnsi"/>
              </w:rPr>
            </w:pPr>
            <w:r w:rsidRPr="00404724">
              <w:rPr>
                <w:rFonts w:cstheme="minorHAnsi"/>
              </w:rPr>
              <w:t>($m)</w:t>
            </w:r>
          </w:p>
        </w:tc>
        <w:tc>
          <w:tcPr>
            <w:tcW w:w="1229" w:type="dxa"/>
            <w:tcBorders>
              <w:top w:val="nil"/>
              <w:left w:val="single" w:sz="8" w:space="0" w:color="auto"/>
              <w:bottom w:val="nil"/>
              <w:right w:val="nil"/>
            </w:tcBorders>
            <w:shd w:val="clear" w:color="000000" w:fill="E4E4E4"/>
          </w:tcPr>
          <w:p w14:paraId="21B1F2B4" w14:textId="76EEDD19" w:rsidR="00D614F3" w:rsidRPr="00404724" w:rsidRDefault="00D614F3" w:rsidP="000A13C5">
            <w:pPr>
              <w:spacing w:before="0" w:after="0"/>
              <w:jc w:val="right"/>
              <w:rPr>
                <w:rFonts w:cstheme="minorHAnsi"/>
              </w:rPr>
            </w:pPr>
            <w:r w:rsidRPr="00404724">
              <w:rPr>
                <w:rFonts w:cstheme="minorHAnsi"/>
              </w:rPr>
              <w:t>($m)</w:t>
            </w:r>
          </w:p>
        </w:tc>
      </w:tr>
      <w:tr w:rsidR="00C426BA" w:rsidRPr="00404724" w14:paraId="1E428824" w14:textId="77777777" w:rsidTr="00C426BA">
        <w:trPr>
          <w:trHeight w:val="330"/>
        </w:trPr>
        <w:tc>
          <w:tcPr>
            <w:tcW w:w="3676" w:type="dxa"/>
            <w:tcBorders>
              <w:top w:val="nil"/>
              <w:left w:val="single" w:sz="8" w:space="0" w:color="auto"/>
              <w:bottom w:val="nil"/>
              <w:right w:val="nil"/>
            </w:tcBorders>
            <w:shd w:val="clear" w:color="000000" w:fill="FFFFFF"/>
            <w:noWrap/>
            <w:hideMark/>
          </w:tcPr>
          <w:p w14:paraId="423AE962" w14:textId="77777777" w:rsidR="00C426BA" w:rsidRPr="00404724" w:rsidRDefault="00C426BA" w:rsidP="00C426BA">
            <w:pPr>
              <w:spacing w:before="0" w:after="0"/>
              <w:rPr>
                <w:rFonts w:cstheme="minorHAnsi"/>
              </w:rPr>
            </w:pPr>
            <w:r w:rsidRPr="00404724">
              <w:rPr>
                <w:rFonts w:cstheme="minorHAnsi"/>
              </w:rPr>
              <w:t>Avoided fatalities</w:t>
            </w:r>
          </w:p>
        </w:tc>
        <w:tc>
          <w:tcPr>
            <w:tcW w:w="1228" w:type="dxa"/>
            <w:tcBorders>
              <w:top w:val="nil"/>
              <w:left w:val="single" w:sz="8" w:space="0" w:color="auto"/>
              <w:bottom w:val="nil"/>
              <w:right w:val="nil"/>
            </w:tcBorders>
            <w:shd w:val="clear" w:color="000000" w:fill="FFFFFF"/>
            <w:noWrap/>
          </w:tcPr>
          <w:p w14:paraId="69183AE0" w14:textId="77777777" w:rsidR="00C426BA" w:rsidRPr="00404724" w:rsidRDefault="00C426BA" w:rsidP="000A13C5">
            <w:pPr>
              <w:spacing w:before="0" w:after="0"/>
              <w:jc w:val="right"/>
              <w:rPr>
                <w:rFonts w:cstheme="minorHAnsi"/>
              </w:rPr>
            </w:pPr>
            <w:r w:rsidRPr="00404724">
              <w:rPr>
                <w:rFonts w:cstheme="minorHAnsi"/>
              </w:rPr>
              <w:t>$368.4</w:t>
            </w:r>
          </w:p>
        </w:tc>
        <w:tc>
          <w:tcPr>
            <w:tcW w:w="1228" w:type="dxa"/>
            <w:tcBorders>
              <w:top w:val="nil"/>
              <w:left w:val="single" w:sz="8" w:space="0" w:color="auto"/>
              <w:bottom w:val="nil"/>
              <w:right w:val="nil"/>
            </w:tcBorders>
            <w:shd w:val="clear" w:color="000000" w:fill="FFFFFF"/>
          </w:tcPr>
          <w:p w14:paraId="6197A141" w14:textId="77777777" w:rsidR="00C426BA" w:rsidRPr="00404724" w:rsidRDefault="00C426BA" w:rsidP="000A13C5">
            <w:pPr>
              <w:spacing w:before="0" w:after="0"/>
              <w:jc w:val="right"/>
              <w:rPr>
                <w:rFonts w:cstheme="minorHAnsi"/>
              </w:rPr>
            </w:pPr>
            <w:r w:rsidRPr="00404724">
              <w:rPr>
                <w:rFonts w:cstheme="minorHAnsi"/>
              </w:rPr>
              <w:t>$736.8</w:t>
            </w:r>
          </w:p>
        </w:tc>
        <w:tc>
          <w:tcPr>
            <w:tcW w:w="1229" w:type="dxa"/>
            <w:tcBorders>
              <w:top w:val="nil"/>
              <w:left w:val="single" w:sz="8" w:space="0" w:color="auto"/>
              <w:bottom w:val="nil"/>
              <w:right w:val="nil"/>
            </w:tcBorders>
            <w:shd w:val="clear" w:color="000000" w:fill="FFFFFF"/>
          </w:tcPr>
          <w:p w14:paraId="11121A73" w14:textId="77777777" w:rsidR="00C426BA" w:rsidRPr="00404724" w:rsidRDefault="00C426BA" w:rsidP="000A13C5">
            <w:pPr>
              <w:spacing w:before="0" w:after="0"/>
              <w:jc w:val="right"/>
              <w:rPr>
                <w:rFonts w:cstheme="minorHAnsi"/>
              </w:rPr>
            </w:pPr>
            <w:r w:rsidRPr="00404724">
              <w:rPr>
                <w:rFonts w:cstheme="minorHAnsi"/>
              </w:rPr>
              <w:t>$1,399.9</w:t>
            </w:r>
          </w:p>
        </w:tc>
        <w:tc>
          <w:tcPr>
            <w:tcW w:w="1228" w:type="dxa"/>
            <w:tcBorders>
              <w:top w:val="nil"/>
              <w:left w:val="single" w:sz="8" w:space="0" w:color="auto"/>
              <w:bottom w:val="nil"/>
              <w:right w:val="nil"/>
            </w:tcBorders>
            <w:shd w:val="clear" w:color="000000" w:fill="FFFFFF"/>
          </w:tcPr>
          <w:p w14:paraId="7E8D6D77" w14:textId="77777777" w:rsidR="00C426BA" w:rsidRPr="00404724" w:rsidRDefault="00C426BA" w:rsidP="000A13C5">
            <w:pPr>
              <w:spacing w:before="0" w:after="0"/>
              <w:jc w:val="right"/>
              <w:rPr>
                <w:rFonts w:cstheme="minorHAnsi"/>
              </w:rPr>
            </w:pPr>
            <w:r w:rsidRPr="00404724">
              <w:rPr>
                <w:rFonts w:cstheme="minorHAnsi"/>
              </w:rPr>
              <w:t>$779.3</w:t>
            </w:r>
          </w:p>
        </w:tc>
        <w:tc>
          <w:tcPr>
            <w:tcW w:w="1229" w:type="dxa"/>
            <w:tcBorders>
              <w:top w:val="nil"/>
              <w:left w:val="single" w:sz="8" w:space="0" w:color="auto"/>
              <w:bottom w:val="nil"/>
              <w:right w:val="single" w:sz="8" w:space="0" w:color="auto"/>
            </w:tcBorders>
            <w:shd w:val="clear" w:color="000000" w:fill="FFFFFF"/>
          </w:tcPr>
          <w:p w14:paraId="12AD5735" w14:textId="77777777" w:rsidR="00C426BA" w:rsidRPr="00404724" w:rsidRDefault="00C426BA" w:rsidP="000A13C5">
            <w:pPr>
              <w:spacing w:before="0" w:after="0"/>
              <w:jc w:val="right"/>
              <w:rPr>
                <w:rFonts w:cstheme="minorHAnsi"/>
              </w:rPr>
            </w:pPr>
            <w:r w:rsidRPr="00404724">
              <w:rPr>
                <w:rFonts w:cstheme="minorHAnsi"/>
              </w:rPr>
              <w:t>$1,558.6</w:t>
            </w:r>
          </w:p>
        </w:tc>
        <w:tc>
          <w:tcPr>
            <w:tcW w:w="1228" w:type="dxa"/>
            <w:tcBorders>
              <w:top w:val="nil"/>
              <w:left w:val="single" w:sz="8" w:space="0" w:color="auto"/>
              <w:bottom w:val="nil"/>
              <w:right w:val="single" w:sz="8" w:space="0" w:color="auto"/>
            </w:tcBorders>
            <w:shd w:val="clear" w:color="000000" w:fill="FFFFFF"/>
          </w:tcPr>
          <w:p w14:paraId="1EF7522A" w14:textId="77777777" w:rsidR="00C426BA" w:rsidRPr="00404724" w:rsidRDefault="00C426BA" w:rsidP="000A13C5">
            <w:pPr>
              <w:spacing w:before="0" w:after="0"/>
              <w:jc w:val="right"/>
              <w:rPr>
                <w:rFonts w:cstheme="minorHAnsi"/>
              </w:rPr>
            </w:pPr>
            <w:r w:rsidRPr="00404724">
              <w:rPr>
                <w:rFonts w:cstheme="minorHAnsi"/>
              </w:rPr>
              <w:t>$2,961.5</w:t>
            </w:r>
          </w:p>
        </w:tc>
        <w:tc>
          <w:tcPr>
            <w:tcW w:w="1229" w:type="dxa"/>
            <w:tcBorders>
              <w:top w:val="nil"/>
              <w:left w:val="single" w:sz="8" w:space="0" w:color="auto"/>
              <w:bottom w:val="nil"/>
              <w:right w:val="single" w:sz="8" w:space="0" w:color="auto"/>
            </w:tcBorders>
            <w:shd w:val="clear" w:color="000000" w:fill="FFFFFF"/>
          </w:tcPr>
          <w:p w14:paraId="1117DACB" w14:textId="77777777" w:rsidR="00C426BA" w:rsidRPr="00404724" w:rsidRDefault="00C426BA" w:rsidP="000A13C5">
            <w:pPr>
              <w:spacing w:before="0" w:after="0"/>
              <w:jc w:val="right"/>
              <w:rPr>
                <w:rFonts w:cstheme="minorHAnsi"/>
              </w:rPr>
            </w:pPr>
            <w:r w:rsidRPr="00404724">
              <w:rPr>
                <w:rFonts w:cstheme="minorHAnsi"/>
              </w:rPr>
              <w:t>$1,111.0</w:t>
            </w:r>
          </w:p>
        </w:tc>
        <w:tc>
          <w:tcPr>
            <w:tcW w:w="1228" w:type="dxa"/>
            <w:tcBorders>
              <w:top w:val="nil"/>
              <w:left w:val="single" w:sz="8" w:space="0" w:color="auto"/>
              <w:bottom w:val="nil"/>
              <w:right w:val="single" w:sz="8" w:space="0" w:color="auto"/>
            </w:tcBorders>
            <w:shd w:val="clear" w:color="000000" w:fill="FFFFFF"/>
          </w:tcPr>
          <w:p w14:paraId="5B3166CD" w14:textId="77777777" w:rsidR="00C426BA" w:rsidRPr="00404724" w:rsidRDefault="00C426BA" w:rsidP="000A13C5">
            <w:pPr>
              <w:spacing w:before="0" w:after="0"/>
              <w:jc w:val="right"/>
              <w:rPr>
                <w:rFonts w:cstheme="minorHAnsi"/>
              </w:rPr>
            </w:pPr>
            <w:r w:rsidRPr="00404724">
              <w:rPr>
                <w:rFonts w:cstheme="minorHAnsi"/>
              </w:rPr>
              <w:t>$2,222.2</w:t>
            </w:r>
          </w:p>
        </w:tc>
        <w:tc>
          <w:tcPr>
            <w:tcW w:w="1229" w:type="dxa"/>
            <w:tcBorders>
              <w:top w:val="nil"/>
              <w:left w:val="single" w:sz="8" w:space="0" w:color="auto"/>
              <w:bottom w:val="nil"/>
              <w:right w:val="nil"/>
            </w:tcBorders>
            <w:shd w:val="clear" w:color="000000" w:fill="FFFFFF"/>
          </w:tcPr>
          <w:p w14:paraId="1141A423" w14:textId="77777777" w:rsidR="00C426BA" w:rsidRPr="00404724" w:rsidRDefault="00C426BA" w:rsidP="000A13C5">
            <w:pPr>
              <w:spacing w:before="0" w:after="0"/>
              <w:jc w:val="right"/>
              <w:rPr>
                <w:rFonts w:cstheme="minorHAnsi"/>
              </w:rPr>
            </w:pPr>
            <w:r w:rsidRPr="00404724">
              <w:rPr>
                <w:rFonts w:cstheme="minorHAnsi"/>
              </w:rPr>
              <w:t>$4,221.6</w:t>
            </w:r>
          </w:p>
        </w:tc>
      </w:tr>
      <w:tr w:rsidR="00C426BA" w:rsidRPr="00404724" w14:paraId="3AF36A2A" w14:textId="77777777" w:rsidTr="00C426BA">
        <w:trPr>
          <w:trHeight w:val="330"/>
        </w:trPr>
        <w:tc>
          <w:tcPr>
            <w:tcW w:w="3676" w:type="dxa"/>
            <w:tcBorders>
              <w:top w:val="nil"/>
              <w:left w:val="single" w:sz="8" w:space="0" w:color="auto"/>
              <w:bottom w:val="nil"/>
              <w:right w:val="nil"/>
            </w:tcBorders>
            <w:shd w:val="clear" w:color="000000" w:fill="FFFFFF"/>
            <w:noWrap/>
            <w:hideMark/>
          </w:tcPr>
          <w:p w14:paraId="796D941B" w14:textId="77777777" w:rsidR="00C426BA" w:rsidRPr="00404724" w:rsidRDefault="00C426BA" w:rsidP="00C426BA">
            <w:pPr>
              <w:spacing w:before="0" w:after="0"/>
              <w:rPr>
                <w:rFonts w:cstheme="minorHAnsi"/>
              </w:rPr>
            </w:pPr>
            <w:r w:rsidRPr="00404724">
              <w:rPr>
                <w:rFonts w:cstheme="minorHAnsi"/>
              </w:rPr>
              <w:t>Avoided serious injuries</w:t>
            </w:r>
          </w:p>
        </w:tc>
        <w:tc>
          <w:tcPr>
            <w:tcW w:w="1228" w:type="dxa"/>
            <w:tcBorders>
              <w:top w:val="nil"/>
              <w:left w:val="single" w:sz="8" w:space="0" w:color="auto"/>
              <w:bottom w:val="nil"/>
              <w:right w:val="nil"/>
            </w:tcBorders>
            <w:shd w:val="clear" w:color="000000" w:fill="FFFFFF"/>
            <w:noWrap/>
          </w:tcPr>
          <w:p w14:paraId="7BD7D780" w14:textId="77777777" w:rsidR="00C426BA" w:rsidRPr="00404724" w:rsidRDefault="00C426BA" w:rsidP="000A13C5">
            <w:pPr>
              <w:spacing w:before="0" w:after="0"/>
              <w:jc w:val="right"/>
              <w:rPr>
                <w:rFonts w:cstheme="minorHAnsi"/>
              </w:rPr>
            </w:pPr>
            <w:r w:rsidRPr="00404724">
              <w:rPr>
                <w:rFonts w:cstheme="minorHAnsi"/>
              </w:rPr>
              <w:t>$658.8</w:t>
            </w:r>
          </w:p>
        </w:tc>
        <w:tc>
          <w:tcPr>
            <w:tcW w:w="1228" w:type="dxa"/>
            <w:tcBorders>
              <w:top w:val="nil"/>
              <w:left w:val="single" w:sz="8" w:space="0" w:color="auto"/>
              <w:bottom w:val="nil"/>
              <w:right w:val="nil"/>
            </w:tcBorders>
            <w:shd w:val="clear" w:color="000000" w:fill="FFFFFF"/>
          </w:tcPr>
          <w:p w14:paraId="227347E8" w14:textId="77777777" w:rsidR="00C426BA" w:rsidRPr="00404724" w:rsidRDefault="00C426BA" w:rsidP="000A13C5">
            <w:pPr>
              <w:spacing w:before="0" w:after="0"/>
              <w:jc w:val="right"/>
              <w:rPr>
                <w:rFonts w:cstheme="minorHAnsi"/>
              </w:rPr>
            </w:pPr>
            <w:r w:rsidRPr="00404724">
              <w:rPr>
                <w:rFonts w:cstheme="minorHAnsi"/>
              </w:rPr>
              <w:t>$1,317.7</w:t>
            </w:r>
          </w:p>
        </w:tc>
        <w:tc>
          <w:tcPr>
            <w:tcW w:w="1229" w:type="dxa"/>
            <w:tcBorders>
              <w:top w:val="nil"/>
              <w:left w:val="single" w:sz="8" w:space="0" w:color="auto"/>
              <w:bottom w:val="nil"/>
              <w:right w:val="nil"/>
            </w:tcBorders>
            <w:shd w:val="clear" w:color="000000" w:fill="FFFFFF"/>
          </w:tcPr>
          <w:p w14:paraId="3B9A533E" w14:textId="77777777" w:rsidR="00C426BA" w:rsidRPr="00404724" w:rsidRDefault="00C426BA" w:rsidP="000A13C5">
            <w:pPr>
              <w:spacing w:before="0" w:after="0"/>
              <w:jc w:val="right"/>
              <w:rPr>
                <w:rFonts w:cstheme="minorHAnsi"/>
              </w:rPr>
            </w:pPr>
            <w:r w:rsidRPr="00404724">
              <w:rPr>
                <w:rFonts w:cstheme="minorHAnsi"/>
              </w:rPr>
              <w:t>$2,503.2</w:t>
            </w:r>
          </w:p>
        </w:tc>
        <w:tc>
          <w:tcPr>
            <w:tcW w:w="1228" w:type="dxa"/>
            <w:tcBorders>
              <w:top w:val="nil"/>
              <w:left w:val="single" w:sz="8" w:space="0" w:color="auto"/>
              <w:bottom w:val="nil"/>
              <w:right w:val="nil"/>
            </w:tcBorders>
            <w:shd w:val="clear" w:color="000000" w:fill="FFFFFF"/>
          </w:tcPr>
          <w:p w14:paraId="2A7841B3" w14:textId="77777777" w:rsidR="00C426BA" w:rsidRPr="00404724" w:rsidRDefault="00C426BA" w:rsidP="000A13C5">
            <w:pPr>
              <w:spacing w:before="0" w:after="0"/>
              <w:jc w:val="right"/>
              <w:rPr>
                <w:rFonts w:cstheme="minorHAnsi"/>
              </w:rPr>
            </w:pPr>
            <w:r w:rsidRPr="00404724">
              <w:rPr>
                <w:rFonts w:cstheme="minorHAnsi"/>
              </w:rPr>
              <w:t>$1,439.9</w:t>
            </w:r>
          </w:p>
        </w:tc>
        <w:tc>
          <w:tcPr>
            <w:tcW w:w="1229" w:type="dxa"/>
            <w:tcBorders>
              <w:top w:val="nil"/>
              <w:left w:val="single" w:sz="8" w:space="0" w:color="auto"/>
              <w:bottom w:val="nil"/>
              <w:right w:val="single" w:sz="8" w:space="0" w:color="auto"/>
            </w:tcBorders>
            <w:shd w:val="clear" w:color="000000" w:fill="FFFFFF"/>
          </w:tcPr>
          <w:p w14:paraId="627D3123" w14:textId="77777777" w:rsidR="00C426BA" w:rsidRPr="00404724" w:rsidRDefault="00C426BA" w:rsidP="000A13C5">
            <w:pPr>
              <w:spacing w:before="0" w:after="0"/>
              <w:jc w:val="right"/>
              <w:rPr>
                <w:rFonts w:cstheme="minorHAnsi"/>
              </w:rPr>
            </w:pPr>
            <w:r w:rsidRPr="00404724">
              <w:rPr>
                <w:rFonts w:cstheme="minorHAnsi"/>
              </w:rPr>
              <w:t>$2,879.7</w:t>
            </w:r>
          </w:p>
        </w:tc>
        <w:tc>
          <w:tcPr>
            <w:tcW w:w="1228" w:type="dxa"/>
            <w:tcBorders>
              <w:top w:val="nil"/>
              <w:left w:val="single" w:sz="8" w:space="0" w:color="auto"/>
              <w:bottom w:val="nil"/>
              <w:right w:val="single" w:sz="8" w:space="0" w:color="auto"/>
            </w:tcBorders>
            <w:shd w:val="clear" w:color="000000" w:fill="FFFFFF"/>
          </w:tcPr>
          <w:p w14:paraId="77D305FF" w14:textId="77777777" w:rsidR="00C426BA" w:rsidRPr="00404724" w:rsidRDefault="00C426BA" w:rsidP="000A13C5">
            <w:pPr>
              <w:spacing w:before="0" w:after="0"/>
              <w:jc w:val="right"/>
              <w:rPr>
                <w:rFonts w:cstheme="minorHAnsi"/>
              </w:rPr>
            </w:pPr>
            <w:r w:rsidRPr="00404724">
              <w:rPr>
                <w:rFonts w:cstheme="minorHAnsi"/>
              </w:rPr>
              <w:t>$5,471.2</w:t>
            </w:r>
          </w:p>
        </w:tc>
        <w:tc>
          <w:tcPr>
            <w:tcW w:w="1229" w:type="dxa"/>
            <w:tcBorders>
              <w:top w:val="nil"/>
              <w:left w:val="single" w:sz="8" w:space="0" w:color="auto"/>
              <w:bottom w:val="nil"/>
              <w:right w:val="single" w:sz="8" w:space="0" w:color="auto"/>
            </w:tcBorders>
            <w:shd w:val="clear" w:color="000000" w:fill="FFFFFF"/>
          </w:tcPr>
          <w:p w14:paraId="7599F242" w14:textId="77777777" w:rsidR="00C426BA" w:rsidRPr="00404724" w:rsidRDefault="00C426BA" w:rsidP="000A13C5">
            <w:pPr>
              <w:spacing w:before="0" w:after="0"/>
              <w:jc w:val="right"/>
              <w:rPr>
                <w:rFonts w:cstheme="minorHAnsi"/>
              </w:rPr>
            </w:pPr>
            <w:r w:rsidRPr="00404724">
              <w:rPr>
                <w:rFonts w:cstheme="minorHAnsi"/>
              </w:rPr>
              <w:t>$2,118.7</w:t>
            </w:r>
          </w:p>
        </w:tc>
        <w:tc>
          <w:tcPr>
            <w:tcW w:w="1228" w:type="dxa"/>
            <w:tcBorders>
              <w:top w:val="nil"/>
              <w:left w:val="single" w:sz="8" w:space="0" w:color="auto"/>
              <w:bottom w:val="nil"/>
              <w:right w:val="single" w:sz="8" w:space="0" w:color="auto"/>
            </w:tcBorders>
            <w:shd w:val="clear" w:color="000000" w:fill="FFFFFF"/>
          </w:tcPr>
          <w:p w14:paraId="2DEFBA19" w14:textId="77777777" w:rsidR="00C426BA" w:rsidRPr="00404724" w:rsidRDefault="00C426BA" w:rsidP="000A13C5">
            <w:pPr>
              <w:spacing w:before="0" w:after="0"/>
              <w:jc w:val="right"/>
              <w:rPr>
                <w:rFonts w:cstheme="minorHAnsi"/>
              </w:rPr>
            </w:pPr>
            <w:r w:rsidRPr="00404724">
              <w:rPr>
                <w:rFonts w:cstheme="minorHAnsi"/>
              </w:rPr>
              <w:t>$4,236.8</w:t>
            </w:r>
          </w:p>
        </w:tc>
        <w:tc>
          <w:tcPr>
            <w:tcW w:w="1229" w:type="dxa"/>
            <w:tcBorders>
              <w:top w:val="nil"/>
              <w:left w:val="single" w:sz="8" w:space="0" w:color="auto"/>
              <w:bottom w:val="nil"/>
              <w:right w:val="nil"/>
            </w:tcBorders>
            <w:shd w:val="clear" w:color="000000" w:fill="FFFFFF"/>
          </w:tcPr>
          <w:p w14:paraId="60C32F1E" w14:textId="77777777" w:rsidR="00C426BA" w:rsidRPr="00404724" w:rsidRDefault="00C426BA" w:rsidP="000A13C5">
            <w:pPr>
              <w:spacing w:before="0" w:after="0"/>
              <w:jc w:val="right"/>
              <w:rPr>
                <w:rFonts w:cstheme="minorHAnsi"/>
              </w:rPr>
            </w:pPr>
            <w:r w:rsidRPr="00404724">
              <w:rPr>
                <w:rFonts w:cstheme="minorHAnsi"/>
              </w:rPr>
              <w:t>$8,050.6</w:t>
            </w:r>
          </w:p>
        </w:tc>
      </w:tr>
      <w:tr w:rsidR="00C426BA" w:rsidRPr="00404724" w14:paraId="7829B100" w14:textId="77777777" w:rsidTr="00C426BA">
        <w:trPr>
          <w:trHeight w:val="330"/>
        </w:trPr>
        <w:tc>
          <w:tcPr>
            <w:tcW w:w="3676" w:type="dxa"/>
            <w:tcBorders>
              <w:top w:val="nil"/>
              <w:left w:val="single" w:sz="8" w:space="0" w:color="auto"/>
              <w:bottom w:val="nil"/>
              <w:right w:val="nil"/>
            </w:tcBorders>
            <w:shd w:val="clear" w:color="000000" w:fill="FFFFFF"/>
            <w:noWrap/>
            <w:hideMark/>
          </w:tcPr>
          <w:p w14:paraId="273CA60D" w14:textId="77777777" w:rsidR="00C426BA" w:rsidRPr="00404724" w:rsidRDefault="00C426BA" w:rsidP="00C426BA">
            <w:pPr>
              <w:spacing w:before="0" w:after="0"/>
              <w:rPr>
                <w:rFonts w:cstheme="minorHAnsi"/>
              </w:rPr>
            </w:pPr>
            <w:r w:rsidRPr="00404724">
              <w:rPr>
                <w:rFonts w:cstheme="minorHAnsi"/>
              </w:rPr>
              <w:t> </w:t>
            </w:r>
          </w:p>
        </w:tc>
        <w:tc>
          <w:tcPr>
            <w:tcW w:w="1228" w:type="dxa"/>
            <w:tcBorders>
              <w:top w:val="nil"/>
              <w:left w:val="single" w:sz="8" w:space="0" w:color="auto"/>
              <w:bottom w:val="nil"/>
              <w:right w:val="nil"/>
            </w:tcBorders>
            <w:shd w:val="clear" w:color="000000" w:fill="FFFFFF"/>
            <w:noWrap/>
          </w:tcPr>
          <w:p w14:paraId="5CBAFD90" w14:textId="77777777" w:rsidR="00C426BA" w:rsidRPr="00404724" w:rsidRDefault="00C426BA" w:rsidP="000A13C5">
            <w:pPr>
              <w:spacing w:before="0" w:after="0"/>
              <w:jc w:val="right"/>
              <w:rPr>
                <w:rFonts w:cstheme="minorHAnsi"/>
              </w:rPr>
            </w:pPr>
          </w:p>
        </w:tc>
        <w:tc>
          <w:tcPr>
            <w:tcW w:w="1228" w:type="dxa"/>
            <w:tcBorders>
              <w:top w:val="nil"/>
              <w:left w:val="single" w:sz="8" w:space="0" w:color="auto"/>
              <w:bottom w:val="nil"/>
              <w:right w:val="nil"/>
            </w:tcBorders>
            <w:shd w:val="clear" w:color="000000" w:fill="FFFFFF"/>
          </w:tcPr>
          <w:p w14:paraId="0C9E6A09" w14:textId="77777777" w:rsidR="00C426BA" w:rsidRPr="00404724" w:rsidRDefault="00C426BA" w:rsidP="000A13C5">
            <w:pPr>
              <w:spacing w:before="0" w:after="0"/>
              <w:jc w:val="right"/>
              <w:rPr>
                <w:rFonts w:cstheme="minorHAnsi"/>
              </w:rPr>
            </w:pPr>
          </w:p>
        </w:tc>
        <w:tc>
          <w:tcPr>
            <w:tcW w:w="1229" w:type="dxa"/>
            <w:tcBorders>
              <w:top w:val="nil"/>
              <w:left w:val="single" w:sz="8" w:space="0" w:color="auto"/>
              <w:bottom w:val="nil"/>
              <w:right w:val="nil"/>
            </w:tcBorders>
            <w:shd w:val="clear" w:color="000000" w:fill="FFFFFF"/>
          </w:tcPr>
          <w:p w14:paraId="3456A440" w14:textId="77777777" w:rsidR="00C426BA" w:rsidRPr="00404724" w:rsidRDefault="00C426BA" w:rsidP="000A13C5">
            <w:pPr>
              <w:spacing w:before="0" w:after="0"/>
              <w:jc w:val="right"/>
              <w:rPr>
                <w:rFonts w:cstheme="minorHAnsi"/>
              </w:rPr>
            </w:pPr>
          </w:p>
        </w:tc>
        <w:tc>
          <w:tcPr>
            <w:tcW w:w="1228" w:type="dxa"/>
            <w:tcBorders>
              <w:top w:val="nil"/>
              <w:left w:val="single" w:sz="8" w:space="0" w:color="auto"/>
              <w:bottom w:val="nil"/>
              <w:right w:val="nil"/>
            </w:tcBorders>
            <w:shd w:val="clear" w:color="000000" w:fill="FFFFFF"/>
          </w:tcPr>
          <w:p w14:paraId="7AE801F0" w14:textId="77777777" w:rsidR="00C426BA" w:rsidRPr="00404724" w:rsidRDefault="00C426BA" w:rsidP="000A13C5">
            <w:pPr>
              <w:spacing w:before="0" w:after="0"/>
              <w:jc w:val="right"/>
              <w:rPr>
                <w:rFonts w:cstheme="minorHAnsi"/>
              </w:rPr>
            </w:pPr>
          </w:p>
        </w:tc>
        <w:tc>
          <w:tcPr>
            <w:tcW w:w="1229" w:type="dxa"/>
            <w:tcBorders>
              <w:top w:val="nil"/>
              <w:left w:val="single" w:sz="8" w:space="0" w:color="auto"/>
              <w:bottom w:val="nil"/>
              <w:right w:val="single" w:sz="8" w:space="0" w:color="auto"/>
            </w:tcBorders>
            <w:shd w:val="clear" w:color="000000" w:fill="FFFFFF"/>
          </w:tcPr>
          <w:p w14:paraId="319F5A76" w14:textId="77777777" w:rsidR="00C426BA" w:rsidRPr="00404724" w:rsidRDefault="00C426BA" w:rsidP="000A13C5">
            <w:pPr>
              <w:spacing w:before="0" w:after="0"/>
              <w:jc w:val="right"/>
              <w:rPr>
                <w:rFonts w:cstheme="minorHAnsi"/>
              </w:rPr>
            </w:pPr>
          </w:p>
        </w:tc>
        <w:tc>
          <w:tcPr>
            <w:tcW w:w="1228" w:type="dxa"/>
            <w:tcBorders>
              <w:top w:val="nil"/>
              <w:left w:val="single" w:sz="8" w:space="0" w:color="auto"/>
              <w:bottom w:val="nil"/>
              <w:right w:val="single" w:sz="8" w:space="0" w:color="auto"/>
            </w:tcBorders>
            <w:shd w:val="clear" w:color="000000" w:fill="FFFFFF"/>
          </w:tcPr>
          <w:p w14:paraId="495E2786" w14:textId="77777777" w:rsidR="00C426BA" w:rsidRPr="00404724" w:rsidRDefault="00C426BA" w:rsidP="000A13C5">
            <w:pPr>
              <w:spacing w:before="0" w:after="0"/>
              <w:jc w:val="right"/>
              <w:rPr>
                <w:rFonts w:cstheme="minorHAnsi"/>
              </w:rPr>
            </w:pPr>
          </w:p>
        </w:tc>
        <w:tc>
          <w:tcPr>
            <w:tcW w:w="1229" w:type="dxa"/>
            <w:tcBorders>
              <w:top w:val="nil"/>
              <w:left w:val="single" w:sz="8" w:space="0" w:color="auto"/>
              <w:bottom w:val="nil"/>
              <w:right w:val="single" w:sz="8" w:space="0" w:color="auto"/>
            </w:tcBorders>
            <w:shd w:val="clear" w:color="000000" w:fill="FFFFFF"/>
          </w:tcPr>
          <w:p w14:paraId="3C1F2489" w14:textId="77777777" w:rsidR="00C426BA" w:rsidRPr="00404724" w:rsidRDefault="00C426BA" w:rsidP="000A13C5">
            <w:pPr>
              <w:spacing w:before="0" w:after="0"/>
              <w:jc w:val="right"/>
              <w:rPr>
                <w:rFonts w:cstheme="minorHAnsi"/>
              </w:rPr>
            </w:pPr>
          </w:p>
        </w:tc>
        <w:tc>
          <w:tcPr>
            <w:tcW w:w="1228" w:type="dxa"/>
            <w:tcBorders>
              <w:top w:val="nil"/>
              <w:left w:val="single" w:sz="8" w:space="0" w:color="auto"/>
              <w:bottom w:val="nil"/>
              <w:right w:val="single" w:sz="8" w:space="0" w:color="auto"/>
            </w:tcBorders>
            <w:shd w:val="clear" w:color="000000" w:fill="FFFFFF"/>
          </w:tcPr>
          <w:p w14:paraId="11C961FB" w14:textId="77777777" w:rsidR="00C426BA" w:rsidRPr="00404724" w:rsidRDefault="00C426BA" w:rsidP="000A13C5">
            <w:pPr>
              <w:spacing w:before="0" w:after="0"/>
              <w:jc w:val="right"/>
              <w:rPr>
                <w:rFonts w:cstheme="minorHAnsi"/>
              </w:rPr>
            </w:pPr>
          </w:p>
        </w:tc>
        <w:tc>
          <w:tcPr>
            <w:tcW w:w="1229" w:type="dxa"/>
            <w:tcBorders>
              <w:top w:val="nil"/>
              <w:left w:val="single" w:sz="8" w:space="0" w:color="auto"/>
              <w:bottom w:val="nil"/>
              <w:right w:val="nil"/>
            </w:tcBorders>
            <w:shd w:val="clear" w:color="000000" w:fill="FFFFFF"/>
          </w:tcPr>
          <w:p w14:paraId="75C09539" w14:textId="77777777" w:rsidR="00C426BA" w:rsidRPr="00404724" w:rsidRDefault="00C426BA" w:rsidP="000A13C5">
            <w:pPr>
              <w:spacing w:before="0" w:after="0"/>
              <w:jc w:val="right"/>
              <w:rPr>
                <w:rFonts w:cstheme="minorHAnsi"/>
              </w:rPr>
            </w:pPr>
          </w:p>
        </w:tc>
      </w:tr>
      <w:tr w:rsidR="00D614F3" w:rsidRPr="00404724" w14:paraId="15D42629" w14:textId="77777777" w:rsidTr="00C426BA">
        <w:trPr>
          <w:trHeight w:val="330"/>
        </w:trPr>
        <w:tc>
          <w:tcPr>
            <w:tcW w:w="3676" w:type="dxa"/>
            <w:tcBorders>
              <w:top w:val="nil"/>
              <w:left w:val="single" w:sz="8" w:space="0" w:color="auto"/>
              <w:bottom w:val="nil"/>
              <w:right w:val="nil"/>
            </w:tcBorders>
            <w:shd w:val="clear" w:color="000000" w:fill="E4E4E4"/>
            <w:noWrap/>
            <w:hideMark/>
          </w:tcPr>
          <w:p w14:paraId="72785298" w14:textId="77777777" w:rsidR="00D614F3" w:rsidRPr="00404724" w:rsidRDefault="00D614F3" w:rsidP="00D614F3">
            <w:pPr>
              <w:spacing w:before="0" w:after="0"/>
              <w:rPr>
                <w:rFonts w:cstheme="minorHAnsi"/>
              </w:rPr>
            </w:pPr>
            <w:r w:rsidRPr="00404724">
              <w:rPr>
                <w:rFonts w:cstheme="minorHAnsi"/>
              </w:rPr>
              <w:t>Avoided fuel consumption</w:t>
            </w:r>
          </w:p>
        </w:tc>
        <w:tc>
          <w:tcPr>
            <w:tcW w:w="1228" w:type="dxa"/>
            <w:tcBorders>
              <w:top w:val="nil"/>
              <w:left w:val="single" w:sz="8" w:space="0" w:color="auto"/>
              <w:bottom w:val="nil"/>
              <w:right w:val="nil"/>
            </w:tcBorders>
            <w:shd w:val="clear" w:color="000000" w:fill="E4E4E4"/>
            <w:noWrap/>
          </w:tcPr>
          <w:p w14:paraId="0D058C54" w14:textId="0CD598B3" w:rsidR="00D614F3" w:rsidRPr="00404724" w:rsidRDefault="00D614F3" w:rsidP="000A13C5">
            <w:pPr>
              <w:spacing w:before="0" w:after="0"/>
              <w:jc w:val="right"/>
              <w:rPr>
                <w:rFonts w:cstheme="minorHAnsi"/>
              </w:rPr>
            </w:pPr>
            <w:r w:rsidRPr="00404724">
              <w:rPr>
                <w:rFonts w:cstheme="minorHAnsi"/>
              </w:rPr>
              <w:t>($m)</w:t>
            </w:r>
          </w:p>
        </w:tc>
        <w:tc>
          <w:tcPr>
            <w:tcW w:w="1228" w:type="dxa"/>
            <w:tcBorders>
              <w:top w:val="nil"/>
              <w:left w:val="single" w:sz="8" w:space="0" w:color="auto"/>
              <w:bottom w:val="nil"/>
              <w:right w:val="nil"/>
            </w:tcBorders>
            <w:shd w:val="clear" w:color="000000" w:fill="E4E4E4"/>
          </w:tcPr>
          <w:p w14:paraId="28E536C7" w14:textId="794FB210" w:rsidR="00D614F3" w:rsidRPr="00404724" w:rsidRDefault="00D614F3" w:rsidP="000A13C5">
            <w:pPr>
              <w:spacing w:before="0" w:after="0"/>
              <w:jc w:val="right"/>
              <w:rPr>
                <w:rFonts w:cstheme="minorHAnsi"/>
              </w:rPr>
            </w:pPr>
            <w:r w:rsidRPr="00404724">
              <w:rPr>
                <w:rFonts w:cstheme="minorHAnsi"/>
              </w:rPr>
              <w:t>($m)</w:t>
            </w:r>
          </w:p>
        </w:tc>
        <w:tc>
          <w:tcPr>
            <w:tcW w:w="1229" w:type="dxa"/>
            <w:tcBorders>
              <w:top w:val="nil"/>
              <w:left w:val="single" w:sz="8" w:space="0" w:color="auto"/>
              <w:bottom w:val="nil"/>
              <w:right w:val="nil"/>
            </w:tcBorders>
            <w:shd w:val="clear" w:color="000000" w:fill="E4E4E4"/>
          </w:tcPr>
          <w:p w14:paraId="7C7335F9" w14:textId="016F0202" w:rsidR="00D614F3" w:rsidRPr="00404724" w:rsidRDefault="00D614F3" w:rsidP="000A13C5">
            <w:pPr>
              <w:spacing w:before="0" w:after="0"/>
              <w:jc w:val="right"/>
              <w:rPr>
                <w:rFonts w:cstheme="minorHAnsi"/>
              </w:rPr>
            </w:pPr>
            <w:r w:rsidRPr="00404724">
              <w:rPr>
                <w:rFonts w:cstheme="minorHAnsi"/>
              </w:rPr>
              <w:t>($m)</w:t>
            </w:r>
          </w:p>
        </w:tc>
        <w:tc>
          <w:tcPr>
            <w:tcW w:w="1228" w:type="dxa"/>
            <w:tcBorders>
              <w:top w:val="nil"/>
              <w:left w:val="single" w:sz="8" w:space="0" w:color="auto"/>
              <w:bottom w:val="nil"/>
              <w:right w:val="nil"/>
            </w:tcBorders>
            <w:shd w:val="clear" w:color="000000" w:fill="E4E4E4"/>
          </w:tcPr>
          <w:p w14:paraId="6AEA8ECF" w14:textId="1AACB350" w:rsidR="00D614F3" w:rsidRPr="00404724" w:rsidRDefault="00D614F3" w:rsidP="000A13C5">
            <w:pPr>
              <w:spacing w:before="0" w:after="0"/>
              <w:jc w:val="right"/>
              <w:rPr>
                <w:rFonts w:cstheme="minorHAnsi"/>
              </w:rPr>
            </w:pPr>
            <w:r w:rsidRPr="00404724">
              <w:rPr>
                <w:rFonts w:cstheme="minorHAnsi"/>
              </w:rPr>
              <w:t>($m)</w:t>
            </w:r>
          </w:p>
        </w:tc>
        <w:tc>
          <w:tcPr>
            <w:tcW w:w="1229" w:type="dxa"/>
            <w:tcBorders>
              <w:top w:val="nil"/>
              <w:left w:val="single" w:sz="8" w:space="0" w:color="auto"/>
              <w:bottom w:val="nil"/>
              <w:right w:val="single" w:sz="8" w:space="0" w:color="auto"/>
            </w:tcBorders>
            <w:shd w:val="clear" w:color="000000" w:fill="E4E4E4"/>
          </w:tcPr>
          <w:p w14:paraId="4375970E" w14:textId="6E67BA76" w:rsidR="00D614F3" w:rsidRPr="00404724" w:rsidRDefault="00D614F3" w:rsidP="000A13C5">
            <w:pPr>
              <w:spacing w:before="0" w:after="0"/>
              <w:jc w:val="right"/>
              <w:rPr>
                <w:rFonts w:cstheme="minorHAnsi"/>
              </w:rPr>
            </w:pPr>
            <w:r w:rsidRPr="00404724">
              <w:rPr>
                <w:rFonts w:cstheme="minorHAnsi"/>
              </w:rPr>
              <w:t>($m)</w:t>
            </w:r>
          </w:p>
        </w:tc>
        <w:tc>
          <w:tcPr>
            <w:tcW w:w="1228" w:type="dxa"/>
            <w:tcBorders>
              <w:top w:val="nil"/>
              <w:left w:val="single" w:sz="8" w:space="0" w:color="auto"/>
              <w:bottom w:val="nil"/>
              <w:right w:val="single" w:sz="8" w:space="0" w:color="auto"/>
            </w:tcBorders>
            <w:shd w:val="clear" w:color="000000" w:fill="E4E4E4"/>
          </w:tcPr>
          <w:p w14:paraId="1130D7AB" w14:textId="1C692144" w:rsidR="00D614F3" w:rsidRPr="00404724" w:rsidRDefault="00D614F3" w:rsidP="000A13C5">
            <w:pPr>
              <w:spacing w:before="0" w:after="0"/>
              <w:jc w:val="right"/>
              <w:rPr>
                <w:rFonts w:cstheme="minorHAnsi"/>
              </w:rPr>
            </w:pPr>
            <w:r w:rsidRPr="00404724">
              <w:rPr>
                <w:rFonts w:cstheme="minorHAnsi"/>
              </w:rPr>
              <w:t>($m)</w:t>
            </w:r>
          </w:p>
        </w:tc>
        <w:tc>
          <w:tcPr>
            <w:tcW w:w="1229" w:type="dxa"/>
            <w:tcBorders>
              <w:top w:val="nil"/>
              <w:left w:val="single" w:sz="8" w:space="0" w:color="auto"/>
              <w:bottom w:val="nil"/>
              <w:right w:val="single" w:sz="8" w:space="0" w:color="auto"/>
            </w:tcBorders>
            <w:shd w:val="clear" w:color="000000" w:fill="E4E4E4"/>
          </w:tcPr>
          <w:p w14:paraId="19CE7DF6" w14:textId="082DE83A" w:rsidR="00D614F3" w:rsidRPr="00404724" w:rsidRDefault="00D614F3" w:rsidP="000A13C5">
            <w:pPr>
              <w:spacing w:before="0" w:after="0"/>
              <w:jc w:val="right"/>
              <w:rPr>
                <w:rFonts w:cstheme="minorHAnsi"/>
              </w:rPr>
            </w:pPr>
            <w:r w:rsidRPr="00404724">
              <w:rPr>
                <w:rFonts w:cstheme="minorHAnsi"/>
              </w:rPr>
              <w:t>($m)</w:t>
            </w:r>
          </w:p>
        </w:tc>
        <w:tc>
          <w:tcPr>
            <w:tcW w:w="1228" w:type="dxa"/>
            <w:tcBorders>
              <w:top w:val="nil"/>
              <w:left w:val="single" w:sz="8" w:space="0" w:color="auto"/>
              <w:bottom w:val="nil"/>
              <w:right w:val="single" w:sz="8" w:space="0" w:color="auto"/>
            </w:tcBorders>
            <w:shd w:val="clear" w:color="000000" w:fill="E4E4E4"/>
          </w:tcPr>
          <w:p w14:paraId="21C2FABF" w14:textId="6432A739" w:rsidR="00D614F3" w:rsidRPr="00404724" w:rsidRDefault="00D614F3" w:rsidP="000A13C5">
            <w:pPr>
              <w:spacing w:before="0" w:after="0"/>
              <w:jc w:val="right"/>
              <w:rPr>
                <w:rFonts w:cstheme="minorHAnsi"/>
              </w:rPr>
            </w:pPr>
            <w:r w:rsidRPr="00404724">
              <w:rPr>
                <w:rFonts w:cstheme="minorHAnsi"/>
              </w:rPr>
              <w:t>($m)</w:t>
            </w:r>
          </w:p>
        </w:tc>
        <w:tc>
          <w:tcPr>
            <w:tcW w:w="1229" w:type="dxa"/>
            <w:tcBorders>
              <w:top w:val="nil"/>
              <w:left w:val="single" w:sz="8" w:space="0" w:color="auto"/>
              <w:bottom w:val="nil"/>
              <w:right w:val="nil"/>
            </w:tcBorders>
            <w:shd w:val="clear" w:color="000000" w:fill="E4E4E4"/>
          </w:tcPr>
          <w:p w14:paraId="501A2397" w14:textId="064631B8" w:rsidR="00D614F3" w:rsidRPr="00404724" w:rsidRDefault="00D614F3" w:rsidP="000A13C5">
            <w:pPr>
              <w:spacing w:before="0" w:after="0"/>
              <w:jc w:val="right"/>
              <w:rPr>
                <w:rFonts w:cstheme="minorHAnsi"/>
              </w:rPr>
            </w:pPr>
            <w:r w:rsidRPr="00404724">
              <w:rPr>
                <w:rFonts w:cstheme="minorHAnsi"/>
              </w:rPr>
              <w:t>($m)</w:t>
            </w:r>
          </w:p>
        </w:tc>
      </w:tr>
      <w:tr w:rsidR="00C426BA" w:rsidRPr="00404724" w14:paraId="4035AD38" w14:textId="77777777" w:rsidTr="00C426BA">
        <w:trPr>
          <w:trHeight w:val="330"/>
        </w:trPr>
        <w:tc>
          <w:tcPr>
            <w:tcW w:w="3676" w:type="dxa"/>
            <w:tcBorders>
              <w:top w:val="nil"/>
              <w:left w:val="single" w:sz="8" w:space="0" w:color="auto"/>
              <w:bottom w:val="nil"/>
              <w:right w:val="nil"/>
            </w:tcBorders>
            <w:shd w:val="clear" w:color="000000" w:fill="FFFFFF"/>
            <w:noWrap/>
            <w:hideMark/>
          </w:tcPr>
          <w:p w14:paraId="06C89F42" w14:textId="77777777" w:rsidR="00C426BA" w:rsidRPr="00404724" w:rsidRDefault="00C426BA" w:rsidP="00C426BA">
            <w:pPr>
              <w:spacing w:before="0" w:after="0"/>
              <w:rPr>
                <w:rFonts w:cstheme="minorHAnsi"/>
              </w:rPr>
            </w:pPr>
            <w:r w:rsidRPr="00404724">
              <w:rPr>
                <w:rFonts w:cstheme="minorHAnsi"/>
              </w:rPr>
              <w:t>Cost of fuel</w:t>
            </w:r>
          </w:p>
        </w:tc>
        <w:tc>
          <w:tcPr>
            <w:tcW w:w="1228" w:type="dxa"/>
            <w:tcBorders>
              <w:top w:val="nil"/>
              <w:left w:val="single" w:sz="8" w:space="0" w:color="auto"/>
              <w:bottom w:val="nil"/>
              <w:right w:val="nil"/>
            </w:tcBorders>
            <w:shd w:val="clear" w:color="000000" w:fill="FFFFFF"/>
            <w:noWrap/>
          </w:tcPr>
          <w:p w14:paraId="59924878" w14:textId="77777777" w:rsidR="00C426BA" w:rsidRPr="00404724" w:rsidRDefault="00C426BA" w:rsidP="000A13C5">
            <w:pPr>
              <w:spacing w:before="0" w:after="0"/>
              <w:jc w:val="right"/>
              <w:rPr>
                <w:rFonts w:cstheme="minorHAnsi"/>
              </w:rPr>
            </w:pPr>
            <w:r w:rsidRPr="00404724">
              <w:rPr>
                <w:rFonts w:cstheme="minorHAnsi"/>
              </w:rPr>
              <w:t>$109.0</w:t>
            </w:r>
          </w:p>
        </w:tc>
        <w:tc>
          <w:tcPr>
            <w:tcW w:w="1228" w:type="dxa"/>
            <w:tcBorders>
              <w:top w:val="nil"/>
              <w:left w:val="single" w:sz="8" w:space="0" w:color="auto"/>
              <w:bottom w:val="nil"/>
              <w:right w:val="nil"/>
            </w:tcBorders>
            <w:shd w:val="clear" w:color="000000" w:fill="FFFFFF"/>
          </w:tcPr>
          <w:p w14:paraId="5BF304D9" w14:textId="77777777" w:rsidR="00C426BA" w:rsidRPr="00404724" w:rsidRDefault="00C426BA" w:rsidP="000A13C5">
            <w:pPr>
              <w:spacing w:before="0" w:after="0"/>
              <w:jc w:val="right"/>
              <w:rPr>
                <w:rFonts w:cstheme="minorHAnsi"/>
              </w:rPr>
            </w:pPr>
            <w:r w:rsidRPr="00404724">
              <w:rPr>
                <w:rFonts w:cstheme="minorHAnsi"/>
              </w:rPr>
              <w:t>$226.8</w:t>
            </w:r>
          </w:p>
        </w:tc>
        <w:tc>
          <w:tcPr>
            <w:tcW w:w="1229" w:type="dxa"/>
            <w:tcBorders>
              <w:top w:val="nil"/>
              <w:left w:val="single" w:sz="8" w:space="0" w:color="auto"/>
              <w:bottom w:val="nil"/>
              <w:right w:val="nil"/>
            </w:tcBorders>
            <w:shd w:val="clear" w:color="000000" w:fill="FFFFFF"/>
          </w:tcPr>
          <w:p w14:paraId="150DF032" w14:textId="77777777" w:rsidR="00C426BA" w:rsidRPr="00404724" w:rsidRDefault="00C426BA" w:rsidP="000A13C5">
            <w:pPr>
              <w:spacing w:before="0" w:after="0"/>
              <w:jc w:val="right"/>
              <w:rPr>
                <w:rFonts w:cstheme="minorHAnsi"/>
              </w:rPr>
            </w:pPr>
            <w:r w:rsidRPr="00404724">
              <w:rPr>
                <w:rFonts w:cstheme="minorHAnsi"/>
              </w:rPr>
              <w:t>$636.7</w:t>
            </w:r>
          </w:p>
        </w:tc>
        <w:tc>
          <w:tcPr>
            <w:tcW w:w="1228" w:type="dxa"/>
            <w:tcBorders>
              <w:top w:val="nil"/>
              <w:left w:val="single" w:sz="8" w:space="0" w:color="auto"/>
              <w:bottom w:val="nil"/>
              <w:right w:val="nil"/>
            </w:tcBorders>
            <w:shd w:val="clear" w:color="000000" w:fill="FFFFFF"/>
          </w:tcPr>
          <w:p w14:paraId="52C46F33" w14:textId="77777777" w:rsidR="00C426BA" w:rsidRPr="00404724" w:rsidRDefault="00C426BA" w:rsidP="000A13C5">
            <w:pPr>
              <w:spacing w:before="0" w:after="0"/>
              <w:jc w:val="right"/>
              <w:rPr>
                <w:rFonts w:cstheme="minorHAnsi"/>
              </w:rPr>
            </w:pPr>
            <w:r w:rsidRPr="00404724">
              <w:rPr>
                <w:rFonts w:cstheme="minorHAnsi"/>
              </w:rPr>
              <w:t>$242.5</w:t>
            </w:r>
          </w:p>
        </w:tc>
        <w:tc>
          <w:tcPr>
            <w:tcW w:w="1229" w:type="dxa"/>
            <w:tcBorders>
              <w:top w:val="nil"/>
              <w:left w:val="single" w:sz="8" w:space="0" w:color="auto"/>
              <w:bottom w:val="nil"/>
              <w:right w:val="single" w:sz="8" w:space="0" w:color="auto"/>
            </w:tcBorders>
            <w:shd w:val="clear" w:color="000000" w:fill="FFFFFF"/>
          </w:tcPr>
          <w:p w14:paraId="54EAEAD7" w14:textId="77777777" w:rsidR="00C426BA" w:rsidRPr="00404724" w:rsidRDefault="00C426BA" w:rsidP="000A13C5">
            <w:pPr>
              <w:spacing w:before="0" w:after="0"/>
              <w:jc w:val="right"/>
              <w:rPr>
                <w:rFonts w:cstheme="minorHAnsi"/>
              </w:rPr>
            </w:pPr>
            <w:r w:rsidRPr="00404724">
              <w:rPr>
                <w:rFonts w:cstheme="minorHAnsi"/>
              </w:rPr>
              <w:t>$504.7</w:t>
            </w:r>
          </w:p>
        </w:tc>
        <w:tc>
          <w:tcPr>
            <w:tcW w:w="1228" w:type="dxa"/>
            <w:tcBorders>
              <w:top w:val="nil"/>
              <w:left w:val="single" w:sz="8" w:space="0" w:color="auto"/>
              <w:bottom w:val="nil"/>
              <w:right w:val="single" w:sz="8" w:space="0" w:color="auto"/>
            </w:tcBorders>
            <w:shd w:val="clear" w:color="000000" w:fill="FFFFFF"/>
          </w:tcPr>
          <w:p w14:paraId="534028D9" w14:textId="77777777" w:rsidR="00C426BA" w:rsidRPr="00404724" w:rsidRDefault="00C426BA" w:rsidP="000A13C5">
            <w:pPr>
              <w:spacing w:before="0" w:after="0"/>
              <w:jc w:val="right"/>
              <w:rPr>
                <w:rFonts w:cstheme="minorHAnsi"/>
              </w:rPr>
            </w:pPr>
            <w:r w:rsidRPr="00404724">
              <w:rPr>
                <w:rFonts w:cstheme="minorHAnsi"/>
              </w:rPr>
              <w:t>$1,416.0</w:t>
            </w:r>
          </w:p>
        </w:tc>
        <w:tc>
          <w:tcPr>
            <w:tcW w:w="1229" w:type="dxa"/>
            <w:tcBorders>
              <w:top w:val="nil"/>
              <w:left w:val="single" w:sz="8" w:space="0" w:color="auto"/>
              <w:bottom w:val="nil"/>
              <w:right w:val="single" w:sz="8" w:space="0" w:color="auto"/>
            </w:tcBorders>
            <w:shd w:val="clear" w:color="000000" w:fill="FFFFFF"/>
          </w:tcPr>
          <w:p w14:paraId="5F6BF881" w14:textId="77777777" w:rsidR="00C426BA" w:rsidRPr="00404724" w:rsidRDefault="00C426BA" w:rsidP="000A13C5">
            <w:pPr>
              <w:spacing w:before="0" w:after="0"/>
              <w:jc w:val="right"/>
              <w:rPr>
                <w:rFonts w:cstheme="minorHAnsi"/>
              </w:rPr>
            </w:pPr>
            <w:r w:rsidRPr="00404724">
              <w:rPr>
                <w:rFonts w:cstheme="minorHAnsi"/>
              </w:rPr>
              <w:t>$362.5</w:t>
            </w:r>
          </w:p>
        </w:tc>
        <w:tc>
          <w:tcPr>
            <w:tcW w:w="1228" w:type="dxa"/>
            <w:tcBorders>
              <w:top w:val="nil"/>
              <w:left w:val="single" w:sz="8" w:space="0" w:color="auto"/>
              <w:bottom w:val="nil"/>
              <w:right w:val="single" w:sz="8" w:space="0" w:color="auto"/>
            </w:tcBorders>
            <w:shd w:val="clear" w:color="000000" w:fill="FFFFFF"/>
          </w:tcPr>
          <w:p w14:paraId="4C294760" w14:textId="77777777" w:rsidR="00C426BA" w:rsidRPr="00404724" w:rsidRDefault="00C426BA" w:rsidP="000A13C5">
            <w:pPr>
              <w:spacing w:before="0" w:after="0"/>
              <w:jc w:val="right"/>
              <w:rPr>
                <w:rFonts w:cstheme="minorHAnsi"/>
              </w:rPr>
            </w:pPr>
            <w:r w:rsidRPr="00404724">
              <w:rPr>
                <w:rFonts w:cstheme="minorHAnsi"/>
              </w:rPr>
              <w:t>$754.7</w:t>
            </w:r>
          </w:p>
        </w:tc>
        <w:tc>
          <w:tcPr>
            <w:tcW w:w="1229" w:type="dxa"/>
            <w:tcBorders>
              <w:top w:val="nil"/>
              <w:left w:val="single" w:sz="8" w:space="0" w:color="auto"/>
              <w:bottom w:val="nil"/>
              <w:right w:val="nil"/>
            </w:tcBorders>
            <w:shd w:val="clear" w:color="000000" w:fill="FFFFFF"/>
          </w:tcPr>
          <w:p w14:paraId="66A417E6" w14:textId="77777777" w:rsidR="00C426BA" w:rsidRPr="00404724" w:rsidRDefault="00C426BA" w:rsidP="000A13C5">
            <w:pPr>
              <w:spacing w:before="0" w:after="0"/>
              <w:jc w:val="right"/>
              <w:rPr>
                <w:rFonts w:cstheme="minorHAnsi"/>
              </w:rPr>
            </w:pPr>
            <w:r w:rsidRPr="00404724">
              <w:rPr>
                <w:rFonts w:cstheme="minorHAnsi"/>
              </w:rPr>
              <w:t>$2,115.7</w:t>
            </w:r>
          </w:p>
        </w:tc>
      </w:tr>
      <w:tr w:rsidR="00C426BA" w:rsidRPr="00404724" w14:paraId="782AABBE" w14:textId="77777777" w:rsidTr="00C426BA">
        <w:trPr>
          <w:trHeight w:val="330"/>
        </w:trPr>
        <w:tc>
          <w:tcPr>
            <w:tcW w:w="3676" w:type="dxa"/>
            <w:tcBorders>
              <w:top w:val="nil"/>
              <w:left w:val="single" w:sz="8" w:space="0" w:color="auto"/>
              <w:bottom w:val="nil"/>
              <w:right w:val="nil"/>
            </w:tcBorders>
            <w:shd w:val="clear" w:color="000000" w:fill="FFFFFF"/>
            <w:noWrap/>
            <w:hideMark/>
          </w:tcPr>
          <w:p w14:paraId="66430EF0" w14:textId="77777777" w:rsidR="00C426BA" w:rsidRPr="00404724" w:rsidRDefault="00C426BA" w:rsidP="00C426BA">
            <w:pPr>
              <w:spacing w:before="0" w:after="0"/>
              <w:rPr>
                <w:rFonts w:cstheme="minorHAnsi"/>
              </w:rPr>
            </w:pPr>
            <w:r w:rsidRPr="00404724">
              <w:rPr>
                <w:rFonts w:cstheme="minorHAnsi"/>
              </w:rPr>
              <w:t>Emissions abatement</w:t>
            </w:r>
          </w:p>
        </w:tc>
        <w:tc>
          <w:tcPr>
            <w:tcW w:w="1228" w:type="dxa"/>
            <w:tcBorders>
              <w:top w:val="nil"/>
              <w:left w:val="single" w:sz="8" w:space="0" w:color="auto"/>
              <w:bottom w:val="nil"/>
              <w:right w:val="nil"/>
            </w:tcBorders>
            <w:shd w:val="clear" w:color="000000" w:fill="FFFFFF"/>
            <w:noWrap/>
          </w:tcPr>
          <w:p w14:paraId="35A105F9" w14:textId="77777777" w:rsidR="00C426BA" w:rsidRPr="00404724" w:rsidRDefault="00C426BA" w:rsidP="000A13C5">
            <w:pPr>
              <w:spacing w:before="0" w:after="0"/>
              <w:jc w:val="right"/>
              <w:rPr>
                <w:rFonts w:cstheme="minorHAnsi"/>
              </w:rPr>
            </w:pPr>
            <w:r w:rsidRPr="00404724">
              <w:rPr>
                <w:rFonts w:cstheme="minorHAnsi"/>
              </w:rPr>
              <w:t>$18.7</w:t>
            </w:r>
          </w:p>
        </w:tc>
        <w:tc>
          <w:tcPr>
            <w:tcW w:w="1228" w:type="dxa"/>
            <w:tcBorders>
              <w:top w:val="nil"/>
              <w:left w:val="single" w:sz="8" w:space="0" w:color="auto"/>
              <w:bottom w:val="nil"/>
              <w:right w:val="nil"/>
            </w:tcBorders>
            <w:shd w:val="clear" w:color="000000" w:fill="FFFFFF"/>
          </w:tcPr>
          <w:p w14:paraId="7D6EF3CD" w14:textId="77777777" w:rsidR="00C426BA" w:rsidRPr="00404724" w:rsidRDefault="00C426BA" w:rsidP="000A13C5">
            <w:pPr>
              <w:spacing w:before="0" w:after="0"/>
              <w:jc w:val="right"/>
              <w:rPr>
                <w:rFonts w:cstheme="minorHAnsi"/>
              </w:rPr>
            </w:pPr>
            <w:r w:rsidRPr="00404724">
              <w:rPr>
                <w:rFonts w:cstheme="minorHAnsi"/>
              </w:rPr>
              <w:t>$39.1</w:t>
            </w:r>
          </w:p>
        </w:tc>
        <w:tc>
          <w:tcPr>
            <w:tcW w:w="1229" w:type="dxa"/>
            <w:tcBorders>
              <w:top w:val="nil"/>
              <w:left w:val="single" w:sz="8" w:space="0" w:color="auto"/>
              <w:bottom w:val="nil"/>
              <w:right w:val="nil"/>
            </w:tcBorders>
            <w:shd w:val="clear" w:color="000000" w:fill="FFFFFF"/>
          </w:tcPr>
          <w:p w14:paraId="248BF137" w14:textId="77777777" w:rsidR="00C426BA" w:rsidRPr="00404724" w:rsidRDefault="00C426BA" w:rsidP="000A13C5">
            <w:pPr>
              <w:spacing w:before="0" w:after="0"/>
              <w:jc w:val="right"/>
              <w:rPr>
                <w:rFonts w:cstheme="minorHAnsi"/>
              </w:rPr>
            </w:pPr>
            <w:r w:rsidRPr="00404724">
              <w:rPr>
                <w:rFonts w:cstheme="minorHAnsi"/>
              </w:rPr>
              <w:t>$109.2</w:t>
            </w:r>
          </w:p>
        </w:tc>
        <w:tc>
          <w:tcPr>
            <w:tcW w:w="1228" w:type="dxa"/>
            <w:tcBorders>
              <w:top w:val="nil"/>
              <w:left w:val="single" w:sz="8" w:space="0" w:color="auto"/>
              <w:bottom w:val="nil"/>
              <w:right w:val="nil"/>
            </w:tcBorders>
            <w:shd w:val="clear" w:color="000000" w:fill="FFFFFF"/>
          </w:tcPr>
          <w:p w14:paraId="27B19AA2" w14:textId="77777777" w:rsidR="00C426BA" w:rsidRPr="00404724" w:rsidRDefault="00C426BA" w:rsidP="000A13C5">
            <w:pPr>
              <w:spacing w:before="0" w:after="0"/>
              <w:jc w:val="right"/>
              <w:rPr>
                <w:rFonts w:cstheme="minorHAnsi"/>
              </w:rPr>
            </w:pPr>
            <w:r w:rsidRPr="00404724">
              <w:rPr>
                <w:rFonts w:cstheme="minorHAnsi"/>
              </w:rPr>
              <w:t>$41.7</w:t>
            </w:r>
          </w:p>
        </w:tc>
        <w:tc>
          <w:tcPr>
            <w:tcW w:w="1229" w:type="dxa"/>
            <w:tcBorders>
              <w:top w:val="nil"/>
              <w:left w:val="single" w:sz="8" w:space="0" w:color="auto"/>
              <w:bottom w:val="nil"/>
              <w:right w:val="single" w:sz="8" w:space="0" w:color="auto"/>
            </w:tcBorders>
            <w:shd w:val="clear" w:color="000000" w:fill="FFFFFF"/>
          </w:tcPr>
          <w:p w14:paraId="6385EF8C" w14:textId="77777777" w:rsidR="00C426BA" w:rsidRPr="00404724" w:rsidRDefault="00C426BA" w:rsidP="000A13C5">
            <w:pPr>
              <w:spacing w:before="0" w:after="0"/>
              <w:jc w:val="right"/>
              <w:rPr>
                <w:rFonts w:cstheme="minorHAnsi"/>
              </w:rPr>
            </w:pPr>
            <w:r w:rsidRPr="00404724">
              <w:rPr>
                <w:rFonts w:cstheme="minorHAnsi"/>
              </w:rPr>
              <w:t>$87.0</w:t>
            </w:r>
          </w:p>
        </w:tc>
        <w:tc>
          <w:tcPr>
            <w:tcW w:w="1228" w:type="dxa"/>
            <w:tcBorders>
              <w:top w:val="nil"/>
              <w:left w:val="single" w:sz="8" w:space="0" w:color="auto"/>
              <w:bottom w:val="nil"/>
              <w:right w:val="single" w:sz="8" w:space="0" w:color="auto"/>
            </w:tcBorders>
            <w:shd w:val="clear" w:color="000000" w:fill="FFFFFF"/>
          </w:tcPr>
          <w:p w14:paraId="2443BEA1" w14:textId="77777777" w:rsidR="00C426BA" w:rsidRPr="00404724" w:rsidRDefault="00C426BA" w:rsidP="000A13C5">
            <w:pPr>
              <w:spacing w:before="0" w:after="0"/>
              <w:jc w:val="right"/>
              <w:rPr>
                <w:rFonts w:cstheme="minorHAnsi"/>
              </w:rPr>
            </w:pPr>
            <w:r w:rsidRPr="00404724">
              <w:rPr>
                <w:rFonts w:cstheme="minorHAnsi"/>
              </w:rPr>
              <w:t>$242.8</w:t>
            </w:r>
          </w:p>
        </w:tc>
        <w:tc>
          <w:tcPr>
            <w:tcW w:w="1229" w:type="dxa"/>
            <w:tcBorders>
              <w:top w:val="nil"/>
              <w:left w:val="single" w:sz="8" w:space="0" w:color="auto"/>
              <w:bottom w:val="nil"/>
              <w:right w:val="single" w:sz="8" w:space="0" w:color="auto"/>
            </w:tcBorders>
            <w:shd w:val="clear" w:color="000000" w:fill="FFFFFF"/>
          </w:tcPr>
          <w:p w14:paraId="55F4E820" w14:textId="77777777" w:rsidR="00C426BA" w:rsidRPr="00404724" w:rsidRDefault="00C426BA" w:rsidP="000A13C5">
            <w:pPr>
              <w:spacing w:before="0" w:after="0"/>
              <w:jc w:val="right"/>
              <w:rPr>
                <w:rFonts w:cstheme="minorHAnsi"/>
              </w:rPr>
            </w:pPr>
            <w:r w:rsidRPr="00404724">
              <w:rPr>
                <w:rFonts w:cstheme="minorHAnsi"/>
              </w:rPr>
              <w:t>$62.3</w:t>
            </w:r>
          </w:p>
        </w:tc>
        <w:tc>
          <w:tcPr>
            <w:tcW w:w="1228" w:type="dxa"/>
            <w:tcBorders>
              <w:top w:val="nil"/>
              <w:left w:val="single" w:sz="8" w:space="0" w:color="auto"/>
              <w:bottom w:val="nil"/>
              <w:right w:val="single" w:sz="8" w:space="0" w:color="auto"/>
            </w:tcBorders>
            <w:shd w:val="clear" w:color="000000" w:fill="FFFFFF"/>
          </w:tcPr>
          <w:p w14:paraId="2F79F1F6" w14:textId="77777777" w:rsidR="00C426BA" w:rsidRPr="00404724" w:rsidRDefault="00C426BA" w:rsidP="000A13C5">
            <w:pPr>
              <w:spacing w:before="0" w:after="0"/>
              <w:jc w:val="right"/>
              <w:rPr>
                <w:rFonts w:cstheme="minorHAnsi"/>
              </w:rPr>
            </w:pPr>
            <w:r w:rsidRPr="00404724">
              <w:rPr>
                <w:rFonts w:cstheme="minorHAnsi"/>
              </w:rPr>
              <w:t>$130.1</w:t>
            </w:r>
          </w:p>
        </w:tc>
        <w:tc>
          <w:tcPr>
            <w:tcW w:w="1229" w:type="dxa"/>
            <w:tcBorders>
              <w:top w:val="nil"/>
              <w:left w:val="single" w:sz="8" w:space="0" w:color="auto"/>
              <w:bottom w:val="nil"/>
              <w:right w:val="nil"/>
            </w:tcBorders>
            <w:shd w:val="clear" w:color="000000" w:fill="FFFFFF"/>
          </w:tcPr>
          <w:p w14:paraId="74443824" w14:textId="77777777" w:rsidR="00C426BA" w:rsidRPr="00404724" w:rsidRDefault="00C426BA" w:rsidP="000A13C5">
            <w:pPr>
              <w:spacing w:before="0" w:after="0"/>
              <w:jc w:val="right"/>
              <w:rPr>
                <w:rFonts w:cstheme="minorHAnsi"/>
              </w:rPr>
            </w:pPr>
            <w:r w:rsidRPr="00404724">
              <w:rPr>
                <w:rFonts w:cstheme="minorHAnsi"/>
              </w:rPr>
              <w:t>$362.9</w:t>
            </w:r>
          </w:p>
        </w:tc>
      </w:tr>
      <w:tr w:rsidR="00C426BA" w:rsidRPr="00404724" w14:paraId="12785813" w14:textId="77777777" w:rsidTr="00C426BA">
        <w:trPr>
          <w:trHeight w:val="330"/>
        </w:trPr>
        <w:tc>
          <w:tcPr>
            <w:tcW w:w="3676" w:type="dxa"/>
            <w:tcBorders>
              <w:top w:val="nil"/>
              <w:left w:val="single" w:sz="8" w:space="0" w:color="auto"/>
              <w:bottom w:val="nil"/>
              <w:right w:val="nil"/>
            </w:tcBorders>
            <w:shd w:val="clear" w:color="000000" w:fill="FFFFFF"/>
            <w:noWrap/>
            <w:hideMark/>
          </w:tcPr>
          <w:p w14:paraId="180BA32B" w14:textId="77777777" w:rsidR="00C426BA" w:rsidRPr="00404724" w:rsidRDefault="00C426BA" w:rsidP="00C426BA">
            <w:pPr>
              <w:spacing w:before="0" w:after="0"/>
              <w:rPr>
                <w:rFonts w:cstheme="minorHAnsi"/>
              </w:rPr>
            </w:pPr>
            <w:r w:rsidRPr="00404724">
              <w:rPr>
                <w:rFonts w:cstheme="minorHAnsi"/>
              </w:rPr>
              <w:t>Health benefits</w:t>
            </w:r>
          </w:p>
        </w:tc>
        <w:tc>
          <w:tcPr>
            <w:tcW w:w="1228" w:type="dxa"/>
            <w:tcBorders>
              <w:top w:val="nil"/>
              <w:left w:val="single" w:sz="8" w:space="0" w:color="auto"/>
              <w:bottom w:val="nil"/>
              <w:right w:val="nil"/>
            </w:tcBorders>
            <w:shd w:val="clear" w:color="000000" w:fill="FFFFFF"/>
            <w:noWrap/>
          </w:tcPr>
          <w:p w14:paraId="117F67F0" w14:textId="77777777" w:rsidR="00C426BA" w:rsidRPr="00404724" w:rsidRDefault="00C426BA" w:rsidP="000A13C5">
            <w:pPr>
              <w:spacing w:before="0" w:after="0"/>
              <w:jc w:val="right"/>
              <w:rPr>
                <w:rFonts w:cstheme="minorHAnsi"/>
              </w:rPr>
            </w:pPr>
            <w:r w:rsidRPr="00404724">
              <w:rPr>
                <w:rFonts w:cstheme="minorHAnsi"/>
              </w:rPr>
              <w:t>$6.1</w:t>
            </w:r>
          </w:p>
        </w:tc>
        <w:tc>
          <w:tcPr>
            <w:tcW w:w="1228" w:type="dxa"/>
            <w:tcBorders>
              <w:top w:val="nil"/>
              <w:left w:val="single" w:sz="8" w:space="0" w:color="auto"/>
              <w:bottom w:val="nil"/>
              <w:right w:val="nil"/>
            </w:tcBorders>
            <w:shd w:val="clear" w:color="000000" w:fill="FFFFFF"/>
          </w:tcPr>
          <w:p w14:paraId="5FC32852" w14:textId="77777777" w:rsidR="00C426BA" w:rsidRPr="00404724" w:rsidRDefault="00C426BA" w:rsidP="000A13C5">
            <w:pPr>
              <w:spacing w:before="0" w:after="0"/>
              <w:jc w:val="right"/>
              <w:rPr>
                <w:rFonts w:cstheme="minorHAnsi"/>
              </w:rPr>
            </w:pPr>
            <w:r w:rsidRPr="00404724">
              <w:rPr>
                <w:rFonts w:cstheme="minorHAnsi"/>
              </w:rPr>
              <w:t>$12.7</w:t>
            </w:r>
          </w:p>
        </w:tc>
        <w:tc>
          <w:tcPr>
            <w:tcW w:w="1229" w:type="dxa"/>
            <w:tcBorders>
              <w:top w:val="nil"/>
              <w:left w:val="single" w:sz="8" w:space="0" w:color="auto"/>
              <w:bottom w:val="nil"/>
              <w:right w:val="nil"/>
            </w:tcBorders>
            <w:shd w:val="clear" w:color="000000" w:fill="FFFFFF"/>
          </w:tcPr>
          <w:p w14:paraId="5CEEAC3A" w14:textId="77777777" w:rsidR="00C426BA" w:rsidRPr="00404724" w:rsidRDefault="00C426BA" w:rsidP="000A13C5">
            <w:pPr>
              <w:spacing w:before="0" w:after="0"/>
              <w:jc w:val="right"/>
              <w:rPr>
                <w:rFonts w:cstheme="minorHAnsi"/>
              </w:rPr>
            </w:pPr>
            <w:r w:rsidRPr="00404724">
              <w:rPr>
                <w:rFonts w:cstheme="minorHAnsi"/>
              </w:rPr>
              <w:t>$35.7</w:t>
            </w:r>
          </w:p>
        </w:tc>
        <w:tc>
          <w:tcPr>
            <w:tcW w:w="1228" w:type="dxa"/>
            <w:tcBorders>
              <w:top w:val="nil"/>
              <w:left w:val="single" w:sz="8" w:space="0" w:color="auto"/>
              <w:bottom w:val="nil"/>
              <w:right w:val="nil"/>
            </w:tcBorders>
            <w:shd w:val="clear" w:color="000000" w:fill="FFFFFF"/>
          </w:tcPr>
          <w:p w14:paraId="4B521020" w14:textId="77777777" w:rsidR="00C426BA" w:rsidRPr="00404724" w:rsidRDefault="00C426BA" w:rsidP="000A13C5">
            <w:pPr>
              <w:spacing w:before="0" w:after="0"/>
              <w:jc w:val="right"/>
              <w:rPr>
                <w:rFonts w:cstheme="minorHAnsi"/>
              </w:rPr>
            </w:pPr>
            <w:r w:rsidRPr="00404724">
              <w:rPr>
                <w:rFonts w:cstheme="minorHAnsi"/>
              </w:rPr>
              <w:t>$13.6</w:t>
            </w:r>
          </w:p>
        </w:tc>
        <w:tc>
          <w:tcPr>
            <w:tcW w:w="1229" w:type="dxa"/>
            <w:tcBorders>
              <w:top w:val="nil"/>
              <w:left w:val="single" w:sz="8" w:space="0" w:color="auto"/>
              <w:bottom w:val="nil"/>
              <w:right w:val="single" w:sz="8" w:space="0" w:color="auto"/>
            </w:tcBorders>
            <w:shd w:val="clear" w:color="000000" w:fill="FFFFFF"/>
          </w:tcPr>
          <w:p w14:paraId="26417A69" w14:textId="77777777" w:rsidR="00C426BA" w:rsidRPr="00404724" w:rsidRDefault="00C426BA" w:rsidP="000A13C5">
            <w:pPr>
              <w:spacing w:before="0" w:after="0"/>
              <w:jc w:val="right"/>
              <w:rPr>
                <w:rFonts w:cstheme="minorHAnsi"/>
              </w:rPr>
            </w:pPr>
            <w:r w:rsidRPr="00404724">
              <w:rPr>
                <w:rFonts w:cstheme="minorHAnsi"/>
              </w:rPr>
              <w:t>$28.3</w:t>
            </w:r>
          </w:p>
        </w:tc>
        <w:tc>
          <w:tcPr>
            <w:tcW w:w="1228" w:type="dxa"/>
            <w:tcBorders>
              <w:top w:val="nil"/>
              <w:left w:val="single" w:sz="8" w:space="0" w:color="auto"/>
              <w:bottom w:val="nil"/>
              <w:right w:val="single" w:sz="8" w:space="0" w:color="auto"/>
            </w:tcBorders>
            <w:shd w:val="clear" w:color="000000" w:fill="FFFFFF"/>
          </w:tcPr>
          <w:p w14:paraId="3901DF5E" w14:textId="77777777" w:rsidR="00C426BA" w:rsidRPr="00404724" w:rsidRDefault="00C426BA" w:rsidP="000A13C5">
            <w:pPr>
              <w:spacing w:before="0" w:after="0"/>
              <w:jc w:val="right"/>
              <w:rPr>
                <w:rFonts w:cstheme="minorHAnsi"/>
              </w:rPr>
            </w:pPr>
            <w:r w:rsidRPr="00404724">
              <w:rPr>
                <w:rFonts w:cstheme="minorHAnsi"/>
              </w:rPr>
              <w:t>$79.5</w:t>
            </w:r>
          </w:p>
        </w:tc>
        <w:tc>
          <w:tcPr>
            <w:tcW w:w="1229" w:type="dxa"/>
            <w:tcBorders>
              <w:top w:val="nil"/>
              <w:left w:val="single" w:sz="8" w:space="0" w:color="auto"/>
              <w:bottom w:val="nil"/>
              <w:right w:val="single" w:sz="8" w:space="0" w:color="auto"/>
            </w:tcBorders>
            <w:shd w:val="clear" w:color="000000" w:fill="FFFFFF"/>
          </w:tcPr>
          <w:p w14:paraId="17E2EF18" w14:textId="77777777" w:rsidR="00C426BA" w:rsidRPr="00404724" w:rsidRDefault="00C426BA" w:rsidP="000A13C5">
            <w:pPr>
              <w:spacing w:before="0" w:after="0"/>
              <w:jc w:val="right"/>
              <w:rPr>
                <w:rFonts w:cstheme="minorHAnsi"/>
              </w:rPr>
            </w:pPr>
            <w:r w:rsidRPr="00404724">
              <w:rPr>
                <w:rFonts w:cstheme="minorHAnsi"/>
              </w:rPr>
              <w:t>$20.3</w:t>
            </w:r>
          </w:p>
        </w:tc>
        <w:tc>
          <w:tcPr>
            <w:tcW w:w="1228" w:type="dxa"/>
            <w:tcBorders>
              <w:top w:val="nil"/>
              <w:left w:val="single" w:sz="8" w:space="0" w:color="auto"/>
              <w:bottom w:val="nil"/>
              <w:right w:val="single" w:sz="8" w:space="0" w:color="auto"/>
            </w:tcBorders>
            <w:shd w:val="clear" w:color="000000" w:fill="FFFFFF"/>
          </w:tcPr>
          <w:p w14:paraId="77FB2C4E" w14:textId="77777777" w:rsidR="00C426BA" w:rsidRPr="00404724" w:rsidRDefault="00C426BA" w:rsidP="000A13C5">
            <w:pPr>
              <w:spacing w:before="0" w:after="0"/>
              <w:jc w:val="right"/>
              <w:rPr>
                <w:rFonts w:cstheme="minorHAnsi"/>
              </w:rPr>
            </w:pPr>
            <w:r w:rsidRPr="00404724">
              <w:rPr>
                <w:rFonts w:cstheme="minorHAnsi"/>
              </w:rPr>
              <w:t>$42.3</w:t>
            </w:r>
          </w:p>
        </w:tc>
        <w:tc>
          <w:tcPr>
            <w:tcW w:w="1229" w:type="dxa"/>
            <w:tcBorders>
              <w:top w:val="nil"/>
              <w:left w:val="single" w:sz="8" w:space="0" w:color="auto"/>
              <w:bottom w:val="nil"/>
              <w:right w:val="nil"/>
            </w:tcBorders>
            <w:shd w:val="clear" w:color="000000" w:fill="FFFFFF"/>
          </w:tcPr>
          <w:p w14:paraId="79DF9C33" w14:textId="77777777" w:rsidR="00C426BA" w:rsidRPr="00404724" w:rsidRDefault="00C426BA" w:rsidP="000A13C5">
            <w:pPr>
              <w:spacing w:before="0" w:after="0"/>
              <w:jc w:val="right"/>
              <w:rPr>
                <w:rFonts w:cstheme="minorHAnsi"/>
              </w:rPr>
            </w:pPr>
            <w:r w:rsidRPr="00404724">
              <w:rPr>
                <w:rFonts w:cstheme="minorHAnsi"/>
              </w:rPr>
              <w:t>$118.7</w:t>
            </w:r>
          </w:p>
        </w:tc>
      </w:tr>
      <w:tr w:rsidR="00C426BA" w:rsidRPr="00404724" w14:paraId="6BDBA979" w14:textId="77777777" w:rsidTr="00C426BA">
        <w:trPr>
          <w:trHeight w:val="330"/>
        </w:trPr>
        <w:tc>
          <w:tcPr>
            <w:tcW w:w="3676" w:type="dxa"/>
            <w:tcBorders>
              <w:top w:val="nil"/>
              <w:left w:val="single" w:sz="8" w:space="0" w:color="auto"/>
              <w:bottom w:val="nil"/>
              <w:right w:val="nil"/>
            </w:tcBorders>
            <w:shd w:val="clear" w:color="000000" w:fill="FFFFFF"/>
            <w:noWrap/>
            <w:hideMark/>
          </w:tcPr>
          <w:p w14:paraId="2DD79B02" w14:textId="77777777" w:rsidR="00C426BA" w:rsidRPr="00404724" w:rsidRDefault="00C426BA" w:rsidP="00C426BA">
            <w:pPr>
              <w:spacing w:before="0" w:after="0"/>
              <w:rPr>
                <w:rFonts w:cstheme="minorHAnsi"/>
              </w:rPr>
            </w:pPr>
            <w:r w:rsidRPr="00404724">
              <w:rPr>
                <w:rFonts w:cstheme="minorHAnsi"/>
              </w:rPr>
              <w:t> </w:t>
            </w:r>
          </w:p>
        </w:tc>
        <w:tc>
          <w:tcPr>
            <w:tcW w:w="1228" w:type="dxa"/>
            <w:tcBorders>
              <w:top w:val="nil"/>
              <w:left w:val="single" w:sz="8" w:space="0" w:color="auto"/>
              <w:bottom w:val="nil"/>
              <w:right w:val="nil"/>
            </w:tcBorders>
            <w:shd w:val="clear" w:color="000000" w:fill="FFFFFF"/>
            <w:noWrap/>
          </w:tcPr>
          <w:p w14:paraId="436267DB" w14:textId="77777777" w:rsidR="00C426BA" w:rsidRPr="00404724" w:rsidRDefault="00C426BA" w:rsidP="000A13C5">
            <w:pPr>
              <w:spacing w:before="0" w:after="0"/>
              <w:jc w:val="right"/>
              <w:rPr>
                <w:rFonts w:cstheme="minorHAnsi"/>
              </w:rPr>
            </w:pPr>
          </w:p>
        </w:tc>
        <w:tc>
          <w:tcPr>
            <w:tcW w:w="1228" w:type="dxa"/>
            <w:tcBorders>
              <w:top w:val="nil"/>
              <w:left w:val="single" w:sz="8" w:space="0" w:color="auto"/>
              <w:bottom w:val="nil"/>
              <w:right w:val="nil"/>
            </w:tcBorders>
            <w:shd w:val="clear" w:color="000000" w:fill="FFFFFF"/>
          </w:tcPr>
          <w:p w14:paraId="31370504" w14:textId="77777777" w:rsidR="00C426BA" w:rsidRPr="00404724" w:rsidRDefault="00C426BA" w:rsidP="000A13C5">
            <w:pPr>
              <w:spacing w:before="0" w:after="0"/>
              <w:jc w:val="right"/>
              <w:rPr>
                <w:rFonts w:cstheme="minorHAnsi"/>
              </w:rPr>
            </w:pPr>
          </w:p>
        </w:tc>
        <w:tc>
          <w:tcPr>
            <w:tcW w:w="1229" w:type="dxa"/>
            <w:tcBorders>
              <w:top w:val="nil"/>
              <w:left w:val="single" w:sz="8" w:space="0" w:color="auto"/>
              <w:bottom w:val="nil"/>
              <w:right w:val="nil"/>
            </w:tcBorders>
            <w:shd w:val="clear" w:color="000000" w:fill="FFFFFF"/>
          </w:tcPr>
          <w:p w14:paraId="26C836BB" w14:textId="77777777" w:rsidR="00C426BA" w:rsidRPr="00404724" w:rsidRDefault="00C426BA" w:rsidP="000A13C5">
            <w:pPr>
              <w:spacing w:before="0" w:after="0"/>
              <w:jc w:val="right"/>
              <w:rPr>
                <w:rFonts w:cstheme="minorHAnsi"/>
              </w:rPr>
            </w:pPr>
          </w:p>
        </w:tc>
        <w:tc>
          <w:tcPr>
            <w:tcW w:w="1228" w:type="dxa"/>
            <w:tcBorders>
              <w:top w:val="nil"/>
              <w:left w:val="single" w:sz="8" w:space="0" w:color="auto"/>
              <w:bottom w:val="nil"/>
              <w:right w:val="nil"/>
            </w:tcBorders>
            <w:shd w:val="clear" w:color="000000" w:fill="FFFFFF"/>
          </w:tcPr>
          <w:p w14:paraId="69E87A53" w14:textId="77777777" w:rsidR="00C426BA" w:rsidRPr="00404724" w:rsidRDefault="00C426BA" w:rsidP="000A13C5">
            <w:pPr>
              <w:spacing w:before="0" w:after="0"/>
              <w:jc w:val="right"/>
              <w:rPr>
                <w:rFonts w:cstheme="minorHAnsi"/>
              </w:rPr>
            </w:pPr>
          </w:p>
        </w:tc>
        <w:tc>
          <w:tcPr>
            <w:tcW w:w="1229" w:type="dxa"/>
            <w:tcBorders>
              <w:top w:val="nil"/>
              <w:left w:val="single" w:sz="8" w:space="0" w:color="auto"/>
              <w:bottom w:val="nil"/>
              <w:right w:val="single" w:sz="8" w:space="0" w:color="auto"/>
            </w:tcBorders>
            <w:shd w:val="clear" w:color="000000" w:fill="FFFFFF"/>
          </w:tcPr>
          <w:p w14:paraId="16A9AC8E" w14:textId="77777777" w:rsidR="00C426BA" w:rsidRPr="00404724" w:rsidRDefault="00C426BA" w:rsidP="000A13C5">
            <w:pPr>
              <w:spacing w:before="0" w:after="0"/>
              <w:jc w:val="right"/>
              <w:rPr>
                <w:rFonts w:cstheme="minorHAnsi"/>
              </w:rPr>
            </w:pPr>
          </w:p>
        </w:tc>
        <w:tc>
          <w:tcPr>
            <w:tcW w:w="1228" w:type="dxa"/>
            <w:tcBorders>
              <w:top w:val="nil"/>
              <w:left w:val="single" w:sz="8" w:space="0" w:color="auto"/>
              <w:bottom w:val="nil"/>
              <w:right w:val="single" w:sz="8" w:space="0" w:color="auto"/>
            </w:tcBorders>
            <w:shd w:val="clear" w:color="000000" w:fill="FFFFFF"/>
          </w:tcPr>
          <w:p w14:paraId="064D745E" w14:textId="77777777" w:rsidR="00C426BA" w:rsidRPr="00404724" w:rsidRDefault="00C426BA" w:rsidP="000A13C5">
            <w:pPr>
              <w:spacing w:before="0" w:after="0"/>
              <w:jc w:val="right"/>
              <w:rPr>
                <w:rFonts w:cstheme="minorHAnsi"/>
              </w:rPr>
            </w:pPr>
          </w:p>
        </w:tc>
        <w:tc>
          <w:tcPr>
            <w:tcW w:w="1229" w:type="dxa"/>
            <w:tcBorders>
              <w:top w:val="nil"/>
              <w:left w:val="single" w:sz="8" w:space="0" w:color="auto"/>
              <w:bottom w:val="nil"/>
              <w:right w:val="single" w:sz="8" w:space="0" w:color="auto"/>
            </w:tcBorders>
            <w:shd w:val="clear" w:color="000000" w:fill="FFFFFF"/>
          </w:tcPr>
          <w:p w14:paraId="6475F723" w14:textId="77777777" w:rsidR="00C426BA" w:rsidRPr="00404724" w:rsidRDefault="00C426BA" w:rsidP="000A13C5">
            <w:pPr>
              <w:spacing w:before="0" w:after="0"/>
              <w:jc w:val="right"/>
              <w:rPr>
                <w:rFonts w:cstheme="minorHAnsi"/>
              </w:rPr>
            </w:pPr>
          </w:p>
        </w:tc>
        <w:tc>
          <w:tcPr>
            <w:tcW w:w="1228" w:type="dxa"/>
            <w:tcBorders>
              <w:top w:val="nil"/>
              <w:left w:val="single" w:sz="8" w:space="0" w:color="auto"/>
              <w:bottom w:val="nil"/>
              <w:right w:val="single" w:sz="8" w:space="0" w:color="auto"/>
            </w:tcBorders>
            <w:shd w:val="clear" w:color="000000" w:fill="FFFFFF"/>
          </w:tcPr>
          <w:p w14:paraId="1C96F460" w14:textId="77777777" w:rsidR="00C426BA" w:rsidRPr="00404724" w:rsidRDefault="00C426BA" w:rsidP="000A13C5">
            <w:pPr>
              <w:spacing w:before="0" w:after="0"/>
              <w:jc w:val="right"/>
              <w:rPr>
                <w:rFonts w:cstheme="minorHAnsi"/>
              </w:rPr>
            </w:pPr>
          </w:p>
        </w:tc>
        <w:tc>
          <w:tcPr>
            <w:tcW w:w="1229" w:type="dxa"/>
            <w:tcBorders>
              <w:top w:val="nil"/>
              <w:left w:val="single" w:sz="8" w:space="0" w:color="auto"/>
              <w:bottom w:val="nil"/>
              <w:right w:val="nil"/>
            </w:tcBorders>
            <w:shd w:val="clear" w:color="000000" w:fill="FFFFFF"/>
          </w:tcPr>
          <w:p w14:paraId="6629C79C" w14:textId="77777777" w:rsidR="00C426BA" w:rsidRPr="00404724" w:rsidRDefault="00C426BA" w:rsidP="000A13C5">
            <w:pPr>
              <w:spacing w:before="0" w:after="0"/>
              <w:jc w:val="right"/>
              <w:rPr>
                <w:rFonts w:cstheme="minorHAnsi"/>
              </w:rPr>
            </w:pPr>
          </w:p>
        </w:tc>
      </w:tr>
      <w:tr w:rsidR="00C426BA" w:rsidRPr="00404724" w14:paraId="054A236B" w14:textId="77777777" w:rsidTr="00C426BA">
        <w:trPr>
          <w:trHeight w:val="345"/>
        </w:trPr>
        <w:tc>
          <w:tcPr>
            <w:tcW w:w="3676" w:type="dxa"/>
            <w:tcBorders>
              <w:top w:val="nil"/>
              <w:left w:val="single" w:sz="8" w:space="0" w:color="auto"/>
              <w:bottom w:val="single" w:sz="8" w:space="0" w:color="auto"/>
              <w:right w:val="nil"/>
            </w:tcBorders>
            <w:shd w:val="clear" w:color="000000" w:fill="D5ECDA"/>
            <w:noWrap/>
            <w:hideMark/>
          </w:tcPr>
          <w:p w14:paraId="6501862F" w14:textId="77777777" w:rsidR="00C426BA" w:rsidRPr="00404724" w:rsidRDefault="00C426BA" w:rsidP="00C426BA">
            <w:pPr>
              <w:spacing w:before="0" w:after="0"/>
              <w:rPr>
                <w:rFonts w:cstheme="minorHAnsi"/>
              </w:rPr>
            </w:pPr>
            <w:r w:rsidRPr="00404724">
              <w:rPr>
                <w:rFonts w:cstheme="minorHAnsi"/>
              </w:rPr>
              <w:t>Total benefits</w:t>
            </w:r>
          </w:p>
        </w:tc>
        <w:tc>
          <w:tcPr>
            <w:tcW w:w="1228" w:type="dxa"/>
            <w:tcBorders>
              <w:top w:val="nil"/>
              <w:left w:val="single" w:sz="8" w:space="0" w:color="auto"/>
              <w:bottom w:val="single" w:sz="4" w:space="0" w:color="auto"/>
              <w:right w:val="nil"/>
            </w:tcBorders>
            <w:shd w:val="clear" w:color="000000" w:fill="D5ECDA"/>
            <w:noWrap/>
          </w:tcPr>
          <w:p w14:paraId="0685A367" w14:textId="77777777" w:rsidR="00C426BA" w:rsidRPr="00404724" w:rsidRDefault="00C426BA" w:rsidP="000A13C5">
            <w:pPr>
              <w:spacing w:before="0" w:after="0"/>
              <w:jc w:val="right"/>
              <w:rPr>
                <w:rFonts w:cstheme="minorHAnsi"/>
              </w:rPr>
            </w:pPr>
            <w:r w:rsidRPr="00404724">
              <w:rPr>
                <w:rFonts w:cstheme="minorHAnsi"/>
              </w:rPr>
              <w:t>$1,161.1</w:t>
            </w:r>
          </w:p>
        </w:tc>
        <w:tc>
          <w:tcPr>
            <w:tcW w:w="1228" w:type="dxa"/>
            <w:tcBorders>
              <w:top w:val="nil"/>
              <w:left w:val="single" w:sz="8" w:space="0" w:color="auto"/>
              <w:bottom w:val="single" w:sz="4" w:space="0" w:color="auto"/>
              <w:right w:val="nil"/>
            </w:tcBorders>
            <w:shd w:val="clear" w:color="000000" w:fill="D5ECDA"/>
          </w:tcPr>
          <w:p w14:paraId="4FDA503A" w14:textId="77777777" w:rsidR="00C426BA" w:rsidRPr="00404724" w:rsidRDefault="00C426BA" w:rsidP="000A13C5">
            <w:pPr>
              <w:spacing w:before="0" w:after="0"/>
              <w:jc w:val="right"/>
              <w:rPr>
                <w:rFonts w:cstheme="minorHAnsi"/>
              </w:rPr>
            </w:pPr>
            <w:r w:rsidRPr="00404724">
              <w:rPr>
                <w:rFonts w:cstheme="minorHAnsi"/>
              </w:rPr>
              <w:t>$2,333.0</w:t>
            </w:r>
          </w:p>
        </w:tc>
        <w:tc>
          <w:tcPr>
            <w:tcW w:w="1229" w:type="dxa"/>
            <w:tcBorders>
              <w:top w:val="nil"/>
              <w:left w:val="single" w:sz="8" w:space="0" w:color="auto"/>
              <w:bottom w:val="single" w:sz="4" w:space="0" w:color="auto"/>
              <w:right w:val="nil"/>
            </w:tcBorders>
            <w:shd w:val="clear" w:color="000000" w:fill="D5ECDA"/>
          </w:tcPr>
          <w:p w14:paraId="0544A88D" w14:textId="77777777" w:rsidR="00C426BA" w:rsidRPr="00404724" w:rsidRDefault="00C426BA" w:rsidP="000A13C5">
            <w:pPr>
              <w:spacing w:before="0" w:after="0"/>
              <w:jc w:val="right"/>
              <w:rPr>
                <w:rFonts w:cstheme="minorHAnsi"/>
              </w:rPr>
            </w:pPr>
            <w:r w:rsidRPr="00404724">
              <w:rPr>
                <w:rFonts w:cstheme="minorHAnsi"/>
              </w:rPr>
              <w:t>$4,684.7</w:t>
            </w:r>
          </w:p>
        </w:tc>
        <w:tc>
          <w:tcPr>
            <w:tcW w:w="1228" w:type="dxa"/>
            <w:tcBorders>
              <w:top w:val="nil"/>
              <w:left w:val="single" w:sz="8" w:space="0" w:color="auto"/>
              <w:bottom w:val="single" w:sz="4" w:space="0" w:color="auto"/>
              <w:right w:val="nil"/>
            </w:tcBorders>
            <w:shd w:val="clear" w:color="000000" w:fill="D5ECDA"/>
          </w:tcPr>
          <w:p w14:paraId="3602D6C8" w14:textId="77777777" w:rsidR="00C426BA" w:rsidRPr="00404724" w:rsidRDefault="00C426BA" w:rsidP="000A13C5">
            <w:pPr>
              <w:spacing w:before="0" w:after="0"/>
              <w:jc w:val="right"/>
              <w:rPr>
                <w:rFonts w:cstheme="minorHAnsi"/>
              </w:rPr>
            </w:pPr>
            <w:r w:rsidRPr="00404724">
              <w:rPr>
                <w:rFonts w:cstheme="minorHAnsi"/>
              </w:rPr>
              <w:t>$2,503.3</w:t>
            </w:r>
          </w:p>
        </w:tc>
        <w:tc>
          <w:tcPr>
            <w:tcW w:w="1229" w:type="dxa"/>
            <w:tcBorders>
              <w:top w:val="nil"/>
              <w:left w:val="single" w:sz="8" w:space="0" w:color="auto"/>
              <w:bottom w:val="single" w:sz="4" w:space="0" w:color="auto"/>
              <w:right w:val="single" w:sz="8" w:space="0" w:color="auto"/>
            </w:tcBorders>
            <w:shd w:val="clear" w:color="000000" w:fill="D5ECDA"/>
          </w:tcPr>
          <w:p w14:paraId="25F67AEB" w14:textId="77777777" w:rsidR="00C426BA" w:rsidRPr="00404724" w:rsidRDefault="00C426BA" w:rsidP="000A13C5">
            <w:pPr>
              <w:spacing w:before="0" w:after="0"/>
              <w:jc w:val="right"/>
              <w:rPr>
                <w:rFonts w:cstheme="minorHAnsi"/>
              </w:rPr>
            </w:pPr>
            <w:r w:rsidRPr="00404724">
              <w:rPr>
                <w:rFonts w:cstheme="minorHAnsi"/>
              </w:rPr>
              <w:t>$5,029.9</w:t>
            </w:r>
          </w:p>
        </w:tc>
        <w:tc>
          <w:tcPr>
            <w:tcW w:w="1228" w:type="dxa"/>
            <w:tcBorders>
              <w:top w:val="nil"/>
              <w:left w:val="single" w:sz="8" w:space="0" w:color="auto"/>
              <w:bottom w:val="single" w:sz="4" w:space="0" w:color="auto"/>
              <w:right w:val="single" w:sz="8" w:space="0" w:color="auto"/>
            </w:tcBorders>
            <w:shd w:val="clear" w:color="000000" w:fill="D5ECDA"/>
          </w:tcPr>
          <w:p w14:paraId="7BD64F0D" w14:textId="77777777" w:rsidR="00C426BA" w:rsidRPr="00404724" w:rsidRDefault="00C426BA" w:rsidP="000A13C5">
            <w:pPr>
              <w:spacing w:before="0" w:after="0"/>
              <w:jc w:val="right"/>
              <w:rPr>
                <w:rFonts w:cstheme="minorHAnsi"/>
              </w:rPr>
            </w:pPr>
            <w:r w:rsidRPr="00404724">
              <w:rPr>
                <w:rFonts w:cstheme="minorHAnsi"/>
              </w:rPr>
              <w:t>$10,091.5</w:t>
            </w:r>
          </w:p>
        </w:tc>
        <w:tc>
          <w:tcPr>
            <w:tcW w:w="1229" w:type="dxa"/>
            <w:tcBorders>
              <w:top w:val="nil"/>
              <w:left w:val="single" w:sz="8" w:space="0" w:color="auto"/>
              <w:bottom w:val="single" w:sz="4" w:space="0" w:color="auto"/>
              <w:right w:val="single" w:sz="8" w:space="0" w:color="auto"/>
            </w:tcBorders>
            <w:shd w:val="clear" w:color="000000" w:fill="D5ECDA"/>
          </w:tcPr>
          <w:p w14:paraId="67A3A313" w14:textId="77777777" w:rsidR="00C426BA" w:rsidRPr="00404724" w:rsidRDefault="00C426BA" w:rsidP="000A13C5">
            <w:pPr>
              <w:spacing w:before="0" w:after="0"/>
              <w:jc w:val="right"/>
              <w:rPr>
                <w:rFonts w:cstheme="minorHAnsi"/>
              </w:rPr>
            </w:pPr>
            <w:r w:rsidRPr="00404724">
              <w:rPr>
                <w:rFonts w:cstheme="minorHAnsi"/>
              </w:rPr>
              <w:t>$3,674.9</w:t>
            </w:r>
          </w:p>
        </w:tc>
        <w:tc>
          <w:tcPr>
            <w:tcW w:w="1228" w:type="dxa"/>
            <w:tcBorders>
              <w:top w:val="nil"/>
              <w:left w:val="single" w:sz="8" w:space="0" w:color="auto"/>
              <w:bottom w:val="single" w:sz="4" w:space="0" w:color="auto"/>
              <w:right w:val="single" w:sz="8" w:space="0" w:color="auto"/>
            </w:tcBorders>
            <w:shd w:val="clear" w:color="000000" w:fill="D5ECDA"/>
          </w:tcPr>
          <w:p w14:paraId="0BB40BC3" w14:textId="77777777" w:rsidR="00C426BA" w:rsidRPr="00404724" w:rsidRDefault="00C426BA" w:rsidP="000A13C5">
            <w:pPr>
              <w:spacing w:before="0" w:after="0"/>
              <w:jc w:val="right"/>
              <w:rPr>
                <w:rFonts w:cstheme="minorHAnsi"/>
              </w:rPr>
            </w:pPr>
            <w:r w:rsidRPr="00404724">
              <w:rPr>
                <w:rFonts w:cstheme="minorHAnsi"/>
              </w:rPr>
              <w:t>$7,386.1</w:t>
            </w:r>
          </w:p>
        </w:tc>
        <w:tc>
          <w:tcPr>
            <w:tcW w:w="1229" w:type="dxa"/>
            <w:tcBorders>
              <w:top w:val="nil"/>
              <w:left w:val="single" w:sz="8" w:space="0" w:color="auto"/>
              <w:bottom w:val="single" w:sz="4" w:space="0" w:color="auto"/>
              <w:right w:val="nil"/>
            </w:tcBorders>
            <w:shd w:val="clear" w:color="000000" w:fill="D5ECDA"/>
          </w:tcPr>
          <w:p w14:paraId="1533F4FC" w14:textId="77777777" w:rsidR="00C426BA" w:rsidRPr="00404724" w:rsidRDefault="00C426BA" w:rsidP="000A13C5">
            <w:pPr>
              <w:spacing w:before="0" w:after="0"/>
              <w:jc w:val="right"/>
              <w:rPr>
                <w:rFonts w:cstheme="minorHAnsi"/>
              </w:rPr>
            </w:pPr>
            <w:r w:rsidRPr="00404724">
              <w:rPr>
                <w:rFonts w:cstheme="minorHAnsi"/>
              </w:rPr>
              <w:t>$14,869.5</w:t>
            </w:r>
          </w:p>
        </w:tc>
      </w:tr>
      <w:tr w:rsidR="00C426BA" w:rsidRPr="00404724" w14:paraId="5EE3CAA4" w14:textId="77777777" w:rsidTr="00C426BA">
        <w:trPr>
          <w:trHeight w:val="330"/>
        </w:trPr>
        <w:tc>
          <w:tcPr>
            <w:tcW w:w="3676" w:type="dxa"/>
            <w:tcBorders>
              <w:top w:val="nil"/>
              <w:left w:val="nil"/>
              <w:bottom w:val="nil"/>
              <w:right w:val="nil"/>
            </w:tcBorders>
            <w:shd w:val="clear" w:color="000000" w:fill="FFFFFF"/>
            <w:noWrap/>
            <w:hideMark/>
          </w:tcPr>
          <w:p w14:paraId="083D785F" w14:textId="77777777" w:rsidR="00C426BA" w:rsidRPr="00404724" w:rsidRDefault="00C426BA" w:rsidP="00C426BA">
            <w:pPr>
              <w:spacing w:before="0" w:after="0"/>
              <w:rPr>
                <w:rFonts w:cstheme="minorHAnsi"/>
              </w:rPr>
            </w:pPr>
            <w:r w:rsidRPr="00404724">
              <w:rPr>
                <w:rFonts w:cstheme="minorHAnsi"/>
              </w:rPr>
              <w:t> </w:t>
            </w:r>
          </w:p>
        </w:tc>
        <w:tc>
          <w:tcPr>
            <w:tcW w:w="1228" w:type="dxa"/>
            <w:tcBorders>
              <w:top w:val="nil"/>
              <w:left w:val="single" w:sz="8" w:space="0" w:color="auto"/>
              <w:bottom w:val="nil"/>
              <w:right w:val="nil"/>
            </w:tcBorders>
            <w:shd w:val="clear" w:color="000000" w:fill="FFFFFF"/>
            <w:noWrap/>
          </w:tcPr>
          <w:p w14:paraId="393F8657" w14:textId="77777777" w:rsidR="00C426BA" w:rsidRPr="00404724" w:rsidRDefault="00C426BA" w:rsidP="000A13C5">
            <w:pPr>
              <w:spacing w:before="0" w:after="0"/>
              <w:jc w:val="right"/>
              <w:rPr>
                <w:rFonts w:cstheme="minorHAnsi"/>
              </w:rPr>
            </w:pPr>
          </w:p>
        </w:tc>
        <w:tc>
          <w:tcPr>
            <w:tcW w:w="1228" w:type="dxa"/>
            <w:tcBorders>
              <w:top w:val="nil"/>
              <w:left w:val="single" w:sz="8" w:space="0" w:color="auto"/>
              <w:bottom w:val="nil"/>
              <w:right w:val="nil"/>
            </w:tcBorders>
            <w:shd w:val="clear" w:color="000000" w:fill="FFFFFF"/>
          </w:tcPr>
          <w:p w14:paraId="5511896D" w14:textId="77777777" w:rsidR="00C426BA" w:rsidRPr="00404724" w:rsidRDefault="00C426BA" w:rsidP="000A13C5">
            <w:pPr>
              <w:spacing w:before="0" w:after="0"/>
              <w:jc w:val="right"/>
              <w:rPr>
                <w:rFonts w:cstheme="minorHAnsi"/>
              </w:rPr>
            </w:pPr>
          </w:p>
        </w:tc>
        <w:tc>
          <w:tcPr>
            <w:tcW w:w="1229" w:type="dxa"/>
            <w:tcBorders>
              <w:top w:val="nil"/>
              <w:left w:val="single" w:sz="8" w:space="0" w:color="auto"/>
              <w:bottom w:val="nil"/>
              <w:right w:val="nil"/>
            </w:tcBorders>
            <w:shd w:val="clear" w:color="000000" w:fill="FFFFFF"/>
          </w:tcPr>
          <w:p w14:paraId="1CD201ED" w14:textId="77777777" w:rsidR="00C426BA" w:rsidRPr="00404724" w:rsidRDefault="00C426BA" w:rsidP="000A13C5">
            <w:pPr>
              <w:spacing w:before="0" w:after="0"/>
              <w:jc w:val="right"/>
              <w:rPr>
                <w:rFonts w:cstheme="minorHAnsi"/>
              </w:rPr>
            </w:pPr>
          </w:p>
        </w:tc>
        <w:tc>
          <w:tcPr>
            <w:tcW w:w="1228" w:type="dxa"/>
            <w:tcBorders>
              <w:top w:val="nil"/>
              <w:left w:val="single" w:sz="8" w:space="0" w:color="auto"/>
              <w:bottom w:val="nil"/>
              <w:right w:val="nil"/>
            </w:tcBorders>
            <w:shd w:val="clear" w:color="000000" w:fill="FFFFFF"/>
          </w:tcPr>
          <w:p w14:paraId="3FA0A715" w14:textId="77777777" w:rsidR="00C426BA" w:rsidRPr="00404724" w:rsidRDefault="00C426BA" w:rsidP="000A13C5">
            <w:pPr>
              <w:spacing w:before="0" w:after="0"/>
              <w:jc w:val="right"/>
              <w:rPr>
                <w:rFonts w:cstheme="minorHAnsi"/>
              </w:rPr>
            </w:pPr>
          </w:p>
        </w:tc>
        <w:tc>
          <w:tcPr>
            <w:tcW w:w="1229" w:type="dxa"/>
            <w:tcBorders>
              <w:top w:val="nil"/>
              <w:left w:val="single" w:sz="8" w:space="0" w:color="auto"/>
              <w:bottom w:val="nil"/>
              <w:right w:val="single" w:sz="8" w:space="0" w:color="auto"/>
            </w:tcBorders>
            <w:shd w:val="clear" w:color="000000" w:fill="FFFFFF"/>
          </w:tcPr>
          <w:p w14:paraId="11369D22" w14:textId="77777777" w:rsidR="00C426BA" w:rsidRPr="00404724" w:rsidRDefault="00C426BA" w:rsidP="000A13C5">
            <w:pPr>
              <w:spacing w:before="0" w:after="0"/>
              <w:jc w:val="right"/>
              <w:rPr>
                <w:rFonts w:cstheme="minorHAnsi"/>
              </w:rPr>
            </w:pPr>
          </w:p>
        </w:tc>
        <w:tc>
          <w:tcPr>
            <w:tcW w:w="1228" w:type="dxa"/>
            <w:tcBorders>
              <w:top w:val="nil"/>
              <w:left w:val="single" w:sz="8" w:space="0" w:color="auto"/>
              <w:bottom w:val="nil"/>
              <w:right w:val="single" w:sz="8" w:space="0" w:color="auto"/>
            </w:tcBorders>
            <w:shd w:val="clear" w:color="000000" w:fill="FFFFFF"/>
          </w:tcPr>
          <w:p w14:paraId="7736E648" w14:textId="77777777" w:rsidR="00C426BA" w:rsidRPr="00404724" w:rsidRDefault="00C426BA" w:rsidP="000A13C5">
            <w:pPr>
              <w:spacing w:before="0" w:after="0"/>
              <w:jc w:val="right"/>
              <w:rPr>
                <w:rFonts w:cstheme="minorHAnsi"/>
              </w:rPr>
            </w:pPr>
          </w:p>
        </w:tc>
        <w:tc>
          <w:tcPr>
            <w:tcW w:w="1229" w:type="dxa"/>
            <w:tcBorders>
              <w:top w:val="nil"/>
              <w:left w:val="single" w:sz="8" w:space="0" w:color="auto"/>
              <w:bottom w:val="nil"/>
              <w:right w:val="single" w:sz="8" w:space="0" w:color="auto"/>
            </w:tcBorders>
            <w:shd w:val="clear" w:color="000000" w:fill="FFFFFF"/>
          </w:tcPr>
          <w:p w14:paraId="102D5C8F" w14:textId="77777777" w:rsidR="00C426BA" w:rsidRPr="00404724" w:rsidRDefault="00C426BA" w:rsidP="000A13C5">
            <w:pPr>
              <w:spacing w:before="0" w:after="0"/>
              <w:jc w:val="right"/>
              <w:rPr>
                <w:rFonts w:cstheme="minorHAnsi"/>
              </w:rPr>
            </w:pPr>
          </w:p>
        </w:tc>
        <w:tc>
          <w:tcPr>
            <w:tcW w:w="1228" w:type="dxa"/>
            <w:tcBorders>
              <w:top w:val="nil"/>
              <w:left w:val="single" w:sz="8" w:space="0" w:color="auto"/>
              <w:bottom w:val="nil"/>
              <w:right w:val="single" w:sz="8" w:space="0" w:color="auto"/>
            </w:tcBorders>
            <w:shd w:val="clear" w:color="000000" w:fill="FFFFFF"/>
          </w:tcPr>
          <w:p w14:paraId="37448BED" w14:textId="77777777" w:rsidR="00C426BA" w:rsidRPr="00404724" w:rsidRDefault="00C426BA" w:rsidP="000A13C5">
            <w:pPr>
              <w:spacing w:before="0" w:after="0"/>
              <w:jc w:val="right"/>
              <w:rPr>
                <w:rFonts w:cstheme="minorHAnsi"/>
              </w:rPr>
            </w:pPr>
          </w:p>
        </w:tc>
        <w:tc>
          <w:tcPr>
            <w:tcW w:w="1229" w:type="dxa"/>
            <w:tcBorders>
              <w:top w:val="nil"/>
              <w:left w:val="single" w:sz="8" w:space="0" w:color="auto"/>
              <w:bottom w:val="nil"/>
              <w:right w:val="nil"/>
            </w:tcBorders>
            <w:shd w:val="clear" w:color="000000" w:fill="FFFFFF"/>
          </w:tcPr>
          <w:p w14:paraId="5BB8E2DB" w14:textId="77777777" w:rsidR="00C426BA" w:rsidRPr="00404724" w:rsidRDefault="00C426BA" w:rsidP="000A13C5">
            <w:pPr>
              <w:spacing w:before="0" w:after="0"/>
              <w:jc w:val="right"/>
              <w:rPr>
                <w:rFonts w:cstheme="minorHAnsi"/>
              </w:rPr>
            </w:pPr>
          </w:p>
        </w:tc>
      </w:tr>
      <w:tr w:rsidR="00D614F3" w:rsidRPr="00404724" w14:paraId="5596A142" w14:textId="77777777" w:rsidTr="00C426BA">
        <w:trPr>
          <w:trHeight w:val="330"/>
        </w:trPr>
        <w:tc>
          <w:tcPr>
            <w:tcW w:w="3676" w:type="dxa"/>
            <w:tcBorders>
              <w:top w:val="nil"/>
              <w:left w:val="nil"/>
              <w:bottom w:val="nil"/>
              <w:right w:val="nil"/>
            </w:tcBorders>
            <w:shd w:val="clear" w:color="000000" w:fill="140034"/>
            <w:noWrap/>
            <w:hideMark/>
          </w:tcPr>
          <w:p w14:paraId="63E1E2AC" w14:textId="77777777" w:rsidR="00D614F3" w:rsidRPr="00404724" w:rsidRDefault="00D614F3" w:rsidP="00D614F3">
            <w:pPr>
              <w:spacing w:before="0" w:after="0"/>
              <w:rPr>
                <w:rFonts w:cstheme="minorHAnsi"/>
                <w:color w:val="F51B1B"/>
              </w:rPr>
            </w:pPr>
            <w:r w:rsidRPr="00404724">
              <w:rPr>
                <w:rFonts w:cstheme="minorHAnsi"/>
                <w:color w:val="F51B1B"/>
              </w:rPr>
              <w:t>Costs - dollar values</w:t>
            </w:r>
          </w:p>
        </w:tc>
        <w:tc>
          <w:tcPr>
            <w:tcW w:w="1228" w:type="dxa"/>
            <w:tcBorders>
              <w:top w:val="nil"/>
              <w:left w:val="single" w:sz="8" w:space="0" w:color="auto"/>
              <w:bottom w:val="nil"/>
              <w:right w:val="nil"/>
            </w:tcBorders>
            <w:shd w:val="clear" w:color="000000" w:fill="140034"/>
          </w:tcPr>
          <w:p w14:paraId="6BC1CC4E" w14:textId="5F154303" w:rsidR="00D614F3" w:rsidRPr="00404724" w:rsidRDefault="00D614F3" w:rsidP="000A13C5">
            <w:pPr>
              <w:spacing w:before="0" w:after="0"/>
              <w:jc w:val="right"/>
              <w:rPr>
                <w:rFonts w:cstheme="minorHAnsi"/>
                <w:color w:val="FFFFFF" w:themeColor="background1"/>
              </w:rPr>
            </w:pPr>
            <w:r w:rsidRPr="00404724">
              <w:rPr>
                <w:color w:val="FFFFFF" w:themeColor="background1"/>
              </w:rPr>
              <w:t>($m)</w:t>
            </w:r>
          </w:p>
        </w:tc>
        <w:tc>
          <w:tcPr>
            <w:tcW w:w="1228" w:type="dxa"/>
            <w:tcBorders>
              <w:top w:val="nil"/>
              <w:left w:val="single" w:sz="8" w:space="0" w:color="auto"/>
              <w:bottom w:val="nil"/>
              <w:right w:val="nil"/>
            </w:tcBorders>
            <w:shd w:val="clear" w:color="000000" w:fill="140034"/>
          </w:tcPr>
          <w:p w14:paraId="04C7B4CA" w14:textId="4DB8A102" w:rsidR="00D614F3" w:rsidRPr="00404724" w:rsidRDefault="00D614F3" w:rsidP="000A13C5">
            <w:pPr>
              <w:spacing w:before="0" w:after="0"/>
              <w:jc w:val="right"/>
              <w:rPr>
                <w:rFonts w:cstheme="minorHAnsi"/>
                <w:color w:val="FFFFFF" w:themeColor="background1"/>
              </w:rPr>
            </w:pPr>
            <w:r w:rsidRPr="00404724">
              <w:rPr>
                <w:color w:val="FFFFFF" w:themeColor="background1"/>
              </w:rPr>
              <w:t>($m)</w:t>
            </w:r>
          </w:p>
        </w:tc>
        <w:tc>
          <w:tcPr>
            <w:tcW w:w="1229" w:type="dxa"/>
            <w:tcBorders>
              <w:top w:val="nil"/>
              <w:left w:val="single" w:sz="8" w:space="0" w:color="auto"/>
              <w:bottom w:val="nil"/>
              <w:right w:val="nil"/>
            </w:tcBorders>
            <w:shd w:val="clear" w:color="000000" w:fill="140034"/>
          </w:tcPr>
          <w:p w14:paraId="7C6F64F3" w14:textId="3F05982D" w:rsidR="00D614F3" w:rsidRPr="00404724" w:rsidRDefault="00D614F3" w:rsidP="000A13C5">
            <w:pPr>
              <w:spacing w:before="0" w:after="0"/>
              <w:jc w:val="right"/>
              <w:rPr>
                <w:rFonts w:cstheme="minorHAnsi"/>
                <w:color w:val="FFFFFF" w:themeColor="background1"/>
              </w:rPr>
            </w:pPr>
            <w:r w:rsidRPr="00404724">
              <w:rPr>
                <w:color w:val="FFFFFF" w:themeColor="background1"/>
              </w:rPr>
              <w:t>($m)</w:t>
            </w:r>
          </w:p>
        </w:tc>
        <w:tc>
          <w:tcPr>
            <w:tcW w:w="1228" w:type="dxa"/>
            <w:tcBorders>
              <w:top w:val="nil"/>
              <w:left w:val="single" w:sz="8" w:space="0" w:color="auto"/>
              <w:bottom w:val="nil"/>
              <w:right w:val="nil"/>
            </w:tcBorders>
            <w:shd w:val="clear" w:color="000000" w:fill="140034"/>
          </w:tcPr>
          <w:p w14:paraId="5880A7A0" w14:textId="54ABD701" w:rsidR="00D614F3" w:rsidRPr="00404724" w:rsidRDefault="00D614F3" w:rsidP="000A13C5">
            <w:pPr>
              <w:spacing w:before="0" w:after="0"/>
              <w:jc w:val="right"/>
              <w:rPr>
                <w:rFonts w:cstheme="minorHAnsi"/>
                <w:color w:val="FFFFFF" w:themeColor="background1"/>
              </w:rPr>
            </w:pPr>
            <w:r w:rsidRPr="00404724">
              <w:rPr>
                <w:color w:val="FFFFFF" w:themeColor="background1"/>
              </w:rPr>
              <w:t>($m)</w:t>
            </w:r>
          </w:p>
        </w:tc>
        <w:tc>
          <w:tcPr>
            <w:tcW w:w="1229" w:type="dxa"/>
            <w:tcBorders>
              <w:top w:val="nil"/>
              <w:left w:val="single" w:sz="8" w:space="0" w:color="auto"/>
              <w:bottom w:val="nil"/>
              <w:right w:val="single" w:sz="8" w:space="0" w:color="auto"/>
            </w:tcBorders>
            <w:shd w:val="clear" w:color="000000" w:fill="140034"/>
          </w:tcPr>
          <w:p w14:paraId="5AAB8DF3" w14:textId="5F642757" w:rsidR="00D614F3" w:rsidRPr="00404724" w:rsidRDefault="00D614F3" w:rsidP="000A13C5">
            <w:pPr>
              <w:spacing w:before="0" w:after="0"/>
              <w:jc w:val="right"/>
              <w:rPr>
                <w:rFonts w:cstheme="minorHAnsi"/>
                <w:color w:val="FFFFFF" w:themeColor="background1"/>
              </w:rPr>
            </w:pPr>
            <w:r w:rsidRPr="00404724">
              <w:rPr>
                <w:color w:val="FFFFFF" w:themeColor="background1"/>
              </w:rPr>
              <w:t>($m)</w:t>
            </w:r>
          </w:p>
        </w:tc>
        <w:tc>
          <w:tcPr>
            <w:tcW w:w="1228" w:type="dxa"/>
            <w:tcBorders>
              <w:top w:val="nil"/>
              <w:left w:val="single" w:sz="8" w:space="0" w:color="auto"/>
              <w:bottom w:val="nil"/>
              <w:right w:val="single" w:sz="8" w:space="0" w:color="auto"/>
            </w:tcBorders>
            <w:shd w:val="clear" w:color="000000" w:fill="140034"/>
          </w:tcPr>
          <w:p w14:paraId="0271818B" w14:textId="2046169D" w:rsidR="00D614F3" w:rsidRPr="00404724" w:rsidRDefault="00D614F3" w:rsidP="000A13C5">
            <w:pPr>
              <w:spacing w:before="0" w:after="0"/>
              <w:jc w:val="right"/>
              <w:rPr>
                <w:rFonts w:cstheme="minorHAnsi"/>
                <w:color w:val="FFFFFF" w:themeColor="background1"/>
              </w:rPr>
            </w:pPr>
            <w:r w:rsidRPr="00404724">
              <w:rPr>
                <w:color w:val="FFFFFF" w:themeColor="background1"/>
              </w:rPr>
              <w:t>($m)</w:t>
            </w:r>
          </w:p>
        </w:tc>
        <w:tc>
          <w:tcPr>
            <w:tcW w:w="1229" w:type="dxa"/>
            <w:tcBorders>
              <w:top w:val="nil"/>
              <w:left w:val="single" w:sz="8" w:space="0" w:color="auto"/>
              <w:bottom w:val="nil"/>
              <w:right w:val="single" w:sz="8" w:space="0" w:color="auto"/>
            </w:tcBorders>
            <w:shd w:val="clear" w:color="000000" w:fill="140034"/>
          </w:tcPr>
          <w:p w14:paraId="578351F0" w14:textId="3BDE4EFD" w:rsidR="00D614F3" w:rsidRPr="00404724" w:rsidRDefault="00D614F3" w:rsidP="000A13C5">
            <w:pPr>
              <w:spacing w:before="0" w:after="0"/>
              <w:jc w:val="right"/>
              <w:rPr>
                <w:rFonts w:cstheme="minorHAnsi"/>
                <w:color w:val="FFFFFF" w:themeColor="background1"/>
              </w:rPr>
            </w:pPr>
            <w:r w:rsidRPr="00404724">
              <w:rPr>
                <w:color w:val="FFFFFF" w:themeColor="background1"/>
              </w:rPr>
              <w:t>($m)</w:t>
            </w:r>
          </w:p>
        </w:tc>
        <w:tc>
          <w:tcPr>
            <w:tcW w:w="1228" w:type="dxa"/>
            <w:tcBorders>
              <w:top w:val="nil"/>
              <w:left w:val="single" w:sz="8" w:space="0" w:color="auto"/>
              <w:bottom w:val="nil"/>
              <w:right w:val="single" w:sz="8" w:space="0" w:color="auto"/>
            </w:tcBorders>
            <w:shd w:val="clear" w:color="000000" w:fill="140034"/>
          </w:tcPr>
          <w:p w14:paraId="63EB56FA" w14:textId="5A892476" w:rsidR="00D614F3" w:rsidRPr="00404724" w:rsidRDefault="00D614F3" w:rsidP="000A13C5">
            <w:pPr>
              <w:spacing w:before="0" w:after="0"/>
              <w:jc w:val="right"/>
              <w:rPr>
                <w:rFonts w:cstheme="minorHAnsi"/>
                <w:color w:val="FFFFFF" w:themeColor="background1"/>
              </w:rPr>
            </w:pPr>
            <w:r w:rsidRPr="00404724">
              <w:rPr>
                <w:color w:val="FFFFFF" w:themeColor="background1"/>
              </w:rPr>
              <w:t>($m)</w:t>
            </w:r>
          </w:p>
        </w:tc>
        <w:tc>
          <w:tcPr>
            <w:tcW w:w="1229" w:type="dxa"/>
            <w:tcBorders>
              <w:top w:val="nil"/>
              <w:left w:val="single" w:sz="8" w:space="0" w:color="auto"/>
              <w:bottom w:val="nil"/>
              <w:right w:val="nil"/>
            </w:tcBorders>
            <w:shd w:val="clear" w:color="000000" w:fill="140034"/>
          </w:tcPr>
          <w:p w14:paraId="5674B027" w14:textId="5A48B9ED" w:rsidR="00D614F3" w:rsidRPr="00404724" w:rsidRDefault="00D614F3" w:rsidP="000A13C5">
            <w:pPr>
              <w:spacing w:before="0" w:after="0"/>
              <w:jc w:val="right"/>
              <w:rPr>
                <w:rFonts w:cstheme="minorHAnsi"/>
                <w:color w:val="FFFFFF" w:themeColor="background1"/>
              </w:rPr>
            </w:pPr>
            <w:r w:rsidRPr="00404724">
              <w:rPr>
                <w:color w:val="FFFFFF" w:themeColor="background1"/>
              </w:rPr>
              <w:t>($m)</w:t>
            </w:r>
          </w:p>
        </w:tc>
      </w:tr>
      <w:tr w:rsidR="00C426BA" w:rsidRPr="00404724" w14:paraId="72E2968A" w14:textId="77777777" w:rsidTr="00C426BA">
        <w:trPr>
          <w:trHeight w:val="330"/>
        </w:trPr>
        <w:tc>
          <w:tcPr>
            <w:tcW w:w="3676" w:type="dxa"/>
            <w:tcBorders>
              <w:top w:val="nil"/>
              <w:left w:val="single" w:sz="8" w:space="0" w:color="auto"/>
              <w:bottom w:val="nil"/>
              <w:right w:val="nil"/>
            </w:tcBorders>
            <w:shd w:val="clear" w:color="000000" w:fill="E4E4E4"/>
            <w:noWrap/>
            <w:hideMark/>
          </w:tcPr>
          <w:p w14:paraId="0EB539B2" w14:textId="77777777" w:rsidR="00C426BA" w:rsidRPr="00404724" w:rsidRDefault="00C426BA" w:rsidP="00C426BA">
            <w:pPr>
              <w:spacing w:before="0" w:after="0"/>
              <w:rPr>
                <w:rFonts w:cstheme="minorHAnsi"/>
              </w:rPr>
            </w:pPr>
            <w:r w:rsidRPr="00404724">
              <w:rPr>
                <w:rFonts w:cstheme="minorHAnsi"/>
              </w:rPr>
              <w:t>Travel time</w:t>
            </w:r>
          </w:p>
        </w:tc>
        <w:tc>
          <w:tcPr>
            <w:tcW w:w="1228" w:type="dxa"/>
            <w:tcBorders>
              <w:top w:val="nil"/>
              <w:left w:val="single" w:sz="8" w:space="0" w:color="auto"/>
              <w:bottom w:val="nil"/>
              <w:right w:val="nil"/>
            </w:tcBorders>
            <w:shd w:val="clear" w:color="000000" w:fill="E4E4E4"/>
            <w:noWrap/>
          </w:tcPr>
          <w:p w14:paraId="59731789" w14:textId="77777777" w:rsidR="00C426BA" w:rsidRPr="00404724" w:rsidRDefault="00C426BA" w:rsidP="000A13C5">
            <w:pPr>
              <w:spacing w:before="0" w:after="0"/>
              <w:jc w:val="right"/>
              <w:rPr>
                <w:rFonts w:cstheme="minorHAnsi"/>
              </w:rPr>
            </w:pPr>
          </w:p>
        </w:tc>
        <w:tc>
          <w:tcPr>
            <w:tcW w:w="1228" w:type="dxa"/>
            <w:tcBorders>
              <w:top w:val="nil"/>
              <w:left w:val="single" w:sz="8" w:space="0" w:color="auto"/>
              <w:bottom w:val="nil"/>
              <w:right w:val="nil"/>
            </w:tcBorders>
            <w:shd w:val="clear" w:color="000000" w:fill="E4E4E4"/>
          </w:tcPr>
          <w:p w14:paraId="2F5AD39D" w14:textId="77777777" w:rsidR="00C426BA" w:rsidRPr="00404724" w:rsidRDefault="00C426BA" w:rsidP="000A13C5">
            <w:pPr>
              <w:spacing w:before="0" w:after="0"/>
              <w:jc w:val="right"/>
              <w:rPr>
                <w:rFonts w:cstheme="minorHAnsi"/>
              </w:rPr>
            </w:pPr>
          </w:p>
        </w:tc>
        <w:tc>
          <w:tcPr>
            <w:tcW w:w="1229" w:type="dxa"/>
            <w:tcBorders>
              <w:top w:val="nil"/>
              <w:left w:val="single" w:sz="8" w:space="0" w:color="auto"/>
              <w:bottom w:val="nil"/>
              <w:right w:val="nil"/>
            </w:tcBorders>
            <w:shd w:val="clear" w:color="000000" w:fill="E4E4E4"/>
          </w:tcPr>
          <w:p w14:paraId="4A74F6A4" w14:textId="77777777" w:rsidR="00C426BA" w:rsidRPr="00404724" w:rsidRDefault="00C426BA" w:rsidP="000A13C5">
            <w:pPr>
              <w:spacing w:before="0" w:after="0"/>
              <w:jc w:val="right"/>
              <w:rPr>
                <w:rFonts w:cstheme="minorHAnsi"/>
              </w:rPr>
            </w:pPr>
          </w:p>
        </w:tc>
        <w:tc>
          <w:tcPr>
            <w:tcW w:w="1228" w:type="dxa"/>
            <w:tcBorders>
              <w:top w:val="nil"/>
              <w:left w:val="single" w:sz="8" w:space="0" w:color="auto"/>
              <w:bottom w:val="nil"/>
              <w:right w:val="nil"/>
            </w:tcBorders>
            <w:shd w:val="clear" w:color="000000" w:fill="E4E4E4"/>
          </w:tcPr>
          <w:p w14:paraId="0426CBCC" w14:textId="77777777" w:rsidR="00C426BA" w:rsidRPr="00404724" w:rsidRDefault="00C426BA" w:rsidP="000A13C5">
            <w:pPr>
              <w:spacing w:before="0" w:after="0"/>
              <w:jc w:val="right"/>
              <w:rPr>
                <w:rFonts w:cstheme="minorHAnsi"/>
              </w:rPr>
            </w:pPr>
          </w:p>
        </w:tc>
        <w:tc>
          <w:tcPr>
            <w:tcW w:w="1229" w:type="dxa"/>
            <w:tcBorders>
              <w:top w:val="nil"/>
              <w:left w:val="single" w:sz="8" w:space="0" w:color="auto"/>
              <w:bottom w:val="nil"/>
              <w:right w:val="single" w:sz="8" w:space="0" w:color="auto"/>
            </w:tcBorders>
            <w:shd w:val="clear" w:color="000000" w:fill="E4E4E4"/>
          </w:tcPr>
          <w:p w14:paraId="5F64F8E5" w14:textId="77777777" w:rsidR="00C426BA" w:rsidRPr="00404724" w:rsidRDefault="00C426BA" w:rsidP="000A13C5">
            <w:pPr>
              <w:spacing w:before="0" w:after="0"/>
              <w:jc w:val="right"/>
              <w:rPr>
                <w:rFonts w:cstheme="minorHAnsi"/>
              </w:rPr>
            </w:pPr>
          </w:p>
        </w:tc>
        <w:tc>
          <w:tcPr>
            <w:tcW w:w="1228" w:type="dxa"/>
            <w:tcBorders>
              <w:top w:val="nil"/>
              <w:left w:val="single" w:sz="8" w:space="0" w:color="auto"/>
              <w:bottom w:val="nil"/>
              <w:right w:val="single" w:sz="8" w:space="0" w:color="auto"/>
            </w:tcBorders>
            <w:shd w:val="clear" w:color="000000" w:fill="E4E4E4"/>
          </w:tcPr>
          <w:p w14:paraId="3FAD5457" w14:textId="77777777" w:rsidR="00C426BA" w:rsidRPr="00404724" w:rsidRDefault="00C426BA" w:rsidP="000A13C5">
            <w:pPr>
              <w:spacing w:before="0" w:after="0"/>
              <w:jc w:val="right"/>
              <w:rPr>
                <w:rFonts w:cstheme="minorHAnsi"/>
              </w:rPr>
            </w:pPr>
          </w:p>
        </w:tc>
        <w:tc>
          <w:tcPr>
            <w:tcW w:w="1229" w:type="dxa"/>
            <w:tcBorders>
              <w:top w:val="nil"/>
              <w:left w:val="single" w:sz="8" w:space="0" w:color="auto"/>
              <w:bottom w:val="nil"/>
              <w:right w:val="single" w:sz="8" w:space="0" w:color="auto"/>
            </w:tcBorders>
            <w:shd w:val="clear" w:color="000000" w:fill="E4E4E4"/>
          </w:tcPr>
          <w:p w14:paraId="77895DB3" w14:textId="77777777" w:rsidR="00C426BA" w:rsidRPr="00404724" w:rsidRDefault="00C426BA" w:rsidP="000A13C5">
            <w:pPr>
              <w:spacing w:before="0" w:after="0"/>
              <w:jc w:val="right"/>
              <w:rPr>
                <w:rFonts w:cstheme="minorHAnsi"/>
              </w:rPr>
            </w:pPr>
          </w:p>
        </w:tc>
        <w:tc>
          <w:tcPr>
            <w:tcW w:w="1228" w:type="dxa"/>
            <w:tcBorders>
              <w:top w:val="nil"/>
              <w:left w:val="single" w:sz="8" w:space="0" w:color="auto"/>
              <w:bottom w:val="nil"/>
              <w:right w:val="single" w:sz="8" w:space="0" w:color="auto"/>
            </w:tcBorders>
            <w:shd w:val="clear" w:color="000000" w:fill="E4E4E4"/>
          </w:tcPr>
          <w:p w14:paraId="6BDCA2E5" w14:textId="77777777" w:rsidR="00C426BA" w:rsidRPr="00404724" w:rsidRDefault="00C426BA" w:rsidP="000A13C5">
            <w:pPr>
              <w:spacing w:before="0" w:after="0"/>
              <w:jc w:val="right"/>
              <w:rPr>
                <w:rFonts w:cstheme="minorHAnsi"/>
              </w:rPr>
            </w:pPr>
          </w:p>
        </w:tc>
        <w:tc>
          <w:tcPr>
            <w:tcW w:w="1229" w:type="dxa"/>
            <w:tcBorders>
              <w:top w:val="nil"/>
              <w:left w:val="single" w:sz="8" w:space="0" w:color="auto"/>
              <w:bottom w:val="nil"/>
              <w:right w:val="nil"/>
            </w:tcBorders>
            <w:shd w:val="clear" w:color="000000" w:fill="E4E4E4"/>
          </w:tcPr>
          <w:p w14:paraId="0A622999" w14:textId="77777777" w:rsidR="00C426BA" w:rsidRPr="00404724" w:rsidRDefault="00C426BA" w:rsidP="000A13C5">
            <w:pPr>
              <w:spacing w:before="0" w:after="0"/>
              <w:jc w:val="right"/>
              <w:rPr>
                <w:rFonts w:cstheme="minorHAnsi"/>
              </w:rPr>
            </w:pPr>
          </w:p>
        </w:tc>
      </w:tr>
      <w:tr w:rsidR="00C426BA" w:rsidRPr="00404724" w14:paraId="20B5C112" w14:textId="77777777" w:rsidTr="00C426BA">
        <w:trPr>
          <w:trHeight w:val="330"/>
        </w:trPr>
        <w:tc>
          <w:tcPr>
            <w:tcW w:w="3676" w:type="dxa"/>
            <w:tcBorders>
              <w:top w:val="nil"/>
              <w:left w:val="single" w:sz="8" w:space="0" w:color="auto"/>
              <w:bottom w:val="nil"/>
              <w:right w:val="nil"/>
            </w:tcBorders>
            <w:shd w:val="clear" w:color="000000" w:fill="FFFFFF"/>
            <w:noWrap/>
            <w:hideMark/>
          </w:tcPr>
          <w:p w14:paraId="79B622AB" w14:textId="77777777" w:rsidR="00C426BA" w:rsidRPr="00404724" w:rsidRDefault="00C426BA" w:rsidP="00C426BA">
            <w:pPr>
              <w:spacing w:before="0" w:after="0"/>
              <w:rPr>
                <w:rFonts w:cstheme="minorHAnsi"/>
              </w:rPr>
            </w:pPr>
            <w:r w:rsidRPr="00404724">
              <w:rPr>
                <w:rFonts w:cstheme="minorHAnsi"/>
              </w:rPr>
              <w:t>Personal</w:t>
            </w:r>
          </w:p>
        </w:tc>
        <w:tc>
          <w:tcPr>
            <w:tcW w:w="1228" w:type="dxa"/>
            <w:tcBorders>
              <w:top w:val="nil"/>
              <w:left w:val="single" w:sz="8" w:space="0" w:color="auto"/>
              <w:bottom w:val="nil"/>
              <w:right w:val="nil"/>
            </w:tcBorders>
            <w:shd w:val="clear" w:color="000000" w:fill="FFFFFF"/>
            <w:noWrap/>
          </w:tcPr>
          <w:p w14:paraId="5B5CE1BF" w14:textId="77777777" w:rsidR="00C426BA" w:rsidRPr="00404724" w:rsidRDefault="00C426BA" w:rsidP="000A13C5">
            <w:pPr>
              <w:spacing w:before="0" w:after="0"/>
              <w:jc w:val="right"/>
              <w:rPr>
                <w:rFonts w:cstheme="minorHAnsi"/>
              </w:rPr>
            </w:pPr>
            <w:r w:rsidRPr="00404724">
              <w:rPr>
                <w:rFonts w:cstheme="minorHAnsi"/>
              </w:rPr>
              <w:t>-$256.3</w:t>
            </w:r>
          </w:p>
        </w:tc>
        <w:tc>
          <w:tcPr>
            <w:tcW w:w="1228" w:type="dxa"/>
            <w:tcBorders>
              <w:top w:val="nil"/>
              <w:left w:val="single" w:sz="8" w:space="0" w:color="auto"/>
              <w:bottom w:val="nil"/>
              <w:right w:val="nil"/>
            </w:tcBorders>
            <w:shd w:val="clear" w:color="000000" w:fill="FFFFFF"/>
          </w:tcPr>
          <w:p w14:paraId="154D3E52" w14:textId="77777777" w:rsidR="00C426BA" w:rsidRPr="00404724" w:rsidRDefault="00C426BA" w:rsidP="000A13C5">
            <w:pPr>
              <w:spacing w:before="0" w:after="0"/>
              <w:jc w:val="right"/>
              <w:rPr>
                <w:rFonts w:cstheme="minorHAnsi"/>
              </w:rPr>
            </w:pPr>
            <w:r w:rsidRPr="00404724">
              <w:rPr>
                <w:rFonts w:cstheme="minorHAnsi"/>
              </w:rPr>
              <w:t>-$512.7</w:t>
            </w:r>
          </w:p>
        </w:tc>
        <w:tc>
          <w:tcPr>
            <w:tcW w:w="1229" w:type="dxa"/>
            <w:tcBorders>
              <w:top w:val="nil"/>
              <w:left w:val="single" w:sz="8" w:space="0" w:color="auto"/>
              <w:bottom w:val="nil"/>
              <w:right w:val="nil"/>
            </w:tcBorders>
            <w:shd w:val="clear" w:color="000000" w:fill="FFFFFF"/>
          </w:tcPr>
          <w:p w14:paraId="4F5C92C6" w14:textId="77777777" w:rsidR="00C426BA" w:rsidRPr="00404724" w:rsidRDefault="00C426BA" w:rsidP="000A13C5">
            <w:pPr>
              <w:spacing w:before="0" w:after="0"/>
              <w:jc w:val="right"/>
              <w:rPr>
                <w:rFonts w:cstheme="minorHAnsi"/>
              </w:rPr>
            </w:pPr>
            <w:r w:rsidRPr="00404724">
              <w:rPr>
                <w:rFonts w:cstheme="minorHAnsi"/>
              </w:rPr>
              <w:t>-$1,538.0</w:t>
            </w:r>
          </w:p>
        </w:tc>
        <w:tc>
          <w:tcPr>
            <w:tcW w:w="1228" w:type="dxa"/>
            <w:tcBorders>
              <w:top w:val="nil"/>
              <w:left w:val="single" w:sz="8" w:space="0" w:color="auto"/>
              <w:bottom w:val="nil"/>
              <w:right w:val="nil"/>
            </w:tcBorders>
            <w:shd w:val="clear" w:color="000000" w:fill="FFFFFF"/>
          </w:tcPr>
          <w:p w14:paraId="2D779E9B" w14:textId="77777777" w:rsidR="00C426BA" w:rsidRPr="00404724" w:rsidRDefault="00C426BA" w:rsidP="000A13C5">
            <w:pPr>
              <w:spacing w:before="0" w:after="0"/>
              <w:jc w:val="right"/>
              <w:rPr>
                <w:rFonts w:cstheme="minorHAnsi"/>
              </w:rPr>
            </w:pPr>
            <w:r w:rsidRPr="00404724">
              <w:rPr>
                <w:rFonts w:cstheme="minorHAnsi"/>
              </w:rPr>
              <w:t>-$626.6</w:t>
            </w:r>
          </w:p>
        </w:tc>
        <w:tc>
          <w:tcPr>
            <w:tcW w:w="1229" w:type="dxa"/>
            <w:tcBorders>
              <w:top w:val="nil"/>
              <w:left w:val="single" w:sz="8" w:space="0" w:color="auto"/>
              <w:bottom w:val="nil"/>
              <w:right w:val="single" w:sz="8" w:space="0" w:color="auto"/>
            </w:tcBorders>
            <w:shd w:val="clear" w:color="000000" w:fill="FFFFFF"/>
          </w:tcPr>
          <w:p w14:paraId="610C70A1" w14:textId="77777777" w:rsidR="00C426BA" w:rsidRPr="00404724" w:rsidRDefault="00C426BA" w:rsidP="000A13C5">
            <w:pPr>
              <w:spacing w:before="0" w:after="0"/>
              <w:jc w:val="right"/>
              <w:rPr>
                <w:rFonts w:cstheme="minorHAnsi"/>
              </w:rPr>
            </w:pPr>
            <w:r w:rsidRPr="00404724">
              <w:rPr>
                <w:rFonts w:cstheme="minorHAnsi"/>
              </w:rPr>
              <w:t>-$1,253.2</w:t>
            </w:r>
          </w:p>
        </w:tc>
        <w:tc>
          <w:tcPr>
            <w:tcW w:w="1228" w:type="dxa"/>
            <w:tcBorders>
              <w:top w:val="nil"/>
              <w:left w:val="single" w:sz="8" w:space="0" w:color="auto"/>
              <w:bottom w:val="nil"/>
              <w:right w:val="single" w:sz="8" w:space="0" w:color="auto"/>
            </w:tcBorders>
            <w:shd w:val="clear" w:color="000000" w:fill="FFFFFF"/>
          </w:tcPr>
          <w:p w14:paraId="3549C5E7" w14:textId="77777777" w:rsidR="00C426BA" w:rsidRPr="00404724" w:rsidRDefault="00C426BA" w:rsidP="000A13C5">
            <w:pPr>
              <w:spacing w:before="0" w:after="0"/>
              <w:jc w:val="right"/>
              <w:rPr>
                <w:rFonts w:cstheme="minorHAnsi"/>
              </w:rPr>
            </w:pPr>
            <w:r w:rsidRPr="00404724">
              <w:rPr>
                <w:rFonts w:cstheme="minorHAnsi"/>
              </w:rPr>
              <w:t>-$3,759.6</w:t>
            </w:r>
          </w:p>
        </w:tc>
        <w:tc>
          <w:tcPr>
            <w:tcW w:w="1229" w:type="dxa"/>
            <w:tcBorders>
              <w:top w:val="nil"/>
              <w:left w:val="single" w:sz="8" w:space="0" w:color="auto"/>
              <w:bottom w:val="nil"/>
              <w:right w:val="single" w:sz="8" w:space="0" w:color="auto"/>
            </w:tcBorders>
            <w:shd w:val="clear" w:color="000000" w:fill="FFFFFF"/>
          </w:tcPr>
          <w:p w14:paraId="6A39FA98" w14:textId="77777777" w:rsidR="00C426BA" w:rsidRPr="00404724" w:rsidRDefault="00C426BA" w:rsidP="000A13C5">
            <w:pPr>
              <w:spacing w:before="0" w:after="0"/>
              <w:jc w:val="right"/>
              <w:rPr>
                <w:rFonts w:cstheme="minorHAnsi"/>
              </w:rPr>
            </w:pPr>
            <w:r w:rsidRPr="00404724">
              <w:rPr>
                <w:rFonts w:cstheme="minorHAnsi"/>
              </w:rPr>
              <w:t>-$1,033.9</w:t>
            </w:r>
          </w:p>
        </w:tc>
        <w:tc>
          <w:tcPr>
            <w:tcW w:w="1228" w:type="dxa"/>
            <w:tcBorders>
              <w:top w:val="nil"/>
              <w:left w:val="single" w:sz="8" w:space="0" w:color="auto"/>
              <w:bottom w:val="nil"/>
              <w:right w:val="single" w:sz="8" w:space="0" w:color="auto"/>
            </w:tcBorders>
            <w:shd w:val="clear" w:color="000000" w:fill="FFFFFF"/>
          </w:tcPr>
          <w:p w14:paraId="4D4F8497" w14:textId="77777777" w:rsidR="00C426BA" w:rsidRPr="00404724" w:rsidRDefault="00C426BA" w:rsidP="000A13C5">
            <w:pPr>
              <w:spacing w:before="0" w:after="0"/>
              <w:jc w:val="right"/>
              <w:rPr>
                <w:rFonts w:cstheme="minorHAnsi"/>
              </w:rPr>
            </w:pPr>
            <w:r w:rsidRPr="00404724">
              <w:rPr>
                <w:rFonts w:cstheme="minorHAnsi"/>
              </w:rPr>
              <w:t>-$2,067.8</w:t>
            </w:r>
          </w:p>
        </w:tc>
        <w:tc>
          <w:tcPr>
            <w:tcW w:w="1229" w:type="dxa"/>
            <w:tcBorders>
              <w:top w:val="nil"/>
              <w:left w:val="single" w:sz="8" w:space="0" w:color="auto"/>
              <w:bottom w:val="nil"/>
              <w:right w:val="nil"/>
            </w:tcBorders>
            <w:shd w:val="clear" w:color="000000" w:fill="FFFFFF"/>
          </w:tcPr>
          <w:p w14:paraId="7E9E79DB" w14:textId="77777777" w:rsidR="00C426BA" w:rsidRPr="00404724" w:rsidRDefault="00C426BA" w:rsidP="000A13C5">
            <w:pPr>
              <w:spacing w:before="0" w:after="0"/>
              <w:jc w:val="right"/>
              <w:rPr>
                <w:rFonts w:cstheme="minorHAnsi"/>
              </w:rPr>
            </w:pPr>
            <w:r w:rsidRPr="00404724">
              <w:rPr>
                <w:rFonts w:cstheme="minorHAnsi"/>
              </w:rPr>
              <w:t>-$6,203.4</w:t>
            </w:r>
          </w:p>
        </w:tc>
      </w:tr>
      <w:tr w:rsidR="00C426BA" w:rsidRPr="00404724" w14:paraId="7863911D" w14:textId="77777777" w:rsidTr="00C426BA">
        <w:trPr>
          <w:trHeight w:val="330"/>
        </w:trPr>
        <w:tc>
          <w:tcPr>
            <w:tcW w:w="3676" w:type="dxa"/>
            <w:tcBorders>
              <w:top w:val="nil"/>
              <w:left w:val="single" w:sz="8" w:space="0" w:color="auto"/>
              <w:bottom w:val="nil"/>
              <w:right w:val="nil"/>
            </w:tcBorders>
            <w:shd w:val="clear" w:color="000000" w:fill="FFFFFF"/>
            <w:noWrap/>
            <w:hideMark/>
          </w:tcPr>
          <w:p w14:paraId="77BC826A" w14:textId="77777777" w:rsidR="00C426BA" w:rsidRPr="00404724" w:rsidRDefault="00C426BA" w:rsidP="00C426BA">
            <w:pPr>
              <w:spacing w:before="0" w:after="0"/>
              <w:rPr>
                <w:rFonts w:cstheme="minorHAnsi"/>
              </w:rPr>
            </w:pPr>
            <w:r w:rsidRPr="00404724">
              <w:rPr>
                <w:rFonts w:cstheme="minorHAnsi"/>
              </w:rPr>
              <w:t>Business</w:t>
            </w:r>
          </w:p>
        </w:tc>
        <w:tc>
          <w:tcPr>
            <w:tcW w:w="1228" w:type="dxa"/>
            <w:tcBorders>
              <w:top w:val="nil"/>
              <w:left w:val="single" w:sz="8" w:space="0" w:color="auto"/>
              <w:bottom w:val="nil"/>
              <w:right w:val="nil"/>
            </w:tcBorders>
            <w:shd w:val="clear" w:color="000000" w:fill="FFFFFF"/>
            <w:noWrap/>
          </w:tcPr>
          <w:p w14:paraId="15E4032A" w14:textId="77777777" w:rsidR="00C426BA" w:rsidRPr="00404724" w:rsidRDefault="00C426BA" w:rsidP="000A13C5">
            <w:pPr>
              <w:spacing w:before="0" w:after="0"/>
              <w:jc w:val="right"/>
              <w:rPr>
                <w:rFonts w:cstheme="minorHAnsi"/>
              </w:rPr>
            </w:pPr>
            <w:r w:rsidRPr="00404724">
              <w:rPr>
                <w:rFonts w:cstheme="minorHAnsi"/>
              </w:rPr>
              <w:t>-$197.0</w:t>
            </w:r>
          </w:p>
        </w:tc>
        <w:tc>
          <w:tcPr>
            <w:tcW w:w="1228" w:type="dxa"/>
            <w:tcBorders>
              <w:top w:val="nil"/>
              <w:left w:val="single" w:sz="8" w:space="0" w:color="auto"/>
              <w:bottom w:val="nil"/>
              <w:right w:val="nil"/>
            </w:tcBorders>
            <w:shd w:val="clear" w:color="000000" w:fill="FFFFFF"/>
          </w:tcPr>
          <w:p w14:paraId="675A1009" w14:textId="77777777" w:rsidR="00C426BA" w:rsidRPr="00404724" w:rsidRDefault="00C426BA" w:rsidP="000A13C5">
            <w:pPr>
              <w:spacing w:before="0" w:after="0"/>
              <w:jc w:val="right"/>
              <w:rPr>
                <w:rFonts w:cstheme="minorHAnsi"/>
              </w:rPr>
            </w:pPr>
            <w:r w:rsidRPr="00404724">
              <w:rPr>
                <w:rFonts w:cstheme="minorHAnsi"/>
              </w:rPr>
              <w:t>-$394.0</w:t>
            </w:r>
          </w:p>
        </w:tc>
        <w:tc>
          <w:tcPr>
            <w:tcW w:w="1229" w:type="dxa"/>
            <w:tcBorders>
              <w:top w:val="nil"/>
              <w:left w:val="single" w:sz="8" w:space="0" w:color="auto"/>
              <w:bottom w:val="nil"/>
              <w:right w:val="nil"/>
            </w:tcBorders>
            <w:shd w:val="clear" w:color="000000" w:fill="FFFFFF"/>
          </w:tcPr>
          <w:p w14:paraId="052628CD" w14:textId="77777777" w:rsidR="00C426BA" w:rsidRPr="00404724" w:rsidRDefault="00C426BA" w:rsidP="000A13C5">
            <w:pPr>
              <w:spacing w:before="0" w:after="0"/>
              <w:jc w:val="right"/>
              <w:rPr>
                <w:rFonts w:cstheme="minorHAnsi"/>
              </w:rPr>
            </w:pPr>
            <w:r w:rsidRPr="00404724">
              <w:rPr>
                <w:rFonts w:cstheme="minorHAnsi"/>
              </w:rPr>
              <w:t>-$1,181.9</w:t>
            </w:r>
          </w:p>
        </w:tc>
        <w:tc>
          <w:tcPr>
            <w:tcW w:w="1228" w:type="dxa"/>
            <w:tcBorders>
              <w:top w:val="nil"/>
              <w:left w:val="single" w:sz="8" w:space="0" w:color="auto"/>
              <w:bottom w:val="nil"/>
              <w:right w:val="nil"/>
            </w:tcBorders>
            <w:shd w:val="clear" w:color="000000" w:fill="FFFFFF"/>
          </w:tcPr>
          <w:p w14:paraId="23F7F9CB" w14:textId="77777777" w:rsidR="00C426BA" w:rsidRPr="00404724" w:rsidRDefault="00C426BA" w:rsidP="000A13C5">
            <w:pPr>
              <w:spacing w:before="0" w:after="0"/>
              <w:jc w:val="right"/>
              <w:rPr>
                <w:rFonts w:cstheme="minorHAnsi"/>
              </w:rPr>
            </w:pPr>
            <w:r w:rsidRPr="00404724">
              <w:rPr>
                <w:rFonts w:cstheme="minorHAnsi"/>
              </w:rPr>
              <w:t>-$481.5</w:t>
            </w:r>
          </w:p>
        </w:tc>
        <w:tc>
          <w:tcPr>
            <w:tcW w:w="1229" w:type="dxa"/>
            <w:tcBorders>
              <w:top w:val="nil"/>
              <w:left w:val="single" w:sz="8" w:space="0" w:color="auto"/>
              <w:bottom w:val="nil"/>
              <w:right w:val="single" w:sz="8" w:space="0" w:color="auto"/>
            </w:tcBorders>
            <w:shd w:val="clear" w:color="000000" w:fill="FFFFFF"/>
          </w:tcPr>
          <w:p w14:paraId="7B36B8DC" w14:textId="77777777" w:rsidR="00C426BA" w:rsidRPr="00404724" w:rsidRDefault="00C426BA" w:rsidP="000A13C5">
            <w:pPr>
              <w:spacing w:before="0" w:after="0"/>
              <w:jc w:val="right"/>
              <w:rPr>
                <w:rFonts w:cstheme="minorHAnsi"/>
              </w:rPr>
            </w:pPr>
            <w:r w:rsidRPr="00404724">
              <w:rPr>
                <w:rFonts w:cstheme="minorHAnsi"/>
              </w:rPr>
              <w:t>-$963.0</w:t>
            </w:r>
          </w:p>
        </w:tc>
        <w:tc>
          <w:tcPr>
            <w:tcW w:w="1228" w:type="dxa"/>
            <w:tcBorders>
              <w:top w:val="nil"/>
              <w:left w:val="single" w:sz="8" w:space="0" w:color="auto"/>
              <w:bottom w:val="nil"/>
              <w:right w:val="single" w:sz="8" w:space="0" w:color="auto"/>
            </w:tcBorders>
            <w:shd w:val="clear" w:color="000000" w:fill="FFFFFF"/>
          </w:tcPr>
          <w:p w14:paraId="7D5EC123" w14:textId="77777777" w:rsidR="00C426BA" w:rsidRPr="00404724" w:rsidRDefault="00C426BA" w:rsidP="000A13C5">
            <w:pPr>
              <w:spacing w:before="0" w:after="0"/>
              <w:jc w:val="right"/>
              <w:rPr>
                <w:rFonts w:cstheme="minorHAnsi"/>
              </w:rPr>
            </w:pPr>
            <w:r w:rsidRPr="00404724">
              <w:rPr>
                <w:rFonts w:cstheme="minorHAnsi"/>
              </w:rPr>
              <w:t>-$2,889.0</w:t>
            </w:r>
          </w:p>
        </w:tc>
        <w:tc>
          <w:tcPr>
            <w:tcW w:w="1229" w:type="dxa"/>
            <w:tcBorders>
              <w:top w:val="nil"/>
              <w:left w:val="single" w:sz="8" w:space="0" w:color="auto"/>
              <w:bottom w:val="nil"/>
              <w:right w:val="single" w:sz="8" w:space="0" w:color="auto"/>
            </w:tcBorders>
            <w:shd w:val="clear" w:color="000000" w:fill="FFFFFF"/>
          </w:tcPr>
          <w:p w14:paraId="3724473D" w14:textId="77777777" w:rsidR="00C426BA" w:rsidRPr="00404724" w:rsidRDefault="00C426BA" w:rsidP="000A13C5">
            <w:pPr>
              <w:spacing w:before="0" w:after="0"/>
              <w:jc w:val="right"/>
              <w:rPr>
                <w:rFonts w:cstheme="minorHAnsi"/>
              </w:rPr>
            </w:pPr>
            <w:r w:rsidRPr="00404724">
              <w:rPr>
                <w:rFonts w:cstheme="minorHAnsi"/>
              </w:rPr>
              <w:t>-$794.5</w:t>
            </w:r>
          </w:p>
        </w:tc>
        <w:tc>
          <w:tcPr>
            <w:tcW w:w="1228" w:type="dxa"/>
            <w:tcBorders>
              <w:top w:val="nil"/>
              <w:left w:val="single" w:sz="8" w:space="0" w:color="auto"/>
              <w:bottom w:val="nil"/>
              <w:right w:val="single" w:sz="8" w:space="0" w:color="auto"/>
            </w:tcBorders>
            <w:shd w:val="clear" w:color="000000" w:fill="FFFFFF"/>
          </w:tcPr>
          <w:p w14:paraId="05CDBBD1" w14:textId="77777777" w:rsidR="00C426BA" w:rsidRPr="00404724" w:rsidRDefault="00C426BA" w:rsidP="000A13C5">
            <w:pPr>
              <w:spacing w:before="0" w:after="0"/>
              <w:jc w:val="right"/>
              <w:rPr>
                <w:rFonts w:cstheme="minorHAnsi"/>
              </w:rPr>
            </w:pPr>
            <w:r w:rsidRPr="00404724">
              <w:rPr>
                <w:rFonts w:cstheme="minorHAnsi"/>
              </w:rPr>
              <w:t>-$1,588.9</w:t>
            </w:r>
          </w:p>
        </w:tc>
        <w:tc>
          <w:tcPr>
            <w:tcW w:w="1229" w:type="dxa"/>
            <w:tcBorders>
              <w:top w:val="nil"/>
              <w:left w:val="single" w:sz="8" w:space="0" w:color="auto"/>
              <w:bottom w:val="nil"/>
              <w:right w:val="nil"/>
            </w:tcBorders>
            <w:shd w:val="clear" w:color="000000" w:fill="FFFFFF"/>
          </w:tcPr>
          <w:p w14:paraId="40AAED6F" w14:textId="77777777" w:rsidR="00C426BA" w:rsidRPr="00404724" w:rsidRDefault="00C426BA" w:rsidP="000A13C5">
            <w:pPr>
              <w:spacing w:before="0" w:after="0"/>
              <w:jc w:val="right"/>
              <w:rPr>
                <w:rFonts w:cstheme="minorHAnsi"/>
              </w:rPr>
            </w:pPr>
            <w:r w:rsidRPr="00404724">
              <w:rPr>
                <w:rFonts w:cstheme="minorHAnsi"/>
              </w:rPr>
              <w:t>-$4,766.8</w:t>
            </w:r>
          </w:p>
        </w:tc>
      </w:tr>
      <w:tr w:rsidR="00C426BA" w:rsidRPr="00404724" w14:paraId="5B5F830C" w14:textId="77777777" w:rsidTr="00C426BA">
        <w:trPr>
          <w:trHeight w:val="330"/>
        </w:trPr>
        <w:tc>
          <w:tcPr>
            <w:tcW w:w="3676" w:type="dxa"/>
            <w:tcBorders>
              <w:top w:val="nil"/>
              <w:left w:val="single" w:sz="8" w:space="0" w:color="auto"/>
              <w:bottom w:val="nil"/>
              <w:right w:val="nil"/>
            </w:tcBorders>
            <w:shd w:val="clear" w:color="000000" w:fill="FFFFFF"/>
            <w:noWrap/>
            <w:hideMark/>
          </w:tcPr>
          <w:p w14:paraId="1EC304EA" w14:textId="77777777" w:rsidR="00C426BA" w:rsidRPr="00404724" w:rsidRDefault="00C426BA" w:rsidP="00C426BA">
            <w:pPr>
              <w:spacing w:before="0" w:after="0"/>
              <w:rPr>
                <w:rFonts w:cstheme="minorHAnsi"/>
              </w:rPr>
            </w:pPr>
            <w:r w:rsidRPr="00404724">
              <w:rPr>
                <w:rFonts w:cstheme="minorHAnsi"/>
              </w:rPr>
              <w:t>Freight</w:t>
            </w:r>
          </w:p>
        </w:tc>
        <w:tc>
          <w:tcPr>
            <w:tcW w:w="1228" w:type="dxa"/>
            <w:tcBorders>
              <w:top w:val="nil"/>
              <w:left w:val="single" w:sz="8" w:space="0" w:color="auto"/>
              <w:bottom w:val="nil"/>
              <w:right w:val="nil"/>
            </w:tcBorders>
            <w:shd w:val="clear" w:color="000000" w:fill="FFFFFF"/>
            <w:noWrap/>
          </w:tcPr>
          <w:p w14:paraId="3AA056C1" w14:textId="77777777" w:rsidR="00C426BA" w:rsidRPr="00404724" w:rsidRDefault="00C426BA" w:rsidP="000A13C5">
            <w:pPr>
              <w:spacing w:before="0" w:after="0"/>
              <w:jc w:val="right"/>
              <w:rPr>
                <w:rFonts w:cstheme="minorHAnsi"/>
              </w:rPr>
            </w:pPr>
            <w:r w:rsidRPr="00404724">
              <w:rPr>
                <w:rFonts w:cstheme="minorHAnsi"/>
              </w:rPr>
              <w:t>-$19.0</w:t>
            </w:r>
          </w:p>
        </w:tc>
        <w:tc>
          <w:tcPr>
            <w:tcW w:w="1228" w:type="dxa"/>
            <w:tcBorders>
              <w:top w:val="nil"/>
              <w:left w:val="single" w:sz="8" w:space="0" w:color="auto"/>
              <w:bottom w:val="nil"/>
              <w:right w:val="nil"/>
            </w:tcBorders>
            <w:shd w:val="clear" w:color="000000" w:fill="FFFFFF"/>
          </w:tcPr>
          <w:p w14:paraId="342D0A79" w14:textId="77777777" w:rsidR="00C426BA" w:rsidRPr="00404724" w:rsidRDefault="00C426BA" w:rsidP="000A13C5">
            <w:pPr>
              <w:spacing w:before="0" w:after="0"/>
              <w:jc w:val="right"/>
              <w:rPr>
                <w:rFonts w:cstheme="minorHAnsi"/>
              </w:rPr>
            </w:pPr>
            <w:r w:rsidRPr="00404724">
              <w:rPr>
                <w:rFonts w:cstheme="minorHAnsi"/>
              </w:rPr>
              <w:t>-$47.6</w:t>
            </w:r>
          </w:p>
        </w:tc>
        <w:tc>
          <w:tcPr>
            <w:tcW w:w="1229" w:type="dxa"/>
            <w:tcBorders>
              <w:top w:val="nil"/>
              <w:left w:val="single" w:sz="8" w:space="0" w:color="auto"/>
              <w:bottom w:val="nil"/>
              <w:right w:val="nil"/>
            </w:tcBorders>
            <w:shd w:val="clear" w:color="000000" w:fill="FFFFFF"/>
          </w:tcPr>
          <w:p w14:paraId="3EF78E10" w14:textId="77777777" w:rsidR="00C426BA" w:rsidRPr="00404724" w:rsidRDefault="00C426BA" w:rsidP="000A13C5">
            <w:pPr>
              <w:spacing w:before="0" w:after="0"/>
              <w:jc w:val="right"/>
              <w:rPr>
                <w:rFonts w:cstheme="minorHAnsi"/>
              </w:rPr>
            </w:pPr>
            <w:r w:rsidRPr="00404724">
              <w:rPr>
                <w:rFonts w:cstheme="minorHAnsi"/>
              </w:rPr>
              <w:t>-$95.1</w:t>
            </w:r>
          </w:p>
        </w:tc>
        <w:tc>
          <w:tcPr>
            <w:tcW w:w="1228" w:type="dxa"/>
            <w:tcBorders>
              <w:top w:val="nil"/>
              <w:left w:val="single" w:sz="8" w:space="0" w:color="auto"/>
              <w:bottom w:val="nil"/>
              <w:right w:val="nil"/>
            </w:tcBorders>
            <w:shd w:val="clear" w:color="000000" w:fill="FFFFFF"/>
          </w:tcPr>
          <w:p w14:paraId="3A11C7F1" w14:textId="77777777" w:rsidR="00C426BA" w:rsidRPr="00404724" w:rsidRDefault="00C426BA" w:rsidP="000A13C5">
            <w:pPr>
              <w:spacing w:before="0" w:after="0"/>
              <w:jc w:val="right"/>
              <w:rPr>
                <w:rFonts w:cstheme="minorHAnsi"/>
              </w:rPr>
            </w:pPr>
            <w:r w:rsidRPr="00404724">
              <w:rPr>
                <w:rFonts w:cstheme="minorHAnsi"/>
              </w:rPr>
              <w:t>-$46.5</w:t>
            </w:r>
          </w:p>
        </w:tc>
        <w:tc>
          <w:tcPr>
            <w:tcW w:w="1229" w:type="dxa"/>
            <w:tcBorders>
              <w:top w:val="nil"/>
              <w:left w:val="single" w:sz="8" w:space="0" w:color="auto"/>
              <w:bottom w:val="nil"/>
              <w:right w:val="single" w:sz="8" w:space="0" w:color="auto"/>
            </w:tcBorders>
            <w:shd w:val="clear" w:color="000000" w:fill="FFFFFF"/>
          </w:tcPr>
          <w:p w14:paraId="57303101" w14:textId="77777777" w:rsidR="00C426BA" w:rsidRPr="00404724" w:rsidRDefault="00C426BA" w:rsidP="000A13C5">
            <w:pPr>
              <w:spacing w:before="0" w:after="0"/>
              <w:jc w:val="right"/>
              <w:rPr>
                <w:rFonts w:cstheme="minorHAnsi"/>
              </w:rPr>
            </w:pPr>
            <w:r w:rsidRPr="00404724">
              <w:rPr>
                <w:rFonts w:cstheme="minorHAnsi"/>
              </w:rPr>
              <w:t>-$116.3</w:t>
            </w:r>
          </w:p>
        </w:tc>
        <w:tc>
          <w:tcPr>
            <w:tcW w:w="1228" w:type="dxa"/>
            <w:tcBorders>
              <w:top w:val="nil"/>
              <w:left w:val="single" w:sz="8" w:space="0" w:color="auto"/>
              <w:bottom w:val="nil"/>
              <w:right w:val="single" w:sz="8" w:space="0" w:color="auto"/>
            </w:tcBorders>
            <w:shd w:val="clear" w:color="000000" w:fill="FFFFFF"/>
          </w:tcPr>
          <w:p w14:paraId="6ED4E600" w14:textId="77777777" w:rsidR="00C426BA" w:rsidRPr="00404724" w:rsidRDefault="00C426BA" w:rsidP="000A13C5">
            <w:pPr>
              <w:spacing w:before="0" w:after="0"/>
              <w:jc w:val="right"/>
              <w:rPr>
                <w:rFonts w:cstheme="minorHAnsi"/>
              </w:rPr>
            </w:pPr>
            <w:r w:rsidRPr="00404724">
              <w:rPr>
                <w:rFonts w:cstheme="minorHAnsi"/>
              </w:rPr>
              <w:t>-$232.6</w:t>
            </w:r>
          </w:p>
        </w:tc>
        <w:tc>
          <w:tcPr>
            <w:tcW w:w="1229" w:type="dxa"/>
            <w:tcBorders>
              <w:top w:val="nil"/>
              <w:left w:val="single" w:sz="8" w:space="0" w:color="auto"/>
              <w:bottom w:val="nil"/>
              <w:right w:val="single" w:sz="8" w:space="0" w:color="auto"/>
            </w:tcBorders>
            <w:shd w:val="clear" w:color="000000" w:fill="FFFFFF"/>
          </w:tcPr>
          <w:p w14:paraId="78888AC1" w14:textId="77777777" w:rsidR="00C426BA" w:rsidRPr="00404724" w:rsidRDefault="00C426BA" w:rsidP="000A13C5">
            <w:pPr>
              <w:spacing w:before="0" w:after="0"/>
              <w:jc w:val="right"/>
              <w:rPr>
                <w:rFonts w:cstheme="minorHAnsi"/>
              </w:rPr>
            </w:pPr>
            <w:r w:rsidRPr="00404724">
              <w:rPr>
                <w:rFonts w:cstheme="minorHAnsi"/>
              </w:rPr>
              <w:t>-$76.7</w:t>
            </w:r>
          </w:p>
        </w:tc>
        <w:tc>
          <w:tcPr>
            <w:tcW w:w="1228" w:type="dxa"/>
            <w:tcBorders>
              <w:top w:val="nil"/>
              <w:left w:val="single" w:sz="8" w:space="0" w:color="auto"/>
              <w:bottom w:val="nil"/>
              <w:right w:val="single" w:sz="8" w:space="0" w:color="auto"/>
            </w:tcBorders>
            <w:shd w:val="clear" w:color="000000" w:fill="FFFFFF"/>
          </w:tcPr>
          <w:p w14:paraId="293FF897" w14:textId="77777777" w:rsidR="00C426BA" w:rsidRPr="00404724" w:rsidRDefault="00C426BA" w:rsidP="000A13C5">
            <w:pPr>
              <w:spacing w:before="0" w:after="0"/>
              <w:jc w:val="right"/>
              <w:rPr>
                <w:rFonts w:cstheme="minorHAnsi"/>
              </w:rPr>
            </w:pPr>
            <w:r w:rsidRPr="00404724">
              <w:rPr>
                <w:rFonts w:cstheme="minorHAnsi"/>
              </w:rPr>
              <w:t>-$191.9</w:t>
            </w:r>
          </w:p>
        </w:tc>
        <w:tc>
          <w:tcPr>
            <w:tcW w:w="1229" w:type="dxa"/>
            <w:tcBorders>
              <w:top w:val="nil"/>
              <w:left w:val="single" w:sz="8" w:space="0" w:color="auto"/>
              <w:bottom w:val="nil"/>
              <w:right w:val="nil"/>
            </w:tcBorders>
            <w:shd w:val="clear" w:color="000000" w:fill="FFFFFF"/>
          </w:tcPr>
          <w:p w14:paraId="163070AE" w14:textId="77777777" w:rsidR="00C426BA" w:rsidRPr="00404724" w:rsidRDefault="00C426BA" w:rsidP="000A13C5">
            <w:pPr>
              <w:spacing w:before="0" w:after="0"/>
              <w:jc w:val="right"/>
              <w:rPr>
                <w:rFonts w:cstheme="minorHAnsi"/>
              </w:rPr>
            </w:pPr>
            <w:r w:rsidRPr="00404724">
              <w:rPr>
                <w:rFonts w:cstheme="minorHAnsi"/>
              </w:rPr>
              <w:t>-$383.7</w:t>
            </w:r>
          </w:p>
        </w:tc>
      </w:tr>
      <w:tr w:rsidR="00C426BA" w:rsidRPr="00404724" w14:paraId="07DFCFF1" w14:textId="77777777" w:rsidTr="00C426BA">
        <w:trPr>
          <w:trHeight w:val="330"/>
        </w:trPr>
        <w:tc>
          <w:tcPr>
            <w:tcW w:w="3676" w:type="dxa"/>
            <w:tcBorders>
              <w:top w:val="nil"/>
              <w:left w:val="single" w:sz="8" w:space="0" w:color="auto"/>
              <w:bottom w:val="nil"/>
              <w:right w:val="nil"/>
            </w:tcBorders>
            <w:shd w:val="clear" w:color="000000" w:fill="FFFFFF"/>
            <w:noWrap/>
          </w:tcPr>
          <w:p w14:paraId="7A335A44" w14:textId="77777777" w:rsidR="00C426BA" w:rsidRPr="00404724" w:rsidRDefault="00C426BA" w:rsidP="00C426BA">
            <w:pPr>
              <w:spacing w:before="0" w:after="0"/>
              <w:rPr>
                <w:rFonts w:cstheme="minorHAnsi"/>
              </w:rPr>
            </w:pPr>
          </w:p>
        </w:tc>
        <w:tc>
          <w:tcPr>
            <w:tcW w:w="1228" w:type="dxa"/>
            <w:tcBorders>
              <w:top w:val="nil"/>
              <w:left w:val="single" w:sz="8" w:space="0" w:color="auto"/>
              <w:bottom w:val="nil"/>
              <w:right w:val="nil"/>
            </w:tcBorders>
            <w:shd w:val="clear" w:color="000000" w:fill="FFFFFF"/>
            <w:noWrap/>
          </w:tcPr>
          <w:p w14:paraId="1F1AED06" w14:textId="77777777" w:rsidR="00C426BA" w:rsidRPr="00404724" w:rsidRDefault="00C426BA" w:rsidP="000A13C5">
            <w:pPr>
              <w:spacing w:before="0" w:after="0"/>
              <w:jc w:val="right"/>
              <w:rPr>
                <w:rFonts w:cstheme="minorHAnsi"/>
              </w:rPr>
            </w:pPr>
          </w:p>
        </w:tc>
        <w:tc>
          <w:tcPr>
            <w:tcW w:w="1228" w:type="dxa"/>
            <w:tcBorders>
              <w:top w:val="nil"/>
              <w:left w:val="single" w:sz="8" w:space="0" w:color="auto"/>
              <w:bottom w:val="nil"/>
              <w:right w:val="nil"/>
            </w:tcBorders>
            <w:shd w:val="clear" w:color="000000" w:fill="FFFFFF"/>
          </w:tcPr>
          <w:p w14:paraId="6703BEA4" w14:textId="77777777" w:rsidR="00C426BA" w:rsidRPr="00404724" w:rsidRDefault="00C426BA" w:rsidP="000A13C5">
            <w:pPr>
              <w:spacing w:before="0" w:after="0"/>
              <w:jc w:val="right"/>
              <w:rPr>
                <w:rFonts w:cstheme="minorHAnsi"/>
              </w:rPr>
            </w:pPr>
          </w:p>
        </w:tc>
        <w:tc>
          <w:tcPr>
            <w:tcW w:w="1229" w:type="dxa"/>
            <w:tcBorders>
              <w:top w:val="nil"/>
              <w:left w:val="single" w:sz="8" w:space="0" w:color="auto"/>
              <w:bottom w:val="nil"/>
              <w:right w:val="nil"/>
            </w:tcBorders>
            <w:shd w:val="clear" w:color="000000" w:fill="FFFFFF"/>
          </w:tcPr>
          <w:p w14:paraId="15B59404" w14:textId="77777777" w:rsidR="00C426BA" w:rsidRPr="00404724" w:rsidRDefault="00C426BA" w:rsidP="000A13C5">
            <w:pPr>
              <w:spacing w:before="0" w:after="0"/>
              <w:jc w:val="right"/>
              <w:rPr>
                <w:rFonts w:cstheme="minorHAnsi"/>
              </w:rPr>
            </w:pPr>
          </w:p>
        </w:tc>
        <w:tc>
          <w:tcPr>
            <w:tcW w:w="1228" w:type="dxa"/>
            <w:tcBorders>
              <w:top w:val="nil"/>
              <w:left w:val="single" w:sz="8" w:space="0" w:color="auto"/>
              <w:bottom w:val="nil"/>
              <w:right w:val="nil"/>
            </w:tcBorders>
            <w:shd w:val="clear" w:color="000000" w:fill="FFFFFF"/>
          </w:tcPr>
          <w:p w14:paraId="71FC0949" w14:textId="77777777" w:rsidR="00C426BA" w:rsidRPr="00404724" w:rsidRDefault="00C426BA" w:rsidP="000A13C5">
            <w:pPr>
              <w:spacing w:before="0" w:after="0"/>
              <w:jc w:val="right"/>
              <w:rPr>
                <w:rFonts w:cstheme="minorHAnsi"/>
              </w:rPr>
            </w:pPr>
          </w:p>
        </w:tc>
        <w:tc>
          <w:tcPr>
            <w:tcW w:w="1229" w:type="dxa"/>
            <w:tcBorders>
              <w:top w:val="nil"/>
              <w:left w:val="single" w:sz="8" w:space="0" w:color="auto"/>
              <w:bottom w:val="nil"/>
              <w:right w:val="single" w:sz="8" w:space="0" w:color="auto"/>
            </w:tcBorders>
            <w:shd w:val="clear" w:color="000000" w:fill="FFFFFF"/>
          </w:tcPr>
          <w:p w14:paraId="6CFD1952" w14:textId="77777777" w:rsidR="00C426BA" w:rsidRPr="00404724" w:rsidRDefault="00C426BA" w:rsidP="000A13C5">
            <w:pPr>
              <w:spacing w:before="0" w:after="0"/>
              <w:jc w:val="right"/>
              <w:rPr>
                <w:rFonts w:cstheme="minorHAnsi"/>
              </w:rPr>
            </w:pPr>
          </w:p>
        </w:tc>
        <w:tc>
          <w:tcPr>
            <w:tcW w:w="1228" w:type="dxa"/>
            <w:tcBorders>
              <w:top w:val="nil"/>
              <w:left w:val="single" w:sz="8" w:space="0" w:color="auto"/>
              <w:bottom w:val="nil"/>
              <w:right w:val="single" w:sz="8" w:space="0" w:color="auto"/>
            </w:tcBorders>
            <w:shd w:val="clear" w:color="000000" w:fill="FFFFFF"/>
          </w:tcPr>
          <w:p w14:paraId="44C15CE5" w14:textId="77777777" w:rsidR="00C426BA" w:rsidRPr="00404724" w:rsidRDefault="00C426BA" w:rsidP="000A13C5">
            <w:pPr>
              <w:spacing w:before="0" w:after="0"/>
              <w:jc w:val="right"/>
              <w:rPr>
                <w:rFonts w:cstheme="minorHAnsi"/>
              </w:rPr>
            </w:pPr>
          </w:p>
        </w:tc>
        <w:tc>
          <w:tcPr>
            <w:tcW w:w="1229" w:type="dxa"/>
            <w:tcBorders>
              <w:top w:val="nil"/>
              <w:left w:val="single" w:sz="8" w:space="0" w:color="auto"/>
              <w:bottom w:val="nil"/>
              <w:right w:val="single" w:sz="8" w:space="0" w:color="auto"/>
            </w:tcBorders>
            <w:shd w:val="clear" w:color="000000" w:fill="FFFFFF"/>
          </w:tcPr>
          <w:p w14:paraId="49158BA4" w14:textId="77777777" w:rsidR="00C426BA" w:rsidRPr="00404724" w:rsidRDefault="00C426BA" w:rsidP="000A13C5">
            <w:pPr>
              <w:spacing w:before="0" w:after="0"/>
              <w:jc w:val="right"/>
              <w:rPr>
                <w:rFonts w:cstheme="minorHAnsi"/>
              </w:rPr>
            </w:pPr>
          </w:p>
        </w:tc>
        <w:tc>
          <w:tcPr>
            <w:tcW w:w="1228" w:type="dxa"/>
            <w:tcBorders>
              <w:top w:val="nil"/>
              <w:left w:val="single" w:sz="8" w:space="0" w:color="auto"/>
              <w:bottom w:val="nil"/>
              <w:right w:val="single" w:sz="8" w:space="0" w:color="auto"/>
            </w:tcBorders>
            <w:shd w:val="clear" w:color="000000" w:fill="FFFFFF"/>
          </w:tcPr>
          <w:p w14:paraId="5A9AF33C" w14:textId="77777777" w:rsidR="00C426BA" w:rsidRPr="00404724" w:rsidRDefault="00C426BA" w:rsidP="000A13C5">
            <w:pPr>
              <w:spacing w:before="0" w:after="0"/>
              <w:jc w:val="right"/>
              <w:rPr>
                <w:rFonts w:cstheme="minorHAnsi"/>
              </w:rPr>
            </w:pPr>
          </w:p>
        </w:tc>
        <w:tc>
          <w:tcPr>
            <w:tcW w:w="1229" w:type="dxa"/>
            <w:tcBorders>
              <w:top w:val="nil"/>
              <w:left w:val="single" w:sz="8" w:space="0" w:color="auto"/>
              <w:bottom w:val="nil"/>
              <w:right w:val="nil"/>
            </w:tcBorders>
            <w:shd w:val="clear" w:color="000000" w:fill="FFFFFF"/>
          </w:tcPr>
          <w:p w14:paraId="05722AC7" w14:textId="77777777" w:rsidR="00C426BA" w:rsidRPr="00404724" w:rsidRDefault="00C426BA" w:rsidP="000A13C5">
            <w:pPr>
              <w:spacing w:before="0" w:after="0"/>
              <w:jc w:val="right"/>
              <w:rPr>
                <w:rFonts w:cstheme="minorHAnsi"/>
              </w:rPr>
            </w:pPr>
          </w:p>
        </w:tc>
      </w:tr>
      <w:tr w:rsidR="00C426BA" w:rsidRPr="00404724" w14:paraId="230D9B80" w14:textId="77777777" w:rsidTr="00C426BA">
        <w:trPr>
          <w:trHeight w:val="330"/>
        </w:trPr>
        <w:tc>
          <w:tcPr>
            <w:tcW w:w="3676" w:type="dxa"/>
            <w:tcBorders>
              <w:top w:val="nil"/>
              <w:left w:val="single" w:sz="8" w:space="0" w:color="auto"/>
              <w:bottom w:val="nil"/>
              <w:right w:val="nil"/>
            </w:tcBorders>
            <w:shd w:val="clear" w:color="000000" w:fill="FFFFFF"/>
            <w:noWrap/>
          </w:tcPr>
          <w:p w14:paraId="3038F425" w14:textId="77777777" w:rsidR="00C426BA" w:rsidRPr="00404724" w:rsidRDefault="00C426BA" w:rsidP="00C426BA">
            <w:pPr>
              <w:spacing w:before="0" w:after="0"/>
              <w:rPr>
                <w:rFonts w:cstheme="minorHAnsi"/>
              </w:rPr>
            </w:pPr>
            <w:r w:rsidRPr="00404724">
              <w:rPr>
                <w:rFonts w:cstheme="minorHAnsi"/>
              </w:rPr>
              <w:t>Information campaign</w:t>
            </w:r>
          </w:p>
        </w:tc>
        <w:tc>
          <w:tcPr>
            <w:tcW w:w="1228" w:type="dxa"/>
            <w:tcBorders>
              <w:top w:val="nil"/>
              <w:left w:val="single" w:sz="8" w:space="0" w:color="auto"/>
              <w:bottom w:val="nil"/>
              <w:right w:val="nil"/>
            </w:tcBorders>
            <w:shd w:val="clear" w:color="000000" w:fill="FFFFFF"/>
            <w:noWrap/>
          </w:tcPr>
          <w:p w14:paraId="13FAEDA3" w14:textId="77777777" w:rsidR="00C426BA" w:rsidRPr="00404724" w:rsidRDefault="00C426BA" w:rsidP="000A13C5">
            <w:pPr>
              <w:spacing w:before="0" w:after="0"/>
              <w:jc w:val="right"/>
              <w:rPr>
                <w:rFonts w:cstheme="minorHAnsi"/>
              </w:rPr>
            </w:pPr>
            <w:r w:rsidRPr="00404724">
              <w:rPr>
                <w:rFonts w:cstheme="minorHAnsi"/>
              </w:rPr>
              <w:t>-$10.1</w:t>
            </w:r>
          </w:p>
        </w:tc>
        <w:tc>
          <w:tcPr>
            <w:tcW w:w="1228" w:type="dxa"/>
            <w:tcBorders>
              <w:top w:val="nil"/>
              <w:left w:val="single" w:sz="8" w:space="0" w:color="auto"/>
              <w:bottom w:val="nil"/>
              <w:right w:val="nil"/>
            </w:tcBorders>
            <w:shd w:val="clear" w:color="000000" w:fill="FFFFFF"/>
          </w:tcPr>
          <w:p w14:paraId="1C7B308D" w14:textId="77777777" w:rsidR="00C426BA" w:rsidRPr="00404724" w:rsidRDefault="00C426BA" w:rsidP="000A13C5">
            <w:pPr>
              <w:spacing w:before="0" w:after="0"/>
              <w:jc w:val="right"/>
              <w:rPr>
                <w:rFonts w:cstheme="minorHAnsi"/>
              </w:rPr>
            </w:pPr>
            <w:r w:rsidRPr="00404724">
              <w:rPr>
                <w:rFonts w:cstheme="minorHAnsi"/>
              </w:rPr>
              <w:t>-$10.1</w:t>
            </w:r>
          </w:p>
        </w:tc>
        <w:tc>
          <w:tcPr>
            <w:tcW w:w="1229" w:type="dxa"/>
            <w:tcBorders>
              <w:top w:val="nil"/>
              <w:left w:val="single" w:sz="8" w:space="0" w:color="auto"/>
              <w:bottom w:val="nil"/>
              <w:right w:val="nil"/>
            </w:tcBorders>
            <w:shd w:val="clear" w:color="000000" w:fill="FFFFFF"/>
          </w:tcPr>
          <w:p w14:paraId="3D025CC0" w14:textId="77777777" w:rsidR="00C426BA" w:rsidRPr="00404724" w:rsidRDefault="00C426BA" w:rsidP="000A13C5">
            <w:pPr>
              <w:spacing w:before="0" w:after="0"/>
              <w:jc w:val="right"/>
              <w:rPr>
                <w:rFonts w:cstheme="minorHAnsi"/>
              </w:rPr>
            </w:pPr>
            <w:r w:rsidRPr="00404724">
              <w:rPr>
                <w:rFonts w:cstheme="minorHAnsi"/>
              </w:rPr>
              <w:t>-$10.1</w:t>
            </w:r>
          </w:p>
        </w:tc>
        <w:tc>
          <w:tcPr>
            <w:tcW w:w="1228" w:type="dxa"/>
            <w:tcBorders>
              <w:top w:val="nil"/>
              <w:left w:val="single" w:sz="8" w:space="0" w:color="auto"/>
              <w:bottom w:val="nil"/>
              <w:right w:val="nil"/>
            </w:tcBorders>
            <w:shd w:val="clear" w:color="000000" w:fill="FFFFFF"/>
          </w:tcPr>
          <w:p w14:paraId="1EAD0F30" w14:textId="77777777" w:rsidR="00C426BA" w:rsidRPr="00404724" w:rsidRDefault="00C426BA" w:rsidP="000A13C5">
            <w:pPr>
              <w:spacing w:before="0" w:after="0"/>
              <w:jc w:val="right"/>
              <w:rPr>
                <w:rFonts w:cstheme="minorHAnsi"/>
              </w:rPr>
            </w:pPr>
            <w:r w:rsidRPr="00404724">
              <w:rPr>
                <w:rFonts w:cstheme="minorHAnsi"/>
              </w:rPr>
              <w:t>-$10.1</w:t>
            </w:r>
          </w:p>
        </w:tc>
        <w:tc>
          <w:tcPr>
            <w:tcW w:w="1229" w:type="dxa"/>
            <w:tcBorders>
              <w:top w:val="nil"/>
              <w:left w:val="single" w:sz="8" w:space="0" w:color="auto"/>
              <w:bottom w:val="nil"/>
              <w:right w:val="single" w:sz="8" w:space="0" w:color="auto"/>
            </w:tcBorders>
            <w:shd w:val="clear" w:color="000000" w:fill="FFFFFF"/>
          </w:tcPr>
          <w:p w14:paraId="702C6B51" w14:textId="77777777" w:rsidR="00C426BA" w:rsidRPr="00404724" w:rsidRDefault="00C426BA" w:rsidP="000A13C5">
            <w:pPr>
              <w:spacing w:before="0" w:after="0"/>
              <w:jc w:val="right"/>
              <w:rPr>
                <w:rFonts w:cstheme="minorHAnsi"/>
              </w:rPr>
            </w:pPr>
            <w:r w:rsidRPr="00404724">
              <w:rPr>
                <w:rFonts w:cstheme="minorHAnsi"/>
              </w:rPr>
              <w:t>-$10.1</w:t>
            </w:r>
          </w:p>
        </w:tc>
        <w:tc>
          <w:tcPr>
            <w:tcW w:w="1228" w:type="dxa"/>
            <w:tcBorders>
              <w:top w:val="nil"/>
              <w:left w:val="single" w:sz="8" w:space="0" w:color="auto"/>
              <w:bottom w:val="nil"/>
              <w:right w:val="single" w:sz="8" w:space="0" w:color="auto"/>
            </w:tcBorders>
            <w:shd w:val="clear" w:color="000000" w:fill="FFFFFF"/>
          </w:tcPr>
          <w:p w14:paraId="731DFC2E" w14:textId="77777777" w:rsidR="00C426BA" w:rsidRPr="00404724" w:rsidRDefault="00C426BA" w:rsidP="000A13C5">
            <w:pPr>
              <w:spacing w:before="0" w:after="0"/>
              <w:jc w:val="right"/>
              <w:rPr>
                <w:rFonts w:cstheme="minorHAnsi"/>
              </w:rPr>
            </w:pPr>
            <w:r w:rsidRPr="00404724">
              <w:rPr>
                <w:rFonts w:cstheme="minorHAnsi"/>
              </w:rPr>
              <w:t>-$10.1</w:t>
            </w:r>
          </w:p>
        </w:tc>
        <w:tc>
          <w:tcPr>
            <w:tcW w:w="1229" w:type="dxa"/>
            <w:tcBorders>
              <w:top w:val="nil"/>
              <w:left w:val="single" w:sz="8" w:space="0" w:color="auto"/>
              <w:bottom w:val="nil"/>
              <w:right w:val="single" w:sz="8" w:space="0" w:color="auto"/>
            </w:tcBorders>
            <w:shd w:val="clear" w:color="000000" w:fill="FFFFFF"/>
          </w:tcPr>
          <w:p w14:paraId="6060775B" w14:textId="77777777" w:rsidR="00C426BA" w:rsidRPr="00404724" w:rsidRDefault="00C426BA" w:rsidP="000A13C5">
            <w:pPr>
              <w:spacing w:before="0" w:after="0"/>
              <w:jc w:val="right"/>
              <w:rPr>
                <w:rFonts w:cstheme="minorHAnsi"/>
              </w:rPr>
            </w:pPr>
            <w:r w:rsidRPr="00404724">
              <w:rPr>
                <w:rFonts w:cstheme="minorHAnsi"/>
              </w:rPr>
              <w:t>-$10.1</w:t>
            </w:r>
          </w:p>
        </w:tc>
        <w:tc>
          <w:tcPr>
            <w:tcW w:w="1228" w:type="dxa"/>
            <w:tcBorders>
              <w:top w:val="nil"/>
              <w:left w:val="single" w:sz="8" w:space="0" w:color="auto"/>
              <w:bottom w:val="nil"/>
              <w:right w:val="single" w:sz="8" w:space="0" w:color="auto"/>
            </w:tcBorders>
            <w:shd w:val="clear" w:color="000000" w:fill="FFFFFF"/>
          </w:tcPr>
          <w:p w14:paraId="6FCFC7A1" w14:textId="77777777" w:rsidR="00C426BA" w:rsidRPr="00404724" w:rsidRDefault="00C426BA" w:rsidP="000A13C5">
            <w:pPr>
              <w:spacing w:before="0" w:after="0"/>
              <w:jc w:val="right"/>
              <w:rPr>
                <w:rFonts w:cstheme="minorHAnsi"/>
              </w:rPr>
            </w:pPr>
            <w:r w:rsidRPr="00404724">
              <w:rPr>
                <w:rFonts w:cstheme="minorHAnsi"/>
              </w:rPr>
              <w:t>-$10.1</w:t>
            </w:r>
          </w:p>
        </w:tc>
        <w:tc>
          <w:tcPr>
            <w:tcW w:w="1229" w:type="dxa"/>
            <w:tcBorders>
              <w:top w:val="nil"/>
              <w:left w:val="single" w:sz="8" w:space="0" w:color="auto"/>
              <w:bottom w:val="nil"/>
              <w:right w:val="nil"/>
            </w:tcBorders>
            <w:shd w:val="clear" w:color="000000" w:fill="FFFFFF"/>
          </w:tcPr>
          <w:p w14:paraId="112A6912" w14:textId="77777777" w:rsidR="00C426BA" w:rsidRPr="00404724" w:rsidRDefault="00C426BA" w:rsidP="000A13C5">
            <w:pPr>
              <w:spacing w:before="0" w:after="0"/>
              <w:jc w:val="right"/>
              <w:rPr>
                <w:rFonts w:cstheme="minorHAnsi"/>
              </w:rPr>
            </w:pPr>
            <w:r w:rsidRPr="00404724">
              <w:rPr>
                <w:rFonts w:cstheme="minorHAnsi"/>
              </w:rPr>
              <w:t>-$10.1</w:t>
            </w:r>
          </w:p>
        </w:tc>
      </w:tr>
      <w:tr w:rsidR="00C426BA" w:rsidRPr="00404724" w14:paraId="4EE2B019" w14:textId="77777777" w:rsidTr="00C426BA">
        <w:trPr>
          <w:trHeight w:val="330"/>
        </w:trPr>
        <w:tc>
          <w:tcPr>
            <w:tcW w:w="3676" w:type="dxa"/>
            <w:tcBorders>
              <w:top w:val="nil"/>
              <w:left w:val="single" w:sz="8" w:space="0" w:color="auto"/>
              <w:bottom w:val="nil"/>
              <w:right w:val="nil"/>
            </w:tcBorders>
            <w:shd w:val="clear" w:color="000000" w:fill="FFFFFF"/>
            <w:noWrap/>
            <w:hideMark/>
          </w:tcPr>
          <w:p w14:paraId="5C134DAC" w14:textId="77777777" w:rsidR="00C426BA" w:rsidRPr="00404724" w:rsidRDefault="00C426BA" w:rsidP="00C426BA">
            <w:pPr>
              <w:spacing w:before="0" w:after="0"/>
              <w:rPr>
                <w:rFonts w:cstheme="minorHAnsi"/>
              </w:rPr>
            </w:pPr>
            <w:r w:rsidRPr="00404724">
              <w:rPr>
                <w:rFonts w:cstheme="minorHAnsi"/>
              </w:rPr>
              <w:t> </w:t>
            </w:r>
          </w:p>
        </w:tc>
        <w:tc>
          <w:tcPr>
            <w:tcW w:w="1228" w:type="dxa"/>
            <w:tcBorders>
              <w:top w:val="nil"/>
              <w:left w:val="single" w:sz="8" w:space="0" w:color="auto"/>
              <w:bottom w:val="nil"/>
              <w:right w:val="nil"/>
            </w:tcBorders>
            <w:shd w:val="clear" w:color="000000" w:fill="FFFFFF"/>
            <w:noWrap/>
          </w:tcPr>
          <w:p w14:paraId="6B97A6F5" w14:textId="77777777" w:rsidR="00C426BA" w:rsidRPr="00404724" w:rsidRDefault="00C426BA" w:rsidP="000A13C5">
            <w:pPr>
              <w:spacing w:before="0" w:after="0"/>
              <w:jc w:val="right"/>
              <w:rPr>
                <w:rFonts w:cstheme="minorHAnsi"/>
              </w:rPr>
            </w:pPr>
          </w:p>
        </w:tc>
        <w:tc>
          <w:tcPr>
            <w:tcW w:w="1228" w:type="dxa"/>
            <w:tcBorders>
              <w:top w:val="nil"/>
              <w:left w:val="single" w:sz="8" w:space="0" w:color="auto"/>
              <w:bottom w:val="nil"/>
              <w:right w:val="nil"/>
            </w:tcBorders>
            <w:shd w:val="clear" w:color="000000" w:fill="FFFFFF"/>
          </w:tcPr>
          <w:p w14:paraId="33ECFF4A" w14:textId="77777777" w:rsidR="00C426BA" w:rsidRPr="00404724" w:rsidRDefault="00C426BA" w:rsidP="000A13C5">
            <w:pPr>
              <w:spacing w:before="0" w:after="0"/>
              <w:jc w:val="right"/>
              <w:rPr>
                <w:rFonts w:cstheme="minorHAnsi"/>
              </w:rPr>
            </w:pPr>
          </w:p>
        </w:tc>
        <w:tc>
          <w:tcPr>
            <w:tcW w:w="1229" w:type="dxa"/>
            <w:tcBorders>
              <w:top w:val="nil"/>
              <w:left w:val="single" w:sz="8" w:space="0" w:color="auto"/>
              <w:bottom w:val="nil"/>
              <w:right w:val="nil"/>
            </w:tcBorders>
            <w:shd w:val="clear" w:color="000000" w:fill="FFFFFF"/>
          </w:tcPr>
          <w:p w14:paraId="260A7E25" w14:textId="77777777" w:rsidR="00C426BA" w:rsidRPr="00404724" w:rsidRDefault="00C426BA" w:rsidP="000A13C5">
            <w:pPr>
              <w:spacing w:before="0" w:after="0"/>
              <w:jc w:val="right"/>
              <w:rPr>
                <w:rFonts w:cstheme="minorHAnsi"/>
              </w:rPr>
            </w:pPr>
          </w:p>
        </w:tc>
        <w:tc>
          <w:tcPr>
            <w:tcW w:w="1228" w:type="dxa"/>
            <w:tcBorders>
              <w:top w:val="nil"/>
              <w:left w:val="single" w:sz="8" w:space="0" w:color="auto"/>
              <w:bottom w:val="nil"/>
              <w:right w:val="nil"/>
            </w:tcBorders>
            <w:shd w:val="clear" w:color="000000" w:fill="FFFFFF"/>
          </w:tcPr>
          <w:p w14:paraId="7B96171F" w14:textId="77777777" w:rsidR="00C426BA" w:rsidRPr="00404724" w:rsidRDefault="00C426BA" w:rsidP="000A13C5">
            <w:pPr>
              <w:spacing w:before="0" w:after="0"/>
              <w:jc w:val="right"/>
              <w:rPr>
                <w:rFonts w:cstheme="minorHAnsi"/>
              </w:rPr>
            </w:pPr>
          </w:p>
        </w:tc>
        <w:tc>
          <w:tcPr>
            <w:tcW w:w="1229" w:type="dxa"/>
            <w:tcBorders>
              <w:top w:val="nil"/>
              <w:left w:val="single" w:sz="8" w:space="0" w:color="auto"/>
              <w:bottom w:val="nil"/>
              <w:right w:val="single" w:sz="8" w:space="0" w:color="auto"/>
            </w:tcBorders>
            <w:shd w:val="clear" w:color="000000" w:fill="FFFFFF"/>
          </w:tcPr>
          <w:p w14:paraId="4801FD9E" w14:textId="77777777" w:rsidR="00C426BA" w:rsidRPr="00404724" w:rsidRDefault="00C426BA" w:rsidP="000A13C5">
            <w:pPr>
              <w:spacing w:before="0" w:after="0"/>
              <w:jc w:val="right"/>
              <w:rPr>
                <w:rFonts w:cstheme="minorHAnsi"/>
              </w:rPr>
            </w:pPr>
          </w:p>
        </w:tc>
        <w:tc>
          <w:tcPr>
            <w:tcW w:w="1228" w:type="dxa"/>
            <w:tcBorders>
              <w:top w:val="nil"/>
              <w:left w:val="single" w:sz="8" w:space="0" w:color="auto"/>
              <w:bottom w:val="nil"/>
              <w:right w:val="single" w:sz="8" w:space="0" w:color="auto"/>
            </w:tcBorders>
            <w:shd w:val="clear" w:color="000000" w:fill="FFFFFF"/>
          </w:tcPr>
          <w:p w14:paraId="0F6B6BE5" w14:textId="77777777" w:rsidR="00C426BA" w:rsidRPr="00404724" w:rsidRDefault="00C426BA" w:rsidP="000A13C5">
            <w:pPr>
              <w:spacing w:before="0" w:after="0"/>
              <w:jc w:val="right"/>
              <w:rPr>
                <w:rFonts w:cstheme="minorHAnsi"/>
              </w:rPr>
            </w:pPr>
          </w:p>
        </w:tc>
        <w:tc>
          <w:tcPr>
            <w:tcW w:w="1229" w:type="dxa"/>
            <w:tcBorders>
              <w:top w:val="nil"/>
              <w:left w:val="single" w:sz="8" w:space="0" w:color="auto"/>
              <w:bottom w:val="nil"/>
              <w:right w:val="single" w:sz="8" w:space="0" w:color="auto"/>
            </w:tcBorders>
            <w:shd w:val="clear" w:color="000000" w:fill="FFFFFF"/>
          </w:tcPr>
          <w:p w14:paraId="2716ED56" w14:textId="77777777" w:rsidR="00C426BA" w:rsidRPr="00404724" w:rsidRDefault="00C426BA" w:rsidP="000A13C5">
            <w:pPr>
              <w:spacing w:before="0" w:after="0"/>
              <w:jc w:val="right"/>
              <w:rPr>
                <w:rFonts w:cstheme="minorHAnsi"/>
              </w:rPr>
            </w:pPr>
          </w:p>
        </w:tc>
        <w:tc>
          <w:tcPr>
            <w:tcW w:w="1228" w:type="dxa"/>
            <w:tcBorders>
              <w:top w:val="nil"/>
              <w:left w:val="single" w:sz="8" w:space="0" w:color="auto"/>
              <w:bottom w:val="nil"/>
              <w:right w:val="single" w:sz="8" w:space="0" w:color="auto"/>
            </w:tcBorders>
            <w:shd w:val="clear" w:color="000000" w:fill="FFFFFF"/>
          </w:tcPr>
          <w:p w14:paraId="359BB81C" w14:textId="77777777" w:rsidR="00C426BA" w:rsidRPr="00404724" w:rsidRDefault="00C426BA" w:rsidP="000A13C5">
            <w:pPr>
              <w:spacing w:before="0" w:after="0"/>
              <w:jc w:val="right"/>
              <w:rPr>
                <w:rFonts w:cstheme="minorHAnsi"/>
              </w:rPr>
            </w:pPr>
          </w:p>
        </w:tc>
        <w:tc>
          <w:tcPr>
            <w:tcW w:w="1229" w:type="dxa"/>
            <w:tcBorders>
              <w:top w:val="nil"/>
              <w:left w:val="single" w:sz="8" w:space="0" w:color="auto"/>
              <w:bottom w:val="nil"/>
              <w:right w:val="nil"/>
            </w:tcBorders>
            <w:shd w:val="clear" w:color="000000" w:fill="FFFFFF"/>
          </w:tcPr>
          <w:p w14:paraId="31F2E908" w14:textId="77777777" w:rsidR="00C426BA" w:rsidRPr="00404724" w:rsidRDefault="00C426BA" w:rsidP="000A13C5">
            <w:pPr>
              <w:spacing w:before="0" w:after="0"/>
              <w:jc w:val="right"/>
              <w:rPr>
                <w:rFonts w:cstheme="minorHAnsi"/>
              </w:rPr>
            </w:pPr>
          </w:p>
        </w:tc>
      </w:tr>
      <w:tr w:rsidR="00C426BA" w:rsidRPr="00404724" w14:paraId="1AF9BEBE" w14:textId="77777777" w:rsidTr="00C426BA">
        <w:trPr>
          <w:trHeight w:val="345"/>
        </w:trPr>
        <w:tc>
          <w:tcPr>
            <w:tcW w:w="3676" w:type="dxa"/>
            <w:tcBorders>
              <w:top w:val="nil"/>
              <w:left w:val="single" w:sz="8" w:space="0" w:color="auto"/>
              <w:bottom w:val="single" w:sz="8" w:space="0" w:color="auto"/>
              <w:right w:val="nil"/>
            </w:tcBorders>
            <w:shd w:val="clear" w:color="000000" w:fill="E3F1F7"/>
            <w:noWrap/>
            <w:hideMark/>
          </w:tcPr>
          <w:p w14:paraId="698A80E7" w14:textId="77777777" w:rsidR="00C426BA" w:rsidRPr="00404724" w:rsidRDefault="00C426BA" w:rsidP="00C426BA">
            <w:pPr>
              <w:spacing w:before="0" w:after="0"/>
              <w:rPr>
                <w:rFonts w:cstheme="minorHAnsi"/>
              </w:rPr>
            </w:pPr>
            <w:r w:rsidRPr="00404724">
              <w:rPr>
                <w:rFonts w:cstheme="minorHAnsi"/>
              </w:rPr>
              <w:t>Total costs</w:t>
            </w:r>
          </w:p>
        </w:tc>
        <w:tc>
          <w:tcPr>
            <w:tcW w:w="1228" w:type="dxa"/>
            <w:tcBorders>
              <w:top w:val="nil"/>
              <w:left w:val="single" w:sz="8" w:space="0" w:color="auto"/>
              <w:bottom w:val="single" w:sz="8" w:space="0" w:color="auto"/>
              <w:right w:val="nil"/>
            </w:tcBorders>
            <w:shd w:val="clear" w:color="000000" w:fill="E3F1F7"/>
            <w:noWrap/>
          </w:tcPr>
          <w:p w14:paraId="01800540" w14:textId="77777777" w:rsidR="00C426BA" w:rsidRPr="00404724" w:rsidRDefault="00C426BA" w:rsidP="000A13C5">
            <w:pPr>
              <w:spacing w:before="0" w:after="0"/>
              <w:jc w:val="right"/>
              <w:rPr>
                <w:rFonts w:cstheme="minorHAnsi"/>
              </w:rPr>
            </w:pPr>
            <w:r w:rsidRPr="00404724">
              <w:rPr>
                <w:rFonts w:cstheme="minorHAnsi"/>
              </w:rPr>
              <w:t>-$482.4</w:t>
            </w:r>
          </w:p>
        </w:tc>
        <w:tc>
          <w:tcPr>
            <w:tcW w:w="1228" w:type="dxa"/>
            <w:tcBorders>
              <w:top w:val="nil"/>
              <w:left w:val="single" w:sz="8" w:space="0" w:color="auto"/>
              <w:bottom w:val="single" w:sz="8" w:space="0" w:color="auto"/>
              <w:right w:val="nil"/>
            </w:tcBorders>
            <w:shd w:val="clear" w:color="000000" w:fill="E3F1F7"/>
          </w:tcPr>
          <w:p w14:paraId="275607DF" w14:textId="77777777" w:rsidR="00C426BA" w:rsidRPr="00404724" w:rsidRDefault="00C426BA" w:rsidP="000A13C5">
            <w:pPr>
              <w:spacing w:before="0" w:after="0"/>
              <w:jc w:val="right"/>
              <w:rPr>
                <w:rFonts w:cstheme="minorHAnsi"/>
              </w:rPr>
            </w:pPr>
            <w:r w:rsidRPr="00404724">
              <w:rPr>
                <w:rFonts w:cstheme="minorHAnsi"/>
              </w:rPr>
              <w:t>-$964.3</w:t>
            </w:r>
          </w:p>
        </w:tc>
        <w:tc>
          <w:tcPr>
            <w:tcW w:w="1229" w:type="dxa"/>
            <w:tcBorders>
              <w:top w:val="nil"/>
              <w:left w:val="single" w:sz="8" w:space="0" w:color="auto"/>
              <w:bottom w:val="single" w:sz="8" w:space="0" w:color="auto"/>
              <w:right w:val="nil"/>
            </w:tcBorders>
            <w:shd w:val="clear" w:color="000000" w:fill="E3F1F7"/>
          </w:tcPr>
          <w:p w14:paraId="2A78C284" w14:textId="77777777" w:rsidR="00C426BA" w:rsidRPr="00404724" w:rsidRDefault="00C426BA" w:rsidP="000A13C5">
            <w:pPr>
              <w:spacing w:before="0" w:after="0"/>
              <w:jc w:val="right"/>
              <w:rPr>
                <w:rFonts w:cstheme="minorHAnsi"/>
              </w:rPr>
            </w:pPr>
            <w:r w:rsidRPr="00404724">
              <w:rPr>
                <w:rFonts w:cstheme="minorHAnsi"/>
              </w:rPr>
              <w:t>-$2,825.1</w:t>
            </w:r>
          </w:p>
        </w:tc>
        <w:tc>
          <w:tcPr>
            <w:tcW w:w="1228" w:type="dxa"/>
            <w:tcBorders>
              <w:top w:val="nil"/>
              <w:left w:val="single" w:sz="8" w:space="0" w:color="auto"/>
              <w:bottom w:val="single" w:sz="8" w:space="0" w:color="auto"/>
              <w:right w:val="nil"/>
            </w:tcBorders>
            <w:shd w:val="clear" w:color="000000" w:fill="E3F1F7"/>
          </w:tcPr>
          <w:p w14:paraId="75CB1263" w14:textId="77777777" w:rsidR="00C426BA" w:rsidRPr="00404724" w:rsidRDefault="00C426BA" w:rsidP="000A13C5">
            <w:pPr>
              <w:spacing w:before="0" w:after="0"/>
              <w:jc w:val="right"/>
              <w:rPr>
                <w:rFonts w:cstheme="minorHAnsi"/>
              </w:rPr>
            </w:pPr>
            <w:r w:rsidRPr="00404724">
              <w:rPr>
                <w:rFonts w:cstheme="minorHAnsi"/>
              </w:rPr>
              <w:t>-$1,154.6</w:t>
            </w:r>
          </w:p>
        </w:tc>
        <w:tc>
          <w:tcPr>
            <w:tcW w:w="1229" w:type="dxa"/>
            <w:tcBorders>
              <w:top w:val="nil"/>
              <w:left w:val="single" w:sz="8" w:space="0" w:color="auto"/>
              <w:bottom w:val="single" w:sz="8" w:space="0" w:color="auto"/>
              <w:right w:val="single" w:sz="8" w:space="0" w:color="auto"/>
            </w:tcBorders>
            <w:shd w:val="clear" w:color="000000" w:fill="E3F1F7"/>
          </w:tcPr>
          <w:p w14:paraId="0A8D4CA7" w14:textId="77777777" w:rsidR="00C426BA" w:rsidRPr="00404724" w:rsidRDefault="00C426BA" w:rsidP="000A13C5">
            <w:pPr>
              <w:spacing w:before="0" w:after="0"/>
              <w:jc w:val="right"/>
              <w:rPr>
                <w:rFonts w:cstheme="minorHAnsi"/>
              </w:rPr>
            </w:pPr>
            <w:r w:rsidRPr="00404724">
              <w:rPr>
                <w:rFonts w:cstheme="minorHAnsi"/>
              </w:rPr>
              <w:t>-$2,332.5</w:t>
            </w:r>
          </w:p>
        </w:tc>
        <w:tc>
          <w:tcPr>
            <w:tcW w:w="1228" w:type="dxa"/>
            <w:tcBorders>
              <w:top w:val="nil"/>
              <w:left w:val="single" w:sz="8" w:space="0" w:color="auto"/>
              <w:bottom w:val="single" w:sz="8" w:space="0" w:color="auto"/>
              <w:right w:val="single" w:sz="8" w:space="0" w:color="auto"/>
            </w:tcBorders>
            <w:shd w:val="clear" w:color="000000" w:fill="E3F1F7"/>
          </w:tcPr>
          <w:p w14:paraId="69C25518" w14:textId="77777777" w:rsidR="00C426BA" w:rsidRPr="00404724" w:rsidRDefault="00C426BA" w:rsidP="000A13C5">
            <w:pPr>
              <w:spacing w:before="0" w:after="0"/>
              <w:jc w:val="right"/>
              <w:rPr>
                <w:rFonts w:cstheme="minorHAnsi"/>
              </w:rPr>
            </w:pPr>
            <w:r w:rsidRPr="00404724">
              <w:rPr>
                <w:rFonts w:cstheme="minorHAnsi"/>
              </w:rPr>
              <w:t>-$6,881.2</w:t>
            </w:r>
          </w:p>
        </w:tc>
        <w:tc>
          <w:tcPr>
            <w:tcW w:w="1229" w:type="dxa"/>
            <w:tcBorders>
              <w:top w:val="nil"/>
              <w:left w:val="single" w:sz="8" w:space="0" w:color="auto"/>
              <w:bottom w:val="single" w:sz="8" w:space="0" w:color="auto"/>
              <w:right w:val="single" w:sz="8" w:space="0" w:color="auto"/>
            </w:tcBorders>
            <w:shd w:val="clear" w:color="000000" w:fill="E3F1F7"/>
          </w:tcPr>
          <w:p w14:paraId="5F475CEC" w14:textId="77777777" w:rsidR="00C426BA" w:rsidRPr="00404724" w:rsidRDefault="00C426BA" w:rsidP="000A13C5">
            <w:pPr>
              <w:spacing w:before="0" w:after="0"/>
              <w:jc w:val="right"/>
              <w:rPr>
                <w:rFonts w:cstheme="minorHAnsi"/>
              </w:rPr>
            </w:pPr>
            <w:r w:rsidRPr="00404724">
              <w:rPr>
                <w:rFonts w:cstheme="minorHAnsi"/>
              </w:rPr>
              <w:t>-$1,915.2</w:t>
            </w:r>
          </w:p>
        </w:tc>
        <w:tc>
          <w:tcPr>
            <w:tcW w:w="1228" w:type="dxa"/>
            <w:tcBorders>
              <w:top w:val="nil"/>
              <w:left w:val="single" w:sz="8" w:space="0" w:color="auto"/>
              <w:bottom w:val="single" w:sz="8" w:space="0" w:color="auto"/>
              <w:right w:val="single" w:sz="8" w:space="0" w:color="auto"/>
            </w:tcBorders>
            <w:shd w:val="clear" w:color="000000" w:fill="E3F1F7"/>
          </w:tcPr>
          <w:p w14:paraId="4FC4B674" w14:textId="77777777" w:rsidR="00C426BA" w:rsidRPr="00404724" w:rsidRDefault="00C426BA" w:rsidP="000A13C5">
            <w:pPr>
              <w:spacing w:before="0" w:after="0"/>
              <w:jc w:val="right"/>
              <w:rPr>
                <w:rFonts w:cstheme="minorHAnsi"/>
              </w:rPr>
            </w:pPr>
            <w:r w:rsidRPr="00404724">
              <w:rPr>
                <w:rFonts w:cstheme="minorHAnsi"/>
              </w:rPr>
              <w:t>-$3,858.7</w:t>
            </w:r>
          </w:p>
        </w:tc>
        <w:tc>
          <w:tcPr>
            <w:tcW w:w="1229" w:type="dxa"/>
            <w:tcBorders>
              <w:top w:val="nil"/>
              <w:left w:val="single" w:sz="8" w:space="0" w:color="auto"/>
              <w:bottom w:val="single" w:sz="8" w:space="0" w:color="auto"/>
              <w:right w:val="nil"/>
            </w:tcBorders>
            <w:shd w:val="clear" w:color="000000" w:fill="E3F1F7"/>
          </w:tcPr>
          <w:p w14:paraId="48986F7C" w14:textId="77777777" w:rsidR="00C426BA" w:rsidRPr="00404724" w:rsidRDefault="00C426BA" w:rsidP="000A13C5">
            <w:pPr>
              <w:spacing w:before="0" w:after="0"/>
              <w:jc w:val="right"/>
              <w:rPr>
                <w:rFonts w:cstheme="minorHAnsi"/>
              </w:rPr>
            </w:pPr>
            <w:r w:rsidRPr="00404724">
              <w:rPr>
                <w:rFonts w:cstheme="minorHAnsi"/>
              </w:rPr>
              <w:t>-$11,364.0</w:t>
            </w:r>
          </w:p>
        </w:tc>
      </w:tr>
      <w:tr w:rsidR="00C426BA" w:rsidRPr="00404724" w14:paraId="6394D6E9" w14:textId="77777777" w:rsidTr="00C426BA">
        <w:trPr>
          <w:trHeight w:val="345"/>
        </w:trPr>
        <w:tc>
          <w:tcPr>
            <w:tcW w:w="3676" w:type="dxa"/>
            <w:tcBorders>
              <w:top w:val="nil"/>
              <w:left w:val="nil"/>
              <w:bottom w:val="nil"/>
              <w:right w:val="nil"/>
            </w:tcBorders>
            <w:shd w:val="clear" w:color="000000" w:fill="FFFFFF"/>
            <w:noWrap/>
            <w:hideMark/>
          </w:tcPr>
          <w:p w14:paraId="7A173891" w14:textId="77777777" w:rsidR="00C426BA" w:rsidRPr="00404724" w:rsidRDefault="00C426BA" w:rsidP="00C426BA">
            <w:pPr>
              <w:spacing w:before="0" w:after="0"/>
              <w:rPr>
                <w:rFonts w:cstheme="minorHAnsi"/>
              </w:rPr>
            </w:pPr>
            <w:r w:rsidRPr="00404724">
              <w:rPr>
                <w:rFonts w:cstheme="minorHAnsi"/>
              </w:rPr>
              <w:t> </w:t>
            </w:r>
          </w:p>
        </w:tc>
        <w:tc>
          <w:tcPr>
            <w:tcW w:w="1228" w:type="dxa"/>
            <w:tcBorders>
              <w:top w:val="nil"/>
              <w:left w:val="nil"/>
              <w:bottom w:val="nil"/>
              <w:right w:val="nil"/>
            </w:tcBorders>
            <w:shd w:val="clear" w:color="000000" w:fill="FFFFFF"/>
            <w:noWrap/>
          </w:tcPr>
          <w:p w14:paraId="67E1FFB2" w14:textId="77777777" w:rsidR="00C426BA" w:rsidRPr="00404724" w:rsidRDefault="00C426BA" w:rsidP="000A13C5">
            <w:pPr>
              <w:spacing w:before="0" w:after="0"/>
              <w:jc w:val="right"/>
              <w:rPr>
                <w:rFonts w:cstheme="minorHAnsi"/>
              </w:rPr>
            </w:pPr>
          </w:p>
        </w:tc>
        <w:tc>
          <w:tcPr>
            <w:tcW w:w="1228" w:type="dxa"/>
            <w:tcBorders>
              <w:top w:val="nil"/>
              <w:left w:val="nil"/>
              <w:bottom w:val="nil"/>
              <w:right w:val="nil"/>
            </w:tcBorders>
            <w:shd w:val="clear" w:color="000000" w:fill="FFFFFF"/>
          </w:tcPr>
          <w:p w14:paraId="641B3497" w14:textId="77777777" w:rsidR="00C426BA" w:rsidRPr="00404724" w:rsidRDefault="00C426BA" w:rsidP="000A13C5">
            <w:pPr>
              <w:spacing w:before="0" w:after="0"/>
              <w:jc w:val="right"/>
              <w:rPr>
                <w:rFonts w:cstheme="minorHAnsi"/>
              </w:rPr>
            </w:pPr>
          </w:p>
        </w:tc>
        <w:tc>
          <w:tcPr>
            <w:tcW w:w="1229" w:type="dxa"/>
            <w:tcBorders>
              <w:top w:val="nil"/>
              <w:left w:val="nil"/>
              <w:bottom w:val="nil"/>
              <w:right w:val="nil"/>
            </w:tcBorders>
            <w:shd w:val="clear" w:color="000000" w:fill="FFFFFF"/>
          </w:tcPr>
          <w:p w14:paraId="02BD7866" w14:textId="77777777" w:rsidR="00C426BA" w:rsidRPr="00404724" w:rsidRDefault="00C426BA" w:rsidP="000A13C5">
            <w:pPr>
              <w:spacing w:before="0" w:after="0"/>
              <w:jc w:val="right"/>
              <w:rPr>
                <w:rFonts w:cstheme="minorHAnsi"/>
              </w:rPr>
            </w:pPr>
          </w:p>
        </w:tc>
        <w:tc>
          <w:tcPr>
            <w:tcW w:w="1228" w:type="dxa"/>
            <w:tcBorders>
              <w:top w:val="nil"/>
              <w:left w:val="nil"/>
              <w:bottom w:val="nil"/>
              <w:right w:val="nil"/>
            </w:tcBorders>
            <w:shd w:val="clear" w:color="000000" w:fill="FFFFFF"/>
          </w:tcPr>
          <w:p w14:paraId="39C097FA" w14:textId="77777777" w:rsidR="00C426BA" w:rsidRPr="00404724" w:rsidRDefault="00C426BA" w:rsidP="000A13C5">
            <w:pPr>
              <w:spacing w:before="0" w:after="0"/>
              <w:jc w:val="right"/>
              <w:rPr>
                <w:rFonts w:cstheme="minorHAnsi"/>
              </w:rPr>
            </w:pPr>
          </w:p>
        </w:tc>
        <w:tc>
          <w:tcPr>
            <w:tcW w:w="1229" w:type="dxa"/>
            <w:tcBorders>
              <w:top w:val="nil"/>
              <w:left w:val="nil"/>
              <w:bottom w:val="nil"/>
              <w:right w:val="nil"/>
            </w:tcBorders>
            <w:shd w:val="clear" w:color="000000" w:fill="FFFFFF"/>
          </w:tcPr>
          <w:p w14:paraId="2C933122" w14:textId="77777777" w:rsidR="00C426BA" w:rsidRPr="00404724" w:rsidRDefault="00C426BA" w:rsidP="000A13C5">
            <w:pPr>
              <w:spacing w:before="0" w:after="0"/>
              <w:jc w:val="right"/>
              <w:rPr>
                <w:rFonts w:cstheme="minorHAnsi"/>
              </w:rPr>
            </w:pPr>
          </w:p>
        </w:tc>
        <w:tc>
          <w:tcPr>
            <w:tcW w:w="1228" w:type="dxa"/>
            <w:tcBorders>
              <w:top w:val="nil"/>
              <w:left w:val="nil"/>
              <w:bottom w:val="nil"/>
              <w:right w:val="nil"/>
            </w:tcBorders>
            <w:shd w:val="clear" w:color="000000" w:fill="FFFFFF"/>
          </w:tcPr>
          <w:p w14:paraId="25D0B1A1" w14:textId="77777777" w:rsidR="00C426BA" w:rsidRPr="00404724" w:rsidRDefault="00C426BA" w:rsidP="000A13C5">
            <w:pPr>
              <w:spacing w:before="0" w:after="0"/>
              <w:jc w:val="right"/>
              <w:rPr>
                <w:rFonts w:cstheme="minorHAnsi"/>
              </w:rPr>
            </w:pPr>
          </w:p>
        </w:tc>
        <w:tc>
          <w:tcPr>
            <w:tcW w:w="1229" w:type="dxa"/>
            <w:tcBorders>
              <w:top w:val="nil"/>
              <w:left w:val="nil"/>
              <w:bottom w:val="nil"/>
              <w:right w:val="nil"/>
            </w:tcBorders>
            <w:shd w:val="clear" w:color="000000" w:fill="FFFFFF"/>
          </w:tcPr>
          <w:p w14:paraId="523B43E1" w14:textId="77777777" w:rsidR="00C426BA" w:rsidRPr="00404724" w:rsidRDefault="00C426BA" w:rsidP="000A13C5">
            <w:pPr>
              <w:spacing w:before="0" w:after="0"/>
              <w:jc w:val="right"/>
              <w:rPr>
                <w:rFonts w:cstheme="minorHAnsi"/>
              </w:rPr>
            </w:pPr>
          </w:p>
        </w:tc>
        <w:tc>
          <w:tcPr>
            <w:tcW w:w="1228" w:type="dxa"/>
            <w:tcBorders>
              <w:top w:val="nil"/>
              <w:left w:val="nil"/>
              <w:bottom w:val="nil"/>
              <w:right w:val="nil"/>
            </w:tcBorders>
            <w:shd w:val="clear" w:color="000000" w:fill="FFFFFF"/>
          </w:tcPr>
          <w:p w14:paraId="46A7F923" w14:textId="77777777" w:rsidR="00C426BA" w:rsidRPr="00404724" w:rsidRDefault="00C426BA" w:rsidP="000A13C5">
            <w:pPr>
              <w:spacing w:before="0" w:after="0"/>
              <w:jc w:val="right"/>
              <w:rPr>
                <w:rFonts w:cstheme="minorHAnsi"/>
              </w:rPr>
            </w:pPr>
          </w:p>
        </w:tc>
        <w:tc>
          <w:tcPr>
            <w:tcW w:w="1229" w:type="dxa"/>
            <w:tcBorders>
              <w:top w:val="nil"/>
              <w:left w:val="nil"/>
              <w:bottom w:val="nil"/>
              <w:right w:val="nil"/>
            </w:tcBorders>
            <w:shd w:val="clear" w:color="000000" w:fill="FFFFFF"/>
          </w:tcPr>
          <w:p w14:paraId="350D8ADC" w14:textId="77777777" w:rsidR="00C426BA" w:rsidRPr="00404724" w:rsidRDefault="00C426BA" w:rsidP="000A13C5">
            <w:pPr>
              <w:spacing w:before="0" w:after="0"/>
              <w:jc w:val="right"/>
              <w:rPr>
                <w:rFonts w:cstheme="minorHAnsi"/>
              </w:rPr>
            </w:pPr>
          </w:p>
        </w:tc>
      </w:tr>
      <w:tr w:rsidR="00C426BA" w:rsidRPr="00404724" w14:paraId="293EAC42" w14:textId="77777777" w:rsidTr="00C4433C">
        <w:trPr>
          <w:cantSplit/>
          <w:trHeight w:val="330"/>
        </w:trPr>
        <w:tc>
          <w:tcPr>
            <w:tcW w:w="3676" w:type="dxa"/>
            <w:tcBorders>
              <w:top w:val="nil"/>
              <w:left w:val="nil"/>
              <w:bottom w:val="nil"/>
              <w:right w:val="nil"/>
            </w:tcBorders>
            <w:shd w:val="clear" w:color="000000" w:fill="140034"/>
            <w:noWrap/>
            <w:hideMark/>
          </w:tcPr>
          <w:p w14:paraId="6005A34D" w14:textId="77777777" w:rsidR="00C426BA" w:rsidRPr="00404724" w:rsidRDefault="00C426BA" w:rsidP="00C426BA">
            <w:pPr>
              <w:spacing w:before="0" w:after="0"/>
              <w:rPr>
                <w:rFonts w:cstheme="minorHAnsi"/>
                <w:color w:val="auto"/>
              </w:rPr>
            </w:pPr>
            <w:r w:rsidRPr="00404724">
              <w:rPr>
                <w:rFonts w:cstheme="minorHAnsi"/>
                <w:color w:val="auto"/>
              </w:rPr>
              <w:t>Overall results</w:t>
            </w:r>
          </w:p>
        </w:tc>
        <w:tc>
          <w:tcPr>
            <w:tcW w:w="1228" w:type="dxa"/>
            <w:tcBorders>
              <w:top w:val="nil"/>
              <w:left w:val="single" w:sz="8" w:space="0" w:color="auto"/>
              <w:bottom w:val="nil"/>
              <w:right w:val="nil"/>
            </w:tcBorders>
            <w:shd w:val="clear" w:color="000000" w:fill="140034"/>
          </w:tcPr>
          <w:p w14:paraId="5356A813" w14:textId="77777777" w:rsidR="00C426BA" w:rsidRPr="00404724" w:rsidRDefault="00C426BA" w:rsidP="000A13C5">
            <w:pPr>
              <w:spacing w:before="0" w:after="0"/>
              <w:jc w:val="right"/>
              <w:rPr>
                <w:rFonts w:cstheme="minorHAnsi"/>
              </w:rPr>
            </w:pPr>
          </w:p>
        </w:tc>
        <w:tc>
          <w:tcPr>
            <w:tcW w:w="1228" w:type="dxa"/>
            <w:tcBorders>
              <w:top w:val="nil"/>
              <w:left w:val="single" w:sz="8" w:space="0" w:color="auto"/>
              <w:bottom w:val="nil"/>
              <w:right w:val="nil"/>
            </w:tcBorders>
            <w:shd w:val="clear" w:color="000000" w:fill="140034"/>
          </w:tcPr>
          <w:p w14:paraId="3E7AB858" w14:textId="77777777" w:rsidR="00C426BA" w:rsidRPr="00404724" w:rsidRDefault="00C426BA" w:rsidP="000A13C5">
            <w:pPr>
              <w:spacing w:before="0" w:after="0"/>
              <w:jc w:val="right"/>
              <w:rPr>
                <w:rFonts w:cstheme="minorHAnsi"/>
              </w:rPr>
            </w:pPr>
          </w:p>
        </w:tc>
        <w:tc>
          <w:tcPr>
            <w:tcW w:w="1229" w:type="dxa"/>
            <w:tcBorders>
              <w:top w:val="nil"/>
              <w:left w:val="single" w:sz="8" w:space="0" w:color="auto"/>
              <w:bottom w:val="nil"/>
              <w:right w:val="nil"/>
            </w:tcBorders>
            <w:shd w:val="clear" w:color="000000" w:fill="140034"/>
          </w:tcPr>
          <w:p w14:paraId="04FEE0D6" w14:textId="77777777" w:rsidR="00C426BA" w:rsidRPr="00404724" w:rsidRDefault="00C426BA" w:rsidP="000A13C5">
            <w:pPr>
              <w:spacing w:before="0" w:after="0"/>
              <w:jc w:val="right"/>
              <w:rPr>
                <w:rFonts w:cstheme="minorHAnsi"/>
              </w:rPr>
            </w:pPr>
          </w:p>
        </w:tc>
        <w:tc>
          <w:tcPr>
            <w:tcW w:w="1228" w:type="dxa"/>
            <w:tcBorders>
              <w:top w:val="nil"/>
              <w:left w:val="single" w:sz="8" w:space="0" w:color="auto"/>
              <w:bottom w:val="nil"/>
              <w:right w:val="nil"/>
            </w:tcBorders>
            <w:shd w:val="clear" w:color="000000" w:fill="140034"/>
          </w:tcPr>
          <w:p w14:paraId="4104358D" w14:textId="77777777" w:rsidR="00C426BA" w:rsidRPr="00404724" w:rsidRDefault="00C426BA" w:rsidP="000A13C5">
            <w:pPr>
              <w:spacing w:before="0" w:after="0"/>
              <w:jc w:val="right"/>
              <w:rPr>
                <w:rFonts w:cstheme="minorHAnsi"/>
              </w:rPr>
            </w:pPr>
          </w:p>
        </w:tc>
        <w:tc>
          <w:tcPr>
            <w:tcW w:w="1229" w:type="dxa"/>
            <w:tcBorders>
              <w:top w:val="nil"/>
              <w:left w:val="single" w:sz="8" w:space="0" w:color="auto"/>
              <w:bottom w:val="nil"/>
              <w:right w:val="single" w:sz="8" w:space="0" w:color="auto"/>
            </w:tcBorders>
            <w:shd w:val="clear" w:color="000000" w:fill="140034"/>
          </w:tcPr>
          <w:p w14:paraId="59874AD2" w14:textId="77777777" w:rsidR="00C426BA" w:rsidRPr="00404724" w:rsidRDefault="00C426BA" w:rsidP="000A13C5">
            <w:pPr>
              <w:spacing w:before="0" w:after="0"/>
              <w:jc w:val="right"/>
              <w:rPr>
                <w:rFonts w:cstheme="minorHAnsi"/>
              </w:rPr>
            </w:pPr>
          </w:p>
        </w:tc>
        <w:tc>
          <w:tcPr>
            <w:tcW w:w="1228" w:type="dxa"/>
            <w:tcBorders>
              <w:top w:val="nil"/>
              <w:left w:val="single" w:sz="8" w:space="0" w:color="auto"/>
              <w:bottom w:val="nil"/>
              <w:right w:val="single" w:sz="8" w:space="0" w:color="auto"/>
            </w:tcBorders>
            <w:shd w:val="clear" w:color="000000" w:fill="140034"/>
          </w:tcPr>
          <w:p w14:paraId="364E4A02" w14:textId="77777777" w:rsidR="00C426BA" w:rsidRPr="00404724" w:rsidRDefault="00C426BA" w:rsidP="000A13C5">
            <w:pPr>
              <w:spacing w:before="0" w:after="0"/>
              <w:jc w:val="right"/>
              <w:rPr>
                <w:rFonts w:cstheme="minorHAnsi"/>
              </w:rPr>
            </w:pPr>
          </w:p>
        </w:tc>
        <w:tc>
          <w:tcPr>
            <w:tcW w:w="1229" w:type="dxa"/>
            <w:tcBorders>
              <w:top w:val="nil"/>
              <w:left w:val="single" w:sz="8" w:space="0" w:color="auto"/>
              <w:bottom w:val="nil"/>
              <w:right w:val="single" w:sz="8" w:space="0" w:color="auto"/>
            </w:tcBorders>
            <w:shd w:val="clear" w:color="000000" w:fill="140034"/>
          </w:tcPr>
          <w:p w14:paraId="747A01E5" w14:textId="77777777" w:rsidR="00C426BA" w:rsidRPr="00404724" w:rsidRDefault="00C426BA" w:rsidP="000A13C5">
            <w:pPr>
              <w:spacing w:before="0" w:after="0"/>
              <w:jc w:val="right"/>
              <w:rPr>
                <w:rFonts w:cstheme="minorHAnsi"/>
              </w:rPr>
            </w:pPr>
          </w:p>
        </w:tc>
        <w:tc>
          <w:tcPr>
            <w:tcW w:w="1228" w:type="dxa"/>
            <w:tcBorders>
              <w:top w:val="nil"/>
              <w:left w:val="single" w:sz="8" w:space="0" w:color="auto"/>
              <w:bottom w:val="nil"/>
              <w:right w:val="single" w:sz="8" w:space="0" w:color="auto"/>
            </w:tcBorders>
            <w:shd w:val="clear" w:color="000000" w:fill="140034"/>
          </w:tcPr>
          <w:p w14:paraId="07A79FDD" w14:textId="77777777" w:rsidR="00C426BA" w:rsidRPr="00404724" w:rsidRDefault="00C426BA" w:rsidP="000A13C5">
            <w:pPr>
              <w:spacing w:before="0" w:after="0"/>
              <w:jc w:val="right"/>
              <w:rPr>
                <w:rFonts w:cstheme="minorHAnsi"/>
              </w:rPr>
            </w:pPr>
          </w:p>
        </w:tc>
        <w:tc>
          <w:tcPr>
            <w:tcW w:w="1229" w:type="dxa"/>
            <w:tcBorders>
              <w:top w:val="nil"/>
              <w:left w:val="single" w:sz="8" w:space="0" w:color="auto"/>
              <w:bottom w:val="nil"/>
              <w:right w:val="nil"/>
            </w:tcBorders>
            <w:shd w:val="clear" w:color="000000" w:fill="140034"/>
          </w:tcPr>
          <w:p w14:paraId="44AC8387" w14:textId="77777777" w:rsidR="00C426BA" w:rsidRPr="00404724" w:rsidRDefault="00C426BA" w:rsidP="000A13C5">
            <w:pPr>
              <w:spacing w:before="0" w:after="0"/>
              <w:jc w:val="right"/>
              <w:rPr>
                <w:rFonts w:cstheme="minorHAnsi"/>
              </w:rPr>
            </w:pPr>
          </w:p>
        </w:tc>
      </w:tr>
      <w:tr w:rsidR="00C426BA" w:rsidRPr="00404724" w14:paraId="1105279B" w14:textId="77777777" w:rsidTr="00C426BA">
        <w:trPr>
          <w:trHeight w:val="330"/>
        </w:trPr>
        <w:tc>
          <w:tcPr>
            <w:tcW w:w="3676" w:type="dxa"/>
            <w:tcBorders>
              <w:top w:val="nil"/>
              <w:left w:val="single" w:sz="8" w:space="0" w:color="auto"/>
              <w:bottom w:val="nil"/>
              <w:right w:val="nil"/>
            </w:tcBorders>
            <w:shd w:val="clear" w:color="000000" w:fill="F2F2F2"/>
            <w:noWrap/>
            <w:hideMark/>
          </w:tcPr>
          <w:p w14:paraId="64632E20" w14:textId="77777777" w:rsidR="00C426BA" w:rsidRPr="00404724" w:rsidRDefault="00C426BA" w:rsidP="00C426BA">
            <w:pPr>
              <w:spacing w:before="0" w:after="0"/>
              <w:rPr>
                <w:rFonts w:cstheme="minorHAnsi"/>
              </w:rPr>
            </w:pPr>
            <w:r w:rsidRPr="00404724">
              <w:rPr>
                <w:rFonts w:cstheme="minorHAnsi"/>
              </w:rPr>
              <w:t>NPV</w:t>
            </w:r>
          </w:p>
        </w:tc>
        <w:tc>
          <w:tcPr>
            <w:tcW w:w="1228" w:type="dxa"/>
            <w:tcBorders>
              <w:top w:val="nil"/>
              <w:left w:val="single" w:sz="8" w:space="0" w:color="auto"/>
              <w:bottom w:val="nil"/>
              <w:right w:val="nil"/>
            </w:tcBorders>
            <w:shd w:val="clear" w:color="000000" w:fill="F2F2F2"/>
            <w:noWrap/>
          </w:tcPr>
          <w:p w14:paraId="4BED6CC6" w14:textId="0C3C328D" w:rsidR="00C426BA" w:rsidRPr="00404724" w:rsidRDefault="00C426BA" w:rsidP="000A13C5">
            <w:pPr>
              <w:spacing w:before="0" w:after="0"/>
              <w:jc w:val="right"/>
              <w:rPr>
                <w:rFonts w:cstheme="minorHAnsi"/>
              </w:rPr>
            </w:pPr>
            <w:r w:rsidRPr="00404724">
              <w:rPr>
                <w:rFonts w:cstheme="minorHAnsi"/>
              </w:rPr>
              <w:t>$678.7</w:t>
            </w:r>
          </w:p>
        </w:tc>
        <w:tc>
          <w:tcPr>
            <w:tcW w:w="1228" w:type="dxa"/>
            <w:tcBorders>
              <w:top w:val="nil"/>
              <w:left w:val="single" w:sz="8" w:space="0" w:color="auto"/>
              <w:bottom w:val="nil"/>
              <w:right w:val="nil"/>
            </w:tcBorders>
            <w:shd w:val="clear" w:color="000000" w:fill="F2F2F2"/>
          </w:tcPr>
          <w:p w14:paraId="6E72B807" w14:textId="6CE36016" w:rsidR="00C426BA" w:rsidRPr="00404724" w:rsidRDefault="00C426BA" w:rsidP="000A13C5">
            <w:pPr>
              <w:spacing w:before="0" w:after="0"/>
              <w:jc w:val="right"/>
              <w:rPr>
                <w:rFonts w:cstheme="minorHAnsi"/>
              </w:rPr>
            </w:pPr>
            <w:r w:rsidRPr="00404724">
              <w:rPr>
                <w:rFonts w:cstheme="minorHAnsi"/>
              </w:rPr>
              <w:t>$1,368.7</w:t>
            </w:r>
          </w:p>
        </w:tc>
        <w:tc>
          <w:tcPr>
            <w:tcW w:w="1229" w:type="dxa"/>
            <w:tcBorders>
              <w:top w:val="nil"/>
              <w:left w:val="single" w:sz="8" w:space="0" w:color="auto"/>
              <w:bottom w:val="nil"/>
              <w:right w:val="nil"/>
            </w:tcBorders>
            <w:shd w:val="clear" w:color="000000" w:fill="F2F2F2"/>
          </w:tcPr>
          <w:p w14:paraId="420AC50D" w14:textId="77777777" w:rsidR="00C426BA" w:rsidRPr="00404724" w:rsidRDefault="00C426BA" w:rsidP="000A13C5">
            <w:pPr>
              <w:spacing w:before="0" w:after="0"/>
              <w:jc w:val="right"/>
              <w:rPr>
                <w:rFonts w:cstheme="minorHAnsi"/>
              </w:rPr>
            </w:pPr>
            <w:r w:rsidRPr="00404724">
              <w:rPr>
                <w:rFonts w:cstheme="minorHAnsi"/>
              </w:rPr>
              <w:t>$1,859.6</w:t>
            </w:r>
          </w:p>
        </w:tc>
        <w:tc>
          <w:tcPr>
            <w:tcW w:w="1228" w:type="dxa"/>
            <w:tcBorders>
              <w:top w:val="nil"/>
              <w:left w:val="single" w:sz="8" w:space="0" w:color="auto"/>
              <w:bottom w:val="nil"/>
              <w:right w:val="nil"/>
            </w:tcBorders>
            <w:shd w:val="clear" w:color="000000" w:fill="F2F2F2"/>
          </w:tcPr>
          <w:p w14:paraId="32365BC4" w14:textId="36A78E83" w:rsidR="00C426BA" w:rsidRPr="00404724" w:rsidRDefault="00C426BA" w:rsidP="000A13C5">
            <w:pPr>
              <w:spacing w:before="0" w:after="0"/>
              <w:jc w:val="right"/>
              <w:rPr>
                <w:rFonts w:cstheme="minorHAnsi"/>
              </w:rPr>
            </w:pPr>
            <w:r w:rsidRPr="00404724">
              <w:rPr>
                <w:rFonts w:cstheme="minorHAnsi"/>
              </w:rPr>
              <w:t>$1,348.7</w:t>
            </w:r>
          </w:p>
        </w:tc>
        <w:tc>
          <w:tcPr>
            <w:tcW w:w="1229" w:type="dxa"/>
            <w:tcBorders>
              <w:top w:val="nil"/>
              <w:left w:val="single" w:sz="8" w:space="0" w:color="auto"/>
              <w:bottom w:val="nil"/>
              <w:right w:val="single" w:sz="8" w:space="0" w:color="auto"/>
            </w:tcBorders>
            <w:shd w:val="clear" w:color="000000" w:fill="F2F2F2"/>
          </w:tcPr>
          <w:p w14:paraId="6A6B3216" w14:textId="6CA6D9BB" w:rsidR="00C426BA" w:rsidRPr="00404724" w:rsidRDefault="00C426BA" w:rsidP="000A13C5">
            <w:pPr>
              <w:spacing w:before="0" w:after="0"/>
              <w:jc w:val="right"/>
              <w:rPr>
                <w:rFonts w:cstheme="minorHAnsi"/>
              </w:rPr>
            </w:pPr>
            <w:r w:rsidRPr="00404724">
              <w:rPr>
                <w:rFonts w:cstheme="minorHAnsi"/>
              </w:rPr>
              <w:t>$2,697.4</w:t>
            </w:r>
          </w:p>
        </w:tc>
        <w:tc>
          <w:tcPr>
            <w:tcW w:w="1228" w:type="dxa"/>
            <w:tcBorders>
              <w:top w:val="nil"/>
              <w:left w:val="single" w:sz="8" w:space="0" w:color="auto"/>
              <w:bottom w:val="nil"/>
              <w:right w:val="single" w:sz="8" w:space="0" w:color="auto"/>
            </w:tcBorders>
            <w:shd w:val="clear" w:color="000000" w:fill="F2F2F2"/>
          </w:tcPr>
          <w:p w14:paraId="2D6D6590" w14:textId="6B8A2B00" w:rsidR="00C426BA" w:rsidRPr="00404724" w:rsidRDefault="00C426BA" w:rsidP="000A13C5">
            <w:pPr>
              <w:spacing w:before="0" w:after="0"/>
              <w:jc w:val="right"/>
              <w:rPr>
                <w:rFonts w:cstheme="minorHAnsi"/>
              </w:rPr>
            </w:pPr>
            <w:r w:rsidRPr="00404724">
              <w:rPr>
                <w:rFonts w:cstheme="minorHAnsi"/>
              </w:rPr>
              <w:t>$3,210.3</w:t>
            </w:r>
          </w:p>
        </w:tc>
        <w:tc>
          <w:tcPr>
            <w:tcW w:w="1229" w:type="dxa"/>
            <w:tcBorders>
              <w:top w:val="nil"/>
              <w:left w:val="single" w:sz="8" w:space="0" w:color="auto"/>
              <w:bottom w:val="nil"/>
              <w:right w:val="single" w:sz="8" w:space="0" w:color="auto"/>
            </w:tcBorders>
            <w:shd w:val="clear" w:color="000000" w:fill="F2F2F2"/>
          </w:tcPr>
          <w:p w14:paraId="58DE0A8C" w14:textId="62560B08" w:rsidR="00C426BA" w:rsidRPr="00404724" w:rsidRDefault="00C426BA" w:rsidP="000A13C5">
            <w:pPr>
              <w:spacing w:before="0" w:after="0"/>
              <w:jc w:val="right"/>
              <w:rPr>
                <w:rFonts w:cstheme="minorHAnsi"/>
              </w:rPr>
            </w:pPr>
            <w:r w:rsidRPr="00404724">
              <w:rPr>
                <w:rFonts w:cstheme="minorHAnsi"/>
              </w:rPr>
              <w:t>$1,759.7</w:t>
            </w:r>
          </w:p>
        </w:tc>
        <w:tc>
          <w:tcPr>
            <w:tcW w:w="1228" w:type="dxa"/>
            <w:tcBorders>
              <w:top w:val="nil"/>
              <w:left w:val="single" w:sz="8" w:space="0" w:color="auto"/>
              <w:bottom w:val="nil"/>
              <w:right w:val="single" w:sz="8" w:space="0" w:color="auto"/>
            </w:tcBorders>
            <w:shd w:val="clear" w:color="000000" w:fill="F2F2F2"/>
          </w:tcPr>
          <w:p w14:paraId="59477067" w14:textId="492069BD" w:rsidR="00C426BA" w:rsidRPr="00404724" w:rsidRDefault="00C426BA" w:rsidP="000A13C5">
            <w:pPr>
              <w:spacing w:before="0" w:after="0"/>
              <w:jc w:val="right"/>
              <w:rPr>
                <w:rFonts w:cstheme="minorHAnsi"/>
              </w:rPr>
            </w:pPr>
            <w:r w:rsidRPr="00404724">
              <w:rPr>
                <w:rFonts w:cstheme="minorHAnsi"/>
              </w:rPr>
              <w:t>$3,527.4</w:t>
            </w:r>
          </w:p>
        </w:tc>
        <w:tc>
          <w:tcPr>
            <w:tcW w:w="1229" w:type="dxa"/>
            <w:tcBorders>
              <w:top w:val="nil"/>
              <w:left w:val="single" w:sz="8" w:space="0" w:color="auto"/>
              <w:bottom w:val="nil"/>
              <w:right w:val="nil"/>
            </w:tcBorders>
            <w:shd w:val="clear" w:color="000000" w:fill="F2F2F2"/>
          </w:tcPr>
          <w:p w14:paraId="24B00D91" w14:textId="477BC401" w:rsidR="00C426BA" w:rsidRPr="00404724" w:rsidRDefault="00C426BA" w:rsidP="000A13C5">
            <w:pPr>
              <w:spacing w:before="0" w:after="0"/>
              <w:jc w:val="right"/>
              <w:rPr>
                <w:rFonts w:cstheme="minorHAnsi"/>
              </w:rPr>
            </w:pPr>
            <w:r w:rsidRPr="00404724">
              <w:rPr>
                <w:rFonts w:cstheme="minorHAnsi"/>
              </w:rPr>
              <w:t>$3,505.5</w:t>
            </w:r>
          </w:p>
        </w:tc>
      </w:tr>
      <w:tr w:rsidR="00C426BA" w:rsidRPr="00404724" w14:paraId="6344C2C8" w14:textId="77777777" w:rsidTr="00C426BA">
        <w:trPr>
          <w:trHeight w:val="345"/>
        </w:trPr>
        <w:tc>
          <w:tcPr>
            <w:tcW w:w="3676" w:type="dxa"/>
            <w:tcBorders>
              <w:top w:val="nil"/>
              <w:left w:val="single" w:sz="8" w:space="0" w:color="auto"/>
              <w:bottom w:val="single" w:sz="8" w:space="0" w:color="auto"/>
              <w:right w:val="nil"/>
            </w:tcBorders>
            <w:shd w:val="clear" w:color="000000" w:fill="F2F2F2"/>
            <w:noWrap/>
            <w:hideMark/>
          </w:tcPr>
          <w:p w14:paraId="0DCD1411" w14:textId="77777777" w:rsidR="00C426BA" w:rsidRPr="00404724" w:rsidRDefault="00C426BA" w:rsidP="00C426BA">
            <w:pPr>
              <w:spacing w:before="0" w:after="0"/>
              <w:rPr>
                <w:rFonts w:cstheme="minorHAnsi"/>
              </w:rPr>
            </w:pPr>
            <w:r w:rsidRPr="00404724">
              <w:rPr>
                <w:rFonts w:cstheme="minorHAnsi"/>
              </w:rPr>
              <w:t>BCR</w:t>
            </w:r>
          </w:p>
        </w:tc>
        <w:tc>
          <w:tcPr>
            <w:tcW w:w="1228" w:type="dxa"/>
            <w:tcBorders>
              <w:top w:val="nil"/>
              <w:left w:val="single" w:sz="8" w:space="0" w:color="auto"/>
              <w:bottom w:val="single" w:sz="8" w:space="0" w:color="auto"/>
              <w:right w:val="nil"/>
            </w:tcBorders>
            <w:shd w:val="clear" w:color="000000" w:fill="F2F2F2"/>
            <w:noWrap/>
          </w:tcPr>
          <w:p w14:paraId="0F8790D8" w14:textId="77777777" w:rsidR="00C426BA" w:rsidRPr="00404724" w:rsidRDefault="00C426BA" w:rsidP="000A13C5">
            <w:pPr>
              <w:spacing w:before="0" w:after="0"/>
              <w:jc w:val="right"/>
              <w:rPr>
                <w:rFonts w:cstheme="minorHAnsi"/>
              </w:rPr>
            </w:pPr>
            <w:r w:rsidRPr="00404724">
              <w:rPr>
                <w:rFonts w:cstheme="minorHAnsi"/>
              </w:rPr>
              <w:t>2.4</w:t>
            </w:r>
          </w:p>
        </w:tc>
        <w:tc>
          <w:tcPr>
            <w:tcW w:w="1228" w:type="dxa"/>
            <w:tcBorders>
              <w:top w:val="nil"/>
              <w:left w:val="single" w:sz="8" w:space="0" w:color="auto"/>
              <w:bottom w:val="single" w:sz="8" w:space="0" w:color="auto"/>
              <w:right w:val="nil"/>
            </w:tcBorders>
            <w:shd w:val="clear" w:color="000000" w:fill="F2F2F2"/>
          </w:tcPr>
          <w:p w14:paraId="5ECC5894" w14:textId="77777777" w:rsidR="00C426BA" w:rsidRPr="00404724" w:rsidRDefault="00C426BA" w:rsidP="000A13C5">
            <w:pPr>
              <w:spacing w:before="0" w:after="0"/>
              <w:jc w:val="right"/>
              <w:rPr>
                <w:rFonts w:cstheme="minorHAnsi"/>
              </w:rPr>
            </w:pPr>
            <w:r w:rsidRPr="00404724">
              <w:rPr>
                <w:rFonts w:cstheme="minorHAnsi"/>
              </w:rPr>
              <w:t>2.4</w:t>
            </w:r>
          </w:p>
        </w:tc>
        <w:tc>
          <w:tcPr>
            <w:tcW w:w="1229" w:type="dxa"/>
            <w:tcBorders>
              <w:top w:val="nil"/>
              <w:left w:val="single" w:sz="8" w:space="0" w:color="auto"/>
              <w:bottom w:val="single" w:sz="8" w:space="0" w:color="auto"/>
              <w:right w:val="nil"/>
            </w:tcBorders>
            <w:shd w:val="clear" w:color="000000" w:fill="F2F2F2"/>
          </w:tcPr>
          <w:p w14:paraId="606F02C0" w14:textId="77777777" w:rsidR="00C426BA" w:rsidRPr="00404724" w:rsidRDefault="00C426BA" w:rsidP="000A13C5">
            <w:pPr>
              <w:spacing w:before="0" w:after="0"/>
              <w:jc w:val="right"/>
              <w:rPr>
                <w:rFonts w:cstheme="minorHAnsi"/>
              </w:rPr>
            </w:pPr>
            <w:r w:rsidRPr="00404724">
              <w:rPr>
                <w:rFonts w:cstheme="minorHAnsi"/>
              </w:rPr>
              <w:t>1.7</w:t>
            </w:r>
          </w:p>
        </w:tc>
        <w:tc>
          <w:tcPr>
            <w:tcW w:w="1228" w:type="dxa"/>
            <w:tcBorders>
              <w:top w:val="nil"/>
              <w:left w:val="single" w:sz="8" w:space="0" w:color="auto"/>
              <w:bottom w:val="single" w:sz="8" w:space="0" w:color="auto"/>
              <w:right w:val="nil"/>
            </w:tcBorders>
            <w:shd w:val="clear" w:color="000000" w:fill="F2F2F2"/>
          </w:tcPr>
          <w:p w14:paraId="1DC9698D" w14:textId="77777777" w:rsidR="00C426BA" w:rsidRPr="00404724" w:rsidRDefault="00C426BA" w:rsidP="000A13C5">
            <w:pPr>
              <w:spacing w:before="0" w:after="0"/>
              <w:jc w:val="right"/>
              <w:rPr>
                <w:rFonts w:cstheme="minorHAnsi"/>
              </w:rPr>
            </w:pPr>
            <w:r w:rsidRPr="00404724">
              <w:rPr>
                <w:rFonts w:cstheme="minorHAnsi"/>
              </w:rPr>
              <w:t>2.2</w:t>
            </w:r>
          </w:p>
        </w:tc>
        <w:tc>
          <w:tcPr>
            <w:tcW w:w="1229" w:type="dxa"/>
            <w:tcBorders>
              <w:top w:val="nil"/>
              <w:left w:val="single" w:sz="8" w:space="0" w:color="auto"/>
              <w:bottom w:val="single" w:sz="8" w:space="0" w:color="auto"/>
              <w:right w:val="single" w:sz="8" w:space="0" w:color="auto"/>
            </w:tcBorders>
            <w:shd w:val="clear" w:color="000000" w:fill="F2F2F2"/>
          </w:tcPr>
          <w:p w14:paraId="52E30BFB" w14:textId="77777777" w:rsidR="00C426BA" w:rsidRPr="00404724" w:rsidRDefault="00C426BA" w:rsidP="000A13C5">
            <w:pPr>
              <w:spacing w:before="0" w:after="0"/>
              <w:jc w:val="right"/>
              <w:rPr>
                <w:rFonts w:cstheme="minorHAnsi"/>
              </w:rPr>
            </w:pPr>
            <w:r w:rsidRPr="00404724">
              <w:rPr>
                <w:rFonts w:cstheme="minorHAnsi"/>
              </w:rPr>
              <w:t>2.2</w:t>
            </w:r>
          </w:p>
        </w:tc>
        <w:tc>
          <w:tcPr>
            <w:tcW w:w="1228" w:type="dxa"/>
            <w:tcBorders>
              <w:top w:val="nil"/>
              <w:left w:val="single" w:sz="8" w:space="0" w:color="auto"/>
              <w:bottom w:val="single" w:sz="8" w:space="0" w:color="auto"/>
              <w:right w:val="single" w:sz="8" w:space="0" w:color="auto"/>
            </w:tcBorders>
            <w:shd w:val="clear" w:color="000000" w:fill="F2F2F2"/>
          </w:tcPr>
          <w:p w14:paraId="6B4F7A24" w14:textId="77777777" w:rsidR="00C426BA" w:rsidRPr="00404724" w:rsidRDefault="00C426BA" w:rsidP="000A13C5">
            <w:pPr>
              <w:spacing w:before="0" w:after="0"/>
              <w:jc w:val="right"/>
              <w:rPr>
                <w:rFonts w:cstheme="minorHAnsi"/>
              </w:rPr>
            </w:pPr>
            <w:r w:rsidRPr="00404724">
              <w:rPr>
                <w:rFonts w:cstheme="minorHAnsi"/>
              </w:rPr>
              <w:t>1.5</w:t>
            </w:r>
          </w:p>
        </w:tc>
        <w:tc>
          <w:tcPr>
            <w:tcW w:w="1229" w:type="dxa"/>
            <w:tcBorders>
              <w:top w:val="nil"/>
              <w:left w:val="single" w:sz="8" w:space="0" w:color="auto"/>
              <w:bottom w:val="single" w:sz="8" w:space="0" w:color="auto"/>
              <w:right w:val="single" w:sz="8" w:space="0" w:color="auto"/>
            </w:tcBorders>
            <w:shd w:val="clear" w:color="000000" w:fill="F2F2F2"/>
          </w:tcPr>
          <w:p w14:paraId="630DAEBD" w14:textId="77777777" w:rsidR="00C426BA" w:rsidRPr="00404724" w:rsidRDefault="00C426BA" w:rsidP="000A13C5">
            <w:pPr>
              <w:spacing w:before="0" w:after="0"/>
              <w:jc w:val="right"/>
              <w:rPr>
                <w:rFonts w:cstheme="minorHAnsi"/>
              </w:rPr>
            </w:pPr>
            <w:r w:rsidRPr="00404724">
              <w:rPr>
                <w:rFonts w:cstheme="minorHAnsi"/>
              </w:rPr>
              <w:t>1.9</w:t>
            </w:r>
          </w:p>
        </w:tc>
        <w:tc>
          <w:tcPr>
            <w:tcW w:w="1228" w:type="dxa"/>
            <w:tcBorders>
              <w:top w:val="nil"/>
              <w:left w:val="single" w:sz="8" w:space="0" w:color="auto"/>
              <w:bottom w:val="single" w:sz="8" w:space="0" w:color="auto"/>
              <w:right w:val="single" w:sz="8" w:space="0" w:color="auto"/>
            </w:tcBorders>
            <w:shd w:val="clear" w:color="000000" w:fill="F2F2F2"/>
          </w:tcPr>
          <w:p w14:paraId="1EF565A6" w14:textId="77777777" w:rsidR="00C426BA" w:rsidRPr="00404724" w:rsidRDefault="00C426BA" w:rsidP="000A13C5">
            <w:pPr>
              <w:spacing w:before="0" w:after="0"/>
              <w:jc w:val="right"/>
              <w:rPr>
                <w:rFonts w:cstheme="minorHAnsi"/>
              </w:rPr>
            </w:pPr>
            <w:r w:rsidRPr="00404724">
              <w:rPr>
                <w:rFonts w:cstheme="minorHAnsi"/>
              </w:rPr>
              <w:t>1.9</w:t>
            </w:r>
          </w:p>
        </w:tc>
        <w:tc>
          <w:tcPr>
            <w:tcW w:w="1229" w:type="dxa"/>
            <w:tcBorders>
              <w:top w:val="nil"/>
              <w:left w:val="single" w:sz="8" w:space="0" w:color="auto"/>
              <w:bottom w:val="single" w:sz="8" w:space="0" w:color="auto"/>
              <w:right w:val="nil"/>
            </w:tcBorders>
            <w:shd w:val="clear" w:color="000000" w:fill="F2F2F2"/>
          </w:tcPr>
          <w:p w14:paraId="474954BD" w14:textId="77777777" w:rsidR="00C426BA" w:rsidRPr="00404724" w:rsidRDefault="00C426BA" w:rsidP="000A13C5">
            <w:pPr>
              <w:spacing w:before="0" w:after="0"/>
              <w:jc w:val="right"/>
              <w:rPr>
                <w:rFonts w:cstheme="minorHAnsi"/>
              </w:rPr>
            </w:pPr>
            <w:r w:rsidRPr="00404724">
              <w:rPr>
                <w:rFonts w:cstheme="minorHAnsi"/>
              </w:rPr>
              <w:t>1.3</w:t>
            </w:r>
          </w:p>
        </w:tc>
      </w:tr>
    </w:tbl>
    <w:p w14:paraId="36B5EA5F" w14:textId="733F2443" w:rsidR="00D614F3" w:rsidRPr="00404724" w:rsidRDefault="00D614F3" w:rsidP="000C1C23"/>
    <w:p w14:paraId="585F1912" w14:textId="77777777" w:rsidR="00D614F3" w:rsidRPr="00404724" w:rsidRDefault="00D614F3">
      <w:pPr>
        <w:suppressAutoHyphens w:val="0"/>
      </w:pPr>
      <w:r w:rsidRPr="00404724">
        <w:br w:type="page"/>
      </w:r>
    </w:p>
    <w:tbl>
      <w:tblPr>
        <w:tblW w:w="14850" w:type="dxa"/>
        <w:tblInd w:w="-118" w:type="dxa"/>
        <w:tblLayout w:type="fixed"/>
        <w:tblLook w:val="04A0" w:firstRow="1" w:lastRow="0" w:firstColumn="1" w:lastColumn="0" w:noHBand="0" w:noVBand="1"/>
      </w:tblPr>
      <w:tblGrid>
        <w:gridCol w:w="3794"/>
        <w:gridCol w:w="1228"/>
        <w:gridCol w:w="1228"/>
        <w:gridCol w:w="332"/>
        <w:gridCol w:w="897"/>
        <w:gridCol w:w="1228"/>
        <w:gridCol w:w="1229"/>
        <w:gridCol w:w="426"/>
        <w:gridCol w:w="802"/>
        <w:gridCol w:w="1229"/>
        <w:gridCol w:w="1228"/>
        <w:gridCol w:w="1229"/>
      </w:tblGrid>
      <w:tr w:rsidR="00D614F3" w:rsidRPr="00404724" w14:paraId="5FD9E656" w14:textId="77777777" w:rsidTr="00D614F3">
        <w:trPr>
          <w:trHeight w:val="330"/>
        </w:trPr>
        <w:tc>
          <w:tcPr>
            <w:tcW w:w="3794" w:type="dxa"/>
            <w:tcBorders>
              <w:top w:val="single" w:sz="8" w:space="0" w:color="auto"/>
              <w:left w:val="single" w:sz="8" w:space="0" w:color="auto"/>
              <w:bottom w:val="nil"/>
              <w:right w:val="nil"/>
            </w:tcBorders>
            <w:shd w:val="clear" w:color="000000" w:fill="140034"/>
            <w:noWrap/>
            <w:vAlign w:val="bottom"/>
          </w:tcPr>
          <w:p w14:paraId="7F83D455" w14:textId="77777777" w:rsidR="00D614F3" w:rsidRPr="00404724" w:rsidRDefault="00D614F3" w:rsidP="00BB5FCD">
            <w:pPr>
              <w:spacing w:after="0"/>
              <w:rPr>
                <w:rFonts w:ascii="Calibri" w:eastAsia="Times New Roman" w:hAnsi="Calibri" w:cs="Calibri"/>
                <w:b/>
                <w:bCs/>
                <w:color w:val="FFFFFF"/>
                <w:lang w:eastAsia="en-AU"/>
              </w:rPr>
            </w:pPr>
          </w:p>
        </w:tc>
        <w:tc>
          <w:tcPr>
            <w:tcW w:w="2788" w:type="dxa"/>
            <w:gridSpan w:val="3"/>
            <w:tcBorders>
              <w:top w:val="nil"/>
              <w:left w:val="single" w:sz="8" w:space="0" w:color="auto"/>
              <w:bottom w:val="nil"/>
              <w:right w:val="nil"/>
            </w:tcBorders>
            <w:shd w:val="clear" w:color="000000" w:fill="140034"/>
          </w:tcPr>
          <w:p w14:paraId="7F75B2EB" w14:textId="6FB33134" w:rsidR="00D614F3" w:rsidRPr="00404724" w:rsidRDefault="00D614F3" w:rsidP="00BB5FCD">
            <w:pPr>
              <w:spacing w:after="0"/>
              <w:rPr>
                <w:rFonts w:ascii="Calibri" w:eastAsia="Times New Roman" w:hAnsi="Calibri" w:cs="Calibri"/>
                <w:b/>
                <w:bCs/>
                <w:color w:val="FFFFFF"/>
                <w:lang w:eastAsia="en-AU"/>
              </w:rPr>
            </w:pPr>
            <w:r w:rsidRPr="00404724">
              <w:rPr>
                <w:rFonts w:ascii="Calibri" w:eastAsia="Times New Roman" w:hAnsi="Calibri" w:cs="Calibri"/>
                <w:b/>
                <w:bCs/>
                <w:color w:val="FFFFFF"/>
                <w:lang w:eastAsia="en-AU"/>
              </w:rPr>
              <w:t>100</w:t>
            </w:r>
            <w:r w:rsidR="00C82E00" w:rsidRPr="00404724">
              <w:rPr>
                <w:rFonts w:ascii="Calibri" w:eastAsia="Times New Roman" w:hAnsi="Calibri" w:cs="Calibri"/>
                <w:b/>
                <w:bCs/>
                <w:color w:val="FFFFFF"/>
                <w:lang w:eastAsia="en-AU"/>
              </w:rPr>
              <w:t xml:space="preserve"> km/h</w:t>
            </w:r>
            <w:r w:rsidRPr="00404724">
              <w:rPr>
                <w:rFonts w:ascii="Calibri" w:eastAsia="Times New Roman" w:hAnsi="Calibri" w:cs="Calibri"/>
                <w:b/>
                <w:bCs/>
                <w:color w:val="FFFFFF"/>
                <w:lang w:eastAsia="en-AU"/>
              </w:rPr>
              <w:t xml:space="preserve"> to 90</w:t>
            </w:r>
            <w:r w:rsidR="00C82E00" w:rsidRPr="00404724">
              <w:rPr>
                <w:rFonts w:ascii="Calibri" w:eastAsia="Times New Roman" w:hAnsi="Calibri" w:cs="Calibri"/>
                <w:b/>
                <w:bCs/>
                <w:color w:val="FFFFFF"/>
                <w:lang w:eastAsia="en-AU"/>
              </w:rPr>
              <w:t xml:space="preserve"> km/h</w:t>
            </w:r>
          </w:p>
        </w:tc>
        <w:tc>
          <w:tcPr>
            <w:tcW w:w="3780" w:type="dxa"/>
            <w:gridSpan w:val="4"/>
            <w:tcBorders>
              <w:top w:val="nil"/>
              <w:left w:val="single" w:sz="8" w:space="0" w:color="auto"/>
              <w:bottom w:val="nil"/>
              <w:right w:val="single" w:sz="8" w:space="0" w:color="auto"/>
            </w:tcBorders>
            <w:shd w:val="clear" w:color="000000" w:fill="140034"/>
          </w:tcPr>
          <w:p w14:paraId="615DCCE4" w14:textId="688D7115" w:rsidR="00D614F3" w:rsidRPr="00404724" w:rsidRDefault="00D614F3" w:rsidP="00BB5FCD">
            <w:pPr>
              <w:spacing w:after="0"/>
              <w:rPr>
                <w:rFonts w:ascii="Calibri" w:eastAsia="Times New Roman" w:hAnsi="Calibri" w:cs="Calibri"/>
                <w:b/>
                <w:bCs/>
                <w:color w:val="FFFFFF"/>
                <w:lang w:eastAsia="en-AU"/>
              </w:rPr>
            </w:pPr>
            <w:r w:rsidRPr="00404724">
              <w:rPr>
                <w:rFonts w:ascii="Calibri" w:eastAsia="Times New Roman" w:hAnsi="Calibri" w:cs="Calibri"/>
                <w:b/>
                <w:bCs/>
                <w:color w:val="FFFFFF"/>
                <w:lang w:eastAsia="en-AU"/>
              </w:rPr>
              <w:t>100</w:t>
            </w:r>
            <w:r w:rsidR="00C82E00" w:rsidRPr="00404724">
              <w:rPr>
                <w:rFonts w:ascii="Calibri" w:eastAsia="Times New Roman" w:hAnsi="Calibri" w:cs="Calibri"/>
                <w:b/>
                <w:bCs/>
                <w:color w:val="FFFFFF"/>
                <w:lang w:eastAsia="en-AU"/>
              </w:rPr>
              <w:t xml:space="preserve"> km/h</w:t>
            </w:r>
            <w:r w:rsidRPr="00404724">
              <w:rPr>
                <w:rFonts w:ascii="Calibri" w:eastAsia="Times New Roman" w:hAnsi="Calibri" w:cs="Calibri"/>
                <w:b/>
                <w:bCs/>
                <w:color w:val="FFFFFF"/>
                <w:lang w:eastAsia="en-AU"/>
              </w:rPr>
              <w:t xml:space="preserve"> to 80</w:t>
            </w:r>
            <w:r w:rsidR="00C82E00" w:rsidRPr="00404724">
              <w:rPr>
                <w:rFonts w:ascii="Calibri" w:eastAsia="Times New Roman" w:hAnsi="Calibri" w:cs="Calibri"/>
                <w:b/>
                <w:bCs/>
                <w:color w:val="FFFFFF"/>
                <w:lang w:eastAsia="en-AU"/>
              </w:rPr>
              <w:t xml:space="preserve"> km/h</w:t>
            </w:r>
          </w:p>
        </w:tc>
        <w:tc>
          <w:tcPr>
            <w:tcW w:w="4488" w:type="dxa"/>
            <w:gridSpan w:val="4"/>
            <w:tcBorders>
              <w:top w:val="nil"/>
              <w:left w:val="single" w:sz="8" w:space="0" w:color="auto"/>
              <w:bottom w:val="nil"/>
              <w:right w:val="single" w:sz="8" w:space="0" w:color="auto"/>
            </w:tcBorders>
            <w:shd w:val="clear" w:color="000000" w:fill="140034"/>
          </w:tcPr>
          <w:p w14:paraId="668A39D7" w14:textId="7D25D184" w:rsidR="00D614F3" w:rsidRPr="00404724" w:rsidRDefault="00D614F3" w:rsidP="00BB5FCD">
            <w:pPr>
              <w:spacing w:after="0"/>
              <w:rPr>
                <w:rFonts w:ascii="Calibri" w:eastAsia="Times New Roman" w:hAnsi="Calibri" w:cs="Calibri"/>
                <w:b/>
                <w:bCs/>
                <w:color w:val="FFFFFF"/>
                <w:lang w:eastAsia="en-AU"/>
              </w:rPr>
            </w:pPr>
            <w:r w:rsidRPr="00404724">
              <w:rPr>
                <w:rFonts w:ascii="Calibri" w:eastAsia="Times New Roman" w:hAnsi="Calibri" w:cs="Calibri"/>
                <w:b/>
                <w:bCs/>
                <w:color w:val="FFFFFF"/>
                <w:lang w:eastAsia="en-AU"/>
              </w:rPr>
              <w:t>100</w:t>
            </w:r>
            <w:r w:rsidR="00C82E00" w:rsidRPr="00404724">
              <w:rPr>
                <w:rFonts w:ascii="Calibri" w:eastAsia="Times New Roman" w:hAnsi="Calibri" w:cs="Calibri"/>
                <w:b/>
                <w:bCs/>
                <w:color w:val="FFFFFF"/>
                <w:lang w:eastAsia="en-AU"/>
              </w:rPr>
              <w:t xml:space="preserve"> km/h</w:t>
            </w:r>
            <w:r w:rsidRPr="00404724">
              <w:rPr>
                <w:rFonts w:ascii="Calibri" w:eastAsia="Times New Roman" w:hAnsi="Calibri" w:cs="Calibri"/>
                <w:b/>
                <w:bCs/>
                <w:color w:val="FFFFFF"/>
                <w:lang w:eastAsia="en-AU"/>
              </w:rPr>
              <w:t xml:space="preserve"> to 70</w:t>
            </w:r>
            <w:r w:rsidR="00C82E00" w:rsidRPr="00404724">
              <w:rPr>
                <w:rFonts w:ascii="Calibri" w:eastAsia="Times New Roman" w:hAnsi="Calibri" w:cs="Calibri"/>
                <w:b/>
                <w:bCs/>
                <w:color w:val="FFFFFF"/>
                <w:lang w:eastAsia="en-AU"/>
              </w:rPr>
              <w:t xml:space="preserve"> km/h</w:t>
            </w:r>
          </w:p>
        </w:tc>
      </w:tr>
      <w:tr w:rsidR="00D614F3" w:rsidRPr="00404724" w14:paraId="27EA0E7A" w14:textId="77777777" w:rsidTr="00D614F3">
        <w:trPr>
          <w:trHeight w:val="330"/>
        </w:trPr>
        <w:tc>
          <w:tcPr>
            <w:tcW w:w="3794" w:type="dxa"/>
            <w:tcBorders>
              <w:top w:val="single" w:sz="8" w:space="0" w:color="auto"/>
              <w:left w:val="single" w:sz="8" w:space="0" w:color="auto"/>
              <w:bottom w:val="nil"/>
              <w:right w:val="nil"/>
            </w:tcBorders>
            <w:shd w:val="clear" w:color="000000" w:fill="140034"/>
            <w:noWrap/>
            <w:vAlign w:val="bottom"/>
            <w:hideMark/>
          </w:tcPr>
          <w:p w14:paraId="45666D66" w14:textId="77777777" w:rsidR="00D614F3" w:rsidRPr="00404724" w:rsidRDefault="00D614F3" w:rsidP="00BB5FCD">
            <w:pPr>
              <w:spacing w:after="0"/>
              <w:rPr>
                <w:rFonts w:ascii="Calibri" w:eastAsia="Times New Roman" w:hAnsi="Calibri" w:cs="Calibri"/>
                <w:b/>
                <w:bCs/>
                <w:color w:val="FFFFFF"/>
                <w:lang w:eastAsia="en-AU"/>
              </w:rPr>
            </w:pPr>
          </w:p>
        </w:tc>
        <w:tc>
          <w:tcPr>
            <w:tcW w:w="1228" w:type="dxa"/>
            <w:tcBorders>
              <w:top w:val="nil"/>
              <w:left w:val="single" w:sz="8" w:space="0" w:color="auto"/>
              <w:bottom w:val="nil"/>
              <w:right w:val="nil"/>
            </w:tcBorders>
            <w:shd w:val="clear" w:color="000000" w:fill="140034"/>
            <w:hideMark/>
          </w:tcPr>
          <w:p w14:paraId="057FBB13" w14:textId="77777777" w:rsidR="00D614F3" w:rsidRPr="00404724" w:rsidRDefault="00D614F3" w:rsidP="000A13C5">
            <w:pPr>
              <w:spacing w:after="0"/>
              <w:jc w:val="right"/>
              <w:rPr>
                <w:rFonts w:ascii="Calibri" w:eastAsia="Times New Roman" w:hAnsi="Calibri" w:cs="Calibri"/>
                <w:b/>
                <w:bCs/>
                <w:color w:val="FFFFFF"/>
                <w:lang w:eastAsia="en-AU"/>
              </w:rPr>
            </w:pPr>
            <w:r w:rsidRPr="00404724">
              <w:rPr>
                <w:rFonts w:ascii="Calibri" w:eastAsia="Times New Roman" w:hAnsi="Calibri" w:cs="Calibri"/>
                <w:b/>
                <w:bCs/>
                <w:color w:val="FFFFFF"/>
                <w:lang w:eastAsia="en-AU"/>
              </w:rPr>
              <w:t>Lower</w:t>
            </w:r>
          </w:p>
        </w:tc>
        <w:tc>
          <w:tcPr>
            <w:tcW w:w="1228" w:type="dxa"/>
            <w:tcBorders>
              <w:top w:val="nil"/>
              <w:left w:val="single" w:sz="8" w:space="0" w:color="auto"/>
              <w:bottom w:val="nil"/>
              <w:right w:val="nil"/>
            </w:tcBorders>
            <w:shd w:val="clear" w:color="000000" w:fill="140034"/>
          </w:tcPr>
          <w:p w14:paraId="1038734A" w14:textId="77777777" w:rsidR="00D614F3" w:rsidRPr="00404724" w:rsidRDefault="00D614F3" w:rsidP="000A13C5">
            <w:pPr>
              <w:spacing w:after="0"/>
              <w:jc w:val="right"/>
              <w:rPr>
                <w:rFonts w:ascii="Calibri" w:eastAsia="Times New Roman" w:hAnsi="Calibri" w:cs="Calibri"/>
                <w:b/>
                <w:bCs/>
                <w:color w:val="FFFFFF"/>
                <w:lang w:eastAsia="en-AU"/>
              </w:rPr>
            </w:pPr>
            <w:r w:rsidRPr="00404724">
              <w:rPr>
                <w:rFonts w:ascii="Calibri" w:eastAsia="Times New Roman" w:hAnsi="Calibri" w:cs="Calibri"/>
                <w:b/>
                <w:bCs/>
                <w:color w:val="FFFFFF"/>
                <w:lang w:eastAsia="en-AU"/>
              </w:rPr>
              <w:t>Middle</w:t>
            </w:r>
          </w:p>
        </w:tc>
        <w:tc>
          <w:tcPr>
            <w:tcW w:w="1229" w:type="dxa"/>
            <w:gridSpan w:val="2"/>
            <w:tcBorders>
              <w:top w:val="nil"/>
              <w:left w:val="single" w:sz="8" w:space="0" w:color="auto"/>
              <w:bottom w:val="nil"/>
              <w:right w:val="nil"/>
            </w:tcBorders>
            <w:shd w:val="clear" w:color="000000" w:fill="140034"/>
          </w:tcPr>
          <w:p w14:paraId="60AB97E0" w14:textId="77777777" w:rsidR="00D614F3" w:rsidRPr="00404724" w:rsidRDefault="00D614F3" w:rsidP="000A13C5">
            <w:pPr>
              <w:spacing w:after="0"/>
              <w:jc w:val="right"/>
              <w:rPr>
                <w:rFonts w:ascii="Calibri" w:eastAsia="Times New Roman" w:hAnsi="Calibri" w:cs="Calibri"/>
                <w:b/>
                <w:bCs/>
                <w:color w:val="FFFFFF"/>
                <w:lang w:eastAsia="en-AU"/>
              </w:rPr>
            </w:pPr>
            <w:r w:rsidRPr="00404724">
              <w:rPr>
                <w:rFonts w:ascii="Calibri" w:eastAsia="Times New Roman" w:hAnsi="Calibri" w:cs="Calibri"/>
                <w:b/>
                <w:bCs/>
                <w:color w:val="FFFFFF"/>
                <w:lang w:eastAsia="en-AU"/>
              </w:rPr>
              <w:t>Upper</w:t>
            </w:r>
          </w:p>
        </w:tc>
        <w:tc>
          <w:tcPr>
            <w:tcW w:w="1228" w:type="dxa"/>
            <w:tcBorders>
              <w:top w:val="nil"/>
              <w:left w:val="single" w:sz="8" w:space="0" w:color="auto"/>
              <w:bottom w:val="nil"/>
              <w:right w:val="nil"/>
            </w:tcBorders>
            <w:shd w:val="clear" w:color="000000" w:fill="140034"/>
          </w:tcPr>
          <w:p w14:paraId="31EE5CD8" w14:textId="77777777" w:rsidR="00D614F3" w:rsidRPr="00404724" w:rsidRDefault="00D614F3" w:rsidP="000A13C5">
            <w:pPr>
              <w:spacing w:after="0"/>
              <w:jc w:val="right"/>
              <w:rPr>
                <w:rFonts w:ascii="Calibri" w:eastAsia="Times New Roman" w:hAnsi="Calibri" w:cs="Calibri"/>
                <w:b/>
                <w:bCs/>
                <w:color w:val="FFFFFF"/>
                <w:lang w:eastAsia="en-AU"/>
              </w:rPr>
            </w:pPr>
            <w:r w:rsidRPr="00404724">
              <w:rPr>
                <w:rFonts w:ascii="Calibri" w:eastAsia="Times New Roman" w:hAnsi="Calibri" w:cs="Calibri"/>
                <w:b/>
                <w:bCs/>
                <w:color w:val="FFFFFF"/>
                <w:lang w:eastAsia="en-AU"/>
              </w:rPr>
              <w:t>Lower</w:t>
            </w:r>
          </w:p>
        </w:tc>
        <w:tc>
          <w:tcPr>
            <w:tcW w:w="1229" w:type="dxa"/>
            <w:tcBorders>
              <w:top w:val="nil"/>
              <w:left w:val="single" w:sz="8" w:space="0" w:color="auto"/>
              <w:bottom w:val="nil"/>
              <w:right w:val="single" w:sz="8" w:space="0" w:color="auto"/>
            </w:tcBorders>
            <w:shd w:val="clear" w:color="000000" w:fill="140034"/>
          </w:tcPr>
          <w:p w14:paraId="206C9699" w14:textId="77777777" w:rsidR="00D614F3" w:rsidRPr="00404724" w:rsidRDefault="00D614F3" w:rsidP="000A13C5">
            <w:pPr>
              <w:spacing w:after="0"/>
              <w:jc w:val="right"/>
              <w:rPr>
                <w:rFonts w:ascii="Calibri" w:eastAsia="Times New Roman" w:hAnsi="Calibri" w:cs="Calibri"/>
                <w:b/>
                <w:bCs/>
                <w:color w:val="FFFFFF"/>
                <w:lang w:eastAsia="en-AU"/>
              </w:rPr>
            </w:pPr>
            <w:r w:rsidRPr="00404724">
              <w:rPr>
                <w:rFonts w:ascii="Calibri" w:eastAsia="Times New Roman" w:hAnsi="Calibri" w:cs="Calibri"/>
                <w:b/>
                <w:bCs/>
                <w:color w:val="FFFFFF"/>
                <w:lang w:eastAsia="en-AU"/>
              </w:rPr>
              <w:t>Middle</w:t>
            </w:r>
          </w:p>
        </w:tc>
        <w:tc>
          <w:tcPr>
            <w:tcW w:w="1228" w:type="dxa"/>
            <w:gridSpan w:val="2"/>
            <w:tcBorders>
              <w:top w:val="nil"/>
              <w:left w:val="single" w:sz="8" w:space="0" w:color="auto"/>
              <w:bottom w:val="nil"/>
              <w:right w:val="single" w:sz="8" w:space="0" w:color="auto"/>
            </w:tcBorders>
            <w:shd w:val="clear" w:color="000000" w:fill="140034"/>
          </w:tcPr>
          <w:p w14:paraId="00DA340B" w14:textId="77777777" w:rsidR="00D614F3" w:rsidRPr="00404724" w:rsidRDefault="00D614F3" w:rsidP="000A13C5">
            <w:pPr>
              <w:spacing w:after="0"/>
              <w:jc w:val="right"/>
              <w:rPr>
                <w:rFonts w:ascii="Calibri" w:eastAsia="Times New Roman" w:hAnsi="Calibri" w:cs="Calibri"/>
                <w:b/>
                <w:bCs/>
                <w:color w:val="FFFFFF"/>
                <w:lang w:eastAsia="en-AU"/>
              </w:rPr>
            </w:pPr>
            <w:r w:rsidRPr="00404724">
              <w:rPr>
                <w:rFonts w:ascii="Calibri" w:eastAsia="Times New Roman" w:hAnsi="Calibri" w:cs="Calibri"/>
                <w:b/>
                <w:bCs/>
                <w:color w:val="FFFFFF"/>
                <w:lang w:eastAsia="en-AU"/>
              </w:rPr>
              <w:t>Upper</w:t>
            </w:r>
          </w:p>
        </w:tc>
        <w:tc>
          <w:tcPr>
            <w:tcW w:w="1229" w:type="dxa"/>
            <w:tcBorders>
              <w:top w:val="nil"/>
              <w:left w:val="single" w:sz="8" w:space="0" w:color="auto"/>
              <w:bottom w:val="nil"/>
              <w:right w:val="single" w:sz="8" w:space="0" w:color="auto"/>
            </w:tcBorders>
            <w:shd w:val="clear" w:color="000000" w:fill="140034"/>
          </w:tcPr>
          <w:p w14:paraId="4E0B2FE9" w14:textId="77777777" w:rsidR="00D614F3" w:rsidRPr="00404724" w:rsidRDefault="00D614F3" w:rsidP="000A13C5">
            <w:pPr>
              <w:spacing w:after="0"/>
              <w:jc w:val="right"/>
              <w:rPr>
                <w:rFonts w:ascii="Calibri" w:eastAsia="Times New Roman" w:hAnsi="Calibri" w:cs="Calibri"/>
                <w:b/>
                <w:bCs/>
                <w:color w:val="FFFFFF"/>
                <w:lang w:eastAsia="en-AU"/>
              </w:rPr>
            </w:pPr>
            <w:r w:rsidRPr="00404724">
              <w:rPr>
                <w:rFonts w:ascii="Calibri" w:eastAsia="Times New Roman" w:hAnsi="Calibri" w:cs="Calibri"/>
                <w:b/>
                <w:bCs/>
                <w:color w:val="FFFFFF"/>
                <w:lang w:eastAsia="en-AU"/>
              </w:rPr>
              <w:t>Lower</w:t>
            </w:r>
          </w:p>
        </w:tc>
        <w:tc>
          <w:tcPr>
            <w:tcW w:w="1228" w:type="dxa"/>
            <w:tcBorders>
              <w:top w:val="nil"/>
              <w:left w:val="single" w:sz="8" w:space="0" w:color="auto"/>
              <w:bottom w:val="nil"/>
              <w:right w:val="single" w:sz="8" w:space="0" w:color="auto"/>
            </w:tcBorders>
            <w:shd w:val="clear" w:color="000000" w:fill="140034"/>
          </w:tcPr>
          <w:p w14:paraId="1E39D40A" w14:textId="77777777" w:rsidR="00D614F3" w:rsidRPr="00404724" w:rsidRDefault="00D614F3" w:rsidP="000A13C5">
            <w:pPr>
              <w:spacing w:after="0"/>
              <w:jc w:val="right"/>
              <w:rPr>
                <w:rFonts w:ascii="Calibri" w:eastAsia="Times New Roman" w:hAnsi="Calibri" w:cs="Calibri"/>
                <w:b/>
                <w:bCs/>
                <w:color w:val="FFFFFF"/>
                <w:lang w:eastAsia="en-AU"/>
              </w:rPr>
            </w:pPr>
            <w:r w:rsidRPr="00404724">
              <w:rPr>
                <w:rFonts w:ascii="Calibri" w:eastAsia="Times New Roman" w:hAnsi="Calibri" w:cs="Calibri"/>
                <w:b/>
                <w:bCs/>
                <w:color w:val="FFFFFF"/>
                <w:lang w:eastAsia="en-AU"/>
              </w:rPr>
              <w:t>Middle</w:t>
            </w:r>
          </w:p>
        </w:tc>
        <w:tc>
          <w:tcPr>
            <w:tcW w:w="1229" w:type="dxa"/>
            <w:tcBorders>
              <w:top w:val="nil"/>
              <w:left w:val="single" w:sz="8" w:space="0" w:color="auto"/>
              <w:bottom w:val="nil"/>
              <w:right w:val="nil"/>
            </w:tcBorders>
            <w:shd w:val="clear" w:color="000000" w:fill="140034"/>
          </w:tcPr>
          <w:p w14:paraId="2B885322" w14:textId="77777777" w:rsidR="00D614F3" w:rsidRPr="00404724" w:rsidRDefault="00D614F3" w:rsidP="000A13C5">
            <w:pPr>
              <w:spacing w:after="0"/>
              <w:jc w:val="right"/>
              <w:rPr>
                <w:rFonts w:ascii="Calibri" w:eastAsia="Times New Roman" w:hAnsi="Calibri" w:cs="Calibri"/>
                <w:b/>
                <w:bCs/>
                <w:color w:val="FFFFFF"/>
                <w:lang w:eastAsia="en-AU"/>
              </w:rPr>
            </w:pPr>
            <w:r w:rsidRPr="00404724">
              <w:rPr>
                <w:rFonts w:ascii="Calibri" w:eastAsia="Times New Roman" w:hAnsi="Calibri" w:cs="Calibri"/>
                <w:b/>
                <w:bCs/>
                <w:color w:val="FFFFFF"/>
                <w:lang w:eastAsia="en-AU"/>
              </w:rPr>
              <w:t>Upper</w:t>
            </w:r>
          </w:p>
        </w:tc>
      </w:tr>
      <w:tr w:rsidR="00D614F3" w:rsidRPr="00404724" w14:paraId="2CE9DE11" w14:textId="77777777" w:rsidTr="00CE054C">
        <w:trPr>
          <w:trHeight w:val="330"/>
        </w:trPr>
        <w:tc>
          <w:tcPr>
            <w:tcW w:w="3794" w:type="dxa"/>
            <w:tcBorders>
              <w:top w:val="nil"/>
              <w:left w:val="single" w:sz="8" w:space="0" w:color="auto"/>
              <w:bottom w:val="nil"/>
              <w:right w:val="nil"/>
            </w:tcBorders>
            <w:shd w:val="clear" w:color="auto" w:fill="E3F5FC" w:themeFill="accent3" w:themeFillTint="33"/>
            <w:noWrap/>
          </w:tcPr>
          <w:p w14:paraId="593A30F7" w14:textId="77777777" w:rsidR="00D614F3" w:rsidRPr="00404724" w:rsidRDefault="00D614F3" w:rsidP="00BB5FCD">
            <w:pPr>
              <w:spacing w:after="0"/>
              <w:rPr>
                <w:rFonts w:ascii="Calibri" w:eastAsia="Times New Roman" w:hAnsi="Calibri" w:cs="Calibri"/>
                <w:i/>
                <w:iCs/>
                <w:color w:val="000000"/>
                <w:lang w:eastAsia="en-AU"/>
              </w:rPr>
            </w:pPr>
            <w:r w:rsidRPr="00404724">
              <w:rPr>
                <w:rFonts w:ascii="Calibri" w:eastAsia="Times New Roman" w:hAnsi="Calibri" w:cs="Calibri"/>
                <w:color w:val="000000"/>
                <w:lang w:eastAsia="en-AU"/>
              </w:rPr>
              <w:t>Central case</w:t>
            </w:r>
          </w:p>
        </w:tc>
        <w:tc>
          <w:tcPr>
            <w:tcW w:w="1228" w:type="dxa"/>
            <w:tcBorders>
              <w:top w:val="nil"/>
              <w:left w:val="single" w:sz="8" w:space="0" w:color="auto"/>
              <w:bottom w:val="nil"/>
              <w:right w:val="nil"/>
            </w:tcBorders>
            <w:shd w:val="clear" w:color="auto" w:fill="E3F5FC" w:themeFill="accent3" w:themeFillTint="33"/>
            <w:noWrap/>
          </w:tcPr>
          <w:p w14:paraId="28755AFC" w14:textId="77777777" w:rsidR="00D614F3" w:rsidRPr="00404724" w:rsidRDefault="00D614F3" w:rsidP="000A13C5">
            <w:pPr>
              <w:spacing w:after="0"/>
              <w:jc w:val="right"/>
              <w:rPr>
                <w:rFonts w:ascii="Calibri" w:eastAsia="Times New Roman" w:hAnsi="Calibri" w:cs="Calibri"/>
                <w:color w:val="000000"/>
                <w:lang w:eastAsia="en-AU"/>
              </w:rPr>
            </w:pPr>
            <w:r w:rsidRPr="00404724">
              <w:t>$678.7</w:t>
            </w:r>
          </w:p>
        </w:tc>
        <w:tc>
          <w:tcPr>
            <w:tcW w:w="1228" w:type="dxa"/>
            <w:tcBorders>
              <w:top w:val="nil"/>
              <w:left w:val="single" w:sz="8" w:space="0" w:color="auto"/>
              <w:bottom w:val="nil"/>
              <w:right w:val="nil"/>
            </w:tcBorders>
            <w:shd w:val="clear" w:color="auto" w:fill="E3F5FC" w:themeFill="accent3" w:themeFillTint="33"/>
          </w:tcPr>
          <w:p w14:paraId="39303490" w14:textId="77777777" w:rsidR="00D614F3" w:rsidRPr="00404724" w:rsidRDefault="00D614F3" w:rsidP="000A13C5">
            <w:pPr>
              <w:spacing w:after="0"/>
              <w:jc w:val="right"/>
              <w:rPr>
                <w:rFonts w:ascii="Calibri" w:eastAsia="Times New Roman" w:hAnsi="Calibri" w:cs="Calibri"/>
                <w:color w:val="000000"/>
                <w:lang w:eastAsia="en-AU"/>
              </w:rPr>
            </w:pPr>
            <w:r w:rsidRPr="00404724">
              <w:t>$1,368.7</w:t>
            </w:r>
          </w:p>
        </w:tc>
        <w:tc>
          <w:tcPr>
            <w:tcW w:w="1229" w:type="dxa"/>
            <w:gridSpan w:val="2"/>
            <w:tcBorders>
              <w:top w:val="nil"/>
              <w:left w:val="single" w:sz="8" w:space="0" w:color="auto"/>
              <w:bottom w:val="nil"/>
              <w:right w:val="nil"/>
            </w:tcBorders>
            <w:shd w:val="clear" w:color="auto" w:fill="E3F5FC" w:themeFill="accent3" w:themeFillTint="33"/>
          </w:tcPr>
          <w:p w14:paraId="095D48F0" w14:textId="77777777" w:rsidR="00D614F3" w:rsidRPr="00404724" w:rsidRDefault="00D614F3" w:rsidP="000A13C5">
            <w:pPr>
              <w:spacing w:after="0"/>
              <w:jc w:val="right"/>
              <w:rPr>
                <w:rFonts w:ascii="Calibri" w:eastAsia="Times New Roman" w:hAnsi="Calibri" w:cs="Calibri"/>
                <w:color w:val="000000"/>
                <w:lang w:eastAsia="en-AU"/>
              </w:rPr>
            </w:pPr>
            <w:r w:rsidRPr="00404724">
              <w:t>$1,859.6</w:t>
            </w:r>
          </w:p>
        </w:tc>
        <w:tc>
          <w:tcPr>
            <w:tcW w:w="1228" w:type="dxa"/>
            <w:tcBorders>
              <w:top w:val="nil"/>
              <w:left w:val="single" w:sz="8" w:space="0" w:color="auto"/>
              <w:bottom w:val="nil"/>
              <w:right w:val="nil"/>
            </w:tcBorders>
            <w:shd w:val="clear" w:color="auto" w:fill="E3F5FC" w:themeFill="accent3" w:themeFillTint="33"/>
          </w:tcPr>
          <w:p w14:paraId="5AC3E3BF" w14:textId="77777777" w:rsidR="00D614F3" w:rsidRPr="00404724" w:rsidRDefault="00D614F3" w:rsidP="000A13C5">
            <w:pPr>
              <w:spacing w:after="0"/>
              <w:jc w:val="right"/>
              <w:rPr>
                <w:rFonts w:ascii="Calibri" w:eastAsia="Times New Roman" w:hAnsi="Calibri" w:cs="Calibri"/>
                <w:color w:val="000000"/>
                <w:lang w:eastAsia="en-AU"/>
              </w:rPr>
            </w:pPr>
            <w:r w:rsidRPr="00404724">
              <w:t>$1,348.7</w:t>
            </w:r>
          </w:p>
        </w:tc>
        <w:tc>
          <w:tcPr>
            <w:tcW w:w="1229" w:type="dxa"/>
            <w:tcBorders>
              <w:top w:val="nil"/>
              <w:left w:val="single" w:sz="8" w:space="0" w:color="auto"/>
              <w:bottom w:val="nil"/>
              <w:right w:val="single" w:sz="8" w:space="0" w:color="auto"/>
            </w:tcBorders>
            <w:shd w:val="clear" w:color="auto" w:fill="E3F5FC" w:themeFill="accent3" w:themeFillTint="33"/>
          </w:tcPr>
          <w:p w14:paraId="2804F7F2" w14:textId="77777777" w:rsidR="00D614F3" w:rsidRPr="00404724" w:rsidRDefault="00D614F3" w:rsidP="000A13C5">
            <w:pPr>
              <w:spacing w:after="0"/>
              <w:jc w:val="right"/>
              <w:rPr>
                <w:rFonts w:ascii="Calibri" w:eastAsia="Times New Roman" w:hAnsi="Calibri" w:cs="Calibri"/>
                <w:color w:val="000000"/>
                <w:lang w:eastAsia="en-AU"/>
              </w:rPr>
            </w:pPr>
            <w:r w:rsidRPr="00404724">
              <w:t>$2,697.4</w:t>
            </w:r>
          </w:p>
        </w:tc>
        <w:tc>
          <w:tcPr>
            <w:tcW w:w="1228" w:type="dxa"/>
            <w:gridSpan w:val="2"/>
            <w:tcBorders>
              <w:top w:val="nil"/>
              <w:left w:val="single" w:sz="8" w:space="0" w:color="auto"/>
              <w:bottom w:val="nil"/>
              <w:right w:val="single" w:sz="8" w:space="0" w:color="auto"/>
            </w:tcBorders>
            <w:shd w:val="clear" w:color="auto" w:fill="E3F5FC" w:themeFill="accent3" w:themeFillTint="33"/>
          </w:tcPr>
          <w:p w14:paraId="61A8C56B" w14:textId="77777777" w:rsidR="00D614F3" w:rsidRPr="00404724" w:rsidRDefault="00D614F3" w:rsidP="000A13C5">
            <w:pPr>
              <w:spacing w:after="0"/>
              <w:jc w:val="right"/>
              <w:rPr>
                <w:rFonts w:ascii="Calibri" w:eastAsia="Times New Roman" w:hAnsi="Calibri" w:cs="Calibri"/>
                <w:color w:val="000000"/>
                <w:lang w:eastAsia="en-AU"/>
              </w:rPr>
            </w:pPr>
            <w:r w:rsidRPr="00404724">
              <w:t>$3,210.3</w:t>
            </w:r>
          </w:p>
        </w:tc>
        <w:tc>
          <w:tcPr>
            <w:tcW w:w="1229" w:type="dxa"/>
            <w:tcBorders>
              <w:top w:val="nil"/>
              <w:left w:val="single" w:sz="8" w:space="0" w:color="auto"/>
              <w:bottom w:val="nil"/>
              <w:right w:val="single" w:sz="8" w:space="0" w:color="auto"/>
            </w:tcBorders>
            <w:shd w:val="clear" w:color="auto" w:fill="E3F5FC" w:themeFill="accent3" w:themeFillTint="33"/>
          </w:tcPr>
          <w:p w14:paraId="22AA9727" w14:textId="77777777" w:rsidR="00D614F3" w:rsidRPr="00404724" w:rsidRDefault="00D614F3" w:rsidP="000A13C5">
            <w:pPr>
              <w:spacing w:after="0"/>
              <w:jc w:val="right"/>
              <w:rPr>
                <w:rFonts w:ascii="Calibri" w:eastAsia="Times New Roman" w:hAnsi="Calibri" w:cs="Calibri"/>
                <w:color w:val="000000"/>
                <w:lang w:eastAsia="en-AU"/>
              </w:rPr>
            </w:pPr>
            <w:r w:rsidRPr="00404724">
              <w:t>$1,759.7</w:t>
            </w:r>
          </w:p>
        </w:tc>
        <w:tc>
          <w:tcPr>
            <w:tcW w:w="1228" w:type="dxa"/>
            <w:tcBorders>
              <w:top w:val="nil"/>
              <w:left w:val="single" w:sz="8" w:space="0" w:color="auto"/>
              <w:bottom w:val="nil"/>
              <w:right w:val="single" w:sz="8" w:space="0" w:color="auto"/>
            </w:tcBorders>
            <w:shd w:val="clear" w:color="auto" w:fill="E3F5FC" w:themeFill="accent3" w:themeFillTint="33"/>
          </w:tcPr>
          <w:p w14:paraId="0575819F" w14:textId="77777777" w:rsidR="00D614F3" w:rsidRPr="00404724" w:rsidRDefault="00D614F3" w:rsidP="000A13C5">
            <w:pPr>
              <w:spacing w:after="0"/>
              <w:jc w:val="right"/>
              <w:rPr>
                <w:rFonts w:ascii="Calibri" w:eastAsia="Times New Roman" w:hAnsi="Calibri" w:cs="Calibri"/>
                <w:color w:val="000000"/>
                <w:lang w:eastAsia="en-AU"/>
              </w:rPr>
            </w:pPr>
            <w:r w:rsidRPr="00404724">
              <w:t>$3,527.4</w:t>
            </w:r>
          </w:p>
        </w:tc>
        <w:tc>
          <w:tcPr>
            <w:tcW w:w="1229" w:type="dxa"/>
            <w:tcBorders>
              <w:top w:val="nil"/>
              <w:left w:val="single" w:sz="8" w:space="0" w:color="auto"/>
              <w:bottom w:val="nil"/>
              <w:right w:val="nil"/>
            </w:tcBorders>
            <w:shd w:val="clear" w:color="auto" w:fill="E3F5FC" w:themeFill="accent3" w:themeFillTint="33"/>
          </w:tcPr>
          <w:p w14:paraId="07FA6B0F" w14:textId="77777777" w:rsidR="00D614F3" w:rsidRPr="00404724" w:rsidRDefault="00D614F3" w:rsidP="000A13C5">
            <w:pPr>
              <w:spacing w:after="0"/>
              <w:jc w:val="right"/>
              <w:rPr>
                <w:rFonts w:ascii="Calibri" w:eastAsia="Times New Roman" w:hAnsi="Calibri" w:cs="Calibri"/>
                <w:color w:val="000000"/>
                <w:lang w:eastAsia="en-AU"/>
              </w:rPr>
            </w:pPr>
            <w:r w:rsidRPr="00404724">
              <w:t>$3,505.5</w:t>
            </w:r>
          </w:p>
        </w:tc>
      </w:tr>
      <w:tr w:rsidR="00D614F3" w:rsidRPr="00404724" w14:paraId="63BBE700" w14:textId="77777777" w:rsidTr="00D614F3">
        <w:trPr>
          <w:trHeight w:val="330"/>
        </w:trPr>
        <w:tc>
          <w:tcPr>
            <w:tcW w:w="3794" w:type="dxa"/>
            <w:tcBorders>
              <w:top w:val="nil"/>
              <w:left w:val="single" w:sz="8" w:space="0" w:color="auto"/>
              <w:bottom w:val="nil"/>
              <w:right w:val="nil"/>
            </w:tcBorders>
            <w:shd w:val="clear" w:color="000000" w:fill="E4E4E4"/>
            <w:noWrap/>
          </w:tcPr>
          <w:p w14:paraId="22F8EDD2" w14:textId="77777777" w:rsidR="00D614F3" w:rsidRPr="00404724" w:rsidRDefault="00D614F3" w:rsidP="00BB5FCD">
            <w:pPr>
              <w:spacing w:after="0"/>
              <w:rPr>
                <w:rFonts w:ascii="Calibri" w:eastAsia="Times New Roman" w:hAnsi="Calibri" w:cs="Calibri"/>
                <w:i/>
                <w:iCs/>
                <w:color w:val="000000"/>
                <w:lang w:eastAsia="en-AU"/>
              </w:rPr>
            </w:pPr>
            <w:r w:rsidRPr="00404724">
              <w:rPr>
                <w:rFonts w:ascii="Calibri" w:eastAsia="Times New Roman" w:hAnsi="Calibri" w:cs="Calibri"/>
                <w:i/>
                <w:iCs/>
                <w:color w:val="000000"/>
                <w:lang w:eastAsia="en-AU"/>
              </w:rPr>
              <w:t>Discount rate</w:t>
            </w:r>
          </w:p>
        </w:tc>
        <w:tc>
          <w:tcPr>
            <w:tcW w:w="1228" w:type="dxa"/>
            <w:tcBorders>
              <w:top w:val="nil"/>
              <w:left w:val="single" w:sz="8" w:space="0" w:color="auto"/>
              <w:bottom w:val="nil"/>
              <w:right w:val="nil"/>
            </w:tcBorders>
            <w:shd w:val="clear" w:color="000000" w:fill="E4E4E4"/>
            <w:noWrap/>
            <w:hideMark/>
          </w:tcPr>
          <w:p w14:paraId="42C85B3E" w14:textId="77777777" w:rsidR="00D614F3" w:rsidRPr="00404724" w:rsidRDefault="00D614F3" w:rsidP="000A13C5">
            <w:pPr>
              <w:spacing w:after="0"/>
              <w:jc w:val="right"/>
              <w:rPr>
                <w:rFonts w:ascii="Calibri" w:eastAsia="Times New Roman" w:hAnsi="Calibri" w:cs="Calibri"/>
                <w:color w:val="000000"/>
                <w:lang w:eastAsia="en-AU"/>
              </w:rPr>
            </w:pPr>
          </w:p>
        </w:tc>
        <w:tc>
          <w:tcPr>
            <w:tcW w:w="1228" w:type="dxa"/>
            <w:tcBorders>
              <w:top w:val="nil"/>
              <w:left w:val="single" w:sz="8" w:space="0" w:color="auto"/>
              <w:bottom w:val="nil"/>
              <w:right w:val="nil"/>
            </w:tcBorders>
            <w:shd w:val="clear" w:color="000000" w:fill="E4E4E4"/>
          </w:tcPr>
          <w:p w14:paraId="1B613E14" w14:textId="77777777" w:rsidR="00D614F3" w:rsidRPr="00404724" w:rsidRDefault="00D614F3" w:rsidP="000A13C5">
            <w:pPr>
              <w:spacing w:after="0"/>
              <w:jc w:val="right"/>
              <w:rPr>
                <w:rFonts w:ascii="Calibri" w:eastAsia="Times New Roman" w:hAnsi="Calibri" w:cs="Calibri"/>
                <w:color w:val="000000"/>
                <w:lang w:eastAsia="en-AU"/>
              </w:rPr>
            </w:pPr>
          </w:p>
        </w:tc>
        <w:tc>
          <w:tcPr>
            <w:tcW w:w="1229" w:type="dxa"/>
            <w:gridSpan w:val="2"/>
            <w:tcBorders>
              <w:top w:val="nil"/>
              <w:left w:val="single" w:sz="8" w:space="0" w:color="auto"/>
              <w:bottom w:val="nil"/>
              <w:right w:val="nil"/>
            </w:tcBorders>
            <w:shd w:val="clear" w:color="000000" w:fill="E4E4E4"/>
          </w:tcPr>
          <w:p w14:paraId="7C9755F6" w14:textId="77777777" w:rsidR="00D614F3" w:rsidRPr="00404724" w:rsidRDefault="00D614F3" w:rsidP="000A13C5">
            <w:pPr>
              <w:spacing w:after="0"/>
              <w:jc w:val="right"/>
              <w:rPr>
                <w:rFonts w:ascii="Calibri" w:eastAsia="Times New Roman" w:hAnsi="Calibri" w:cs="Calibri"/>
                <w:color w:val="000000"/>
                <w:lang w:eastAsia="en-AU"/>
              </w:rPr>
            </w:pPr>
          </w:p>
        </w:tc>
        <w:tc>
          <w:tcPr>
            <w:tcW w:w="1228" w:type="dxa"/>
            <w:tcBorders>
              <w:top w:val="nil"/>
              <w:left w:val="single" w:sz="8" w:space="0" w:color="auto"/>
              <w:bottom w:val="nil"/>
              <w:right w:val="nil"/>
            </w:tcBorders>
            <w:shd w:val="clear" w:color="000000" w:fill="E4E4E4"/>
          </w:tcPr>
          <w:p w14:paraId="54C9B042" w14:textId="77777777" w:rsidR="00D614F3" w:rsidRPr="00404724" w:rsidRDefault="00D614F3" w:rsidP="000A13C5">
            <w:pPr>
              <w:spacing w:after="0"/>
              <w:jc w:val="right"/>
              <w:rPr>
                <w:rFonts w:ascii="Calibri" w:eastAsia="Times New Roman" w:hAnsi="Calibri" w:cs="Calibri"/>
                <w:color w:val="000000"/>
                <w:lang w:eastAsia="en-AU"/>
              </w:rPr>
            </w:pPr>
          </w:p>
        </w:tc>
        <w:tc>
          <w:tcPr>
            <w:tcW w:w="1229" w:type="dxa"/>
            <w:tcBorders>
              <w:top w:val="nil"/>
              <w:left w:val="single" w:sz="8" w:space="0" w:color="auto"/>
              <w:bottom w:val="nil"/>
              <w:right w:val="single" w:sz="8" w:space="0" w:color="auto"/>
            </w:tcBorders>
            <w:shd w:val="clear" w:color="000000" w:fill="E4E4E4"/>
          </w:tcPr>
          <w:p w14:paraId="587BB169" w14:textId="77777777" w:rsidR="00D614F3" w:rsidRPr="00404724" w:rsidRDefault="00D614F3" w:rsidP="000A13C5">
            <w:pPr>
              <w:spacing w:after="0"/>
              <w:jc w:val="right"/>
              <w:rPr>
                <w:rFonts w:ascii="Calibri" w:eastAsia="Times New Roman" w:hAnsi="Calibri" w:cs="Calibri"/>
                <w:color w:val="000000"/>
                <w:lang w:eastAsia="en-AU"/>
              </w:rPr>
            </w:pPr>
          </w:p>
        </w:tc>
        <w:tc>
          <w:tcPr>
            <w:tcW w:w="1228" w:type="dxa"/>
            <w:gridSpan w:val="2"/>
            <w:tcBorders>
              <w:top w:val="nil"/>
              <w:left w:val="single" w:sz="8" w:space="0" w:color="auto"/>
              <w:bottom w:val="nil"/>
              <w:right w:val="single" w:sz="8" w:space="0" w:color="auto"/>
            </w:tcBorders>
            <w:shd w:val="clear" w:color="000000" w:fill="E4E4E4"/>
          </w:tcPr>
          <w:p w14:paraId="1C51F664" w14:textId="77777777" w:rsidR="00D614F3" w:rsidRPr="00404724" w:rsidRDefault="00D614F3" w:rsidP="000A13C5">
            <w:pPr>
              <w:spacing w:after="0"/>
              <w:jc w:val="right"/>
              <w:rPr>
                <w:rFonts w:ascii="Calibri" w:eastAsia="Times New Roman" w:hAnsi="Calibri" w:cs="Calibri"/>
                <w:color w:val="000000"/>
                <w:lang w:eastAsia="en-AU"/>
              </w:rPr>
            </w:pPr>
          </w:p>
        </w:tc>
        <w:tc>
          <w:tcPr>
            <w:tcW w:w="1229" w:type="dxa"/>
            <w:tcBorders>
              <w:top w:val="nil"/>
              <w:left w:val="single" w:sz="8" w:space="0" w:color="auto"/>
              <w:bottom w:val="nil"/>
              <w:right w:val="single" w:sz="8" w:space="0" w:color="auto"/>
            </w:tcBorders>
            <w:shd w:val="clear" w:color="000000" w:fill="E4E4E4"/>
          </w:tcPr>
          <w:p w14:paraId="0F662DBA" w14:textId="77777777" w:rsidR="00D614F3" w:rsidRPr="00404724" w:rsidRDefault="00D614F3" w:rsidP="000A13C5">
            <w:pPr>
              <w:spacing w:after="0"/>
              <w:jc w:val="right"/>
              <w:rPr>
                <w:rFonts w:ascii="Calibri" w:eastAsia="Times New Roman" w:hAnsi="Calibri" w:cs="Calibri"/>
                <w:color w:val="000000"/>
                <w:lang w:eastAsia="en-AU"/>
              </w:rPr>
            </w:pPr>
          </w:p>
        </w:tc>
        <w:tc>
          <w:tcPr>
            <w:tcW w:w="1228" w:type="dxa"/>
            <w:tcBorders>
              <w:top w:val="nil"/>
              <w:left w:val="single" w:sz="8" w:space="0" w:color="auto"/>
              <w:bottom w:val="nil"/>
              <w:right w:val="single" w:sz="8" w:space="0" w:color="auto"/>
            </w:tcBorders>
            <w:shd w:val="clear" w:color="000000" w:fill="E4E4E4"/>
          </w:tcPr>
          <w:p w14:paraId="5DF4F26A" w14:textId="77777777" w:rsidR="00D614F3" w:rsidRPr="00404724" w:rsidRDefault="00D614F3" w:rsidP="000A13C5">
            <w:pPr>
              <w:spacing w:after="0"/>
              <w:jc w:val="right"/>
              <w:rPr>
                <w:rFonts w:ascii="Calibri" w:eastAsia="Times New Roman" w:hAnsi="Calibri" w:cs="Calibri"/>
                <w:color w:val="000000"/>
                <w:lang w:eastAsia="en-AU"/>
              </w:rPr>
            </w:pPr>
          </w:p>
        </w:tc>
        <w:tc>
          <w:tcPr>
            <w:tcW w:w="1229" w:type="dxa"/>
            <w:tcBorders>
              <w:top w:val="nil"/>
              <w:left w:val="single" w:sz="8" w:space="0" w:color="auto"/>
              <w:bottom w:val="nil"/>
              <w:right w:val="nil"/>
            </w:tcBorders>
            <w:shd w:val="clear" w:color="000000" w:fill="E4E4E4"/>
          </w:tcPr>
          <w:p w14:paraId="1904AF0B" w14:textId="77777777" w:rsidR="00D614F3" w:rsidRPr="00404724" w:rsidRDefault="00D614F3" w:rsidP="000A13C5">
            <w:pPr>
              <w:spacing w:after="0"/>
              <w:jc w:val="right"/>
              <w:rPr>
                <w:rFonts w:ascii="Calibri" w:eastAsia="Times New Roman" w:hAnsi="Calibri" w:cs="Calibri"/>
                <w:color w:val="000000"/>
                <w:lang w:eastAsia="en-AU"/>
              </w:rPr>
            </w:pPr>
          </w:p>
        </w:tc>
      </w:tr>
      <w:tr w:rsidR="00D614F3" w:rsidRPr="00404724" w14:paraId="38E129EE" w14:textId="77777777" w:rsidTr="00D614F3">
        <w:trPr>
          <w:trHeight w:val="330"/>
        </w:trPr>
        <w:tc>
          <w:tcPr>
            <w:tcW w:w="3794" w:type="dxa"/>
            <w:tcBorders>
              <w:top w:val="nil"/>
              <w:left w:val="single" w:sz="8" w:space="0" w:color="auto"/>
              <w:bottom w:val="nil"/>
              <w:right w:val="nil"/>
            </w:tcBorders>
            <w:shd w:val="clear" w:color="000000" w:fill="FFFFFF"/>
            <w:noWrap/>
          </w:tcPr>
          <w:p w14:paraId="3A99D912" w14:textId="77777777" w:rsidR="00D614F3" w:rsidRPr="00404724" w:rsidRDefault="00D614F3" w:rsidP="00BB5FCD">
            <w:pPr>
              <w:spacing w:after="0"/>
              <w:ind w:firstLineChars="100" w:firstLine="220"/>
              <w:rPr>
                <w:rFonts w:ascii="Calibri" w:eastAsia="Times New Roman" w:hAnsi="Calibri" w:cs="Calibri"/>
                <w:color w:val="000000"/>
                <w:lang w:eastAsia="en-AU"/>
              </w:rPr>
            </w:pPr>
            <w:r w:rsidRPr="00404724">
              <w:rPr>
                <w:rFonts w:ascii="Calibri" w:eastAsia="Times New Roman" w:hAnsi="Calibri" w:cs="Calibri"/>
                <w:color w:val="000000"/>
                <w:lang w:eastAsia="en-AU"/>
              </w:rPr>
              <w:t>3%</w:t>
            </w:r>
          </w:p>
        </w:tc>
        <w:tc>
          <w:tcPr>
            <w:tcW w:w="1228" w:type="dxa"/>
            <w:tcBorders>
              <w:top w:val="nil"/>
              <w:left w:val="single" w:sz="8" w:space="0" w:color="auto"/>
              <w:bottom w:val="nil"/>
              <w:right w:val="nil"/>
            </w:tcBorders>
            <w:shd w:val="clear" w:color="000000" w:fill="FFFFFF"/>
            <w:noWrap/>
          </w:tcPr>
          <w:p w14:paraId="3B295ADC" w14:textId="77777777" w:rsidR="00D614F3" w:rsidRPr="00404724" w:rsidRDefault="00D614F3" w:rsidP="000A13C5">
            <w:pPr>
              <w:spacing w:after="0"/>
              <w:jc w:val="right"/>
              <w:rPr>
                <w:rFonts w:ascii="Calibri" w:eastAsia="Times New Roman" w:hAnsi="Calibri" w:cs="Calibri"/>
                <w:color w:val="000000"/>
                <w:lang w:eastAsia="en-AU"/>
              </w:rPr>
            </w:pPr>
            <w:r w:rsidRPr="00404724">
              <w:rPr>
                <w:rFonts w:ascii="Calibri" w:eastAsia="Times New Roman" w:hAnsi="Calibri" w:cs="Calibri"/>
                <w:color w:val="000000"/>
                <w:lang w:eastAsia="en-AU"/>
              </w:rPr>
              <w:t>$856.2</w:t>
            </w:r>
          </w:p>
        </w:tc>
        <w:tc>
          <w:tcPr>
            <w:tcW w:w="1228" w:type="dxa"/>
            <w:tcBorders>
              <w:top w:val="nil"/>
              <w:left w:val="single" w:sz="8" w:space="0" w:color="auto"/>
              <w:bottom w:val="nil"/>
              <w:right w:val="nil"/>
            </w:tcBorders>
            <w:shd w:val="clear" w:color="000000" w:fill="FFFFFF"/>
          </w:tcPr>
          <w:p w14:paraId="3C8F8329" w14:textId="77777777" w:rsidR="00D614F3" w:rsidRPr="00404724" w:rsidRDefault="00D614F3" w:rsidP="000A13C5">
            <w:pPr>
              <w:spacing w:after="0"/>
              <w:jc w:val="right"/>
              <w:rPr>
                <w:rFonts w:ascii="Calibri" w:eastAsia="Times New Roman" w:hAnsi="Calibri" w:cs="Calibri"/>
                <w:color w:val="000000"/>
                <w:lang w:eastAsia="en-AU"/>
              </w:rPr>
            </w:pPr>
            <w:r w:rsidRPr="00404724">
              <w:rPr>
                <w:rFonts w:ascii="Calibri" w:eastAsia="Times New Roman" w:hAnsi="Calibri" w:cs="Calibri"/>
                <w:color w:val="000000"/>
                <w:lang w:eastAsia="en-AU"/>
              </w:rPr>
              <w:t>$1,724.5</w:t>
            </w:r>
          </w:p>
        </w:tc>
        <w:tc>
          <w:tcPr>
            <w:tcW w:w="1229" w:type="dxa"/>
            <w:gridSpan w:val="2"/>
            <w:tcBorders>
              <w:top w:val="nil"/>
              <w:left w:val="single" w:sz="8" w:space="0" w:color="auto"/>
              <w:bottom w:val="nil"/>
              <w:right w:val="nil"/>
            </w:tcBorders>
            <w:shd w:val="clear" w:color="000000" w:fill="FFFFFF"/>
          </w:tcPr>
          <w:p w14:paraId="68A7A28B" w14:textId="77777777" w:rsidR="00D614F3" w:rsidRPr="00404724" w:rsidRDefault="00D614F3" w:rsidP="000A13C5">
            <w:pPr>
              <w:spacing w:after="0"/>
              <w:jc w:val="right"/>
              <w:rPr>
                <w:rFonts w:ascii="Calibri" w:hAnsi="Calibri" w:cs="Calibri"/>
              </w:rPr>
            </w:pPr>
            <w:r w:rsidRPr="00404724">
              <w:rPr>
                <w:rFonts w:ascii="Calibri" w:hAnsi="Calibri" w:cs="Calibri"/>
              </w:rPr>
              <w:t>$2,355.6</w:t>
            </w:r>
          </w:p>
        </w:tc>
        <w:tc>
          <w:tcPr>
            <w:tcW w:w="1228" w:type="dxa"/>
            <w:tcBorders>
              <w:top w:val="nil"/>
              <w:left w:val="single" w:sz="8" w:space="0" w:color="auto"/>
              <w:bottom w:val="nil"/>
              <w:right w:val="nil"/>
            </w:tcBorders>
            <w:shd w:val="clear" w:color="000000" w:fill="FFFFFF"/>
          </w:tcPr>
          <w:p w14:paraId="0213A8DC" w14:textId="77777777" w:rsidR="00D614F3" w:rsidRPr="00404724" w:rsidRDefault="00D614F3" w:rsidP="000A13C5">
            <w:pPr>
              <w:spacing w:after="0"/>
              <w:jc w:val="right"/>
              <w:rPr>
                <w:rFonts w:ascii="Calibri" w:hAnsi="Calibri" w:cs="Calibri"/>
              </w:rPr>
            </w:pPr>
            <w:r w:rsidRPr="00404724">
              <w:rPr>
                <w:rFonts w:ascii="Calibri" w:hAnsi="Calibri" w:cs="Calibri"/>
              </w:rPr>
              <w:t>$1,700.1</w:t>
            </w:r>
          </w:p>
        </w:tc>
        <w:tc>
          <w:tcPr>
            <w:tcW w:w="1229" w:type="dxa"/>
            <w:tcBorders>
              <w:top w:val="nil"/>
              <w:left w:val="single" w:sz="8" w:space="0" w:color="auto"/>
              <w:bottom w:val="nil"/>
              <w:right w:val="single" w:sz="8" w:space="0" w:color="auto"/>
            </w:tcBorders>
            <w:shd w:val="clear" w:color="000000" w:fill="FFFFFF"/>
          </w:tcPr>
          <w:p w14:paraId="4741A4C9" w14:textId="77777777" w:rsidR="00D614F3" w:rsidRPr="00404724" w:rsidRDefault="00D614F3" w:rsidP="000A13C5">
            <w:pPr>
              <w:spacing w:after="0"/>
              <w:jc w:val="right"/>
              <w:rPr>
                <w:rFonts w:ascii="Calibri" w:hAnsi="Calibri" w:cs="Calibri"/>
              </w:rPr>
            </w:pPr>
            <w:r w:rsidRPr="00404724">
              <w:rPr>
                <w:rFonts w:ascii="Calibri" w:hAnsi="Calibri" w:cs="Calibri"/>
              </w:rPr>
              <w:t>$3,400.2</w:t>
            </w:r>
          </w:p>
        </w:tc>
        <w:tc>
          <w:tcPr>
            <w:tcW w:w="1228" w:type="dxa"/>
            <w:gridSpan w:val="2"/>
            <w:tcBorders>
              <w:top w:val="nil"/>
              <w:left w:val="single" w:sz="8" w:space="0" w:color="auto"/>
              <w:bottom w:val="nil"/>
              <w:right w:val="single" w:sz="8" w:space="0" w:color="auto"/>
            </w:tcBorders>
            <w:shd w:val="clear" w:color="000000" w:fill="FFFFFF"/>
          </w:tcPr>
          <w:p w14:paraId="3C5B9AF3" w14:textId="77777777" w:rsidR="00D614F3" w:rsidRPr="00404724" w:rsidRDefault="00D614F3" w:rsidP="000A13C5">
            <w:pPr>
              <w:spacing w:after="0"/>
              <w:jc w:val="right"/>
              <w:rPr>
                <w:rFonts w:ascii="Calibri" w:hAnsi="Calibri" w:cs="Calibri"/>
              </w:rPr>
            </w:pPr>
            <w:r w:rsidRPr="00404724">
              <w:rPr>
                <w:rFonts w:ascii="Calibri" w:hAnsi="Calibri" w:cs="Calibri"/>
              </w:rPr>
              <w:t>$4,085.9</w:t>
            </w:r>
          </w:p>
        </w:tc>
        <w:tc>
          <w:tcPr>
            <w:tcW w:w="1229" w:type="dxa"/>
            <w:tcBorders>
              <w:top w:val="nil"/>
              <w:left w:val="single" w:sz="8" w:space="0" w:color="auto"/>
              <w:bottom w:val="nil"/>
              <w:right w:val="single" w:sz="8" w:space="0" w:color="auto"/>
            </w:tcBorders>
            <w:shd w:val="clear" w:color="000000" w:fill="FFFFFF"/>
          </w:tcPr>
          <w:p w14:paraId="21542449" w14:textId="77777777" w:rsidR="00D614F3" w:rsidRPr="00404724" w:rsidRDefault="00D614F3" w:rsidP="000A13C5">
            <w:pPr>
              <w:spacing w:after="0"/>
              <w:jc w:val="right"/>
              <w:rPr>
                <w:rFonts w:ascii="Calibri" w:hAnsi="Calibri" w:cs="Calibri"/>
              </w:rPr>
            </w:pPr>
            <w:r w:rsidRPr="00404724">
              <w:rPr>
                <w:rFonts w:ascii="Calibri" w:hAnsi="Calibri" w:cs="Calibri"/>
              </w:rPr>
              <w:t>$2,224.3</w:t>
            </w:r>
          </w:p>
        </w:tc>
        <w:tc>
          <w:tcPr>
            <w:tcW w:w="1228" w:type="dxa"/>
            <w:tcBorders>
              <w:top w:val="nil"/>
              <w:left w:val="single" w:sz="8" w:space="0" w:color="auto"/>
              <w:bottom w:val="nil"/>
              <w:right w:val="single" w:sz="8" w:space="0" w:color="auto"/>
            </w:tcBorders>
            <w:shd w:val="clear" w:color="000000" w:fill="FFFFFF"/>
          </w:tcPr>
          <w:p w14:paraId="3400CD5A" w14:textId="77777777" w:rsidR="00D614F3" w:rsidRPr="00404724" w:rsidRDefault="00D614F3" w:rsidP="000A13C5">
            <w:pPr>
              <w:spacing w:after="0"/>
              <w:jc w:val="right"/>
              <w:rPr>
                <w:rFonts w:ascii="Calibri" w:hAnsi="Calibri" w:cs="Calibri"/>
              </w:rPr>
            </w:pPr>
            <w:r w:rsidRPr="00404724">
              <w:rPr>
                <w:rFonts w:ascii="Calibri" w:hAnsi="Calibri" w:cs="Calibri"/>
              </w:rPr>
              <w:t>$4,456.7</w:t>
            </w:r>
          </w:p>
        </w:tc>
        <w:tc>
          <w:tcPr>
            <w:tcW w:w="1229" w:type="dxa"/>
            <w:tcBorders>
              <w:top w:val="nil"/>
              <w:left w:val="single" w:sz="8" w:space="0" w:color="auto"/>
              <w:bottom w:val="nil"/>
              <w:right w:val="nil"/>
            </w:tcBorders>
            <w:shd w:val="clear" w:color="000000" w:fill="FFFFFF"/>
          </w:tcPr>
          <w:p w14:paraId="1DD2BE74" w14:textId="77777777" w:rsidR="00D614F3" w:rsidRPr="00404724" w:rsidRDefault="00D614F3" w:rsidP="000A13C5">
            <w:pPr>
              <w:spacing w:after="0"/>
              <w:jc w:val="right"/>
              <w:rPr>
                <w:rFonts w:ascii="Calibri" w:hAnsi="Calibri" w:cs="Calibri"/>
              </w:rPr>
            </w:pPr>
            <w:r w:rsidRPr="00404724">
              <w:rPr>
                <w:rFonts w:ascii="Calibri" w:hAnsi="Calibri" w:cs="Calibri"/>
              </w:rPr>
              <w:t>$4,501.9</w:t>
            </w:r>
          </w:p>
        </w:tc>
      </w:tr>
      <w:tr w:rsidR="00D614F3" w:rsidRPr="00404724" w14:paraId="42AB973E" w14:textId="77777777" w:rsidTr="00D614F3">
        <w:trPr>
          <w:trHeight w:val="330"/>
        </w:trPr>
        <w:tc>
          <w:tcPr>
            <w:tcW w:w="3794" w:type="dxa"/>
            <w:tcBorders>
              <w:top w:val="nil"/>
              <w:left w:val="single" w:sz="8" w:space="0" w:color="auto"/>
              <w:bottom w:val="nil"/>
              <w:right w:val="nil"/>
            </w:tcBorders>
            <w:shd w:val="clear" w:color="000000" w:fill="FFFFFF"/>
            <w:noWrap/>
          </w:tcPr>
          <w:p w14:paraId="3112555F" w14:textId="77777777" w:rsidR="00D614F3" w:rsidRPr="00404724" w:rsidRDefault="00D614F3" w:rsidP="00BB5FCD">
            <w:pPr>
              <w:spacing w:after="0"/>
              <w:ind w:firstLineChars="100" w:firstLine="220"/>
              <w:rPr>
                <w:rFonts w:ascii="Calibri" w:eastAsia="Times New Roman" w:hAnsi="Calibri" w:cs="Calibri"/>
                <w:color w:val="000000"/>
                <w:lang w:eastAsia="en-AU"/>
              </w:rPr>
            </w:pPr>
            <w:r w:rsidRPr="00404724">
              <w:rPr>
                <w:rFonts w:ascii="Calibri" w:eastAsia="Times New Roman" w:hAnsi="Calibri" w:cs="Calibri"/>
                <w:color w:val="000000"/>
                <w:lang w:eastAsia="en-AU"/>
              </w:rPr>
              <w:t>10%</w:t>
            </w:r>
          </w:p>
        </w:tc>
        <w:tc>
          <w:tcPr>
            <w:tcW w:w="1228" w:type="dxa"/>
            <w:tcBorders>
              <w:top w:val="nil"/>
              <w:left w:val="single" w:sz="8" w:space="0" w:color="auto"/>
              <w:bottom w:val="nil"/>
              <w:right w:val="nil"/>
            </w:tcBorders>
            <w:shd w:val="clear" w:color="000000" w:fill="FFFFFF"/>
            <w:noWrap/>
          </w:tcPr>
          <w:p w14:paraId="2761E30C" w14:textId="77777777" w:rsidR="00D614F3" w:rsidRPr="00404724" w:rsidRDefault="00D614F3" w:rsidP="000A13C5">
            <w:pPr>
              <w:spacing w:after="0"/>
              <w:jc w:val="right"/>
              <w:rPr>
                <w:rFonts w:ascii="Calibri" w:eastAsia="Times New Roman" w:hAnsi="Calibri" w:cs="Calibri"/>
                <w:color w:val="000000"/>
                <w:lang w:eastAsia="en-AU"/>
              </w:rPr>
            </w:pPr>
            <w:r w:rsidRPr="00404724">
              <w:rPr>
                <w:rFonts w:ascii="Calibri" w:eastAsia="Times New Roman" w:hAnsi="Calibri" w:cs="Calibri"/>
                <w:color w:val="000000"/>
                <w:lang w:eastAsia="en-AU"/>
              </w:rPr>
              <w:t>$578.4</w:t>
            </w:r>
          </w:p>
        </w:tc>
        <w:tc>
          <w:tcPr>
            <w:tcW w:w="1228" w:type="dxa"/>
            <w:tcBorders>
              <w:top w:val="nil"/>
              <w:left w:val="single" w:sz="8" w:space="0" w:color="auto"/>
              <w:bottom w:val="nil"/>
              <w:right w:val="nil"/>
            </w:tcBorders>
            <w:shd w:val="clear" w:color="000000" w:fill="FFFFFF"/>
          </w:tcPr>
          <w:p w14:paraId="71500C69" w14:textId="77777777" w:rsidR="00D614F3" w:rsidRPr="00404724" w:rsidRDefault="00D614F3" w:rsidP="000A13C5">
            <w:pPr>
              <w:spacing w:after="0"/>
              <w:jc w:val="right"/>
              <w:rPr>
                <w:rFonts w:ascii="Calibri" w:eastAsia="Times New Roman" w:hAnsi="Calibri" w:cs="Calibri"/>
                <w:color w:val="000000"/>
                <w:lang w:eastAsia="en-AU"/>
              </w:rPr>
            </w:pPr>
            <w:r w:rsidRPr="00404724">
              <w:rPr>
                <w:rFonts w:ascii="Calibri" w:eastAsia="Times New Roman" w:hAnsi="Calibri" w:cs="Calibri"/>
                <w:color w:val="000000"/>
                <w:lang w:eastAsia="en-AU"/>
              </w:rPr>
              <w:t>$1,167.8</w:t>
            </w:r>
          </w:p>
        </w:tc>
        <w:tc>
          <w:tcPr>
            <w:tcW w:w="1229" w:type="dxa"/>
            <w:gridSpan w:val="2"/>
            <w:tcBorders>
              <w:top w:val="nil"/>
              <w:left w:val="single" w:sz="8" w:space="0" w:color="auto"/>
              <w:bottom w:val="nil"/>
              <w:right w:val="nil"/>
            </w:tcBorders>
            <w:shd w:val="clear" w:color="000000" w:fill="FFFFFF"/>
          </w:tcPr>
          <w:p w14:paraId="26F91C2C" w14:textId="77777777" w:rsidR="00D614F3" w:rsidRPr="00404724" w:rsidRDefault="00D614F3" w:rsidP="000A13C5">
            <w:pPr>
              <w:spacing w:after="0"/>
              <w:jc w:val="right"/>
              <w:rPr>
                <w:rFonts w:ascii="Calibri" w:hAnsi="Calibri" w:cs="Calibri"/>
              </w:rPr>
            </w:pPr>
            <w:r w:rsidRPr="00404724">
              <w:rPr>
                <w:rFonts w:ascii="Calibri" w:hAnsi="Calibri" w:cs="Calibri"/>
              </w:rPr>
              <w:t>$1,580.4</w:t>
            </w:r>
          </w:p>
        </w:tc>
        <w:tc>
          <w:tcPr>
            <w:tcW w:w="1228" w:type="dxa"/>
            <w:tcBorders>
              <w:top w:val="nil"/>
              <w:left w:val="single" w:sz="8" w:space="0" w:color="auto"/>
              <w:bottom w:val="nil"/>
              <w:right w:val="nil"/>
            </w:tcBorders>
            <w:shd w:val="clear" w:color="000000" w:fill="FFFFFF"/>
          </w:tcPr>
          <w:p w14:paraId="3DBA798F" w14:textId="77777777" w:rsidR="00D614F3" w:rsidRPr="00404724" w:rsidRDefault="00D614F3" w:rsidP="000A13C5">
            <w:pPr>
              <w:spacing w:after="0"/>
              <w:jc w:val="right"/>
              <w:rPr>
                <w:rFonts w:ascii="Calibri" w:hAnsi="Calibri" w:cs="Calibri"/>
              </w:rPr>
            </w:pPr>
            <w:r w:rsidRPr="00404724">
              <w:rPr>
                <w:rFonts w:ascii="Calibri" w:hAnsi="Calibri" w:cs="Calibri"/>
              </w:rPr>
              <w:t>$1,150.5</w:t>
            </w:r>
          </w:p>
        </w:tc>
        <w:tc>
          <w:tcPr>
            <w:tcW w:w="1229" w:type="dxa"/>
            <w:tcBorders>
              <w:top w:val="nil"/>
              <w:left w:val="single" w:sz="8" w:space="0" w:color="auto"/>
              <w:bottom w:val="nil"/>
              <w:right w:val="single" w:sz="8" w:space="0" w:color="auto"/>
            </w:tcBorders>
            <w:shd w:val="clear" w:color="000000" w:fill="FFFFFF"/>
          </w:tcPr>
          <w:p w14:paraId="35D637EB" w14:textId="77777777" w:rsidR="00D614F3" w:rsidRPr="00404724" w:rsidRDefault="00D614F3" w:rsidP="000A13C5">
            <w:pPr>
              <w:spacing w:after="0"/>
              <w:jc w:val="right"/>
              <w:rPr>
                <w:rFonts w:ascii="Calibri" w:hAnsi="Calibri" w:cs="Calibri"/>
              </w:rPr>
            </w:pPr>
            <w:r w:rsidRPr="00404724">
              <w:rPr>
                <w:rFonts w:ascii="Calibri" w:hAnsi="Calibri" w:cs="Calibri"/>
              </w:rPr>
              <w:t>$2,300.9</w:t>
            </w:r>
          </w:p>
        </w:tc>
        <w:tc>
          <w:tcPr>
            <w:tcW w:w="1228" w:type="dxa"/>
            <w:gridSpan w:val="2"/>
            <w:tcBorders>
              <w:top w:val="nil"/>
              <w:left w:val="single" w:sz="8" w:space="0" w:color="auto"/>
              <w:bottom w:val="nil"/>
              <w:right w:val="single" w:sz="8" w:space="0" w:color="auto"/>
            </w:tcBorders>
            <w:shd w:val="clear" w:color="000000" w:fill="FFFFFF"/>
          </w:tcPr>
          <w:p w14:paraId="762C0B75" w14:textId="77777777" w:rsidR="00D614F3" w:rsidRPr="00404724" w:rsidRDefault="00D614F3" w:rsidP="000A13C5">
            <w:pPr>
              <w:spacing w:after="0"/>
              <w:jc w:val="right"/>
              <w:rPr>
                <w:rFonts w:ascii="Calibri" w:hAnsi="Calibri" w:cs="Calibri"/>
              </w:rPr>
            </w:pPr>
            <w:r w:rsidRPr="00404724">
              <w:rPr>
                <w:rFonts w:ascii="Calibri" w:hAnsi="Calibri" w:cs="Calibri"/>
              </w:rPr>
              <w:t>$2,719.0</w:t>
            </w:r>
          </w:p>
        </w:tc>
        <w:tc>
          <w:tcPr>
            <w:tcW w:w="1229" w:type="dxa"/>
            <w:tcBorders>
              <w:top w:val="nil"/>
              <w:left w:val="single" w:sz="8" w:space="0" w:color="auto"/>
              <w:bottom w:val="nil"/>
              <w:right w:val="single" w:sz="8" w:space="0" w:color="auto"/>
            </w:tcBorders>
            <w:shd w:val="clear" w:color="000000" w:fill="FFFFFF"/>
          </w:tcPr>
          <w:p w14:paraId="12C08696" w14:textId="77777777" w:rsidR="00D614F3" w:rsidRPr="00404724" w:rsidRDefault="00D614F3" w:rsidP="000A13C5">
            <w:pPr>
              <w:spacing w:after="0"/>
              <w:jc w:val="right"/>
              <w:rPr>
                <w:rFonts w:ascii="Calibri" w:hAnsi="Calibri" w:cs="Calibri"/>
              </w:rPr>
            </w:pPr>
            <w:r w:rsidRPr="00404724">
              <w:rPr>
                <w:rFonts w:ascii="Calibri" w:hAnsi="Calibri" w:cs="Calibri"/>
              </w:rPr>
              <w:t>$1,497.8</w:t>
            </w:r>
          </w:p>
        </w:tc>
        <w:tc>
          <w:tcPr>
            <w:tcW w:w="1228" w:type="dxa"/>
            <w:tcBorders>
              <w:top w:val="nil"/>
              <w:left w:val="single" w:sz="8" w:space="0" w:color="auto"/>
              <w:bottom w:val="nil"/>
              <w:right w:val="single" w:sz="8" w:space="0" w:color="auto"/>
            </w:tcBorders>
            <w:shd w:val="clear" w:color="000000" w:fill="FFFFFF"/>
          </w:tcPr>
          <w:p w14:paraId="7EF7DE5D" w14:textId="77777777" w:rsidR="00D614F3" w:rsidRPr="00404724" w:rsidRDefault="00D614F3" w:rsidP="000A13C5">
            <w:pPr>
              <w:spacing w:after="0"/>
              <w:jc w:val="right"/>
              <w:rPr>
                <w:rFonts w:ascii="Calibri" w:hAnsi="Calibri" w:cs="Calibri"/>
              </w:rPr>
            </w:pPr>
            <w:r w:rsidRPr="00404724">
              <w:rPr>
                <w:rFonts w:ascii="Calibri" w:hAnsi="Calibri" w:cs="Calibri"/>
              </w:rPr>
              <w:t>$3,003.7</w:t>
            </w:r>
          </w:p>
        </w:tc>
        <w:tc>
          <w:tcPr>
            <w:tcW w:w="1229" w:type="dxa"/>
            <w:tcBorders>
              <w:top w:val="nil"/>
              <w:left w:val="single" w:sz="8" w:space="0" w:color="auto"/>
              <w:bottom w:val="nil"/>
              <w:right w:val="nil"/>
            </w:tcBorders>
            <w:shd w:val="clear" w:color="000000" w:fill="FFFFFF"/>
          </w:tcPr>
          <w:p w14:paraId="061A86A2" w14:textId="77777777" w:rsidR="00D614F3" w:rsidRPr="00404724" w:rsidRDefault="00D614F3" w:rsidP="000A13C5">
            <w:pPr>
              <w:spacing w:after="0"/>
              <w:jc w:val="right"/>
              <w:rPr>
                <w:rFonts w:ascii="Calibri" w:hAnsi="Calibri" w:cs="Calibri"/>
              </w:rPr>
            </w:pPr>
            <w:r w:rsidRPr="00404724">
              <w:rPr>
                <w:rFonts w:ascii="Calibri" w:hAnsi="Calibri" w:cs="Calibri"/>
              </w:rPr>
              <w:t>$2,949.1</w:t>
            </w:r>
          </w:p>
        </w:tc>
      </w:tr>
      <w:tr w:rsidR="00D614F3" w:rsidRPr="00404724" w14:paraId="5EFD3167" w14:textId="77777777" w:rsidTr="00D614F3">
        <w:trPr>
          <w:trHeight w:val="330"/>
        </w:trPr>
        <w:tc>
          <w:tcPr>
            <w:tcW w:w="3794" w:type="dxa"/>
            <w:tcBorders>
              <w:top w:val="nil"/>
              <w:left w:val="single" w:sz="8" w:space="0" w:color="auto"/>
              <w:bottom w:val="nil"/>
              <w:right w:val="nil"/>
            </w:tcBorders>
            <w:shd w:val="clear" w:color="000000" w:fill="FFFFFF"/>
            <w:noWrap/>
            <w:hideMark/>
          </w:tcPr>
          <w:p w14:paraId="4BD60DAC" w14:textId="77777777" w:rsidR="00D614F3" w:rsidRPr="00404724" w:rsidRDefault="00D614F3" w:rsidP="00BB5FCD">
            <w:pPr>
              <w:spacing w:after="0"/>
              <w:rPr>
                <w:rFonts w:ascii="Calibri" w:eastAsia="Times New Roman" w:hAnsi="Calibri" w:cs="Calibri"/>
                <w:color w:val="000000"/>
                <w:lang w:eastAsia="en-AU"/>
              </w:rPr>
            </w:pPr>
            <w:r w:rsidRPr="00404724">
              <w:rPr>
                <w:rFonts w:ascii="Calibri" w:eastAsia="Times New Roman" w:hAnsi="Calibri" w:cs="Calibri"/>
                <w:color w:val="000000"/>
                <w:lang w:eastAsia="en-AU"/>
              </w:rPr>
              <w:t> </w:t>
            </w:r>
          </w:p>
        </w:tc>
        <w:tc>
          <w:tcPr>
            <w:tcW w:w="1228" w:type="dxa"/>
            <w:tcBorders>
              <w:top w:val="nil"/>
              <w:left w:val="single" w:sz="8" w:space="0" w:color="auto"/>
              <w:bottom w:val="nil"/>
              <w:right w:val="nil"/>
            </w:tcBorders>
            <w:shd w:val="clear" w:color="000000" w:fill="FFFFFF"/>
            <w:noWrap/>
          </w:tcPr>
          <w:p w14:paraId="6DD76BC1" w14:textId="77777777" w:rsidR="00D614F3" w:rsidRPr="00404724" w:rsidRDefault="00D614F3" w:rsidP="000A13C5">
            <w:pPr>
              <w:spacing w:after="0"/>
              <w:jc w:val="right"/>
              <w:rPr>
                <w:rFonts w:ascii="Calibri" w:eastAsia="Times New Roman" w:hAnsi="Calibri" w:cs="Calibri"/>
                <w:color w:val="000000"/>
                <w:lang w:eastAsia="en-AU"/>
              </w:rPr>
            </w:pPr>
          </w:p>
        </w:tc>
        <w:tc>
          <w:tcPr>
            <w:tcW w:w="1228" w:type="dxa"/>
            <w:tcBorders>
              <w:top w:val="nil"/>
              <w:left w:val="single" w:sz="8" w:space="0" w:color="auto"/>
              <w:bottom w:val="nil"/>
              <w:right w:val="nil"/>
            </w:tcBorders>
            <w:shd w:val="clear" w:color="000000" w:fill="FFFFFF"/>
          </w:tcPr>
          <w:p w14:paraId="7C4DB702" w14:textId="77777777" w:rsidR="00D614F3" w:rsidRPr="00404724" w:rsidRDefault="00D614F3" w:rsidP="000A13C5">
            <w:pPr>
              <w:spacing w:after="0"/>
              <w:jc w:val="right"/>
              <w:rPr>
                <w:rFonts w:ascii="Calibri" w:eastAsia="Times New Roman" w:hAnsi="Calibri" w:cs="Calibri"/>
                <w:color w:val="000000"/>
                <w:lang w:eastAsia="en-AU"/>
              </w:rPr>
            </w:pPr>
          </w:p>
        </w:tc>
        <w:tc>
          <w:tcPr>
            <w:tcW w:w="1229" w:type="dxa"/>
            <w:gridSpan w:val="2"/>
            <w:tcBorders>
              <w:top w:val="nil"/>
              <w:left w:val="single" w:sz="8" w:space="0" w:color="auto"/>
              <w:bottom w:val="nil"/>
              <w:right w:val="nil"/>
            </w:tcBorders>
            <w:shd w:val="clear" w:color="000000" w:fill="FFFFFF"/>
          </w:tcPr>
          <w:p w14:paraId="4C72B725" w14:textId="77777777" w:rsidR="00D614F3" w:rsidRPr="00404724" w:rsidRDefault="00D614F3" w:rsidP="000A13C5">
            <w:pPr>
              <w:spacing w:after="0"/>
              <w:jc w:val="right"/>
              <w:rPr>
                <w:rFonts w:ascii="Calibri" w:eastAsia="Times New Roman" w:hAnsi="Calibri" w:cs="Calibri"/>
                <w:color w:val="000000"/>
                <w:lang w:eastAsia="en-AU"/>
              </w:rPr>
            </w:pPr>
          </w:p>
        </w:tc>
        <w:tc>
          <w:tcPr>
            <w:tcW w:w="1228" w:type="dxa"/>
            <w:tcBorders>
              <w:top w:val="nil"/>
              <w:left w:val="single" w:sz="8" w:space="0" w:color="auto"/>
              <w:bottom w:val="nil"/>
              <w:right w:val="nil"/>
            </w:tcBorders>
            <w:shd w:val="clear" w:color="000000" w:fill="FFFFFF"/>
          </w:tcPr>
          <w:p w14:paraId="67E8E42D" w14:textId="77777777" w:rsidR="00D614F3" w:rsidRPr="00404724" w:rsidRDefault="00D614F3" w:rsidP="000A13C5">
            <w:pPr>
              <w:spacing w:after="0"/>
              <w:jc w:val="right"/>
              <w:rPr>
                <w:rFonts w:ascii="Calibri" w:eastAsia="Times New Roman" w:hAnsi="Calibri" w:cs="Calibri"/>
                <w:color w:val="000000"/>
                <w:lang w:eastAsia="en-AU"/>
              </w:rPr>
            </w:pPr>
          </w:p>
        </w:tc>
        <w:tc>
          <w:tcPr>
            <w:tcW w:w="1229" w:type="dxa"/>
            <w:tcBorders>
              <w:top w:val="nil"/>
              <w:left w:val="single" w:sz="8" w:space="0" w:color="auto"/>
              <w:bottom w:val="nil"/>
              <w:right w:val="single" w:sz="8" w:space="0" w:color="auto"/>
            </w:tcBorders>
            <w:shd w:val="clear" w:color="000000" w:fill="FFFFFF"/>
          </w:tcPr>
          <w:p w14:paraId="6C86751A" w14:textId="77777777" w:rsidR="00D614F3" w:rsidRPr="00404724" w:rsidRDefault="00D614F3" w:rsidP="000A13C5">
            <w:pPr>
              <w:spacing w:after="0"/>
              <w:jc w:val="right"/>
              <w:rPr>
                <w:rFonts w:ascii="Calibri" w:eastAsia="Times New Roman" w:hAnsi="Calibri" w:cs="Calibri"/>
                <w:color w:val="000000"/>
                <w:lang w:eastAsia="en-AU"/>
              </w:rPr>
            </w:pPr>
          </w:p>
        </w:tc>
        <w:tc>
          <w:tcPr>
            <w:tcW w:w="1228" w:type="dxa"/>
            <w:gridSpan w:val="2"/>
            <w:tcBorders>
              <w:top w:val="nil"/>
              <w:left w:val="single" w:sz="8" w:space="0" w:color="auto"/>
              <w:bottom w:val="nil"/>
              <w:right w:val="single" w:sz="8" w:space="0" w:color="auto"/>
            </w:tcBorders>
            <w:shd w:val="clear" w:color="000000" w:fill="FFFFFF"/>
          </w:tcPr>
          <w:p w14:paraId="7D474FB7" w14:textId="77777777" w:rsidR="00D614F3" w:rsidRPr="00404724" w:rsidRDefault="00D614F3" w:rsidP="000A13C5">
            <w:pPr>
              <w:spacing w:after="0"/>
              <w:jc w:val="right"/>
              <w:rPr>
                <w:rFonts w:ascii="Calibri" w:eastAsia="Times New Roman" w:hAnsi="Calibri" w:cs="Calibri"/>
                <w:color w:val="000000"/>
                <w:lang w:eastAsia="en-AU"/>
              </w:rPr>
            </w:pPr>
          </w:p>
        </w:tc>
        <w:tc>
          <w:tcPr>
            <w:tcW w:w="1229" w:type="dxa"/>
            <w:tcBorders>
              <w:top w:val="nil"/>
              <w:left w:val="single" w:sz="8" w:space="0" w:color="auto"/>
              <w:bottom w:val="nil"/>
              <w:right w:val="single" w:sz="8" w:space="0" w:color="auto"/>
            </w:tcBorders>
            <w:shd w:val="clear" w:color="000000" w:fill="FFFFFF"/>
          </w:tcPr>
          <w:p w14:paraId="33CA27A0" w14:textId="77777777" w:rsidR="00D614F3" w:rsidRPr="00404724" w:rsidRDefault="00D614F3" w:rsidP="000A13C5">
            <w:pPr>
              <w:spacing w:after="0"/>
              <w:jc w:val="right"/>
              <w:rPr>
                <w:rFonts w:ascii="Calibri" w:eastAsia="Times New Roman" w:hAnsi="Calibri" w:cs="Calibri"/>
                <w:color w:val="000000"/>
                <w:lang w:eastAsia="en-AU"/>
              </w:rPr>
            </w:pPr>
          </w:p>
        </w:tc>
        <w:tc>
          <w:tcPr>
            <w:tcW w:w="1228" w:type="dxa"/>
            <w:tcBorders>
              <w:top w:val="nil"/>
              <w:left w:val="single" w:sz="8" w:space="0" w:color="auto"/>
              <w:bottom w:val="nil"/>
              <w:right w:val="single" w:sz="8" w:space="0" w:color="auto"/>
            </w:tcBorders>
            <w:shd w:val="clear" w:color="000000" w:fill="FFFFFF"/>
          </w:tcPr>
          <w:p w14:paraId="6D5F009C" w14:textId="77777777" w:rsidR="00D614F3" w:rsidRPr="00404724" w:rsidRDefault="00D614F3" w:rsidP="000A13C5">
            <w:pPr>
              <w:spacing w:after="0"/>
              <w:jc w:val="right"/>
              <w:rPr>
                <w:rFonts w:ascii="Calibri" w:eastAsia="Times New Roman" w:hAnsi="Calibri" w:cs="Calibri"/>
                <w:color w:val="000000"/>
                <w:lang w:eastAsia="en-AU"/>
              </w:rPr>
            </w:pPr>
          </w:p>
        </w:tc>
        <w:tc>
          <w:tcPr>
            <w:tcW w:w="1229" w:type="dxa"/>
            <w:tcBorders>
              <w:top w:val="nil"/>
              <w:left w:val="single" w:sz="8" w:space="0" w:color="auto"/>
              <w:bottom w:val="nil"/>
              <w:right w:val="nil"/>
            </w:tcBorders>
            <w:shd w:val="clear" w:color="000000" w:fill="FFFFFF"/>
          </w:tcPr>
          <w:p w14:paraId="70A7588E" w14:textId="77777777" w:rsidR="00D614F3" w:rsidRPr="00404724" w:rsidRDefault="00D614F3" w:rsidP="000A13C5">
            <w:pPr>
              <w:spacing w:after="0"/>
              <w:jc w:val="right"/>
              <w:rPr>
                <w:rFonts w:ascii="Calibri" w:eastAsia="Times New Roman" w:hAnsi="Calibri" w:cs="Calibri"/>
                <w:color w:val="000000"/>
                <w:lang w:eastAsia="en-AU"/>
              </w:rPr>
            </w:pPr>
          </w:p>
        </w:tc>
      </w:tr>
      <w:tr w:rsidR="00D614F3" w:rsidRPr="00404724" w14:paraId="094EDCA5" w14:textId="77777777" w:rsidTr="00D614F3">
        <w:trPr>
          <w:trHeight w:val="330"/>
        </w:trPr>
        <w:tc>
          <w:tcPr>
            <w:tcW w:w="3794" w:type="dxa"/>
            <w:tcBorders>
              <w:top w:val="nil"/>
              <w:left w:val="single" w:sz="8" w:space="0" w:color="auto"/>
              <w:bottom w:val="nil"/>
              <w:right w:val="nil"/>
            </w:tcBorders>
            <w:shd w:val="clear" w:color="000000" w:fill="E4E4E4"/>
            <w:noWrap/>
            <w:hideMark/>
          </w:tcPr>
          <w:p w14:paraId="325D12F6" w14:textId="77777777" w:rsidR="00D614F3" w:rsidRPr="00404724" w:rsidRDefault="00D614F3" w:rsidP="00BB5FCD">
            <w:pPr>
              <w:spacing w:after="0"/>
              <w:rPr>
                <w:rFonts w:ascii="Calibri" w:eastAsia="Times New Roman" w:hAnsi="Calibri" w:cs="Calibri"/>
                <w:i/>
                <w:iCs/>
                <w:color w:val="000000"/>
                <w:lang w:eastAsia="en-AU"/>
              </w:rPr>
            </w:pPr>
            <w:r w:rsidRPr="00404724">
              <w:rPr>
                <w:rFonts w:ascii="Calibri" w:eastAsia="Times New Roman" w:hAnsi="Calibri" w:cs="Calibri"/>
                <w:i/>
                <w:iCs/>
                <w:color w:val="000000"/>
                <w:lang w:eastAsia="en-AU"/>
              </w:rPr>
              <w:t>Value of statistical life</w:t>
            </w:r>
          </w:p>
        </w:tc>
        <w:tc>
          <w:tcPr>
            <w:tcW w:w="1228" w:type="dxa"/>
            <w:tcBorders>
              <w:top w:val="nil"/>
              <w:left w:val="single" w:sz="8" w:space="0" w:color="auto"/>
              <w:bottom w:val="nil"/>
              <w:right w:val="nil"/>
            </w:tcBorders>
            <w:shd w:val="clear" w:color="000000" w:fill="E4E4E4"/>
            <w:noWrap/>
          </w:tcPr>
          <w:p w14:paraId="37AD3957" w14:textId="77777777" w:rsidR="00D614F3" w:rsidRPr="00404724" w:rsidRDefault="00D614F3" w:rsidP="000A13C5">
            <w:pPr>
              <w:spacing w:after="0"/>
              <w:jc w:val="right"/>
              <w:rPr>
                <w:rFonts w:ascii="Calibri" w:eastAsia="Times New Roman" w:hAnsi="Calibri" w:cs="Calibri"/>
                <w:color w:val="000000"/>
                <w:lang w:eastAsia="en-AU"/>
              </w:rPr>
            </w:pPr>
          </w:p>
        </w:tc>
        <w:tc>
          <w:tcPr>
            <w:tcW w:w="1228" w:type="dxa"/>
            <w:tcBorders>
              <w:top w:val="nil"/>
              <w:left w:val="single" w:sz="8" w:space="0" w:color="auto"/>
              <w:bottom w:val="nil"/>
              <w:right w:val="nil"/>
            </w:tcBorders>
            <w:shd w:val="clear" w:color="000000" w:fill="E4E4E4"/>
          </w:tcPr>
          <w:p w14:paraId="0B7D8D82" w14:textId="77777777" w:rsidR="00D614F3" w:rsidRPr="00404724" w:rsidRDefault="00D614F3" w:rsidP="000A13C5">
            <w:pPr>
              <w:spacing w:after="0"/>
              <w:jc w:val="right"/>
              <w:rPr>
                <w:rFonts w:ascii="Calibri" w:eastAsia="Times New Roman" w:hAnsi="Calibri" w:cs="Calibri"/>
                <w:color w:val="000000"/>
                <w:lang w:eastAsia="en-AU"/>
              </w:rPr>
            </w:pPr>
          </w:p>
        </w:tc>
        <w:tc>
          <w:tcPr>
            <w:tcW w:w="1229" w:type="dxa"/>
            <w:gridSpan w:val="2"/>
            <w:tcBorders>
              <w:top w:val="nil"/>
              <w:left w:val="single" w:sz="8" w:space="0" w:color="auto"/>
              <w:bottom w:val="nil"/>
              <w:right w:val="nil"/>
            </w:tcBorders>
            <w:shd w:val="clear" w:color="000000" w:fill="E4E4E4"/>
          </w:tcPr>
          <w:p w14:paraId="6AAA71F7" w14:textId="77777777" w:rsidR="00D614F3" w:rsidRPr="00404724" w:rsidRDefault="00D614F3" w:rsidP="000A13C5">
            <w:pPr>
              <w:spacing w:after="0"/>
              <w:jc w:val="right"/>
              <w:rPr>
                <w:rFonts w:ascii="Calibri" w:eastAsia="Times New Roman" w:hAnsi="Calibri" w:cs="Calibri"/>
                <w:color w:val="000000"/>
                <w:lang w:eastAsia="en-AU"/>
              </w:rPr>
            </w:pPr>
          </w:p>
        </w:tc>
        <w:tc>
          <w:tcPr>
            <w:tcW w:w="1228" w:type="dxa"/>
            <w:tcBorders>
              <w:top w:val="nil"/>
              <w:left w:val="single" w:sz="8" w:space="0" w:color="auto"/>
              <w:bottom w:val="nil"/>
              <w:right w:val="nil"/>
            </w:tcBorders>
            <w:shd w:val="clear" w:color="000000" w:fill="E4E4E4"/>
          </w:tcPr>
          <w:p w14:paraId="27E30459" w14:textId="77777777" w:rsidR="00D614F3" w:rsidRPr="00404724" w:rsidRDefault="00D614F3" w:rsidP="000A13C5">
            <w:pPr>
              <w:spacing w:after="0"/>
              <w:jc w:val="right"/>
              <w:rPr>
                <w:rFonts w:ascii="Calibri" w:eastAsia="Times New Roman" w:hAnsi="Calibri" w:cs="Calibri"/>
                <w:color w:val="000000"/>
                <w:lang w:eastAsia="en-AU"/>
              </w:rPr>
            </w:pPr>
          </w:p>
        </w:tc>
        <w:tc>
          <w:tcPr>
            <w:tcW w:w="1229" w:type="dxa"/>
            <w:tcBorders>
              <w:top w:val="nil"/>
              <w:left w:val="single" w:sz="8" w:space="0" w:color="auto"/>
              <w:bottom w:val="nil"/>
              <w:right w:val="single" w:sz="8" w:space="0" w:color="auto"/>
            </w:tcBorders>
            <w:shd w:val="clear" w:color="000000" w:fill="E4E4E4"/>
          </w:tcPr>
          <w:p w14:paraId="4B2A8839" w14:textId="77777777" w:rsidR="00D614F3" w:rsidRPr="00404724" w:rsidRDefault="00D614F3" w:rsidP="000A13C5">
            <w:pPr>
              <w:spacing w:after="0"/>
              <w:jc w:val="right"/>
              <w:rPr>
                <w:rFonts w:ascii="Calibri" w:eastAsia="Times New Roman" w:hAnsi="Calibri" w:cs="Calibri"/>
                <w:color w:val="000000"/>
                <w:lang w:eastAsia="en-AU"/>
              </w:rPr>
            </w:pPr>
          </w:p>
        </w:tc>
        <w:tc>
          <w:tcPr>
            <w:tcW w:w="1228" w:type="dxa"/>
            <w:gridSpan w:val="2"/>
            <w:tcBorders>
              <w:top w:val="nil"/>
              <w:left w:val="single" w:sz="8" w:space="0" w:color="auto"/>
              <w:bottom w:val="nil"/>
              <w:right w:val="single" w:sz="8" w:space="0" w:color="auto"/>
            </w:tcBorders>
            <w:shd w:val="clear" w:color="000000" w:fill="E4E4E4"/>
          </w:tcPr>
          <w:p w14:paraId="39B8CDE5" w14:textId="77777777" w:rsidR="00D614F3" w:rsidRPr="00404724" w:rsidRDefault="00D614F3" w:rsidP="000A13C5">
            <w:pPr>
              <w:spacing w:after="0"/>
              <w:jc w:val="right"/>
              <w:rPr>
                <w:rFonts w:ascii="Calibri" w:eastAsia="Times New Roman" w:hAnsi="Calibri" w:cs="Calibri"/>
                <w:color w:val="000000"/>
                <w:lang w:eastAsia="en-AU"/>
              </w:rPr>
            </w:pPr>
          </w:p>
        </w:tc>
        <w:tc>
          <w:tcPr>
            <w:tcW w:w="1229" w:type="dxa"/>
            <w:tcBorders>
              <w:top w:val="nil"/>
              <w:left w:val="single" w:sz="8" w:space="0" w:color="auto"/>
              <w:bottom w:val="nil"/>
              <w:right w:val="single" w:sz="8" w:space="0" w:color="auto"/>
            </w:tcBorders>
            <w:shd w:val="clear" w:color="000000" w:fill="E4E4E4"/>
          </w:tcPr>
          <w:p w14:paraId="01BFA635" w14:textId="77777777" w:rsidR="00D614F3" w:rsidRPr="00404724" w:rsidRDefault="00D614F3" w:rsidP="000A13C5">
            <w:pPr>
              <w:spacing w:after="0"/>
              <w:jc w:val="right"/>
              <w:rPr>
                <w:rFonts w:ascii="Calibri" w:eastAsia="Times New Roman" w:hAnsi="Calibri" w:cs="Calibri"/>
                <w:color w:val="000000"/>
                <w:lang w:eastAsia="en-AU"/>
              </w:rPr>
            </w:pPr>
          </w:p>
        </w:tc>
        <w:tc>
          <w:tcPr>
            <w:tcW w:w="1228" w:type="dxa"/>
            <w:tcBorders>
              <w:top w:val="nil"/>
              <w:left w:val="single" w:sz="8" w:space="0" w:color="auto"/>
              <w:bottom w:val="nil"/>
              <w:right w:val="single" w:sz="8" w:space="0" w:color="auto"/>
            </w:tcBorders>
            <w:shd w:val="clear" w:color="000000" w:fill="E4E4E4"/>
          </w:tcPr>
          <w:p w14:paraId="3057F4D4" w14:textId="77777777" w:rsidR="00D614F3" w:rsidRPr="00404724" w:rsidRDefault="00D614F3" w:rsidP="000A13C5">
            <w:pPr>
              <w:spacing w:after="0"/>
              <w:jc w:val="right"/>
              <w:rPr>
                <w:rFonts w:ascii="Calibri" w:eastAsia="Times New Roman" w:hAnsi="Calibri" w:cs="Calibri"/>
                <w:color w:val="000000"/>
                <w:lang w:eastAsia="en-AU"/>
              </w:rPr>
            </w:pPr>
          </w:p>
        </w:tc>
        <w:tc>
          <w:tcPr>
            <w:tcW w:w="1229" w:type="dxa"/>
            <w:tcBorders>
              <w:top w:val="nil"/>
              <w:left w:val="single" w:sz="8" w:space="0" w:color="auto"/>
              <w:bottom w:val="nil"/>
              <w:right w:val="nil"/>
            </w:tcBorders>
            <w:shd w:val="clear" w:color="000000" w:fill="E4E4E4"/>
          </w:tcPr>
          <w:p w14:paraId="39583DFD" w14:textId="77777777" w:rsidR="00D614F3" w:rsidRPr="00404724" w:rsidRDefault="00D614F3" w:rsidP="000A13C5">
            <w:pPr>
              <w:spacing w:after="0"/>
              <w:jc w:val="right"/>
              <w:rPr>
                <w:rFonts w:ascii="Calibri" w:eastAsia="Times New Roman" w:hAnsi="Calibri" w:cs="Calibri"/>
                <w:color w:val="000000"/>
                <w:lang w:eastAsia="en-AU"/>
              </w:rPr>
            </w:pPr>
          </w:p>
        </w:tc>
      </w:tr>
      <w:tr w:rsidR="00D614F3" w:rsidRPr="00404724" w14:paraId="64171FD5" w14:textId="77777777" w:rsidTr="00D614F3">
        <w:trPr>
          <w:trHeight w:val="330"/>
        </w:trPr>
        <w:tc>
          <w:tcPr>
            <w:tcW w:w="3794" w:type="dxa"/>
            <w:tcBorders>
              <w:top w:val="nil"/>
              <w:left w:val="single" w:sz="8" w:space="0" w:color="auto"/>
              <w:bottom w:val="nil"/>
              <w:right w:val="nil"/>
            </w:tcBorders>
            <w:shd w:val="clear" w:color="000000" w:fill="FFFFFF"/>
            <w:noWrap/>
          </w:tcPr>
          <w:p w14:paraId="31734F3A" w14:textId="77777777" w:rsidR="00D614F3" w:rsidRPr="00404724" w:rsidRDefault="00D614F3" w:rsidP="00BB5FCD">
            <w:pPr>
              <w:spacing w:after="0"/>
              <w:ind w:firstLineChars="100" w:firstLine="220"/>
              <w:rPr>
                <w:rFonts w:ascii="Calibri" w:eastAsia="Times New Roman" w:hAnsi="Calibri" w:cs="Calibri"/>
                <w:color w:val="000000"/>
                <w:lang w:eastAsia="en-AU"/>
              </w:rPr>
            </w:pPr>
            <w:r w:rsidRPr="00404724">
              <w:rPr>
                <w:rFonts w:ascii="Calibri" w:eastAsia="Times New Roman" w:hAnsi="Calibri" w:cs="Calibri"/>
                <w:color w:val="000000"/>
                <w:lang w:eastAsia="en-AU"/>
              </w:rPr>
              <w:t>$3,056,003</w:t>
            </w:r>
          </w:p>
        </w:tc>
        <w:tc>
          <w:tcPr>
            <w:tcW w:w="1228" w:type="dxa"/>
            <w:tcBorders>
              <w:top w:val="nil"/>
              <w:left w:val="single" w:sz="8" w:space="0" w:color="auto"/>
              <w:bottom w:val="nil"/>
              <w:right w:val="nil"/>
            </w:tcBorders>
            <w:shd w:val="clear" w:color="000000" w:fill="FFFFFF"/>
            <w:noWrap/>
          </w:tcPr>
          <w:p w14:paraId="2FB34122" w14:textId="77777777" w:rsidR="00D614F3" w:rsidRPr="00404724" w:rsidRDefault="00D614F3" w:rsidP="000A13C5">
            <w:pPr>
              <w:spacing w:after="0"/>
              <w:jc w:val="right"/>
              <w:rPr>
                <w:rFonts w:ascii="Calibri" w:eastAsia="Times New Roman" w:hAnsi="Calibri" w:cs="Calibri"/>
                <w:color w:val="000000"/>
                <w:lang w:eastAsia="en-AU"/>
              </w:rPr>
            </w:pPr>
            <w:r w:rsidRPr="00404724">
              <w:rPr>
                <w:rFonts w:ascii="Calibri" w:eastAsia="Times New Roman" w:hAnsi="Calibri" w:cs="Calibri"/>
                <w:color w:val="000000"/>
                <w:lang w:eastAsia="en-AU"/>
              </w:rPr>
              <w:t>$503.7</w:t>
            </w:r>
          </w:p>
        </w:tc>
        <w:tc>
          <w:tcPr>
            <w:tcW w:w="1228" w:type="dxa"/>
            <w:tcBorders>
              <w:top w:val="nil"/>
              <w:left w:val="single" w:sz="8" w:space="0" w:color="auto"/>
              <w:bottom w:val="nil"/>
              <w:right w:val="nil"/>
            </w:tcBorders>
            <w:shd w:val="clear" w:color="000000" w:fill="FFFFFF"/>
          </w:tcPr>
          <w:p w14:paraId="0AD67FC2" w14:textId="77777777" w:rsidR="00D614F3" w:rsidRPr="00404724" w:rsidRDefault="00D614F3" w:rsidP="000A13C5">
            <w:pPr>
              <w:spacing w:after="0"/>
              <w:jc w:val="right"/>
              <w:rPr>
                <w:rFonts w:ascii="Calibri" w:eastAsia="Times New Roman" w:hAnsi="Calibri" w:cs="Calibri"/>
                <w:color w:val="000000"/>
                <w:lang w:eastAsia="en-AU"/>
              </w:rPr>
            </w:pPr>
            <w:r w:rsidRPr="00404724">
              <w:rPr>
                <w:rFonts w:ascii="Calibri" w:eastAsia="Times New Roman" w:hAnsi="Calibri" w:cs="Calibri"/>
                <w:color w:val="000000"/>
                <w:lang w:eastAsia="en-AU"/>
              </w:rPr>
              <w:t>$1,018.9</w:t>
            </w:r>
          </w:p>
        </w:tc>
        <w:tc>
          <w:tcPr>
            <w:tcW w:w="1229" w:type="dxa"/>
            <w:gridSpan w:val="2"/>
            <w:tcBorders>
              <w:top w:val="nil"/>
              <w:left w:val="single" w:sz="8" w:space="0" w:color="auto"/>
              <w:bottom w:val="nil"/>
              <w:right w:val="nil"/>
            </w:tcBorders>
            <w:shd w:val="clear" w:color="000000" w:fill="FFFFFF"/>
          </w:tcPr>
          <w:p w14:paraId="61EFF71D" w14:textId="77777777" w:rsidR="00D614F3" w:rsidRPr="00404724" w:rsidRDefault="00D614F3" w:rsidP="000A13C5">
            <w:pPr>
              <w:spacing w:after="0"/>
              <w:jc w:val="right"/>
              <w:rPr>
                <w:rFonts w:ascii="Calibri" w:hAnsi="Calibri" w:cs="Calibri"/>
              </w:rPr>
            </w:pPr>
            <w:r w:rsidRPr="00404724">
              <w:rPr>
                <w:rFonts w:ascii="Calibri" w:hAnsi="Calibri" w:cs="Calibri"/>
              </w:rPr>
              <w:t>$1,194.9</w:t>
            </w:r>
          </w:p>
        </w:tc>
        <w:tc>
          <w:tcPr>
            <w:tcW w:w="1228" w:type="dxa"/>
            <w:tcBorders>
              <w:top w:val="nil"/>
              <w:left w:val="single" w:sz="8" w:space="0" w:color="auto"/>
              <w:bottom w:val="nil"/>
              <w:right w:val="nil"/>
            </w:tcBorders>
            <w:shd w:val="clear" w:color="000000" w:fill="FFFFFF"/>
          </w:tcPr>
          <w:p w14:paraId="4DE7F1DF" w14:textId="77777777" w:rsidR="00D614F3" w:rsidRPr="00404724" w:rsidRDefault="00D614F3" w:rsidP="000A13C5">
            <w:pPr>
              <w:spacing w:after="0"/>
              <w:jc w:val="right"/>
              <w:rPr>
                <w:rFonts w:ascii="Calibri" w:hAnsi="Calibri" w:cs="Calibri"/>
              </w:rPr>
            </w:pPr>
            <w:r w:rsidRPr="00404724">
              <w:rPr>
                <w:rFonts w:ascii="Calibri" w:hAnsi="Calibri" w:cs="Calibri"/>
              </w:rPr>
              <w:t>$978.7</w:t>
            </w:r>
          </w:p>
        </w:tc>
        <w:tc>
          <w:tcPr>
            <w:tcW w:w="1229" w:type="dxa"/>
            <w:tcBorders>
              <w:top w:val="nil"/>
              <w:left w:val="single" w:sz="8" w:space="0" w:color="auto"/>
              <w:bottom w:val="nil"/>
              <w:right w:val="single" w:sz="8" w:space="0" w:color="auto"/>
            </w:tcBorders>
            <w:shd w:val="clear" w:color="000000" w:fill="FFFFFF"/>
          </w:tcPr>
          <w:p w14:paraId="5636C5C9" w14:textId="77777777" w:rsidR="00D614F3" w:rsidRPr="00404724" w:rsidRDefault="00D614F3" w:rsidP="000A13C5">
            <w:pPr>
              <w:spacing w:after="0"/>
              <w:jc w:val="right"/>
              <w:rPr>
                <w:rFonts w:ascii="Calibri" w:hAnsi="Calibri" w:cs="Calibri"/>
              </w:rPr>
            </w:pPr>
            <w:r w:rsidRPr="00404724">
              <w:rPr>
                <w:rFonts w:ascii="Calibri" w:hAnsi="Calibri" w:cs="Calibri"/>
              </w:rPr>
              <w:t>$1,957.4</w:t>
            </w:r>
          </w:p>
        </w:tc>
        <w:tc>
          <w:tcPr>
            <w:tcW w:w="1228" w:type="dxa"/>
            <w:gridSpan w:val="2"/>
            <w:tcBorders>
              <w:top w:val="nil"/>
              <w:left w:val="single" w:sz="8" w:space="0" w:color="auto"/>
              <w:bottom w:val="nil"/>
              <w:right w:val="single" w:sz="8" w:space="0" w:color="auto"/>
            </w:tcBorders>
            <w:shd w:val="clear" w:color="000000" w:fill="FFFFFF"/>
          </w:tcPr>
          <w:p w14:paraId="0E4E9EB1" w14:textId="77777777" w:rsidR="00D614F3" w:rsidRPr="00404724" w:rsidRDefault="00D614F3" w:rsidP="000A13C5">
            <w:pPr>
              <w:spacing w:after="0"/>
              <w:jc w:val="right"/>
              <w:rPr>
                <w:rFonts w:ascii="Calibri" w:hAnsi="Calibri" w:cs="Calibri"/>
              </w:rPr>
            </w:pPr>
            <w:r w:rsidRPr="00404724">
              <w:rPr>
                <w:rFonts w:ascii="Calibri" w:hAnsi="Calibri" w:cs="Calibri"/>
              </w:rPr>
              <w:t>$1,804.1</w:t>
            </w:r>
          </w:p>
        </w:tc>
        <w:tc>
          <w:tcPr>
            <w:tcW w:w="1229" w:type="dxa"/>
            <w:tcBorders>
              <w:top w:val="nil"/>
              <w:left w:val="single" w:sz="8" w:space="0" w:color="auto"/>
              <w:bottom w:val="nil"/>
              <w:right w:val="single" w:sz="8" w:space="0" w:color="auto"/>
            </w:tcBorders>
            <w:shd w:val="clear" w:color="000000" w:fill="FFFFFF"/>
          </w:tcPr>
          <w:p w14:paraId="792AAAA3" w14:textId="77777777" w:rsidR="00D614F3" w:rsidRPr="00404724" w:rsidRDefault="00D614F3" w:rsidP="000A13C5">
            <w:pPr>
              <w:spacing w:after="0"/>
              <w:jc w:val="right"/>
              <w:rPr>
                <w:rFonts w:ascii="Calibri" w:hAnsi="Calibri" w:cs="Calibri"/>
              </w:rPr>
            </w:pPr>
            <w:r w:rsidRPr="00404724">
              <w:rPr>
                <w:rFonts w:ascii="Calibri" w:hAnsi="Calibri" w:cs="Calibri"/>
              </w:rPr>
              <w:t>$1,232.1</w:t>
            </w:r>
          </w:p>
        </w:tc>
        <w:tc>
          <w:tcPr>
            <w:tcW w:w="1228" w:type="dxa"/>
            <w:tcBorders>
              <w:top w:val="nil"/>
              <w:left w:val="single" w:sz="8" w:space="0" w:color="auto"/>
              <w:bottom w:val="nil"/>
              <w:right w:val="single" w:sz="8" w:space="0" w:color="auto"/>
            </w:tcBorders>
            <w:shd w:val="clear" w:color="000000" w:fill="FFFFFF"/>
          </w:tcPr>
          <w:p w14:paraId="74E13436" w14:textId="77777777" w:rsidR="00D614F3" w:rsidRPr="00404724" w:rsidRDefault="00D614F3" w:rsidP="000A13C5">
            <w:pPr>
              <w:spacing w:after="0"/>
              <w:jc w:val="right"/>
              <w:rPr>
                <w:rFonts w:ascii="Calibri" w:hAnsi="Calibri" w:cs="Calibri"/>
              </w:rPr>
            </w:pPr>
            <w:r w:rsidRPr="00404724">
              <w:rPr>
                <w:rFonts w:ascii="Calibri" w:hAnsi="Calibri" w:cs="Calibri"/>
              </w:rPr>
              <w:t>$2,472.3</w:t>
            </w:r>
          </w:p>
        </w:tc>
        <w:tc>
          <w:tcPr>
            <w:tcW w:w="1229" w:type="dxa"/>
            <w:tcBorders>
              <w:top w:val="nil"/>
              <w:left w:val="single" w:sz="8" w:space="0" w:color="auto"/>
              <w:bottom w:val="nil"/>
              <w:right w:val="nil"/>
            </w:tcBorders>
            <w:shd w:val="clear" w:color="000000" w:fill="FFFFFF"/>
          </w:tcPr>
          <w:p w14:paraId="7E9CE556" w14:textId="77777777" w:rsidR="00D614F3" w:rsidRPr="00404724" w:rsidRDefault="00D614F3" w:rsidP="000A13C5">
            <w:pPr>
              <w:spacing w:after="0"/>
              <w:jc w:val="right"/>
              <w:rPr>
                <w:rFonts w:ascii="Calibri" w:hAnsi="Calibri" w:cs="Calibri"/>
              </w:rPr>
            </w:pPr>
            <w:r w:rsidRPr="00404724">
              <w:rPr>
                <w:rFonts w:ascii="Calibri" w:hAnsi="Calibri" w:cs="Calibri"/>
              </w:rPr>
              <w:t>$1,500.9</w:t>
            </w:r>
          </w:p>
        </w:tc>
      </w:tr>
      <w:tr w:rsidR="00D614F3" w:rsidRPr="00404724" w14:paraId="7BBC0C62" w14:textId="77777777" w:rsidTr="00D614F3">
        <w:trPr>
          <w:trHeight w:val="330"/>
        </w:trPr>
        <w:tc>
          <w:tcPr>
            <w:tcW w:w="3794" w:type="dxa"/>
            <w:tcBorders>
              <w:top w:val="nil"/>
              <w:left w:val="single" w:sz="8" w:space="0" w:color="auto"/>
              <w:bottom w:val="nil"/>
              <w:right w:val="nil"/>
            </w:tcBorders>
            <w:shd w:val="clear" w:color="000000" w:fill="FFFFFF"/>
            <w:noWrap/>
          </w:tcPr>
          <w:p w14:paraId="662D1780" w14:textId="77777777" w:rsidR="00D614F3" w:rsidRPr="00404724" w:rsidRDefault="00D614F3" w:rsidP="00BB5FCD">
            <w:pPr>
              <w:spacing w:after="0"/>
              <w:ind w:firstLineChars="100" w:firstLine="220"/>
              <w:rPr>
                <w:rFonts w:ascii="Calibri" w:eastAsia="Times New Roman" w:hAnsi="Calibri" w:cs="Calibri"/>
                <w:color w:val="000000"/>
                <w:lang w:eastAsia="en-AU"/>
              </w:rPr>
            </w:pPr>
          </w:p>
        </w:tc>
        <w:tc>
          <w:tcPr>
            <w:tcW w:w="1228" w:type="dxa"/>
            <w:tcBorders>
              <w:top w:val="nil"/>
              <w:left w:val="single" w:sz="8" w:space="0" w:color="auto"/>
              <w:bottom w:val="nil"/>
              <w:right w:val="nil"/>
            </w:tcBorders>
            <w:shd w:val="clear" w:color="000000" w:fill="FFFFFF"/>
            <w:noWrap/>
          </w:tcPr>
          <w:p w14:paraId="6AEB83A1" w14:textId="77777777" w:rsidR="00D614F3" w:rsidRPr="00404724" w:rsidRDefault="00D614F3" w:rsidP="000A13C5">
            <w:pPr>
              <w:spacing w:after="0"/>
              <w:jc w:val="right"/>
              <w:rPr>
                <w:rFonts w:ascii="Calibri" w:eastAsia="Times New Roman" w:hAnsi="Calibri" w:cs="Calibri"/>
                <w:color w:val="000000"/>
                <w:lang w:eastAsia="en-AU"/>
              </w:rPr>
            </w:pPr>
          </w:p>
        </w:tc>
        <w:tc>
          <w:tcPr>
            <w:tcW w:w="1228" w:type="dxa"/>
            <w:tcBorders>
              <w:top w:val="nil"/>
              <w:left w:val="single" w:sz="8" w:space="0" w:color="auto"/>
              <w:bottom w:val="nil"/>
              <w:right w:val="nil"/>
            </w:tcBorders>
            <w:shd w:val="clear" w:color="000000" w:fill="FFFFFF"/>
          </w:tcPr>
          <w:p w14:paraId="6825BA89" w14:textId="77777777" w:rsidR="00D614F3" w:rsidRPr="00404724" w:rsidRDefault="00D614F3" w:rsidP="000A13C5">
            <w:pPr>
              <w:spacing w:after="0"/>
              <w:jc w:val="right"/>
              <w:rPr>
                <w:rFonts w:ascii="Calibri" w:eastAsia="Times New Roman" w:hAnsi="Calibri" w:cs="Calibri"/>
                <w:color w:val="000000"/>
                <w:lang w:eastAsia="en-AU"/>
              </w:rPr>
            </w:pPr>
          </w:p>
        </w:tc>
        <w:tc>
          <w:tcPr>
            <w:tcW w:w="1229" w:type="dxa"/>
            <w:gridSpan w:val="2"/>
            <w:tcBorders>
              <w:top w:val="nil"/>
              <w:left w:val="single" w:sz="8" w:space="0" w:color="auto"/>
              <w:bottom w:val="nil"/>
              <w:right w:val="nil"/>
            </w:tcBorders>
            <w:shd w:val="clear" w:color="000000" w:fill="FFFFFF"/>
          </w:tcPr>
          <w:p w14:paraId="0A720E23" w14:textId="77777777" w:rsidR="00D614F3" w:rsidRPr="00404724" w:rsidRDefault="00D614F3" w:rsidP="000A13C5">
            <w:pPr>
              <w:spacing w:after="0"/>
              <w:jc w:val="right"/>
              <w:rPr>
                <w:rFonts w:ascii="Calibri" w:hAnsi="Calibri" w:cs="Calibri"/>
              </w:rPr>
            </w:pPr>
          </w:p>
        </w:tc>
        <w:tc>
          <w:tcPr>
            <w:tcW w:w="1228" w:type="dxa"/>
            <w:tcBorders>
              <w:top w:val="nil"/>
              <w:left w:val="single" w:sz="8" w:space="0" w:color="auto"/>
              <w:bottom w:val="nil"/>
              <w:right w:val="nil"/>
            </w:tcBorders>
            <w:shd w:val="clear" w:color="000000" w:fill="FFFFFF"/>
          </w:tcPr>
          <w:p w14:paraId="54950B90" w14:textId="77777777" w:rsidR="00D614F3" w:rsidRPr="00404724" w:rsidRDefault="00D614F3" w:rsidP="000A13C5">
            <w:pPr>
              <w:spacing w:after="0"/>
              <w:jc w:val="right"/>
              <w:rPr>
                <w:rFonts w:ascii="Calibri" w:hAnsi="Calibri" w:cs="Calibri"/>
              </w:rPr>
            </w:pPr>
          </w:p>
        </w:tc>
        <w:tc>
          <w:tcPr>
            <w:tcW w:w="1229" w:type="dxa"/>
            <w:tcBorders>
              <w:top w:val="nil"/>
              <w:left w:val="single" w:sz="8" w:space="0" w:color="auto"/>
              <w:bottom w:val="nil"/>
              <w:right w:val="single" w:sz="8" w:space="0" w:color="auto"/>
            </w:tcBorders>
            <w:shd w:val="clear" w:color="000000" w:fill="FFFFFF"/>
          </w:tcPr>
          <w:p w14:paraId="74E96BA6" w14:textId="77777777" w:rsidR="00D614F3" w:rsidRPr="00404724" w:rsidRDefault="00D614F3" w:rsidP="000A13C5">
            <w:pPr>
              <w:spacing w:after="0"/>
              <w:jc w:val="right"/>
              <w:rPr>
                <w:rFonts w:ascii="Calibri" w:hAnsi="Calibri" w:cs="Calibri"/>
              </w:rPr>
            </w:pPr>
          </w:p>
        </w:tc>
        <w:tc>
          <w:tcPr>
            <w:tcW w:w="1228" w:type="dxa"/>
            <w:gridSpan w:val="2"/>
            <w:tcBorders>
              <w:top w:val="nil"/>
              <w:left w:val="single" w:sz="8" w:space="0" w:color="auto"/>
              <w:bottom w:val="nil"/>
              <w:right w:val="single" w:sz="8" w:space="0" w:color="auto"/>
            </w:tcBorders>
            <w:shd w:val="clear" w:color="000000" w:fill="FFFFFF"/>
          </w:tcPr>
          <w:p w14:paraId="39D3C56D" w14:textId="77777777" w:rsidR="00D614F3" w:rsidRPr="00404724" w:rsidRDefault="00D614F3" w:rsidP="000A13C5">
            <w:pPr>
              <w:spacing w:after="0"/>
              <w:jc w:val="right"/>
              <w:rPr>
                <w:rFonts w:ascii="Calibri" w:hAnsi="Calibri" w:cs="Calibri"/>
              </w:rPr>
            </w:pPr>
          </w:p>
        </w:tc>
        <w:tc>
          <w:tcPr>
            <w:tcW w:w="1229" w:type="dxa"/>
            <w:tcBorders>
              <w:top w:val="nil"/>
              <w:left w:val="single" w:sz="8" w:space="0" w:color="auto"/>
              <w:bottom w:val="nil"/>
              <w:right w:val="single" w:sz="8" w:space="0" w:color="auto"/>
            </w:tcBorders>
            <w:shd w:val="clear" w:color="000000" w:fill="FFFFFF"/>
          </w:tcPr>
          <w:p w14:paraId="0C49C5D6" w14:textId="77777777" w:rsidR="00D614F3" w:rsidRPr="00404724" w:rsidRDefault="00D614F3" w:rsidP="000A13C5">
            <w:pPr>
              <w:spacing w:after="0"/>
              <w:jc w:val="right"/>
              <w:rPr>
                <w:rFonts w:ascii="Calibri" w:hAnsi="Calibri" w:cs="Calibri"/>
              </w:rPr>
            </w:pPr>
          </w:p>
        </w:tc>
        <w:tc>
          <w:tcPr>
            <w:tcW w:w="1228" w:type="dxa"/>
            <w:tcBorders>
              <w:top w:val="nil"/>
              <w:left w:val="single" w:sz="8" w:space="0" w:color="auto"/>
              <w:bottom w:val="nil"/>
              <w:right w:val="single" w:sz="8" w:space="0" w:color="auto"/>
            </w:tcBorders>
            <w:shd w:val="clear" w:color="000000" w:fill="FFFFFF"/>
          </w:tcPr>
          <w:p w14:paraId="0537510D" w14:textId="77777777" w:rsidR="00D614F3" w:rsidRPr="00404724" w:rsidRDefault="00D614F3" w:rsidP="000A13C5">
            <w:pPr>
              <w:spacing w:after="0"/>
              <w:jc w:val="right"/>
              <w:rPr>
                <w:rFonts w:ascii="Calibri" w:hAnsi="Calibri" w:cs="Calibri"/>
              </w:rPr>
            </w:pPr>
          </w:p>
        </w:tc>
        <w:tc>
          <w:tcPr>
            <w:tcW w:w="1229" w:type="dxa"/>
            <w:tcBorders>
              <w:top w:val="nil"/>
              <w:left w:val="single" w:sz="8" w:space="0" w:color="auto"/>
              <w:bottom w:val="nil"/>
              <w:right w:val="nil"/>
            </w:tcBorders>
            <w:shd w:val="clear" w:color="000000" w:fill="FFFFFF"/>
          </w:tcPr>
          <w:p w14:paraId="362D1CF1" w14:textId="77777777" w:rsidR="00D614F3" w:rsidRPr="00404724" w:rsidRDefault="00D614F3" w:rsidP="000A13C5">
            <w:pPr>
              <w:spacing w:after="0"/>
              <w:jc w:val="right"/>
              <w:rPr>
                <w:rFonts w:ascii="Calibri" w:hAnsi="Calibri" w:cs="Calibri"/>
              </w:rPr>
            </w:pPr>
          </w:p>
        </w:tc>
      </w:tr>
      <w:tr w:rsidR="00D614F3" w:rsidRPr="00404724" w14:paraId="3336F757" w14:textId="77777777" w:rsidTr="00D614F3">
        <w:trPr>
          <w:trHeight w:val="330"/>
        </w:trPr>
        <w:tc>
          <w:tcPr>
            <w:tcW w:w="3794" w:type="dxa"/>
            <w:tcBorders>
              <w:top w:val="nil"/>
              <w:left w:val="single" w:sz="8" w:space="0" w:color="auto"/>
              <w:bottom w:val="nil"/>
              <w:right w:val="nil"/>
            </w:tcBorders>
            <w:shd w:val="clear" w:color="auto" w:fill="D9D9D9" w:themeFill="background1" w:themeFillShade="D9"/>
            <w:noWrap/>
          </w:tcPr>
          <w:p w14:paraId="78340CB3" w14:textId="77777777" w:rsidR="00D614F3" w:rsidRPr="00404724" w:rsidRDefault="00D614F3" w:rsidP="00BB5FCD">
            <w:pPr>
              <w:spacing w:after="0"/>
              <w:rPr>
                <w:rFonts w:ascii="Calibri" w:eastAsia="Times New Roman" w:hAnsi="Calibri" w:cs="Calibri"/>
                <w:color w:val="000000"/>
                <w:lang w:eastAsia="en-AU"/>
              </w:rPr>
            </w:pPr>
            <w:r w:rsidRPr="00404724">
              <w:rPr>
                <w:rFonts w:ascii="Calibri" w:eastAsia="Times New Roman" w:hAnsi="Calibri" w:cs="Calibri"/>
                <w:i/>
                <w:iCs/>
                <w:color w:val="000000"/>
                <w:lang w:eastAsia="en-AU"/>
              </w:rPr>
              <w:t>Inclusion of minor injuries</w:t>
            </w:r>
          </w:p>
        </w:tc>
        <w:tc>
          <w:tcPr>
            <w:tcW w:w="1228" w:type="dxa"/>
            <w:tcBorders>
              <w:top w:val="nil"/>
              <w:left w:val="single" w:sz="8" w:space="0" w:color="auto"/>
              <w:bottom w:val="nil"/>
              <w:right w:val="nil"/>
            </w:tcBorders>
            <w:shd w:val="clear" w:color="auto" w:fill="D9D9D9" w:themeFill="background1" w:themeFillShade="D9"/>
            <w:noWrap/>
          </w:tcPr>
          <w:p w14:paraId="7FD82E07" w14:textId="77777777" w:rsidR="00D614F3" w:rsidRPr="00404724" w:rsidRDefault="00D614F3" w:rsidP="000A13C5">
            <w:pPr>
              <w:spacing w:after="0"/>
              <w:jc w:val="right"/>
              <w:rPr>
                <w:rFonts w:ascii="Calibri" w:eastAsia="Times New Roman" w:hAnsi="Calibri" w:cs="Calibri"/>
                <w:color w:val="000000"/>
                <w:lang w:eastAsia="en-AU"/>
              </w:rPr>
            </w:pPr>
          </w:p>
        </w:tc>
        <w:tc>
          <w:tcPr>
            <w:tcW w:w="1228" w:type="dxa"/>
            <w:tcBorders>
              <w:top w:val="nil"/>
              <w:left w:val="single" w:sz="8" w:space="0" w:color="auto"/>
              <w:bottom w:val="nil"/>
              <w:right w:val="nil"/>
            </w:tcBorders>
            <w:shd w:val="clear" w:color="auto" w:fill="D9D9D9" w:themeFill="background1" w:themeFillShade="D9"/>
          </w:tcPr>
          <w:p w14:paraId="236ABE40" w14:textId="77777777" w:rsidR="00D614F3" w:rsidRPr="00404724" w:rsidRDefault="00D614F3" w:rsidP="000A13C5">
            <w:pPr>
              <w:spacing w:after="0"/>
              <w:jc w:val="right"/>
              <w:rPr>
                <w:rFonts w:ascii="Calibri" w:eastAsia="Times New Roman" w:hAnsi="Calibri" w:cs="Calibri"/>
                <w:color w:val="000000"/>
                <w:lang w:eastAsia="en-AU"/>
              </w:rPr>
            </w:pPr>
          </w:p>
        </w:tc>
        <w:tc>
          <w:tcPr>
            <w:tcW w:w="1229" w:type="dxa"/>
            <w:gridSpan w:val="2"/>
            <w:tcBorders>
              <w:top w:val="nil"/>
              <w:left w:val="single" w:sz="8" w:space="0" w:color="auto"/>
              <w:bottom w:val="nil"/>
              <w:right w:val="nil"/>
            </w:tcBorders>
            <w:shd w:val="clear" w:color="auto" w:fill="D9D9D9" w:themeFill="background1" w:themeFillShade="D9"/>
          </w:tcPr>
          <w:p w14:paraId="511172E4" w14:textId="77777777" w:rsidR="00D614F3" w:rsidRPr="00404724" w:rsidRDefault="00D614F3" w:rsidP="000A13C5">
            <w:pPr>
              <w:spacing w:after="0"/>
              <w:jc w:val="right"/>
              <w:rPr>
                <w:rFonts w:ascii="Calibri" w:hAnsi="Calibri" w:cs="Calibri"/>
              </w:rPr>
            </w:pPr>
          </w:p>
        </w:tc>
        <w:tc>
          <w:tcPr>
            <w:tcW w:w="1228" w:type="dxa"/>
            <w:tcBorders>
              <w:top w:val="nil"/>
              <w:left w:val="single" w:sz="8" w:space="0" w:color="auto"/>
              <w:bottom w:val="nil"/>
              <w:right w:val="nil"/>
            </w:tcBorders>
            <w:shd w:val="clear" w:color="auto" w:fill="D9D9D9" w:themeFill="background1" w:themeFillShade="D9"/>
          </w:tcPr>
          <w:p w14:paraId="25718646" w14:textId="77777777" w:rsidR="00D614F3" w:rsidRPr="00404724" w:rsidRDefault="00D614F3" w:rsidP="000A13C5">
            <w:pPr>
              <w:spacing w:after="0"/>
              <w:jc w:val="right"/>
              <w:rPr>
                <w:rFonts w:ascii="Calibri" w:hAnsi="Calibri" w:cs="Calibri"/>
              </w:rPr>
            </w:pPr>
          </w:p>
        </w:tc>
        <w:tc>
          <w:tcPr>
            <w:tcW w:w="1229" w:type="dxa"/>
            <w:tcBorders>
              <w:top w:val="nil"/>
              <w:left w:val="single" w:sz="8" w:space="0" w:color="auto"/>
              <w:bottom w:val="nil"/>
              <w:right w:val="single" w:sz="8" w:space="0" w:color="auto"/>
            </w:tcBorders>
            <w:shd w:val="clear" w:color="auto" w:fill="D9D9D9" w:themeFill="background1" w:themeFillShade="D9"/>
          </w:tcPr>
          <w:p w14:paraId="0F38DF0F" w14:textId="77777777" w:rsidR="00D614F3" w:rsidRPr="00404724" w:rsidRDefault="00D614F3" w:rsidP="000A13C5">
            <w:pPr>
              <w:spacing w:after="0"/>
              <w:jc w:val="right"/>
              <w:rPr>
                <w:rFonts w:ascii="Calibri" w:hAnsi="Calibri" w:cs="Calibri"/>
              </w:rPr>
            </w:pPr>
          </w:p>
        </w:tc>
        <w:tc>
          <w:tcPr>
            <w:tcW w:w="1228" w:type="dxa"/>
            <w:gridSpan w:val="2"/>
            <w:tcBorders>
              <w:top w:val="nil"/>
              <w:left w:val="single" w:sz="8" w:space="0" w:color="auto"/>
              <w:bottom w:val="nil"/>
              <w:right w:val="single" w:sz="8" w:space="0" w:color="auto"/>
            </w:tcBorders>
            <w:shd w:val="clear" w:color="auto" w:fill="D9D9D9" w:themeFill="background1" w:themeFillShade="D9"/>
          </w:tcPr>
          <w:p w14:paraId="13D1FBB3" w14:textId="77777777" w:rsidR="00D614F3" w:rsidRPr="00404724" w:rsidRDefault="00D614F3" w:rsidP="000A13C5">
            <w:pPr>
              <w:spacing w:after="0"/>
              <w:jc w:val="right"/>
              <w:rPr>
                <w:rFonts w:ascii="Calibri" w:hAnsi="Calibri" w:cs="Calibri"/>
              </w:rPr>
            </w:pPr>
          </w:p>
        </w:tc>
        <w:tc>
          <w:tcPr>
            <w:tcW w:w="1229" w:type="dxa"/>
            <w:tcBorders>
              <w:top w:val="nil"/>
              <w:left w:val="single" w:sz="8" w:space="0" w:color="auto"/>
              <w:bottom w:val="nil"/>
              <w:right w:val="single" w:sz="8" w:space="0" w:color="auto"/>
            </w:tcBorders>
            <w:shd w:val="clear" w:color="auto" w:fill="D9D9D9" w:themeFill="background1" w:themeFillShade="D9"/>
          </w:tcPr>
          <w:p w14:paraId="79B1ACCF" w14:textId="77777777" w:rsidR="00D614F3" w:rsidRPr="00404724" w:rsidRDefault="00D614F3" w:rsidP="000A13C5">
            <w:pPr>
              <w:spacing w:after="0"/>
              <w:jc w:val="right"/>
              <w:rPr>
                <w:rFonts w:ascii="Calibri" w:hAnsi="Calibri" w:cs="Calibri"/>
              </w:rPr>
            </w:pPr>
          </w:p>
        </w:tc>
        <w:tc>
          <w:tcPr>
            <w:tcW w:w="1228" w:type="dxa"/>
            <w:tcBorders>
              <w:top w:val="nil"/>
              <w:left w:val="single" w:sz="8" w:space="0" w:color="auto"/>
              <w:bottom w:val="nil"/>
              <w:right w:val="single" w:sz="8" w:space="0" w:color="auto"/>
            </w:tcBorders>
            <w:shd w:val="clear" w:color="auto" w:fill="D9D9D9" w:themeFill="background1" w:themeFillShade="D9"/>
          </w:tcPr>
          <w:p w14:paraId="303F768A" w14:textId="77777777" w:rsidR="00D614F3" w:rsidRPr="00404724" w:rsidRDefault="00D614F3" w:rsidP="000A13C5">
            <w:pPr>
              <w:spacing w:after="0"/>
              <w:jc w:val="right"/>
              <w:rPr>
                <w:rFonts w:ascii="Calibri" w:hAnsi="Calibri" w:cs="Calibri"/>
              </w:rPr>
            </w:pPr>
          </w:p>
        </w:tc>
        <w:tc>
          <w:tcPr>
            <w:tcW w:w="1229" w:type="dxa"/>
            <w:tcBorders>
              <w:top w:val="nil"/>
              <w:left w:val="single" w:sz="8" w:space="0" w:color="auto"/>
              <w:bottom w:val="nil"/>
              <w:right w:val="nil"/>
            </w:tcBorders>
            <w:shd w:val="clear" w:color="auto" w:fill="D9D9D9" w:themeFill="background1" w:themeFillShade="D9"/>
          </w:tcPr>
          <w:p w14:paraId="0DB350FF" w14:textId="77777777" w:rsidR="00D614F3" w:rsidRPr="00404724" w:rsidRDefault="00D614F3" w:rsidP="000A13C5">
            <w:pPr>
              <w:spacing w:after="0"/>
              <w:jc w:val="right"/>
              <w:rPr>
                <w:rFonts w:ascii="Calibri" w:hAnsi="Calibri" w:cs="Calibri"/>
              </w:rPr>
            </w:pPr>
          </w:p>
        </w:tc>
      </w:tr>
      <w:tr w:rsidR="00D614F3" w:rsidRPr="00404724" w14:paraId="15822FC0" w14:textId="77777777" w:rsidTr="00D614F3">
        <w:trPr>
          <w:trHeight w:val="330"/>
        </w:trPr>
        <w:tc>
          <w:tcPr>
            <w:tcW w:w="3794" w:type="dxa"/>
            <w:tcBorders>
              <w:top w:val="nil"/>
              <w:left w:val="single" w:sz="8" w:space="0" w:color="auto"/>
              <w:bottom w:val="nil"/>
              <w:right w:val="nil"/>
            </w:tcBorders>
            <w:shd w:val="clear" w:color="000000" w:fill="FFFFFF"/>
            <w:noWrap/>
          </w:tcPr>
          <w:p w14:paraId="5EBBA0FE" w14:textId="77777777" w:rsidR="00D614F3" w:rsidRPr="00404724" w:rsidRDefault="00D614F3" w:rsidP="00BB5FCD">
            <w:pPr>
              <w:spacing w:after="0"/>
              <w:ind w:firstLineChars="100" w:firstLine="220"/>
              <w:rPr>
                <w:rFonts w:ascii="Calibri" w:eastAsia="Times New Roman" w:hAnsi="Calibri" w:cs="Calibri"/>
                <w:color w:val="000000"/>
                <w:lang w:eastAsia="en-AU"/>
              </w:rPr>
            </w:pPr>
            <w:r w:rsidRPr="00404724">
              <w:rPr>
                <w:rFonts w:ascii="Calibri" w:eastAsia="Times New Roman" w:hAnsi="Calibri" w:cs="Calibri"/>
                <w:color w:val="000000"/>
                <w:lang w:eastAsia="en-AU"/>
              </w:rPr>
              <w:t>Including minor injuries</w:t>
            </w:r>
          </w:p>
        </w:tc>
        <w:tc>
          <w:tcPr>
            <w:tcW w:w="1228" w:type="dxa"/>
            <w:tcBorders>
              <w:top w:val="nil"/>
              <w:left w:val="single" w:sz="8" w:space="0" w:color="auto"/>
              <w:bottom w:val="nil"/>
              <w:right w:val="nil"/>
            </w:tcBorders>
            <w:shd w:val="clear" w:color="000000" w:fill="FFFFFF"/>
            <w:noWrap/>
          </w:tcPr>
          <w:p w14:paraId="5F1C08B0" w14:textId="77777777" w:rsidR="00D614F3" w:rsidRPr="00404724" w:rsidRDefault="00D614F3" w:rsidP="000A13C5">
            <w:pPr>
              <w:spacing w:after="0"/>
              <w:jc w:val="right"/>
              <w:rPr>
                <w:rFonts w:ascii="Calibri" w:eastAsia="Times New Roman" w:hAnsi="Calibri" w:cs="Calibri"/>
                <w:color w:val="000000"/>
                <w:lang w:eastAsia="en-AU"/>
              </w:rPr>
            </w:pPr>
            <w:r w:rsidRPr="00404724">
              <w:rPr>
                <w:rFonts w:ascii="Calibri" w:eastAsia="Times New Roman" w:hAnsi="Calibri" w:cs="Calibri"/>
                <w:color w:val="000000"/>
                <w:lang w:eastAsia="en-AU"/>
              </w:rPr>
              <w:t>$742.4</w:t>
            </w:r>
          </w:p>
        </w:tc>
        <w:tc>
          <w:tcPr>
            <w:tcW w:w="1228" w:type="dxa"/>
            <w:tcBorders>
              <w:top w:val="nil"/>
              <w:left w:val="single" w:sz="8" w:space="0" w:color="auto"/>
              <w:bottom w:val="nil"/>
              <w:right w:val="nil"/>
            </w:tcBorders>
            <w:shd w:val="clear" w:color="000000" w:fill="FFFFFF"/>
          </w:tcPr>
          <w:p w14:paraId="51862EAA" w14:textId="77777777" w:rsidR="00D614F3" w:rsidRPr="00404724" w:rsidRDefault="00D614F3" w:rsidP="000A13C5">
            <w:pPr>
              <w:spacing w:after="0"/>
              <w:jc w:val="right"/>
              <w:rPr>
                <w:rFonts w:ascii="Calibri" w:eastAsia="Times New Roman" w:hAnsi="Calibri" w:cs="Calibri"/>
                <w:color w:val="000000"/>
                <w:lang w:eastAsia="en-AU"/>
              </w:rPr>
            </w:pPr>
            <w:r w:rsidRPr="00404724">
              <w:rPr>
                <w:rFonts w:ascii="Calibri" w:eastAsia="Times New Roman" w:hAnsi="Calibri" w:cs="Calibri"/>
                <w:color w:val="000000"/>
                <w:lang w:eastAsia="en-AU"/>
              </w:rPr>
              <w:t>$1,496.3</w:t>
            </w:r>
          </w:p>
        </w:tc>
        <w:tc>
          <w:tcPr>
            <w:tcW w:w="1229" w:type="dxa"/>
            <w:gridSpan w:val="2"/>
            <w:tcBorders>
              <w:top w:val="nil"/>
              <w:left w:val="single" w:sz="8" w:space="0" w:color="auto"/>
              <w:bottom w:val="nil"/>
              <w:right w:val="nil"/>
            </w:tcBorders>
            <w:shd w:val="clear" w:color="000000" w:fill="FFFFFF"/>
          </w:tcPr>
          <w:p w14:paraId="23B90AB9" w14:textId="77777777" w:rsidR="00D614F3" w:rsidRPr="00404724" w:rsidRDefault="00D614F3" w:rsidP="000A13C5">
            <w:pPr>
              <w:spacing w:after="0"/>
              <w:jc w:val="right"/>
              <w:rPr>
                <w:rFonts w:ascii="Calibri" w:hAnsi="Calibri" w:cs="Calibri"/>
              </w:rPr>
            </w:pPr>
            <w:r w:rsidRPr="00404724">
              <w:rPr>
                <w:rFonts w:ascii="Calibri" w:hAnsi="Calibri" w:cs="Calibri"/>
              </w:rPr>
              <w:t>$2,101.9</w:t>
            </w:r>
          </w:p>
        </w:tc>
        <w:tc>
          <w:tcPr>
            <w:tcW w:w="1228" w:type="dxa"/>
            <w:tcBorders>
              <w:top w:val="nil"/>
              <w:left w:val="single" w:sz="8" w:space="0" w:color="auto"/>
              <w:bottom w:val="nil"/>
              <w:right w:val="nil"/>
            </w:tcBorders>
            <w:shd w:val="clear" w:color="000000" w:fill="FFFFFF"/>
          </w:tcPr>
          <w:p w14:paraId="0CDD2251" w14:textId="77777777" w:rsidR="00D614F3" w:rsidRPr="00404724" w:rsidRDefault="00D614F3" w:rsidP="000A13C5">
            <w:pPr>
              <w:spacing w:after="0"/>
              <w:jc w:val="right"/>
              <w:rPr>
                <w:rFonts w:ascii="Calibri" w:hAnsi="Calibri" w:cs="Calibri"/>
              </w:rPr>
            </w:pPr>
            <w:r w:rsidRPr="00404724">
              <w:rPr>
                <w:rFonts w:ascii="Calibri" w:hAnsi="Calibri" w:cs="Calibri"/>
              </w:rPr>
              <w:t>$1,488.1</w:t>
            </w:r>
          </w:p>
        </w:tc>
        <w:tc>
          <w:tcPr>
            <w:tcW w:w="1229" w:type="dxa"/>
            <w:tcBorders>
              <w:top w:val="nil"/>
              <w:left w:val="single" w:sz="8" w:space="0" w:color="auto"/>
              <w:bottom w:val="nil"/>
              <w:right w:val="single" w:sz="8" w:space="0" w:color="auto"/>
            </w:tcBorders>
            <w:shd w:val="clear" w:color="000000" w:fill="FFFFFF"/>
          </w:tcPr>
          <w:p w14:paraId="1A7A3F5E" w14:textId="77777777" w:rsidR="00D614F3" w:rsidRPr="00404724" w:rsidRDefault="00D614F3" w:rsidP="000A13C5">
            <w:pPr>
              <w:spacing w:after="0"/>
              <w:jc w:val="right"/>
              <w:rPr>
                <w:rFonts w:ascii="Calibri" w:hAnsi="Calibri" w:cs="Calibri"/>
              </w:rPr>
            </w:pPr>
            <w:r w:rsidRPr="00404724">
              <w:rPr>
                <w:rFonts w:ascii="Calibri" w:hAnsi="Calibri" w:cs="Calibri"/>
              </w:rPr>
              <w:t>$2,976.1</w:t>
            </w:r>
          </w:p>
        </w:tc>
        <w:tc>
          <w:tcPr>
            <w:tcW w:w="1228" w:type="dxa"/>
            <w:gridSpan w:val="2"/>
            <w:tcBorders>
              <w:top w:val="nil"/>
              <w:left w:val="single" w:sz="8" w:space="0" w:color="auto"/>
              <w:bottom w:val="nil"/>
              <w:right w:val="single" w:sz="8" w:space="0" w:color="auto"/>
            </w:tcBorders>
            <w:shd w:val="clear" w:color="000000" w:fill="FFFFFF"/>
          </w:tcPr>
          <w:p w14:paraId="5EDDA6A1" w14:textId="77777777" w:rsidR="00D614F3" w:rsidRPr="00404724" w:rsidRDefault="00D614F3" w:rsidP="000A13C5">
            <w:pPr>
              <w:spacing w:after="0"/>
              <w:jc w:val="right"/>
              <w:rPr>
                <w:rFonts w:ascii="Calibri" w:hAnsi="Calibri" w:cs="Calibri"/>
              </w:rPr>
            </w:pPr>
            <w:r w:rsidRPr="00404724">
              <w:rPr>
                <w:rFonts w:ascii="Calibri" w:hAnsi="Calibri" w:cs="Calibri"/>
              </w:rPr>
              <w:t>$3,739.8</w:t>
            </w:r>
          </w:p>
        </w:tc>
        <w:tc>
          <w:tcPr>
            <w:tcW w:w="1229" w:type="dxa"/>
            <w:tcBorders>
              <w:top w:val="nil"/>
              <w:left w:val="single" w:sz="8" w:space="0" w:color="auto"/>
              <w:bottom w:val="nil"/>
              <w:right w:val="single" w:sz="8" w:space="0" w:color="auto"/>
            </w:tcBorders>
            <w:shd w:val="clear" w:color="000000" w:fill="FFFFFF"/>
          </w:tcPr>
          <w:p w14:paraId="784E5224" w14:textId="77777777" w:rsidR="00D614F3" w:rsidRPr="00404724" w:rsidRDefault="00D614F3" w:rsidP="000A13C5">
            <w:pPr>
              <w:spacing w:after="0"/>
              <w:jc w:val="right"/>
              <w:rPr>
                <w:rFonts w:ascii="Calibri" w:hAnsi="Calibri" w:cs="Calibri"/>
              </w:rPr>
            </w:pPr>
            <w:r w:rsidRPr="00404724">
              <w:rPr>
                <w:rFonts w:ascii="Calibri" w:hAnsi="Calibri" w:cs="Calibri"/>
              </w:rPr>
              <w:t>$1,964.7</w:t>
            </w:r>
          </w:p>
        </w:tc>
        <w:tc>
          <w:tcPr>
            <w:tcW w:w="1228" w:type="dxa"/>
            <w:tcBorders>
              <w:top w:val="nil"/>
              <w:left w:val="single" w:sz="8" w:space="0" w:color="auto"/>
              <w:bottom w:val="nil"/>
              <w:right w:val="single" w:sz="8" w:space="0" w:color="auto"/>
            </w:tcBorders>
            <w:shd w:val="clear" w:color="000000" w:fill="FFFFFF"/>
          </w:tcPr>
          <w:p w14:paraId="6FB21F3E" w14:textId="77777777" w:rsidR="00D614F3" w:rsidRPr="00404724" w:rsidRDefault="00D614F3" w:rsidP="000A13C5">
            <w:pPr>
              <w:spacing w:after="0"/>
              <w:jc w:val="right"/>
              <w:rPr>
                <w:rFonts w:ascii="Calibri" w:hAnsi="Calibri" w:cs="Calibri"/>
              </w:rPr>
            </w:pPr>
            <w:r w:rsidRPr="00404724">
              <w:rPr>
                <w:rFonts w:ascii="Calibri" w:hAnsi="Calibri" w:cs="Calibri"/>
              </w:rPr>
              <w:t>$3,937.4</w:t>
            </w:r>
          </w:p>
        </w:tc>
        <w:tc>
          <w:tcPr>
            <w:tcW w:w="1229" w:type="dxa"/>
            <w:tcBorders>
              <w:top w:val="nil"/>
              <w:left w:val="single" w:sz="8" w:space="0" w:color="auto"/>
              <w:bottom w:val="nil"/>
              <w:right w:val="nil"/>
            </w:tcBorders>
            <w:shd w:val="clear" w:color="000000" w:fill="FFFFFF"/>
          </w:tcPr>
          <w:p w14:paraId="1F658A95" w14:textId="77777777" w:rsidR="00D614F3" w:rsidRPr="00404724" w:rsidRDefault="00D614F3" w:rsidP="000A13C5">
            <w:pPr>
              <w:spacing w:after="0"/>
              <w:jc w:val="right"/>
              <w:rPr>
                <w:rFonts w:ascii="Calibri" w:hAnsi="Calibri" w:cs="Calibri"/>
              </w:rPr>
            </w:pPr>
            <w:r w:rsidRPr="00404724">
              <w:rPr>
                <w:rFonts w:ascii="Calibri" w:hAnsi="Calibri" w:cs="Calibri"/>
              </w:rPr>
              <w:t>$4,284.6</w:t>
            </w:r>
          </w:p>
        </w:tc>
      </w:tr>
      <w:tr w:rsidR="00D614F3" w:rsidRPr="00404724" w14:paraId="7ECC9DA8" w14:textId="77777777" w:rsidTr="00D614F3">
        <w:trPr>
          <w:trHeight w:val="330"/>
        </w:trPr>
        <w:tc>
          <w:tcPr>
            <w:tcW w:w="3794" w:type="dxa"/>
            <w:tcBorders>
              <w:top w:val="nil"/>
              <w:left w:val="single" w:sz="8" w:space="0" w:color="auto"/>
              <w:bottom w:val="nil"/>
              <w:right w:val="nil"/>
            </w:tcBorders>
            <w:shd w:val="clear" w:color="000000" w:fill="FFFFFF"/>
            <w:noWrap/>
          </w:tcPr>
          <w:p w14:paraId="3E6EA660" w14:textId="77777777" w:rsidR="00D614F3" w:rsidRPr="00404724" w:rsidRDefault="00D614F3" w:rsidP="00BB5FCD">
            <w:pPr>
              <w:spacing w:after="0"/>
              <w:ind w:firstLineChars="100" w:firstLine="220"/>
              <w:rPr>
                <w:rFonts w:ascii="Calibri" w:eastAsia="Times New Roman" w:hAnsi="Calibri" w:cs="Calibri"/>
                <w:color w:val="000000"/>
                <w:lang w:eastAsia="en-AU"/>
              </w:rPr>
            </w:pPr>
          </w:p>
        </w:tc>
        <w:tc>
          <w:tcPr>
            <w:tcW w:w="1228" w:type="dxa"/>
            <w:tcBorders>
              <w:top w:val="nil"/>
              <w:left w:val="single" w:sz="8" w:space="0" w:color="auto"/>
              <w:bottom w:val="nil"/>
              <w:right w:val="nil"/>
            </w:tcBorders>
            <w:shd w:val="clear" w:color="000000" w:fill="FFFFFF"/>
            <w:noWrap/>
          </w:tcPr>
          <w:p w14:paraId="35F1919C" w14:textId="77777777" w:rsidR="00D614F3" w:rsidRPr="00404724" w:rsidRDefault="00D614F3" w:rsidP="000A13C5">
            <w:pPr>
              <w:spacing w:after="0"/>
              <w:jc w:val="right"/>
              <w:rPr>
                <w:rFonts w:ascii="Calibri" w:eastAsia="Times New Roman" w:hAnsi="Calibri" w:cs="Calibri"/>
                <w:color w:val="000000"/>
                <w:lang w:eastAsia="en-AU"/>
              </w:rPr>
            </w:pPr>
          </w:p>
        </w:tc>
        <w:tc>
          <w:tcPr>
            <w:tcW w:w="1228" w:type="dxa"/>
            <w:tcBorders>
              <w:top w:val="nil"/>
              <w:left w:val="single" w:sz="8" w:space="0" w:color="auto"/>
              <w:bottom w:val="nil"/>
              <w:right w:val="nil"/>
            </w:tcBorders>
            <w:shd w:val="clear" w:color="000000" w:fill="FFFFFF"/>
          </w:tcPr>
          <w:p w14:paraId="0F6BD442" w14:textId="77777777" w:rsidR="00D614F3" w:rsidRPr="00404724" w:rsidRDefault="00D614F3" w:rsidP="000A13C5">
            <w:pPr>
              <w:spacing w:after="0"/>
              <w:jc w:val="right"/>
              <w:rPr>
                <w:rFonts w:ascii="Calibri" w:eastAsia="Times New Roman" w:hAnsi="Calibri" w:cs="Calibri"/>
                <w:color w:val="000000"/>
                <w:lang w:eastAsia="en-AU"/>
              </w:rPr>
            </w:pPr>
          </w:p>
        </w:tc>
        <w:tc>
          <w:tcPr>
            <w:tcW w:w="1229" w:type="dxa"/>
            <w:gridSpan w:val="2"/>
            <w:tcBorders>
              <w:top w:val="nil"/>
              <w:left w:val="single" w:sz="8" w:space="0" w:color="auto"/>
              <w:bottom w:val="nil"/>
              <w:right w:val="nil"/>
            </w:tcBorders>
            <w:shd w:val="clear" w:color="000000" w:fill="FFFFFF"/>
          </w:tcPr>
          <w:p w14:paraId="36BA9F80" w14:textId="77777777" w:rsidR="00D614F3" w:rsidRPr="00404724" w:rsidRDefault="00D614F3" w:rsidP="000A13C5">
            <w:pPr>
              <w:spacing w:after="0"/>
              <w:jc w:val="right"/>
              <w:rPr>
                <w:rFonts w:ascii="Calibri" w:hAnsi="Calibri" w:cs="Calibri"/>
              </w:rPr>
            </w:pPr>
          </w:p>
        </w:tc>
        <w:tc>
          <w:tcPr>
            <w:tcW w:w="1228" w:type="dxa"/>
            <w:tcBorders>
              <w:top w:val="nil"/>
              <w:left w:val="single" w:sz="8" w:space="0" w:color="auto"/>
              <w:bottom w:val="nil"/>
              <w:right w:val="nil"/>
            </w:tcBorders>
            <w:shd w:val="clear" w:color="000000" w:fill="FFFFFF"/>
          </w:tcPr>
          <w:p w14:paraId="3085BBD5" w14:textId="77777777" w:rsidR="00D614F3" w:rsidRPr="00404724" w:rsidRDefault="00D614F3" w:rsidP="000A13C5">
            <w:pPr>
              <w:spacing w:after="0"/>
              <w:jc w:val="right"/>
              <w:rPr>
                <w:rFonts w:ascii="Calibri" w:hAnsi="Calibri" w:cs="Calibri"/>
              </w:rPr>
            </w:pPr>
          </w:p>
        </w:tc>
        <w:tc>
          <w:tcPr>
            <w:tcW w:w="1229" w:type="dxa"/>
            <w:tcBorders>
              <w:top w:val="nil"/>
              <w:left w:val="single" w:sz="8" w:space="0" w:color="auto"/>
              <w:bottom w:val="nil"/>
              <w:right w:val="single" w:sz="8" w:space="0" w:color="auto"/>
            </w:tcBorders>
            <w:shd w:val="clear" w:color="000000" w:fill="FFFFFF"/>
          </w:tcPr>
          <w:p w14:paraId="1583950D" w14:textId="77777777" w:rsidR="00D614F3" w:rsidRPr="00404724" w:rsidRDefault="00D614F3" w:rsidP="000A13C5">
            <w:pPr>
              <w:spacing w:after="0"/>
              <w:jc w:val="right"/>
              <w:rPr>
                <w:rFonts w:ascii="Calibri" w:hAnsi="Calibri" w:cs="Calibri"/>
              </w:rPr>
            </w:pPr>
          </w:p>
        </w:tc>
        <w:tc>
          <w:tcPr>
            <w:tcW w:w="1228" w:type="dxa"/>
            <w:gridSpan w:val="2"/>
            <w:tcBorders>
              <w:top w:val="nil"/>
              <w:left w:val="single" w:sz="8" w:space="0" w:color="auto"/>
              <w:bottom w:val="nil"/>
              <w:right w:val="single" w:sz="8" w:space="0" w:color="auto"/>
            </w:tcBorders>
            <w:shd w:val="clear" w:color="000000" w:fill="FFFFFF"/>
          </w:tcPr>
          <w:p w14:paraId="73F9CFD0" w14:textId="77777777" w:rsidR="00D614F3" w:rsidRPr="00404724" w:rsidRDefault="00D614F3" w:rsidP="000A13C5">
            <w:pPr>
              <w:spacing w:after="0"/>
              <w:jc w:val="right"/>
              <w:rPr>
                <w:rFonts w:ascii="Calibri" w:hAnsi="Calibri" w:cs="Calibri"/>
              </w:rPr>
            </w:pPr>
          </w:p>
        </w:tc>
        <w:tc>
          <w:tcPr>
            <w:tcW w:w="1229" w:type="dxa"/>
            <w:tcBorders>
              <w:top w:val="nil"/>
              <w:left w:val="single" w:sz="8" w:space="0" w:color="auto"/>
              <w:bottom w:val="nil"/>
              <w:right w:val="single" w:sz="8" w:space="0" w:color="auto"/>
            </w:tcBorders>
            <w:shd w:val="clear" w:color="000000" w:fill="FFFFFF"/>
          </w:tcPr>
          <w:p w14:paraId="51A65253" w14:textId="77777777" w:rsidR="00D614F3" w:rsidRPr="00404724" w:rsidRDefault="00D614F3" w:rsidP="000A13C5">
            <w:pPr>
              <w:spacing w:after="0"/>
              <w:jc w:val="right"/>
              <w:rPr>
                <w:rFonts w:ascii="Calibri" w:hAnsi="Calibri" w:cs="Calibri"/>
              </w:rPr>
            </w:pPr>
          </w:p>
        </w:tc>
        <w:tc>
          <w:tcPr>
            <w:tcW w:w="1228" w:type="dxa"/>
            <w:tcBorders>
              <w:top w:val="nil"/>
              <w:left w:val="single" w:sz="8" w:space="0" w:color="auto"/>
              <w:bottom w:val="nil"/>
              <w:right w:val="single" w:sz="8" w:space="0" w:color="auto"/>
            </w:tcBorders>
            <w:shd w:val="clear" w:color="000000" w:fill="FFFFFF"/>
          </w:tcPr>
          <w:p w14:paraId="74B12C6A" w14:textId="77777777" w:rsidR="00D614F3" w:rsidRPr="00404724" w:rsidRDefault="00D614F3" w:rsidP="000A13C5">
            <w:pPr>
              <w:spacing w:after="0"/>
              <w:jc w:val="right"/>
              <w:rPr>
                <w:rFonts w:ascii="Calibri" w:hAnsi="Calibri" w:cs="Calibri"/>
              </w:rPr>
            </w:pPr>
          </w:p>
        </w:tc>
        <w:tc>
          <w:tcPr>
            <w:tcW w:w="1229" w:type="dxa"/>
            <w:tcBorders>
              <w:top w:val="nil"/>
              <w:left w:val="single" w:sz="8" w:space="0" w:color="auto"/>
              <w:bottom w:val="nil"/>
              <w:right w:val="nil"/>
            </w:tcBorders>
            <w:shd w:val="clear" w:color="000000" w:fill="FFFFFF"/>
          </w:tcPr>
          <w:p w14:paraId="4C01DEC9" w14:textId="77777777" w:rsidR="00D614F3" w:rsidRPr="00404724" w:rsidRDefault="00D614F3" w:rsidP="000A13C5">
            <w:pPr>
              <w:spacing w:after="0"/>
              <w:jc w:val="right"/>
              <w:rPr>
                <w:rFonts w:ascii="Calibri" w:hAnsi="Calibri" w:cs="Calibri"/>
              </w:rPr>
            </w:pPr>
          </w:p>
        </w:tc>
      </w:tr>
      <w:tr w:rsidR="00D614F3" w:rsidRPr="00404724" w14:paraId="0E31DD76" w14:textId="77777777" w:rsidTr="00D614F3">
        <w:trPr>
          <w:trHeight w:val="330"/>
        </w:trPr>
        <w:tc>
          <w:tcPr>
            <w:tcW w:w="3794" w:type="dxa"/>
            <w:tcBorders>
              <w:top w:val="nil"/>
              <w:left w:val="single" w:sz="8" w:space="0" w:color="auto"/>
              <w:bottom w:val="nil"/>
              <w:right w:val="nil"/>
            </w:tcBorders>
            <w:shd w:val="clear" w:color="auto" w:fill="D9D9D9" w:themeFill="background1" w:themeFillShade="D9"/>
            <w:noWrap/>
          </w:tcPr>
          <w:p w14:paraId="0AC931AB" w14:textId="77777777" w:rsidR="00D614F3" w:rsidRPr="00404724" w:rsidRDefault="00D614F3" w:rsidP="00BB5FCD">
            <w:pPr>
              <w:spacing w:after="0"/>
              <w:rPr>
                <w:rFonts w:ascii="Calibri" w:eastAsia="Times New Roman" w:hAnsi="Calibri" w:cs="Calibri"/>
                <w:i/>
                <w:iCs/>
                <w:color w:val="000000"/>
                <w:lang w:eastAsia="en-AU"/>
              </w:rPr>
            </w:pPr>
            <w:r w:rsidRPr="00404724">
              <w:rPr>
                <w:rFonts w:ascii="Calibri" w:eastAsia="Times New Roman" w:hAnsi="Calibri" w:cs="Calibri"/>
                <w:i/>
                <w:iCs/>
                <w:color w:val="000000"/>
                <w:lang w:eastAsia="en-AU"/>
              </w:rPr>
              <w:t>Increased travel costs</w:t>
            </w:r>
          </w:p>
        </w:tc>
        <w:tc>
          <w:tcPr>
            <w:tcW w:w="1228" w:type="dxa"/>
            <w:tcBorders>
              <w:top w:val="nil"/>
              <w:left w:val="single" w:sz="8" w:space="0" w:color="auto"/>
              <w:bottom w:val="nil"/>
              <w:right w:val="nil"/>
            </w:tcBorders>
            <w:shd w:val="clear" w:color="auto" w:fill="D9D9D9" w:themeFill="background1" w:themeFillShade="D9"/>
            <w:noWrap/>
          </w:tcPr>
          <w:p w14:paraId="63831581" w14:textId="77777777" w:rsidR="00D614F3" w:rsidRPr="00404724" w:rsidRDefault="00D614F3" w:rsidP="000A13C5">
            <w:pPr>
              <w:spacing w:after="0"/>
              <w:jc w:val="right"/>
              <w:rPr>
                <w:rFonts w:ascii="Calibri" w:eastAsia="Times New Roman" w:hAnsi="Calibri" w:cs="Calibri"/>
                <w:i/>
                <w:iCs/>
                <w:color w:val="000000"/>
                <w:lang w:eastAsia="en-AU"/>
              </w:rPr>
            </w:pPr>
          </w:p>
        </w:tc>
        <w:tc>
          <w:tcPr>
            <w:tcW w:w="1228" w:type="dxa"/>
            <w:tcBorders>
              <w:top w:val="nil"/>
              <w:left w:val="single" w:sz="8" w:space="0" w:color="auto"/>
              <w:bottom w:val="nil"/>
              <w:right w:val="nil"/>
            </w:tcBorders>
            <w:shd w:val="clear" w:color="auto" w:fill="D9D9D9" w:themeFill="background1" w:themeFillShade="D9"/>
          </w:tcPr>
          <w:p w14:paraId="36DCF265" w14:textId="77777777" w:rsidR="00D614F3" w:rsidRPr="00404724" w:rsidRDefault="00D614F3" w:rsidP="000A13C5">
            <w:pPr>
              <w:spacing w:after="0"/>
              <w:jc w:val="right"/>
              <w:rPr>
                <w:rFonts w:ascii="Calibri" w:eastAsia="Times New Roman" w:hAnsi="Calibri" w:cs="Calibri"/>
                <w:color w:val="000000"/>
                <w:lang w:eastAsia="en-AU"/>
              </w:rPr>
            </w:pPr>
          </w:p>
        </w:tc>
        <w:tc>
          <w:tcPr>
            <w:tcW w:w="1229" w:type="dxa"/>
            <w:gridSpan w:val="2"/>
            <w:tcBorders>
              <w:top w:val="nil"/>
              <w:left w:val="single" w:sz="8" w:space="0" w:color="auto"/>
              <w:bottom w:val="nil"/>
              <w:right w:val="nil"/>
            </w:tcBorders>
            <w:shd w:val="clear" w:color="auto" w:fill="D9D9D9" w:themeFill="background1" w:themeFillShade="D9"/>
          </w:tcPr>
          <w:p w14:paraId="554BE22F" w14:textId="77777777" w:rsidR="00D614F3" w:rsidRPr="00404724" w:rsidRDefault="00D614F3" w:rsidP="000A13C5">
            <w:pPr>
              <w:spacing w:after="0"/>
              <w:jc w:val="right"/>
              <w:rPr>
                <w:rFonts w:ascii="Calibri" w:hAnsi="Calibri" w:cs="Calibri"/>
              </w:rPr>
            </w:pPr>
          </w:p>
        </w:tc>
        <w:tc>
          <w:tcPr>
            <w:tcW w:w="1228" w:type="dxa"/>
            <w:tcBorders>
              <w:top w:val="nil"/>
              <w:left w:val="single" w:sz="8" w:space="0" w:color="auto"/>
              <w:bottom w:val="nil"/>
              <w:right w:val="nil"/>
            </w:tcBorders>
            <w:shd w:val="clear" w:color="auto" w:fill="D9D9D9" w:themeFill="background1" w:themeFillShade="D9"/>
          </w:tcPr>
          <w:p w14:paraId="5B310894" w14:textId="77777777" w:rsidR="00D614F3" w:rsidRPr="00404724" w:rsidRDefault="00D614F3" w:rsidP="000A13C5">
            <w:pPr>
              <w:spacing w:after="0"/>
              <w:jc w:val="right"/>
              <w:rPr>
                <w:rFonts w:ascii="Calibri" w:hAnsi="Calibri" w:cs="Calibri"/>
              </w:rPr>
            </w:pPr>
          </w:p>
        </w:tc>
        <w:tc>
          <w:tcPr>
            <w:tcW w:w="1229" w:type="dxa"/>
            <w:tcBorders>
              <w:top w:val="nil"/>
              <w:left w:val="single" w:sz="8" w:space="0" w:color="auto"/>
              <w:bottom w:val="nil"/>
              <w:right w:val="single" w:sz="8" w:space="0" w:color="auto"/>
            </w:tcBorders>
            <w:shd w:val="clear" w:color="auto" w:fill="D9D9D9" w:themeFill="background1" w:themeFillShade="D9"/>
          </w:tcPr>
          <w:p w14:paraId="0322F800" w14:textId="77777777" w:rsidR="00D614F3" w:rsidRPr="00404724" w:rsidRDefault="00D614F3" w:rsidP="000A13C5">
            <w:pPr>
              <w:spacing w:after="0"/>
              <w:jc w:val="right"/>
              <w:rPr>
                <w:rFonts w:ascii="Calibri" w:hAnsi="Calibri" w:cs="Calibri"/>
              </w:rPr>
            </w:pPr>
          </w:p>
        </w:tc>
        <w:tc>
          <w:tcPr>
            <w:tcW w:w="1228" w:type="dxa"/>
            <w:gridSpan w:val="2"/>
            <w:tcBorders>
              <w:top w:val="nil"/>
              <w:left w:val="single" w:sz="8" w:space="0" w:color="auto"/>
              <w:bottom w:val="nil"/>
              <w:right w:val="single" w:sz="8" w:space="0" w:color="auto"/>
            </w:tcBorders>
            <w:shd w:val="clear" w:color="auto" w:fill="D9D9D9" w:themeFill="background1" w:themeFillShade="D9"/>
          </w:tcPr>
          <w:p w14:paraId="6F90D07E" w14:textId="77777777" w:rsidR="00D614F3" w:rsidRPr="00404724" w:rsidRDefault="00D614F3" w:rsidP="000A13C5">
            <w:pPr>
              <w:spacing w:after="0"/>
              <w:jc w:val="right"/>
              <w:rPr>
                <w:rFonts w:ascii="Calibri" w:hAnsi="Calibri" w:cs="Calibri"/>
              </w:rPr>
            </w:pPr>
          </w:p>
        </w:tc>
        <w:tc>
          <w:tcPr>
            <w:tcW w:w="1229" w:type="dxa"/>
            <w:tcBorders>
              <w:top w:val="nil"/>
              <w:left w:val="single" w:sz="8" w:space="0" w:color="auto"/>
              <w:bottom w:val="nil"/>
              <w:right w:val="single" w:sz="8" w:space="0" w:color="auto"/>
            </w:tcBorders>
            <w:shd w:val="clear" w:color="auto" w:fill="D9D9D9" w:themeFill="background1" w:themeFillShade="D9"/>
          </w:tcPr>
          <w:p w14:paraId="219B7055" w14:textId="77777777" w:rsidR="00D614F3" w:rsidRPr="00404724" w:rsidRDefault="00D614F3" w:rsidP="000A13C5">
            <w:pPr>
              <w:spacing w:after="0"/>
              <w:jc w:val="right"/>
              <w:rPr>
                <w:rFonts w:ascii="Calibri" w:hAnsi="Calibri" w:cs="Calibri"/>
              </w:rPr>
            </w:pPr>
          </w:p>
        </w:tc>
        <w:tc>
          <w:tcPr>
            <w:tcW w:w="1228" w:type="dxa"/>
            <w:tcBorders>
              <w:top w:val="nil"/>
              <w:left w:val="single" w:sz="8" w:space="0" w:color="auto"/>
              <w:bottom w:val="nil"/>
              <w:right w:val="single" w:sz="8" w:space="0" w:color="auto"/>
            </w:tcBorders>
            <w:shd w:val="clear" w:color="auto" w:fill="D9D9D9" w:themeFill="background1" w:themeFillShade="D9"/>
          </w:tcPr>
          <w:p w14:paraId="63312F57" w14:textId="77777777" w:rsidR="00D614F3" w:rsidRPr="00404724" w:rsidRDefault="00D614F3" w:rsidP="000A13C5">
            <w:pPr>
              <w:spacing w:after="0"/>
              <w:jc w:val="right"/>
              <w:rPr>
                <w:rFonts w:ascii="Calibri" w:hAnsi="Calibri" w:cs="Calibri"/>
              </w:rPr>
            </w:pPr>
          </w:p>
        </w:tc>
        <w:tc>
          <w:tcPr>
            <w:tcW w:w="1229" w:type="dxa"/>
            <w:tcBorders>
              <w:top w:val="nil"/>
              <w:left w:val="single" w:sz="8" w:space="0" w:color="auto"/>
              <w:bottom w:val="nil"/>
              <w:right w:val="nil"/>
            </w:tcBorders>
            <w:shd w:val="clear" w:color="auto" w:fill="D9D9D9" w:themeFill="background1" w:themeFillShade="D9"/>
          </w:tcPr>
          <w:p w14:paraId="70F1FADD" w14:textId="77777777" w:rsidR="00D614F3" w:rsidRPr="00404724" w:rsidRDefault="00D614F3" w:rsidP="000A13C5">
            <w:pPr>
              <w:spacing w:after="0"/>
              <w:jc w:val="right"/>
              <w:rPr>
                <w:rFonts w:ascii="Calibri" w:hAnsi="Calibri" w:cs="Calibri"/>
              </w:rPr>
            </w:pPr>
          </w:p>
        </w:tc>
      </w:tr>
      <w:tr w:rsidR="00D614F3" w:rsidRPr="00404724" w14:paraId="2ACB36D7" w14:textId="77777777" w:rsidTr="00D614F3">
        <w:trPr>
          <w:trHeight w:val="330"/>
        </w:trPr>
        <w:tc>
          <w:tcPr>
            <w:tcW w:w="3794" w:type="dxa"/>
            <w:tcBorders>
              <w:top w:val="nil"/>
              <w:left w:val="single" w:sz="8" w:space="0" w:color="auto"/>
              <w:bottom w:val="nil"/>
              <w:right w:val="nil"/>
            </w:tcBorders>
            <w:shd w:val="clear" w:color="000000" w:fill="FFFFFF"/>
            <w:noWrap/>
          </w:tcPr>
          <w:p w14:paraId="2A099E02" w14:textId="7D53317D" w:rsidR="00D614F3" w:rsidRPr="00404724" w:rsidRDefault="00D614F3" w:rsidP="00BB5FCD">
            <w:pPr>
              <w:spacing w:after="0"/>
              <w:ind w:firstLineChars="100" w:firstLine="220"/>
              <w:rPr>
                <w:rFonts w:ascii="Calibri" w:eastAsia="Times New Roman" w:hAnsi="Calibri" w:cs="Calibri"/>
                <w:color w:val="000000"/>
                <w:lang w:eastAsia="en-AU"/>
              </w:rPr>
            </w:pPr>
            <w:r w:rsidRPr="00404724">
              <w:rPr>
                <w:rFonts w:ascii="Calibri" w:eastAsia="Times New Roman" w:hAnsi="Calibri" w:cs="Calibri"/>
                <w:color w:val="000000"/>
                <w:lang w:eastAsia="en-AU"/>
              </w:rPr>
              <w:t>Increase</w:t>
            </w:r>
            <w:r w:rsidR="00CE054C" w:rsidRPr="00404724">
              <w:rPr>
                <w:rFonts w:ascii="Calibri" w:eastAsia="Times New Roman" w:hAnsi="Calibri" w:cs="Calibri"/>
                <w:color w:val="000000"/>
                <w:lang w:eastAsia="en-AU"/>
              </w:rPr>
              <w:t>d hourly travel</w:t>
            </w:r>
            <w:r w:rsidRPr="00404724">
              <w:rPr>
                <w:rFonts w:ascii="Calibri" w:eastAsia="Times New Roman" w:hAnsi="Calibri" w:cs="Calibri"/>
                <w:color w:val="000000"/>
                <w:lang w:eastAsia="en-AU"/>
              </w:rPr>
              <w:t xml:space="preserve"> costs by 10%</w:t>
            </w:r>
          </w:p>
        </w:tc>
        <w:tc>
          <w:tcPr>
            <w:tcW w:w="1228" w:type="dxa"/>
            <w:tcBorders>
              <w:top w:val="nil"/>
              <w:left w:val="single" w:sz="8" w:space="0" w:color="auto"/>
              <w:bottom w:val="nil"/>
              <w:right w:val="nil"/>
            </w:tcBorders>
            <w:shd w:val="clear" w:color="000000" w:fill="FFFFFF"/>
            <w:noWrap/>
          </w:tcPr>
          <w:p w14:paraId="4DFF77A9" w14:textId="77777777" w:rsidR="00D614F3" w:rsidRPr="00404724" w:rsidRDefault="00D614F3" w:rsidP="000A13C5">
            <w:pPr>
              <w:spacing w:after="0"/>
              <w:jc w:val="right"/>
              <w:rPr>
                <w:rFonts w:ascii="Calibri" w:eastAsia="Times New Roman" w:hAnsi="Calibri" w:cs="Calibri"/>
                <w:color w:val="000000"/>
                <w:lang w:eastAsia="en-AU"/>
              </w:rPr>
            </w:pPr>
            <w:r w:rsidRPr="00404724">
              <w:rPr>
                <w:rFonts w:ascii="Calibri" w:eastAsia="Times New Roman" w:hAnsi="Calibri" w:cs="Calibri"/>
                <w:color w:val="000000"/>
                <w:lang w:eastAsia="en-AU"/>
              </w:rPr>
              <w:t>$631.4</w:t>
            </w:r>
          </w:p>
        </w:tc>
        <w:tc>
          <w:tcPr>
            <w:tcW w:w="1228" w:type="dxa"/>
            <w:tcBorders>
              <w:top w:val="nil"/>
              <w:left w:val="single" w:sz="8" w:space="0" w:color="auto"/>
              <w:bottom w:val="nil"/>
              <w:right w:val="nil"/>
            </w:tcBorders>
            <w:shd w:val="clear" w:color="000000" w:fill="FFFFFF"/>
          </w:tcPr>
          <w:p w14:paraId="5C9E6C6E" w14:textId="77777777" w:rsidR="00D614F3" w:rsidRPr="00404724" w:rsidRDefault="00D614F3" w:rsidP="000A13C5">
            <w:pPr>
              <w:spacing w:after="0"/>
              <w:jc w:val="right"/>
              <w:rPr>
                <w:rFonts w:ascii="Calibri" w:eastAsia="Times New Roman" w:hAnsi="Calibri" w:cs="Calibri"/>
                <w:color w:val="000000"/>
                <w:lang w:eastAsia="en-AU"/>
              </w:rPr>
            </w:pPr>
            <w:r w:rsidRPr="00404724">
              <w:rPr>
                <w:rFonts w:ascii="Calibri" w:eastAsia="Times New Roman" w:hAnsi="Calibri" w:cs="Calibri"/>
                <w:color w:val="000000"/>
                <w:lang w:eastAsia="en-AU"/>
              </w:rPr>
              <w:t>$1,273.3</w:t>
            </w:r>
          </w:p>
        </w:tc>
        <w:tc>
          <w:tcPr>
            <w:tcW w:w="1229" w:type="dxa"/>
            <w:gridSpan w:val="2"/>
            <w:tcBorders>
              <w:top w:val="nil"/>
              <w:left w:val="single" w:sz="8" w:space="0" w:color="auto"/>
              <w:bottom w:val="nil"/>
              <w:right w:val="nil"/>
            </w:tcBorders>
            <w:shd w:val="clear" w:color="000000" w:fill="FFFFFF"/>
          </w:tcPr>
          <w:p w14:paraId="44B2903A" w14:textId="77777777" w:rsidR="00D614F3" w:rsidRPr="00404724" w:rsidRDefault="00D614F3" w:rsidP="000A13C5">
            <w:pPr>
              <w:spacing w:after="0"/>
              <w:jc w:val="right"/>
              <w:rPr>
                <w:rFonts w:ascii="Calibri" w:hAnsi="Calibri" w:cs="Calibri"/>
              </w:rPr>
            </w:pPr>
            <w:r w:rsidRPr="00404724">
              <w:rPr>
                <w:rFonts w:ascii="Calibri" w:hAnsi="Calibri" w:cs="Calibri"/>
              </w:rPr>
              <w:t>$1,578.1</w:t>
            </w:r>
          </w:p>
        </w:tc>
        <w:tc>
          <w:tcPr>
            <w:tcW w:w="1228" w:type="dxa"/>
            <w:tcBorders>
              <w:top w:val="nil"/>
              <w:left w:val="single" w:sz="8" w:space="0" w:color="auto"/>
              <w:bottom w:val="nil"/>
              <w:right w:val="nil"/>
            </w:tcBorders>
            <w:shd w:val="clear" w:color="000000" w:fill="FFFFFF"/>
          </w:tcPr>
          <w:p w14:paraId="1153D9DD" w14:textId="77777777" w:rsidR="00D614F3" w:rsidRPr="00404724" w:rsidRDefault="00D614F3" w:rsidP="000A13C5">
            <w:pPr>
              <w:spacing w:after="0"/>
              <w:jc w:val="right"/>
              <w:rPr>
                <w:rFonts w:ascii="Calibri" w:hAnsi="Calibri" w:cs="Calibri"/>
              </w:rPr>
            </w:pPr>
            <w:r w:rsidRPr="00404724">
              <w:rPr>
                <w:rFonts w:ascii="Calibri" w:hAnsi="Calibri" w:cs="Calibri"/>
              </w:rPr>
              <w:t>$1,233.3</w:t>
            </w:r>
          </w:p>
        </w:tc>
        <w:tc>
          <w:tcPr>
            <w:tcW w:w="1229" w:type="dxa"/>
            <w:tcBorders>
              <w:top w:val="nil"/>
              <w:left w:val="single" w:sz="8" w:space="0" w:color="auto"/>
              <w:bottom w:val="nil"/>
              <w:right w:val="single" w:sz="8" w:space="0" w:color="auto"/>
            </w:tcBorders>
            <w:shd w:val="clear" w:color="000000" w:fill="FFFFFF"/>
          </w:tcPr>
          <w:p w14:paraId="58D9B020" w14:textId="77777777" w:rsidR="00D614F3" w:rsidRPr="00404724" w:rsidRDefault="00D614F3" w:rsidP="000A13C5">
            <w:pPr>
              <w:spacing w:after="0"/>
              <w:jc w:val="right"/>
              <w:rPr>
                <w:rFonts w:ascii="Calibri" w:hAnsi="Calibri" w:cs="Calibri"/>
              </w:rPr>
            </w:pPr>
            <w:r w:rsidRPr="00404724">
              <w:rPr>
                <w:rFonts w:ascii="Calibri" w:hAnsi="Calibri" w:cs="Calibri"/>
              </w:rPr>
              <w:t>$2,464.2</w:t>
            </w:r>
          </w:p>
        </w:tc>
        <w:tc>
          <w:tcPr>
            <w:tcW w:w="1228" w:type="dxa"/>
            <w:gridSpan w:val="2"/>
            <w:tcBorders>
              <w:top w:val="nil"/>
              <w:left w:val="single" w:sz="8" w:space="0" w:color="auto"/>
              <w:bottom w:val="nil"/>
              <w:right w:val="single" w:sz="8" w:space="0" w:color="auto"/>
            </w:tcBorders>
            <w:shd w:val="clear" w:color="000000" w:fill="FFFFFF"/>
          </w:tcPr>
          <w:p w14:paraId="3246A859" w14:textId="77777777" w:rsidR="00D614F3" w:rsidRPr="00404724" w:rsidRDefault="00D614F3" w:rsidP="000A13C5">
            <w:pPr>
              <w:spacing w:after="0"/>
              <w:jc w:val="right"/>
              <w:rPr>
                <w:rFonts w:ascii="Calibri" w:hAnsi="Calibri" w:cs="Calibri"/>
              </w:rPr>
            </w:pPr>
            <w:r w:rsidRPr="00404724">
              <w:rPr>
                <w:rFonts w:ascii="Calibri" w:hAnsi="Calibri" w:cs="Calibri"/>
              </w:rPr>
              <w:t>$2,522.2</w:t>
            </w:r>
          </w:p>
        </w:tc>
        <w:tc>
          <w:tcPr>
            <w:tcW w:w="1229" w:type="dxa"/>
            <w:tcBorders>
              <w:top w:val="nil"/>
              <w:left w:val="single" w:sz="8" w:space="0" w:color="auto"/>
              <w:bottom w:val="nil"/>
              <w:right w:val="single" w:sz="8" w:space="0" w:color="auto"/>
            </w:tcBorders>
            <w:shd w:val="clear" w:color="000000" w:fill="FFFFFF"/>
          </w:tcPr>
          <w:p w14:paraId="5BB52750" w14:textId="77777777" w:rsidR="00D614F3" w:rsidRPr="00404724" w:rsidRDefault="00D614F3" w:rsidP="000A13C5">
            <w:pPr>
              <w:spacing w:after="0"/>
              <w:jc w:val="right"/>
              <w:rPr>
                <w:rFonts w:ascii="Calibri" w:hAnsi="Calibri" w:cs="Calibri"/>
              </w:rPr>
            </w:pPr>
            <w:r w:rsidRPr="00404724">
              <w:rPr>
                <w:rFonts w:ascii="Calibri" w:hAnsi="Calibri" w:cs="Calibri"/>
              </w:rPr>
              <w:t>$1,569.1</w:t>
            </w:r>
          </w:p>
        </w:tc>
        <w:tc>
          <w:tcPr>
            <w:tcW w:w="1228" w:type="dxa"/>
            <w:tcBorders>
              <w:top w:val="nil"/>
              <w:left w:val="single" w:sz="8" w:space="0" w:color="auto"/>
              <w:bottom w:val="nil"/>
              <w:right w:val="single" w:sz="8" w:space="0" w:color="auto"/>
            </w:tcBorders>
            <w:shd w:val="clear" w:color="000000" w:fill="FFFFFF"/>
          </w:tcPr>
          <w:p w14:paraId="4FB1FEC1" w14:textId="77777777" w:rsidR="00D614F3" w:rsidRPr="00404724" w:rsidRDefault="00D614F3" w:rsidP="000A13C5">
            <w:pPr>
              <w:spacing w:after="0"/>
              <w:jc w:val="right"/>
              <w:rPr>
                <w:rFonts w:ascii="Calibri" w:hAnsi="Calibri" w:cs="Calibri"/>
              </w:rPr>
            </w:pPr>
            <w:r w:rsidRPr="00404724">
              <w:rPr>
                <w:rFonts w:ascii="Calibri" w:hAnsi="Calibri" w:cs="Calibri"/>
              </w:rPr>
              <w:t>$3,142.6</w:t>
            </w:r>
          </w:p>
        </w:tc>
        <w:tc>
          <w:tcPr>
            <w:tcW w:w="1229" w:type="dxa"/>
            <w:tcBorders>
              <w:top w:val="nil"/>
              <w:left w:val="single" w:sz="8" w:space="0" w:color="auto"/>
              <w:bottom w:val="nil"/>
              <w:right w:val="nil"/>
            </w:tcBorders>
            <w:shd w:val="clear" w:color="000000" w:fill="FFFFFF"/>
          </w:tcPr>
          <w:p w14:paraId="7A871205" w14:textId="77777777" w:rsidR="00D614F3" w:rsidRPr="00404724" w:rsidRDefault="00D614F3" w:rsidP="000A13C5">
            <w:pPr>
              <w:spacing w:after="0"/>
              <w:jc w:val="right"/>
              <w:rPr>
                <w:rFonts w:ascii="Calibri" w:hAnsi="Calibri" w:cs="Calibri"/>
              </w:rPr>
            </w:pPr>
            <w:r w:rsidRPr="00404724">
              <w:rPr>
                <w:rFonts w:ascii="Calibri" w:hAnsi="Calibri" w:cs="Calibri"/>
              </w:rPr>
              <w:t>$2,370.1</w:t>
            </w:r>
          </w:p>
        </w:tc>
      </w:tr>
    </w:tbl>
    <w:p w14:paraId="06B4B7C2" w14:textId="77777777" w:rsidR="00426C98" w:rsidRPr="00404724" w:rsidRDefault="00426C98" w:rsidP="000C1C23"/>
    <w:p w14:paraId="108195BC" w14:textId="77777777" w:rsidR="00C426BA" w:rsidRPr="00404724" w:rsidRDefault="00C426BA" w:rsidP="000C1C23">
      <w:pPr>
        <w:sectPr w:rsidR="00C426BA" w:rsidRPr="00404724" w:rsidSect="00C426BA">
          <w:pgSz w:w="16838" w:h="11906" w:orient="landscape" w:code="9"/>
          <w:pgMar w:top="1021" w:right="1021" w:bottom="1021" w:left="1021" w:header="340" w:footer="397" w:gutter="0"/>
          <w:cols w:space="708"/>
          <w:docGrid w:linePitch="360"/>
        </w:sectPr>
      </w:pPr>
    </w:p>
    <w:p w14:paraId="0D695CA1" w14:textId="01B0A8B1" w:rsidR="00C426BA" w:rsidRPr="00404724" w:rsidRDefault="00C4433C" w:rsidP="008D533E">
      <w:pPr>
        <w:pStyle w:val="Heading3"/>
      </w:pPr>
      <w:bookmarkStart w:id="486" w:name="_Toc210040325"/>
      <w:bookmarkStart w:id="487" w:name="_Toc210042579"/>
      <w:bookmarkStart w:id="488" w:name="_Toc210049221"/>
      <w:bookmarkStart w:id="489" w:name="_Toc210051661"/>
      <w:bookmarkStart w:id="490" w:name="_Toc210051742"/>
      <w:r>
        <w:lastRenderedPageBreak/>
        <w:t>5</w:t>
      </w:r>
      <w:r w:rsidR="00052D85">
        <w:t>.2</w:t>
      </w:r>
      <w:r w:rsidR="00052D85">
        <w:tab/>
      </w:r>
      <w:r w:rsidR="00C426BA" w:rsidRPr="00404724">
        <w:t>Unsealed roads</w:t>
      </w:r>
      <w:bookmarkEnd w:id="486"/>
      <w:bookmarkEnd w:id="487"/>
      <w:bookmarkEnd w:id="488"/>
      <w:bookmarkEnd w:id="489"/>
      <w:bookmarkEnd w:id="490"/>
    </w:p>
    <w:p w14:paraId="66C77E46" w14:textId="5D31F7BE" w:rsidR="00C426BA" w:rsidRPr="00404724" w:rsidRDefault="00E3432A" w:rsidP="000C1C23">
      <w:pPr>
        <w:rPr>
          <w:rFonts w:ascii="Calibri" w:hAnsi="Calibri" w:cs="Calibri"/>
        </w:rPr>
      </w:pPr>
      <w:r w:rsidRPr="00404724">
        <w:rPr>
          <w:rFonts w:ascii="Calibri" w:hAnsi="Calibri" w:cs="Calibri"/>
        </w:rPr>
        <w:t>G</w:t>
      </w:r>
      <w:r w:rsidR="00464CFF" w:rsidRPr="00404724">
        <w:rPr>
          <w:rFonts w:ascii="Calibri" w:hAnsi="Calibri" w:cs="Calibri"/>
        </w:rPr>
        <w:t>overnment</w:t>
      </w:r>
      <w:r w:rsidRPr="00404724">
        <w:rPr>
          <w:rFonts w:ascii="Calibri" w:hAnsi="Calibri" w:cs="Calibri"/>
        </w:rPr>
        <w:t xml:space="preserve">s </w:t>
      </w:r>
      <w:r w:rsidR="00463798" w:rsidRPr="00404724">
        <w:rPr>
          <w:rFonts w:ascii="Calibri" w:hAnsi="Calibri" w:cs="Calibri"/>
        </w:rPr>
        <w:t>record whether an FSI crash occurs on an unsealed road</w:t>
      </w:r>
      <w:r w:rsidRPr="00404724">
        <w:rPr>
          <w:rFonts w:ascii="Calibri" w:hAnsi="Calibri" w:cs="Calibri"/>
        </w:rPr>
        <w:t>, and a</w:t>
      </w:r>
      <w:r w:rsidR="00463798" w:rsidRPr="00404724">
        <w:rPr>
          <w:rFonts w:ascii="Calibri" w:hAnsi="Calibri" w:cs="Calibri"/>
        </w:rPr>
        <w:t>s</w:t>
      </w:r>
      <w:r w:rsidR="00464CFF" w:rsidRPr="00404724">
        <w:rPr>
          <w:rFonts w:ascii="Calibri" w:hAnsi="Calibri" w:cs="Calibri"/>
        </w:rPr>
        <w:t xml:space="preserve"> such</w:t>
      </w:r>
      <w:r w:rsidR="00463798" w:rsidRPr="00404724">
        <w:rPr>
          <w:rFonts w:ascii="Calibri" w:hAnsi="Calibri" w:cs="Calibri"/>
        </w:rPr>
        <w:t xml:space="preserve"> </w:t>
      </w:r>
      <w:r w:rsidRPr="00404724">
        <w:rPr>
          <w:rFonts w:ascii="Calibri" w:hAnsi="Calibri" w:cs="Calibri"/>
        </w:rPr>
        <w:t xml:space="preserve">there is no need to model different </w:t>
      </w:r>
      <w:r w:rsidR="00E234E9" w:rsidRPr="00404724">
        <w:rPr>
          <w:rFonts w:ascii="Calibri" w:hAnsi="Calibri" w:cs="Calibri"/>
        </w:rPr>
        <w:t xml:space="preserve">FSI </w:t>
      </w:r>
      <w:r w:rsidR="00463798" w:rsidRPr="00404724">
        <w:rPr>
          <w:rFonts w:ascii="Calibri" w:hAnsi="Calibri" w:cs="Calibri"/>
        </w:rPr>
        <w:t>scenarios</w:t>
      </w:r>
      <w:r w:rsidR="00464CFF" w:rsidRPr="00404724">
        <w:rPr>
          <w:rFonts w:ascii="Calibri" w:hAnsi="Calibri" w:cs="Calibri"/>
        </w:rPr>
        <w:t>, as was done above</w:t>
      </w:r>
      <w:r w:rsidR="00E234E9" w:rsidRPr="00404724">
        <w:rPr>
          <w:rFonts w:ascii="Calibri" w:hAnsi="Calibri" w:cs="Calibri"/>
        </w:rPr>
        <w:t>.</w:t>
      </w:r>
      <w:r w:rsidR="00464CFF" w:rsidRPr="00404724">
        <w:rPr>
          <w:rFonts w:ascii="Calibri" w:hAnsi="Calibri" w:cs="Calibri"/>
        </w:rPr>
        <w:t xml:space="preserve"> Based on the </w:t>
      </w:r>
      <w:r w:rsidRPr="00404724">
        <w:rPr>
          <w:rFonts w:ascii="Calibri" w:hAnsi="Calibri" w:cs="Calibri"/>
        </w:rPr>
        <w:t>record</w:t>
      </w:r>
      <w:r w:rsidR="00464CFF" w:rsidRPr="00404724">
        <w:rPr>
          <w:rFonts w:ascii="Calibri" w:hAnsi="Calibri" w:cs="Calibri"/>
        </w:rPr>
        <w:t xml:space="preserve">s of FSI on unsealed roads, the estimates of FSI reduction are shown in </w:t>
      </w:r>
      <w:r w:rsidR="00464CFF" w:rsidRPr="00404724">
        <w:rPr>
          <w:rFonts w:ascii="Calibri" w:hAnsi="Calibri" w:cs="Calibri"/>
        </w:rPr>
        <w:fldChar w:fldCharType="begin"/>
      </w:r>
      <w:r w:rsidR="00464CFF" w:rsidRPr="00404724">
        <w:rPr>
          <w:rFonts w:ascii="Calibri" w:hAnsi="Calibri" w:cs="Calibri"/>
        </w:rPr>
        <w:instrText xml:space="preserve"> REF _Ref208773203 \h </w:instrText>
      </w:r>
      <w:r w:rsidR="00464CFF" w:rsidRPr="00404724">
        <w:rPr>
          <w:rFonts w:ascii="Calibri" w:hAnsi="Calibri" w:cs="Calibri"/>
        </w:rPr>
      </w:r>
      <w:r w:rsidR="00464CFF" w:rsidRPr="00404724">
        <w:rPr>
          <w:rFonts w:ascii="Calibri" w:hAnsi="Calibri" w:cs="Calibri"/>
        </w:rPr>
        <w:fldChar w:fldCharType="separate"/>
      </w:r>
      <w:r w:rsidR="00BF489D" w:rsidRPr="00404724">
        <w:t xml:space="preserve">Table </w:t>
      </w:r>
      <w:r w:rsidR="00BF489D">
        <w:rPr>
          <w:noProof/>
        </w:rPr>
        <w:t>41</w:t>
      </w:r>
      <w:r w:rsidR="00464CFF" w:rsidRPr="00404724">
        <w:rPr>
          <w:rFonts w:ascii="Calibri" w:hAnsi="Calibri" w:cs="Calibri"/>
        </w:rPr>
        <w:fldChar w:fldCharType="end"/>
      </w:r>
      <w:r w:rsidR="00464CFF" w:rsidRPr="00404724">
        <w:rPr>
          <w:rFonts w:ascii="Calibri" w:hAnsi="Calibri" w:cs="Calibri"/>
        </w:rPr>
        <w:t xml:space="preserve">. </w:t>
      </w:r>
    </w:p>
    <w:p w14:paraId="4AB5B6BC" w14:textId="0CE66465" w:rsidR="00463798" w:rsidRPr="00404724" w:rsidRDefault="00463798" w:rsidP="003979C3">
      <w:pPr>
        <w:pStyle w:val="Tablefigureheading"/>
        <w:rPr>
          <w:rFonts w:cs="Calibri"/>
        </w:rPr>
      </w:pPr>
      <w:bookmarkStart w:id="491" w:name="_Ref208773203"/>
      <w:bookmarkStart w:id="492" w:name="_Toc210040387"/>
      <w:bookmarkStart w:id="493" w:name="_Toc210051923"/>
      <w:r w:rsidRPr="00404724">
        <w:t xml:space="preserve">Table </w:t>
      </w:r>
      <w:r w:rsidR="00EC39D5">
        <w:fldChar w:fldCharType="begin"/>
      </w:r>
      <w:r w:rsidR="00EC39D5">
        <w:instrText xml:space="preserve"> SEQ Table \* ARABIC </w:instrText>
      </w:r>
      <w:r w:rsidR="00EC39D5">
        <w:fldChar w:fldCharType="separate"/>
      </w:r>
      <w:r w:rsidR="00BF489D">
        <w:rPr>
          <w:noProof/>
        </w:rPr>
        <w:t>41</w:t>
      </w:r>
      <w:r w:rsidR="00EC39D5">
        <w:rPr>
          <w:noProof/>
        </w:rPr>
        <w:fldChar w:fldCharType="end"/>
      </w:r>
      <w:bookmarkEnd w:id="491"/>
      <w:r w:rsidRPr="00404724">
        <w:tab/>
        <w:t xml:space="preserve">Modelled reductions </w:t>
      </w:r>
      <w:r w:rsidR="00464CFF" w:rsidRPr="00404724">
        <w:t xml:space="preserve">in fatalities and serious injuries </w:t>
      </w:r>
      <w:r w:rsidRPr="00404724">
        <w:t>on unsealed roads by option</w:t>
      </w:r>
      <w:bookmarkEnd w:id="492"/>
      <w:bookmarkEnd w:id="493"/>
    </w:p>
    <w:tbl>
      <w:tblPr>
        <w:tblStyle w:val="TableGrid"/>
        <w:tblW w:w="9776" w:type="dxa"/>
        <w:tblLook w:val="04A0" w:firstRow="1" w:lastRow="0" w:firstColumn="1" w:lastColumn="0" w:noHBand="0" w:noVBand="1"/>
        <w:tblCaption w:val="Table 41 Modelled reductions in fatalities and serious injuries on unsealed roads by option"/>
        <w:tblDescription w:val="Table 41 Modelled reductions in fatalities and serious injuries on unsealed roads by option"/>
      </w:tblPr>
      <w:tblGrid>
        <w:gridCol w:w="4957"/>
        <w:gridCol w:w="4819"/>
      </w:tblGrid>
      <w:tr w:rsidR="00C426BA" w:rsidRPr="00404724" w14:paraId="716412F2" w14:textId="77777777" w:rsidTr="00052D85">
        <w:trPr>
          <w:cantSplit/>
          <w:tblHeader/>
        </w:trPr>
        <w:tc>
          <w:tcPr>
            <w:tcW w:w="4957" w:type="dxa"/>
            <w:shd w:val="clear" w:color="auto" w:fill="081E3E" w:themeFill="text2"/>
          </w:tcPr>
          <w:p w14:paraId="58F9E806" w14:textId="4093657C" w:rsidR="00C426BA" w:rsidRPr="00404724" w:rsidRDefault="003A4CC4" w:rsidP="00BB5FCD">
            <w:pPr>
              <w:rPr>
                <w:rFonts w:ascii="Calibri" w:hAnsi="Calibri" w:cs="Calibri"/>
                <w:b/>
                <w:bCs/>
                <w:color w:val="FFFFFF" w:themeColor="background1"/>
              </w:rPr>
            </w:pPr>
            <w:r w:rsidRPr="00404724">
              <w:rPr>
                <w:rFonts w:ascii="Calibri" w:hAnsi="Calibri" w:cs="Calibri"/>
                <w:b/>
                <w:bCs/>
                <w:color w:val="FFFFFF" w:themeColor="background1"/>
              </w:rPr>
              <w:t>Speed reduction scenario</w:t>
            </w:r>
          </w:p>
        </w:tc>
        <w:tc>
          <w:tcPr>
            <w:tcW w:w="4819" w:type="dxa"/>
            <w:shd w:val="clear" w:color="auto" w:fill="081E3E" w:themeFill="text2"/>
          </w:tcPr>
          <w:p w14:paraId="06471E5A" w14:textId="13994461" w:rsidR="00C426BA" w:rsidRPr="00404724" w:rsidRDefault="00405420" w:rsidP="000A13C5">
            <w:pPr>
              <w:jc w:val="right"/>
              <w:rPr>
                <w:rFonts w:ascii="Calibri" w:hAnsi="Calibri" w:cs="Calibri"/>
                <w:b/>
                <w:bCs/>
                <w:color w:val="FFFFFF" w:themeColor="background1"/>
              </w:rPr>
            </w:pPr>
            <w:r w:rsidRPr="00404724">
              <w:rPr>
                <w:rFonts w:ascii="Calibri" w:hAnsi="Calibri" w:cs="Calibri"/>
                <w:b/>
                <w:bCs/>
                <w:color w:val="FFFFFF" w:themeColor="background1"/>
              </w:rPr>
              <w:t>Annual r</w:t>
            </w:r>
            <w:r w:rsidR="003A4CC4" w:rsidRPr="00404724">
              <w:rPr>
                <w:rFonts w:ascii="Calibri" w:hAnsi="Calibri" w:cs="Calibri"/>
                <w:b/>
                <w:bCs/>
                <w:color w:val="FFFFFF" w:themeColor="background1"/>
              </w:rPr>
              <w:t>eduction in FSI</w:t>
            </w:r>
          </w:p>
        </w:tc>
      </w:tr>
      <w:tr w:rsidR="00C426BA" w:rsidRPr="00404724" w14:paraId="06E9719D" w14:textId="77777777" w:rsidTr="00052D85">
        <w:trPr>
          <w:cantSplit/>
        </w:trPr>
        <w:tc>
          <w:tcPr>
            <w:tcW w:w="4957" w:type="dxa"/>
            <w:shd w:val="clear" w:color="auto" w:fill="EAECEF" w:themeFill="accent4" w:themeFillTint="33"/>
          </w:tcPr>
          <w:p w14:paraId="2737CD38" w14:textId="77777777" w:rsidR="00C426BA" w:rsidRPr="00404724" w:rsidRDefault="00C426BA" w:rsidP="00BB5FCD">
            <w:pPr>
              <w:rPr>
                <w:rFonts w:ascii="Calibri" w:hAnsi="Calibri" w:cs="Calibri"/>
              </w:rPr>
            </w:pPr>
            <w:r w:rsidRPr="00404724">
              <w:rPr>
                <w:rFonts w:ascii="Calibri" w:hAnsi="Calibri" w:cs="Calibri"/>
              </w:rPr>
              <w:t>Fatalities</w:t>
            </w:r>
          </w:p>
        </w:tc>
        <w:tc>
          <w:tcPr>
            <w:tcW w:w="4819" w:type="dxa"/>
            <w:shd w:val="clear" w:color="auto" w:fill="EAECEF" w:themeFill="accent4" w:themeFillTint="33"/>
          </w:tcPr>
          <w:p w14:paraId="22C8A833" w14:textId="77777777" w:rsidR="00C426BA" w:rsidRPr="00404724" w:rsidRDefault="00C426BA" w:rsidP="000A13C5">
            <w:pPr>
              <w:jc w:val="right"/>
              <w:rPr>
                <w:rFonts w:ascii="Calibri" w:hAnsi="Calibri" w:cs="Calibri"/>
              </w:rPr>
            </w:pPr>
          </w:p>
        </w:tc>
      </w:tr>
      <w:tr w:rsidR="00C426BA" w:rsidRPr="00404724" w14:paraId="7F9D8344" w14:textId="77777777" w:rsidTr="00052D85">
        <w:trPr>
          <w:cantSplit/>
        </w:trPr>
        <w:tc>
          <w:tcPr>
            <w:tcW w:w="4957" w:type="dxa"/>
          </w:tcPr>
          <w:p w14:paraId="44B859A5" w14:textId="57FFAD41" w:rsidR="00C426BA" w:rsidRPr="00404724" w:rsidRDefault="00C426BA" w:rsidP="00BB5FCD">
            <w:pPr>
              <w:rPr>
                <w:rFonts w:ascii="Calibri" w:hAnsi="Calibri" w:cs="Calibri"/>
              </w:rPr>
            </w:pPr>
            <w:r w:rsidRPr="00404724">
              <w:rPr>
                <w:rFonts w:ascii="Calibri" w:hAnsi="Calibri" w:cs="Calibri"/>
              </w:rPr>
              <w:t>100</w:t>
            </w:r>
            <w:r w:rsidR="00C82E00" w:rsidRPr="00404724">
              <w:rPr>
                <w:rFonts w:ascii="Calibri" w:hAnsi="Calibri" w:cs="Calibri"/>
              </w:rPr>
              <w:t xml:space="preserve"> km/h</w:t>
            </w:r>
            <w:r w:rsidRPr="00404724">
              <w:rPr>
                <w:rFonts w:ascii="Calibri" w:hAnsi="Calibri" w:cs="Calibri"/>
              </w:rPr>
              <w:t xml:space="preserve"> to 80</w:t>
            </w:r>
            <w:r w:rsidR="00C82E00" w:rsidRPr="00404724">
              <w:rPr>
                <w:rFonts w:ascii="Calibri" w:hAnsi="Calibri" w:cs="Calibri"/>
              </w:rPr>
              <w:t xml:space="preserve"> km/h</w:t>
            </w:r>
          </w:p>
        </w:tc>
        <w:tc>
          <w:tcPr>
            <w:tcW w:w="4819" w:type="dxa"/>
          </w:tcPr>
          <w:p w14:paraId="6F53DEF6" w14:textId="77777777" w:rsidR="00C426BA" w:rsidRPr="00404724" w:rsidRDefault="00C426BA" w:rsidP="000A13C5">
            <w:pPr>
              <w:jc w:val="right"/>
              <w:rPr>
                <w:rFonts w:ascii="Calibri" w:hAnsi="Calibri" w:cs="Calibri"/>
              </w:rPr>
            </w:pPr>
            <w:r w:rsidRPr="00404724">
              <w:rPr>
                <w:rFonts w:ascii="Calibri" w:hAnsi="Calibri" w:cs="Calibri"/>
              </w:rPr>
              <w:t>123</w:t>
            </w:r>
          </w:p>
        </w:tc>
      </w:tr>
      <w:tr w:rsidR="00C426BA" w:rsidRPr="00404724" w14:paraId="0D78E668" w14:textId="77777777" w:rsidTr="00052D85">
        <w:trPr>
          <w:cantSplit/>
        </w:trPr>
        <w:tc>
          <w:tcPr>
            <w:tcW w:w="4957" w:type="dxa"/>
          </w:tcPr>
          <w:p w14:paraId="58C1CA4D" w14:textId="4EF1186D" w:rsidR="00C426BA" w:rsidRPr="00404724" w:rsidRDefault="00C426BA" w:rsidP="00BB5FCD">
            <w:pPr>
              <w:rPr>
                <w:rFonts w:ascii="Calibri" w:hAnsi="Calibri" w:cs="Calibri"/>
              </w:rPr>
            </w:pPr>
            <w:r w:rsidRPr="00404724">
              <w:rPr>
                <w:rFonts w:ascii="Calibri" w:hAnsi="Calibri" w:cs="Calibri"/>
              </w:rPr>
              <w:t>100</w:t>
            </w:r>
            <w:r w:rsidR="00C82E00" w:rsidRPr="00404724">
              <w:rPr>
                <w:rFonts w:ascii="Calibri" w:hAnsi="Calibri" w:cs="Calibri"/>
              </w:rPr>
              <w:t xml:space="preserve"> km/h</w:t>
            </w:r>
            <w:r w:rsidRPr="00404724">
              <w:rPr>
                <w:rFonts w:ascii="Calibri" w:hAnsi="Calibri" w:cs="Calibri"/>
              </w:rPr>
              <w:t xml:space="preserve"> to 70</w:t>
            </w:r>
            <w:r w:rsidR="00C82E00" w:rsidRPr="00404724">
              <w:rPr>
                <w:rFonts w:ascii="Calibri" w:hAnsi="Calibri" w:cs="Calibri"/>
              </w:rPr>
              <w:t xml:space="preserve"> km/h</w:t>
            </w:r>
          </w:p>
        </w:tc>
        <w:tc>
          <w:tcPr>
            <w:tcW w:w="4819" w:type="dxa"/>
          </w:tcPr>
          <w:p w14:paraId="1D7ADCE4" w14:textId="77777777" w:rsidR="00C426BA" w:rsidRPr="00404724" w:rsidRDefault="00C426BA" w:rsidP="000A13C5">
            <w:pPr>
              <w:jc w:val="right"/>
              <w:rPr>
                <w:rFonts w:ascii="Calibri" w:hAnsi="Calibri" w:cs="Calibri"/>
              </w:rPr>
            </w:pPr>
            <w:r w:rsidRPr="00404724">
              <w:rPr>
                <w:rFonts w:ascii="Calibri" w:hAnsi="Calibri" w:cs="Calibri"/>
              </w:rPr>
              <w:t>248</w:t>
            </w:r>
          </w:p>
        </w:tc>
      </w:tr>
      <w:tr w:rsidR="00C426BA" w:rsidRPr="00404724" w14:paraId="32A99B2A" w14:textId="77777777" w:rsidTr="00052D85">
        <w:trPr>
          <w:cantSplit/>
        </w:trPr>
        <w:tc>
          <w:tcPr>
            <w:tcW w:w="4957" w:type="dxa"/>
            <w:shd w:val="clear" w:color="auto" w:fill="EAECEF" w:themeFill="accent4" w:themeFillTint="33"/>
          </w:tcPr>
          <w:p w14:paraId="722BD382" w14:textId="77777777" w:rsidR="00C426BA" w:rsidRPr="00404724" w:rsidRDefault="00C426BA" w:rsidP="00BB5FCD">
            <w:pPr>
              <w:rPr>
                <w:rFonts w:ascii="Calibri" w:hAnsi="Calibri" w:cs="Calibri"/>
              </w:rPr>
            </w:pPr>
            <w:r w:rsidRPr="00404724">
              <w:rPr>
                <w:rFonts w:ascii="Calibri" w:hAnsi="Calibri" w:cs="Calibri"/>
              </w:rPr>
              <w:t>Serious injuries</w:t>
            </w:r>
          </w:p>
        </w:tc>
        <w:tc>
          <w:tcPr>
            <w:tcW w:w="4819" w:type="dxa"/>
            <w:shd w:val="clear" w:color="auto" w:fill="EAECEF" w:themeFill="accent4" w:themeFillTint="33"/>
          </w:tcPr>
          <w:p w14:paraId="165E171E" w14:textId="77777777" w:rsidR="00C426BA" w:rsidRPr="00404724" w:rsidRDefault="00C426BA" w:rsidP="000A13C5">
            <w:pPr>
              <w:jc w:val="right"/>
              <w:rPr>
                <w:rFonts w:ascii="Calibri" w:hAnsi="Calibri" w:cs="Calibri"/>
              </w:rPr>
            </w:pPr>
          </w:p>
        </w:tc>
      </w:tr>
      <w:tr w:rsidR="00C426BA" w:rsidRPr="00404724" w14:paraId="2EE9A3C9" w14:textId="77777777" w:rsidTr="00052D85">
        <w:trPr>
          <w:cantSplit/>
        </w:trPr>
        <w:tc>
          <w:tcPr>
            <w:tcW w:w="4957" w:type="dxa"/>
          </w:tcPr>
          <w:p w14:paraId="2FB255C1" w14:textId="7950AFD8" w:rsidR="00C426BA" w:rsidRPr="00404724" w:rsidRDefault="00C426BA" w:rsidP="00BB5FCD">
            <w:pPr>
              <w:rPr>
                <w:rFonts w:ascii="Calibri" w:hAnsi="Calibri" w:cs="Calibri"/>
              </w:rPr>
            </w:pPr>
            <w:r w:rsidRPr="00404724">
              <w:rPr>
                <w:rFonts w:ascii="Calibri" w:hAnsi="Calibri" w:cs="Calibri"/>
              </w:rPr>
              <w:t>100</w:t>
            </w:r>
            <w:r w:rsidR="00C82E00" w:rsidRPr="00404724">
              <w:rPr>
                <w:rFonts w:ascii="Calibri" w:hAnsi="Calibri" w:cs="Calibri"/>
              </w:rPr>
              <w:t xml:space="preserve"> km/h</w:t>
            </w:r>
            <w:r w:rsidRPr="00404724">
              <w:rPr>
                <w:rFonts w:ascii="Calibri" w:hAnsi="Calibri" w:cs="Calibri"/>
              </w:rPr>
              <w:t xml:space="preserve"> to 80</w:t>
            </w:r>
            <w:r w:rsidR="00C82E00" w:rsidRPr="00404724">
              <w:rPr>
                <w:rFonts w:ascii="Calibri" w:hAnsi="Calibri" w:cs="Calibri"/>
              </w:rPr>
              <w:t xml:space="preserve"> km/h</w:t>
            </w:r>
          </w:p>
        </w:tc>
        <w:tc>
          <w:tcPr>
            <w:tcW w:w="4819" w:type="dxa"/>
          </w:tcPr>
          <w:p w14:paraId="67908921" w14:textId="77777777" w:rsidR="00C426BA" w:rsidRPr="00404724" w:rsidRDefault="00C426BA" w:rsidP="000A13C5">
            <w:pPr>
              <w:jc w:val="right"/>
              <w:rPr>
                <w:rFonts w:ascii="Calibri" w:hAnsi="Calibri" w:cs="Calibri"/>
              </w:rPr>
            </w:pPr>
            <w:r w:rsidRPr="00404724">
              <w:rPr>
                <w:rFonts w:ascii="Calibri" w:hAnsi="Calibri" w:cs="Calibri"/>
              </w:rPr>
              <w:t>4,182</w:t>
            </w:r>
          </w:p>
        </w:tc>
      </w:tr>
      <w:tr w:rsidR="00C426BA" w:rsidRPr="00404724" w14:paraId="4B09F30A" w14:textId="77777777" w:rsidTr="00052D85">
        <w:trPr>
          <w:cantSplit/>
        </w:trPr>
        <w:tc>
          <w:tcPr>
            <w:tcW w:w="4957" w:type="dxa"/>
          </w:tcPr>
          <w:p w14:paraId="543D25F8" w14:textId="3370A076" w:rsidR="00C426BA" w:rsidRPr="00404724" w:rsidRDefault="00C426BA" w:rsidP="00BB5FCD">
            <w:pPr>
              <w:rPr>
                <w:rFonts w:ascii="Calibri" w:hAnsi="Calibri" w:cs="Calibri"/>
              </w:rPr>
            </w:pPr>
            <w:r w:rsidRPr="00404724">
              <w:rPr>
                <w:rFonts w:ascii="Calibri" w:hAnsi="Calibri" w:cs="Calibri"/>
              </w:rPr>
              <w:t>100</w:t>
            </w:r>
            <w:r w:rsidR="00C82E00" w:rsidRPr="00404724">
              <w:rPr>
                <w:rFonts w:ascii="Calibri" w:hAnsi="Calibri" w:cs="Calibri"/>
              </w:rPr>
              <w:t xml:space="preserve"> km/h</w:t>
            </w:r>
            <w:r w:rsidRPr="00404724">
              <w:rPr>
                <w:rFonts w:ascii="Calibri" w:hAnsi="Calibri" w:cs="Calibri"/>
              </w:rPr>
              <w:t xml:space="preserve"> to 70</w:t>
            </w:r>
            <w:r w:rsidR="00C82E00" w:rsidRPr="00404724">
              <w:rPr>
                <w:rFonts w:ascii="Calibri" w:hAnsi="Calibri" w:cs="Calibri"/>
              </w:rPr>
              <w:t xml:space="preserve"> km/h</w:t>
            </w:r>
          </w:p>
        </w:tc>
        <w:tc>
          <w:tcPr>
            <w:tcW w:w="4819" w:type="dxa"/>
          </w:tcPr>
          <w:p w14:paraId="48E66DAA" w14:textId="77777777" w:rsidR="00C426BA" w:rsidRPr="00404724" w:rsidRDefault="00C426BA" w:rsidP="000A13C5">
            <w:pPr>
              <w:jc w:val="right"/>
              <w:rPr>
                <w:rFonts w:ascii="Calibri" w:hAnsi="Calibri" w:cs="Calibri"/>
              </w:rPr>
            </w:pPr>
            <w:r w:rsidRPr="00404724">
              <w:rPr>
                <w:rFonts w:ascii="Calibri" w:hAnsi="Calibri" w:cs="Calibri"/>
              </w:rPr>
              <w:t>8,847</w:t>
            </w:r>
          </w:p>
        </w:tc>
      </w:tr>
    </w:tbl>
    <w:p w14:paraId="57F45406" w14:textId="38087CFE" w:rsidR="00C426BA" w:rsidRPr="00404724" w:rsidRDefault="00E60A8C" w:rsidP="00C426BA">
      <w:pPr>
        <w:rPr>
          <w:rFonts w:ascii="Calibri" w:hAnsi="Calibri" w:cs="Calibri"/>
        </w:rPr>
      </w:pPr>
      <w:r w:rsidRPr="00404724">
        <w:rPr>
          <w:rFonts w:ascii="Calibri" w:hAnsi="Calibri" w:cs="Calibri"/>
        </w:rPr>
        <w:t>As with sealed roads, t</w:t>
      </w:r>
      <w:r w:rsidR="003A4CC4" w:rsidRPr="00404724">
        <w:rPr>
          <w:rFonts w:ascii="Calibri" w:hAnsi="Calibri" w:cs="Calibri"/>
        </w:rPr>
        <w:t xml:space="preserve">here are greater reductions in fatalities and serious injuries on unsealed roads </w:t>
      </w:r>
      <w:r w:rsidRPr="00404724">
        <w:rPr>
          <w:rFonts w:ascii="Calibri" w:hAnsi="Calibri" w:cs="Calibri"/>
        </w:rPr>
        <w:t xml:space="preserve">as speed limits are reduced. </w:t>
      </w:r>
    </w:p>
    <w:p w14:paraId="53486057" w14:textId="3C6AC33F" w:rsidR="00C426BA" w:rsidRPr="00404724" w:rsidRDefault="00464CFF" w:rsidP="00C426BA">
      <w:pPr>
        <w:rPr>
          <w:rFonts w:ascii="Calibri" w:hAnsi="Calibri" w:cs="Calibri"/>
        </w:rPr>
      </w:pPr>
      <w:r w:rsidRPr="00404724">
        <w:rPr>
          <w:rFonts w:ascii="Calibri" w:hAnsi="Calibri" w:cs="Calibri"/>
        </w:rPr>
        <w:fldChar w:fldCharType="begin"/>
      </w:r>
      <w:r w:rsidRPr="00404724">
        <w:rPr>
          <w:rFonts w:ascii="Calibri" w:hAnsi="Calibri" w:cs="Calibri"/>
        </w:rPr>
        <w:instrText xml:space="preserve"> REF _Ref208773230 \h </w:instrText>
      </w:r>
      <w:r w:rsidRPr="00404724">
        <w:rPr>
          <w:rFonts w:ascii="Calibri" w:hAnsi="Calibri" w:cs="Calibri"/>
        </w:rPr>
      </w:r>
      <w:r w:rsidRPr="00404724">
        <w:rPr>
          <w:rFonts w:ascii="Calibri" w:hAnsi="Calibri" w:cs="Calibri"/>
        </w:rPr>
        <w:fldChar w:fldCharType="separate"/>
      </w:r>
      <w:r w:rsidR="00BF489D" w:rsidRPr="00404724">
        <w:t xml:space="preserve">Table </w:t>
      </w:r>
      <w:r w:rsidR="00BF489D">
        <w:rPr>
          <w:noProof/>
        </w:rPr>
        <w:t>42</w:t>
      </w:r>
      <w:r w:rsidRPr="00404724">
        <w:rPr>
          <w:rFonts w:ascii="Calibri" w:hAnsi="Calibri" w:cs="Calibri"/>
        </w:rPr>
        <w:fldChar w:fldCharType="end"/>
      </w:r>
      <w:r w:rsidRPr="00404724">
        <w:rPr>
          <w:rFonts w:ascii="Calibri" w:hAnsi="Calibri" w:cs="Calibri"/>
        </w:rPr>
        <w:t xml:space="preserve"> </w:t>
      </w:r>
      <w:r w:rsidR="00E60A8C" w:rsidRPr="00404724">
        <w:rPr>
          <w:rFonts w:ascii="Calibri" w:hAnsi="Calibri" w:cs="Calibri"/>
        </w:rPr>
        <w:t>below shows the BCRs for each VKT bound assumption. Bar one exception, both speed reduction scenarios for all VKT assumptions produce positive BCRs. When a large proportion of driving is assumed on unsealed roads</w:t>
      </w:r>
      <w:r w:rsidR="00D614F3" w:rsidRPr="00404724">
        <w:rPr>
          <w:rFonts w:ascii="Calibri" w:hAnsi="Calibri" w:cs="Calibri"/>
        </w:rPr>
        <w:t xml:space="preserve"> (i.e. upper bound for VKT)</w:t>
      </w:r>
      <w:r w:rsidR="00E60A8C" w:rsidRPr="00404724">
        <w:rPr>
          <w:rFonts w:ascii="Calibri" w:hAnsi="Calibri" w:cs="Calibri"/>
        </w:rPr>
        <w:t>, a speed limit reduction form 100</w:t>
      </w:r>
      <w:r w:rsidR="00C82E00" w:rsidRPr="00404724">
        <w:rPr>
          <w:rFonts w:ascii="Calibri" w:hAnsi="Calibri" w:cs="Calibri"/>
        </w:rPr>
        <w:t xml:space="preserve"> km/h</w:t>
      </w:r>
      <w:r w:rsidR="00E60A8C" w:rsidRPr="00404724">
        <w:rPr>
          <w:rFonts w:ascii="Calibri" w:hAnsi="Calibri" w:cs="Calibri"/>
        </w:rPr>
        <w:t xml:space="preserve"> to 70</w:t>
      </w:r>
      <w:r w:rsidR="00C82E00" w:rsidRPr="00404724">
        <w:rPr>
          <w:rFonts w:ascii="Calibri" w:hAnsi="Calibri" w:cs="Calibri"/>
        </w:rPr>
        <w:t xml:space="preserve"> km/h</w:t>
      </w:r>
      <w:r w:rsidR="00E60A8C" w:rsidRPr="00404724">
        <w:rPr>
          <w:rFonts w:ascii="Calibri" w:hAnsi="Calibri" w:cs="Calibri"/>
        </w:rPr>
        <w:t xml:space="preserve"> produces a negative BCR. </w:t>
      </w:r>
    </w:p>
    <w:p w14:paraId="3DA04E7A" w14:textId="23F74C00" w:rsidR="00464CFF" w:rsidRPr="00404724" w:rsidRDefault="00464CFF" w:rsidP="003979C3">
      <w:pPr>
        <w:pStyle w:val="Tablefigureheading"/>
        <w:rPr>
          <w:rFonts w:cs="Calibri"/>
        </w:rPr>
      </w:pPr>
      <w:bookmarkStart w:id="494" w:name="_Ref208773230"/>
      <w:bookmarkStart w:id="495" w:name="_Toc210040388"/>
      <w:bookmarkStart w:id="496" w:name="_Toc210051924"/>
      <w:r w:rsidRPr="00404724">
        <w:t xml:space="preserve">Table </w:t>
      </w:r>
      <w:r w:rsidR="00EC39D5">
        <w:fldChar w:fldCharType="begin"/>
      </w:r>
      <w:r w:rsidR="00EC39D5">
        <w:instrText xml:space="preserve"> SEQ Table \* ARABIC </w:instrText>
      </w:r>
      <w:r w:rsidR="00EC39D5">
        <w:fldChar w:fldCharType="separate"/>
      </w:r>
      <w:r w:rsidR="00BF489D">
        <w:rPr>
          <w:noProof/>
        </w:rPr>
        <w:t>42</w:t>
      </w:r>
      <w:r w:rsidR="00EC39D5">
        <w:rPr>
          <w:noProof/>
        </w:rPr>
        <w:fldChar w:fldCharType="end"/>
      </w:r>
      <w:bookmarkEnd w:id="494"/>
      <w:r w:rsidRPr="00404724">
        <w:tab/>
        <w:t>Unsealed roads BCR by option by VKT scenario</w:t>
      </w:r>
      <w:bookmarkEnd w:id="495"/>
      <w:bookmarkEnd w:id="496"/>
    </w:p>
    <w:tbl>
      <w:tblPr>
        <w:tblStyle w:val="TableGrid"/>
        <w:tblW w:w="9776" w:type="dxa"/>
        <w:tblLook w:val="04A0" w:firstRow="1" w:lastRow="0" w:firstColumn="1" w:lastColumn="0" w:noHBand="0" w:noVBand="1"/>
        <w:tblCaption w:val="Table 42 Unsealed roads BCR by option by VKT scenario"/>
        <w:tblDescription w:val="Table 42 Unsealed roads BCR by option by VKT scenario"/>
      </w:tblPr>
      <w:tblGrid>
        <w:gridCol w:w="3256"/>
        <w:gridCol w:w="2905"/>
        <w:gridCol w:w="3615"/>
      </w:tblGrid>
      <w:tr w:rsidR="00D614F3" w:rsidRPr="00404724" w14:paraId="39BB17A0" w14:textId="77777777" w:rsidTr="00052D85">
        <w:trPr>
          <w:cantSplit/>
          <w:tblHeader/>
        </w:trPr>
        <w:tc>
          <w:tcPr>
            <w:tcW w:w="3256" w:type="dxa"/>
            <w:vMerge w:val="restart"/>
            <w:shd w:val="clear" w:color="auto" w:fill="081E3E" w:themeFill="text2"/>
          </w:tcPr>
          <w:p w14:paraId="3ADFA3BC" w14:textId="3369A8F8" w:rsidR="00D614F3" w:rsidRPr="00404724" w:rsidRDefault="00D614F3" w:rsidP="00BB5FCD">
            <w:pPr>
              <w:rPr>
                <w:rFonts w:ascii="Calibri" w:hAnsi="Calibri" w:cs="Calibri"/>
                <w:b/>
                <w:bCs/>
                <w:color w:val="FFFFFF" w:themeColor="background1"/>
              </w:rPr>
            </w:pPr>
            <w:r w:rsidRPr="00404724">
              <w:rPr>
                <w:rFonts w:ascii="Calibri" w:hAnsi="Calibri" w:cs="Calibri"/>
                <w:b/>
                <w:bCs/>
                <w:color w:val="FFFFFF" w:themeColor="background1"/>
              </w:rPr>
              <w:t>VKT on unsealed roads</w:t>
            </w:r>
          </w:p>
        </w:tc>
        <w:tc>
          <w:tcPr>
            <w:tcW w:w="6520" w:type="dxa"/>
            <w:gridSpan w:val="2"/>
            <w:shd w:val="clear" w:color="auto" w:fill="081E3E" w:themeFill="text2"/>
          </w:tcPr>
          <w:p w14:paraId="7E951E5F" w14:textId="7CA1D293" w:rsidR="00D614F3" w:rsidRPr="00404724" w:rsidRDefault="00D614F3" w:rsidP="00D614F3">
            <w:pPr>
              <w:jc w:val="center"/>
              <w:rPr>
                <w:rFonts w:ascii="Calibri" w:hAnsi="Calibri" w:cs="Calibri"/>
                <w:b/>
                <w:bCs/>
                <w:color w:val="FFFFFF" w:themeColor="background1"/>
              </w:rPr>
            </w:pPr>
            <w:r w:rsidRPr="00404724">
              <w:rPr>
                <w:rFonts w:ascii="Calibri" w:hAnsi="Calibri" w:cs="Calibri"/>
                <w:b/>
                <w:bCs/>
                <w:color w:val="FFFFFF" w:themeColor="background1"/>
              </w:rPr>
              <w:t>BCR</w:t>
            </w:r>
          </w:p>
        </w:tc>
      </w:tr>
      <w:tr w:rsidR="00D614F3" w:rsidRPr="00404724" w14:paraId="764FDB42" w14:textId="77777777" w:rsidTr="00052D85">
        <w:trPr>
          <w:cantSplit/>
        </w:trPr>
        <w:tc>
          <w:tcPr>
            <w:tcW w:w="3256" w:type="dxa"/>
            <w:vMerge/>
            <w:shd w:val="clear" w:color="auto" w:fill="081E3E" w:themeFill="text2"/>
          </w:tcPr>
          <w:p w14:paraId="1AA4D49B" w14:textId="6F4489DC" w:rsidR="00D614F3" w:rsidRPr="00404724" w:rsidRDefault="00D614F3" w:rsidP="00BB5FCD">
            <w:pPr>
              <w:rPr>
                <w:rFonts w:ascii="Calibri" w:hAnsi="Calibri" w:cs="Calibri"/>
                <w:b/>
                <w:bCs/>
                <w:color w:val="FFFFFF" w:themeColor="background1"/>
              </w:rPr>
            </w:pPr>
          </w:p>
        </w:tc>
        <w:tc>
          <w:tcPr>
            <w:tcW w:w="2905" w:type="dxa"/>
            <w:shd w:val="clear" w:color="auto" w:fill="081E3E" w:themeFill="text2"/>
          </w:tcPr>
          <w:p w14:paraId="407D0078" w14:textId="0499263A" w:rsidR="00D614F3" w:rsidRPr="00404724" w:rsidRDefault="00D614F3" w:rsidP="000A13C5">
            <w:pPr>
              <w:jc w:val="right"/>
              <w:rPr>
                <w:rFonts w:ascii="Calibri" w:hAnsi="Calibri" w:cs="Calibri"/>
                <w:b/>
                <w:bCs/>
                <w:color w:val="FFFFFF" w:themeColor="background1"/>
              </w:rPr>
            </w:pPr>
            <w:r w:rsidRPr="00404724">
              <w:rPr>
                <w:rFonts w:ascii="Calibri" w:hAnsi="Calibri" w:cs="Calibri"/>
                <w:b/>
                <w:bCs/>
                <w:color w:val="FFFFFF" w:themeColor="background1"/>
              </w:rPr>
              <w:t>100</w:t>
            </w:r>
            <w:r w:rsidR="00C82E00" w:rsidRPr="00404724">
              <w:rPr>
                <w:rFonts w:ascii="Calibri" w:hAnsi="Calibri" w:cs="Calibri"/>
                <w:b/>
                <w:bCs/>
                <w:color w:val="FFFFFF" w:themeColor="background1"/>
              </w:rPr>
              <w:t xml:space="preserve"> km/h</w:t>
            </w:r>
            <w:r w:rsidRPr="00404724">
              <w:rPr>
                <w:rFonts w:ascii="Calibri" w:hAnsi="Calibri" w:cs="Calibri"/>
                <w:b/>
                <w:bCs/>
                <w:color w:val="FFFFFF" w:themeColor="background1"/>
              </w:rPr>
              <w:t xml:space="preserve"> to 80</w:t>
            </w:r>
            <w:r w:rsidR="00C82E00" w:rsidRPr="00404724">
              <w:rPr>
                <w:rFonts w:ascii="Calibri" w:hAnsi="Calibri" w:cs="Calibri"/>
                <w:b/>
                <w:bCs/>
                <w:color w:val="FFFFFF" w:themeColor="background1"/>
              </w:rPr>
              <w:t xml:space="preserve"> km/h</w:t>
            </w:r>
          </w:p>
        </w:tc>
        <w:tc>
          <w:tcPr>
            <w:tcW w:w="3615" w:type="dxa"/>
            <w:shd w:val="clear" w:color="auto" w:fill="081E3E" w:themeFill="text2"/>
          </w:tcPr>
          <w:p w14:paraId="1687E459" w14:textId="23A71FE9" w:rsidR="00D614F3" w:rsidRPr="00404724" w:rsidRDefault="00D614F3" w:rsidP="000A13C5">
            <w:pPr>
              <w:jc w:val="right"/>
              <w:rPr>
                <w:rFonts w:ascii="Calibri" w:hAnsi="Calibri" w:cs="Calibri"/>
                <w:b/>
                <w:bCs/>
                <w:color w:val="FFFFFF" w:themeColor="background1"/>
              </w:rPr>
            </w:pPr>
            <w:r w:rsidRPr="00404724">
              <w:rPr>
                <w:rFonts w:ascii="Calibri" w:hAnsi="Calibri" w:cs="Calibri"/>
                <w:b/>
                <w:bCs/>
                <w:color w:val="FFFFFF" w:themeColor="background1"/>
              </w:rPr>
              <w:t>100</w:t>
            </w:r>
            <w:r w:rsidR="00C82E00" w:rsidRPr="00404724">
              <w:rPr>
                <w:rFonts w:ascii="Calibri" w:hAnsi="Calibri" w:cs="Calibri"/>
                <w:b/>
                <w:bCs/>
                <w:color w:val="FFFFFF" w:themeColor="background1"/>
              </w:rPr>
              <w:t xml:space="preserve"> km/h</w:t>
            </w:r>
            <w:r w:rsidRPr="00404724">
              <w:rPr>
                <w:rFonts w:ascii="Calibri" w:hAnsi="Calibri" w:cs="Calibri"/>
                <w:b/>
                <w:bCs/>
                <w:color w:val="FFFFFF" w:themeColor="background1"/>
              </w:rPr>
              <w:t xml:space="preserve"> to 70</w:t>
            </w:r>
            <w:r w:rsidR="00C82E00" w:rsidRPr="00404724">
              <w:rPr>
                <w:rFonts w:ascii="Calibri" w:hAnsi="Calibri" w:cs="Calibri"/>
                <w:b/>
                <w:bCs/>
                <w:color w:val="FFFFFF" w:themeColor="background1"/>
              </w:rPr>
              <w:t xml:space="preserve"> km/h</w:t>
            </w:r>
          </w:p>
        </w:tc>
      </w:tr>
      <w:tr w:rsidR="00C426BA" w:rsidRPr="00404724" w14:paraId="01CCF306" w14:textId="77777777" w:rsidTr="00052D85">
        <w:trPr>
          <w:cantSplit/>
        </w:trPr>
        <w:tc>
          <w:tcPr>
            <w:tcW w:w="3256" w:type="dxa"/>
          </w:tcPr>
          <w:p w14:paraId="709B6444" w14:textId="77777777" w:rsidR="00C426BA" w:rsidRPr="00404724" w:rsidRDefault="00C426BA" w:rsidP="00BB5FCD">
            <w:pPr>
              <w:rPr>
                <w:rFonts w:ascii="Calibri" w:hAnsi="Calibri" w:cs="Calibri"/>
              </w:rPr>
            </w:pPr>
            <w:r w:rsidRPr="00404724">
              <w:rPr>
                <w:rFonts w:ascii="Calibri" w:hAnsi="Calibri" w:cs="Calibri"/>
              </w:rPr>
              <w:t>Lower bound VKT estimate</w:t>
            </w:r>
          </w:p>
        </w:tc>
        <w:tc>
          <w:tcPr>
            <w:tcW w:w="2905" w:type="dxa"/>
          </w:tcPr>
          <w:p w14:paraId="1462771F" w14:textId="77777777" w:rsidR="00C426BA" w:rsidRPr="00404724" w:rsidRDefault="00C426BA" w:rsidP="000A13C5">
            <w:pPr>
              <w:jc w:val="right"/>
              <w:rPr>
                <w:rFonts w:ascii="Calibri" w:hAnsi="Calibri" w:cs="Calibri"/>
              </w:rPr>
            </w:pPr>
            <w:r w:rsidRPr="00404724">
              <w:rPr>
                <w:rFonts w:ascii="Calibri" w:hAnsi="Calibri" w:cs="Calibri"/>
              </w:rPr>
              <w:t>5.4</w:t>
            </w:r>
          </w:p>
        </w:tc>
        <w:tc>
          <w:tcPr>
            <w:tcW w:w="3615" w:type="dxa"/>
          </w:tcPr>
          <w:p w14:paraId="2080A1D4" w14:textId="77777777" w:rsidR="00C426BA" w:rsidRPr="00404724" w:rsidRDefault="00C426BA" w:rsidP="000A13C5">
            <w:pPr>
              <w:jc w:val="right"/>
              <w:rPr>
                <w:rFonts w:ascii="Calibri" w:hAnsi="Calibri" w:cs="Calibri"/>
              </w:rPr>
            </w:pPr>
            <w:r w:rsidRPr="00404724">
              <w:rPr>
                <w:rFonts w:ascii="Calibri" w:hAnsi="Calibri" w:cs="Calibri"/>
              </w:rPr>
              <w:t>4.6</w:t>
            </w:r>
          </w:p>
        </w:tc>
      </w:tr>
      <w:tr w:rsidR="00C426BA" w:rsidRPr="00404724" w14:paraId="76E521D5" w14:textId="77777777" w:rsidTr="00052D85">
        <w:trPr>
          <w:cantSplit/>
        </w:trPr>
        <w:tc>
          <w:tcPr>
            <w:tcW w:w="3256" w:type="dxa"/>
          </w:tcPr>
          <w:p w14:paraId="2E93D8B7" w14:textId="44CD362C" w:rsidR="00C426BA" w:rsidRPr="00404724" w:rsidRDefault="007843DB" w:rsidP="00BB5FCD">
            <w:pPr>
              <w:rPr>
                <w:rFonts w:ascii="Calibri" w:hAnsi="Calibri" w:cs="Calibri"/>
              </w:rPr>
            </w:pPr>
            <w:r w:rsidRPr="00404724">
              <w:rPr>
                <w:rFonts w:ascii="Calibri" w:hAnsi="Calibri" w:cs="Calibri"/>
              </w:rPr>
              <w:t>Middle</w:t>
            </w:r>
            <w:r w:rsidR="00C426BA" w:rsidRPr="00404724">
              <w:rPr>
                <w:rFonts w:ascii="Calibri" w:hAnsi="Calibri" w:cs="Calibri"/>
              </w:rPr>
              <w:t xml:space="preserve"> VKT estimate</w:t>
            </w:r>
          </w:p>
        </w:tc>
        <w:tc>
          <w:tcPr>
            <w:tcW w:w="2905" w:type="dxa"/>
          </w:tcPr>
          <w:p w14:paraId="78EDAC69" w14:textId="77777777" w:rsidR="00C426BA" w:rsidRPr="00404724" w:rsidRDefault="00C426BA" w:rsidP="000A13C5">
            <w:pPr>
              <w:jc w:val="right"/>
              <w:rPr>
                <w:rFonts w:ascii="Calibri" w:hAnsi="Calibri" w:cs="Calibri"/>
              </w:rPr>
            </w:pPr>
            <w:r w:rsidRPr="00404724">
              <w:rPr>
                <w:rFonts w:ascii="Calibri" w:hAnsi="Calibri" w:cs="Calibri"/>
              </w:rPr>
              <w:t>2.2</w:t>
            </w:r>
          </w:p>
        </w:tc>
        <w:tc>
          <w:tcPr>
            <w:tcW w:w="3615" w:type="dxa"/>
          </w:tcPr>
          <w:p w14:paraId="50FC375F" w14:textId="77777777" w:rsidR="00C426BA" w:rsidRPr="00404724" w:rsidRDefault="00C426BA" w:rsidP="000A13C5">
            <w:pPr>
              <w:jc w:val="right"/>
              <w:rPr>
                <w:rFonts w:ascii="Calibri" w:hAnsi="Calibri" w:cs="Calibri"/>
              </w:rPr>
            </w:pPr>
            <w:r w:rsidRPr="00404724">
              <w:rPr>
                <w:rFonts w:ascii="Calibri" w:hAnsi="Calibri" w:cs="Calibri"/>
              </w:rPr>
              <w:t>1.9</w:t>
            </w:r>
          </w:p>
        </w:tc>
      </w:tr>
      <w:tr w:rsidR="00C426BA" w:rsidRPr="00404724" w14:paraId="32589823" w14:textId="77777777" w:rsidTr="00052D85">
        <w:trPr>
          <w:cantSplit/>
        </w:trPr>
        <w:tc>
          <w:tcPr>
            <w:tcW w:w="3256" w:type="dxa"/>
          </w:tcPr>
          <w:p w14:paraId="4F4FDEEA" w14:textId="77777777" w:rsidR="00C426BA" w:rsidRPr="00404724" w:rsidRDefault="00C426BA" w:rsidP="00BB5FCD">
            <w:pPr>
              <w:rPr>
                <w:rFonts w:ascii="Calibri" w:hAnsi="Calibri" w:cs="Calibri"/>
              </w:rPr>
            </w:pPr>
            <w:r w:rsidRPr="00404724">
              <w:rPr>
                <w:rFonts w:ascii="Calibri" w:hAnsi="Calibri" w:cs="Calibri"/>
              </w:rPr>
              <w:t>Upper bound VKT estimate</w:t>
            </w:r>
          </w:p>
        </w:tc>
        <w:tc>
          <w:tcPr>
            <w:tcW w:w="2905" w:type="dxa"/>
          </w:tcPr>
          <w:p w14:paraId="46279EA2" w14:textId="77777777" w:rsidR="00C426BA" w:rsidRPr="00404724" w:rsidRDefault="00C426BA" w:rsidP="000A13C5">
            <w:pPr>
              <w:jc w:val="right"/>
              <w:rPr>
                <w:rFonts w:ascii="Calibri" w:hAnsi="Calibri" w:cs="Calibri"/>
              </w:rPr>
            </w:pPr>
            <w:r w:rsidRPr="00404724">
              <w:rPr>
                <w:rFonts w:ascii="Calibri" w:hAnsi="Calibri" w:cs="Calibri"/>
              </w:rPr>
              <w:t>1.1</w:t>
            </w:r>
          </w:p>
        </w:tc>
        <w:tc>
          <w:tcPr>
            <w:tcW w:w="3615" w:type="dxa"/>
          </w:tcPr>
          <w:p w14:paraId="78FD8EB4" w14:textId="77777777" w:rsidR="00C426BA" w:rsidRPr="00404724" w:rsidRDefault="00C426BA" w:rsidP="000A13C5">
            <w:pPr>
              <w:jc w:val="right"/>
              <w:rPr>
                <w:rFonts w:ascii="Calibri" w:hAnsi="Calibri" w:cs="Calibri"/>
              </w:rPr>
            </w:pPr>
            <w:r w:rsidRPr="00404724">
              <w:rPr>
                <w:rFonts w:ascii="Calibri" w:hAnsi="Calibri" w:cs="Calibri"/>
              </w:rPr>
              <w:t>0.96</w:t>
            </w:r>
          </w:p>
        </w:tc>
      </w:tr>
    </w:tbl>
    <w:p w14:paraId="75268A9F" w14:textId="3D4D29A8" w:rsidR="00C426BA" w:rsidRPr="00404724" w:rsidRDefault="00464CFF" w:rsidP="00C426BA">
      <w:pPr>
        <w:rPr>
          <w:rFonts w:ascii="Calibri" w:hAnsi="Calibri" w:cs="Calibri"/>
        </w:rPr>
      </w:pPr>
      <w:r w:rsidRPr="00404724">
        <w:rPr>
          <w:rFonts w:ascii="Calibri" w:hAnsi="Calibri" w:cs="Calibri"/>
        </w:rPr>
        <w:fldChar w:fldCharType="begin"/>
      </w:r>
      <w:r w:rsidRPr="00404724">
        <w:rPr>
          <w:rFonts w:ascii="Calibri" w:hAnsi="Calibri" w:cs="Calibri"/>
        </w:rPr>
        <w:instrText xml:space="preserve"> REF _Ref208773257 \h </w:instrText>
      </w:r>
      <w:r w:rsidRPr="00404724">
        <w:rPr>
          <w:rFonts w:ascii="Calibri" w:hAnsi="Calibri" w:cs="Calibri"/>
        </w:rPr>
      </w:r>
      <w:r w:rsidRPr="00404724">
        <w:rPr>
          <w:rFonts w:ascii="Calibri" w:hAnsi="Calibri" w:cs="Calibri"/>
        </w:rPr>
        <w:fldChar w:fldCharType="separate"/>
      </w:r>
      <w:r w:rsidR="00BF489D" w:rsidRPr="00404724">
        <w:t xml:space="preserve">Table </w:t>
      </w:r>
      <w:r w:rsidR="00BF489D">
        <w:rPr>
          <w:noProof/>
        </w:rPr>
        <w:t>43</w:t>
      </w:r>
      <w:r w:rsidRPr="00404724">
        <w:rPr>
          <w:rFonts w:ascii="Calibri" w:hAnsi="Calibri" w:cs="Calibri"/>
        </w:rPr>
        <w:fldChar w:fldCharType="end"/>
      </w:r>
      <w:r w:rsidRPr="00404724">
        <w:rPr>
          <w:rFonts w:ascii="Calibri" w:hAnsi="Calibri" w:cs="Calibri"/>
        </w:rPr>
        <w:t xml:space="preserve"> </w:t>
      </w:r>
      <w:r w:rsidR="00D614F3" w:rsidRPr="00404724">
        <w:rPr>
          <w:rFonts w:ascii="Calibri" w:hAnsi="Calibri" w:cs="Calibri"/>
        </w:rPr>
        <w:t>below shows the NPVs for each VKT bound assumption. As with the above, all scenarios except one produce positive NPVs.</w:t>
      </w:r>
    </w:p>
    <w:p w14:paraId="196DBAAA" w14:textId="0CFC8206" w:rsidR="00464CFF" w:rsidRPr="00404724" w:rsidRDefault="00464CFF" w:rsidP="003979C3">
      <w:pPr>
        <w:pStyle w:val="Tablefigureheading"/>
        <w:rPr>
          <w:rFonts w:cs="Calibri"/>
        </w:rPr>
      </w:pPr>
      <w:bookmarkStart w:id="497" w:name="_Ref208773257"/>
      <w:bookmarkStart w:id="498" w:name="_Toc210040389"/>
      <w:bookmarkStart w:id="499" w:name="_Toc210051925"/>
      <w:r w:rsidRPr="00404724">
        <w:t xml:space="preserve">Table </w:t>
      </w:r>
      <w:r w:rsidR="00EC39D5">
        <w:fldChar w:fldCharType="begin"/>
      </w:r>
      <w:r w:rsidR="00EC39D5">
        <w:instrText xml:space="preserve"> SEQ Table \* ARABIC </w:instrText>
      </w:r>
      <w:r w:rsidR="00EC39D5">
        <w:fldChar w:fldCharType="separate"/>
      </w:r>
      <w:r w:rsidR="00BF489D">
        <w:rPr>
          <w:noProof/>
        </w:rPr>
        <w:t>43</w:t>
      </w:r>
      <w:r w:rsidR="00EC39D5">
        <w:rPr>
          <w:noProof/>
        </w:rPr>
        <w:fldChar w:fldCharType="end"/>
      </w:r>
      <w:bookmarkEnd w:id="497"/>
      <w:r w:rsidRPr="00404724">
        <w:tab/>
        <w:t>Unsealed roads NPV by option by VKT scenario</w:t>
      </w:r>
      <w:bookmarkEnd w:id="498"/>
      <w:bookmarkEnd w:id="499"/>
    </w:p>
    <w:tbl>
      <w:tblPr>
        <w:tblStyle w:val="TableGrid"/>
        <w:tblW w:w="9776" w:type="dxa"/>
        <w:tblLook w:val="04A0" w:firstRow="1" w:lastRow="0" w:firstColumn="1" w:lastColumn="0" w:noHBand="0" w:noVBand="1"/>
        <w:tblCaption w:val="Table 43 Unsealed roads NPV by option by VKT scenario"/>
        <w:tblDescription w:val="Table 43 Unsealed roads NPV by option by VKT scenario"/>
      </w:tblPr>
      <w:tblGrid>
        <w:gridCol w:w="3256"/>
        <w:gridCol w:w="2905"/>
        <w:gridCol w:w="3615"/>
      </w:tblGrid>
      <w:tr w:rsidR="00D614F3" w:rsidRPr="00404724" w14:paraId="386842A1" w14:textId="77777777" w:rsidTr="00052D85">
        <w:trPr>
          <w:cantSplit/>
          <w:tblHeader/>
        </w:trPr>
        <w:tc>
          <w:tcPr>
            <w:tcW w:w="3256" w:type="dxa"/>
            <w:vMerge w:val="restart"/>
            <w:shd w:val="clear" w:color="auto" w:fill="081E3E" w:themeFill="text2"/>
          </w:tcPr>
          <w:p w14:paraId="2CFA879E" w14:textId="1694F18B" w:rsidR="00D614F3" w:rsidRPr="00404724" w:rsidRDefault="00D614F3" w:rsidP="00BB5FCD">
            <w:pPr>
              <w:rPr>
                <w:rFonts w:ascii="Calibri" w:hAnsi="Calibri" w:cs="Calibri"/>
                <w:b/>
                <w:bCs/>
                <w:color w:val="FFFFFF" w:themeColor="background1"/>
              </w:rPr>
            </w:pPr>
            <w:r w:rsidRPr="00404724">
              <w:rPr>
                <w:rFonts w:ascii="Calibri" w:hAnsi="Calibri" w:cs="Calibri"/>
                <w:b/>
                <w:bCs/>
                <w:color w:val="FFFFFF" w:themeColor="background1"/>
              </w:rPr>
              <w:t>VKT on unsealed roads</w:t>
            </w:r>
          </w:p>
        </w:tc>
        <w:tc>
          <w:tcPr>
            <w:tcW w:w="6520" w:type="dxa"/>
            <w:gridSpan w:val="2"/>
            <w:shd w:val="clear" w:color="auto" w:fill="081E3E" w:themeFill="text2"/>
          </w:tcPr>
          <w:p w14:paraId="5E5D3287" w14:textId="6528256E" w:rsidR="00D614F3" w:rsidRPr="00404724" w:rsidRDefault="00D614F3" w:rsidP="00D614F3">
            <w:pPr>
              <w:jc w:val="center"/>
              <w:rPr>
                <w:rFonts w:ascii="Calibri" w:hAnsi="Calibri" w:cs="Calibri"/>
                <w:b/>
                <w:bCs/>
                <w:color w:val="FFFFFF" w:themeColor="background1"/>
              </w:rPr>
            </w:pPr>
            <w:r w:rsidRPr="00404724">
              <w:rPr>
                <w:rFonts w:ascii="Calibri" w:hAnsi="Calibri" w:cs="Calibri"/>
                <w:b/>
                <w:bCs/>
                <w:color w:val="FFFFFF" w:themeColor="background1"/>
              </w:rPr>
              <w:t>NPV ($m)</w:t>
            </w:r>
          </w:p>
        </w:tc>
      </w:tr>
      <w:tr w:rsidR="00D614F3" w:rsidRPr="00404724" w14:paraId="4B06CC7F" w14:textId="77777777" w:rsidTr="00052D85">
        <w:trPr>
          <w:cantSplit/>
        </w:trPr>
        <w:tc>
          <w:tcPr>
            <w:tcW w:w="3256" w:type="dxa"/>
            <w:vMerge/>
            <w:shd w:val="clear" w:color="auto" w:fill="081E3E" w:themeFill="text2"/>
          </w:tcPr>
          <w:p w14:paraId="62A0EA93" w14:textId="0E98CA48" w:rsidR="00D614F3" w:rsidRPr="00404724" w:rsidRDefault="00D614F3" w:rsidP="00BB5FCD">
            <w:pPr>
              <w:rPr>
                <w:rFonts w:ascii="Calibri" w:hAnsi="Calibri" w:cs="Calibri"/>
                <w:b/>
                <w:bCs/>
                <w:color w:val="FFFFFF" w:themeColor="background1"/>
              </w:rPr>
            </w:pPr>
          </w:p>
        </w:tc>
        <w:tc>
          <w:tcPr>
            <w:tcW w:w="2905" w:type="dxa"/>
            <w:shd w:val="clear" w:color="auto" w:fill="081E3E" w:themeFill="text2"/>
          </w:tcPr>
          <w:p w14:paraId="5253EA22" w14:textId="317E1A18" w:rsidR="00D614F3" w:rsidRPr="00404724" w:rsidRDefault="00D614F3" w:rsidP="000A13C5">
            <w:pPr>
              <w:jc w:val="right"/>
              <w:rPr>
                <w:rFonts w:ascii="Calibri" w:hAnsi="Calibri" w:cs="Calibri"/>
                <w:b/>
                <w:bCs/>
                <w:color w:val="FFFFFF" w:themeColor="background1"/>
              </w:rPr>
            </w:pPr>
            <w:r w:rsidRPr="00404724">
              <w:rPr>
                <w:rFonts w:ascii="Calibri" w:hAnsi="Calibri" w:cs="Calibri"/>
                <w:b/>
                <w:bCs/>
                <w:color w:val="FFFFFF" w:themeColor="background1"/>
              </w:rPr>
              <w:t>100</w:t>
            </w:r>
            <w:r w:rsidR="00C82E00" w:rsidRPr="00404724">
              <w:rPr>
                <w:rFonts w:ascii="Calibri" w:hAnsi="Calibri" w:cs="Calibri"/>
                <w:b/>
                <w:bCs/>
                <w:color w:val="FFFFFF" w:themeColor="background1"/>
              </w:rPr>
              <w:t xml:space="preserve"> km/h</w:t>
            </w:r>
            <w:r w:rsidRPr="00404724">
              <w:rPr>
                <w:rFonts w:ascii="Calibri" w:hAnsi="Calibri" w:cs="Calibri"/>
                <w:b/>
                <w:bCs/>
                <w:color w:val="FFFFFF" w:themeColor="background1"/>
              </w:rPr>
              <w:t xml:space="preserve"> to 80</w:t>
            </w:r>
            <w:r w:rsidR="00C82E00" w:rsidRPr="00404724">
              <w:rPr>
                <w:rFonts w:ascii="Calibri" w:hAnsi="Calibri" w:cs="Calibri"/>
                <w:b/>
                <w:bCs/>
                <w:color w:val="FFFFFF" w:themeColor="background1"/>
              </w:rPr>
              <w:t xml:space="preserve"> km/h</w:t>
            </w:r>
          </w:p>
        </w:tc>
        <w:tc>
          <w:tcPr>
            <w:tcW w:w="3615" w:type="dxa"/>
            <w:shd w:val="clear" w:color="auto" w:fill="081E3E" w:themeFill="text2"/>
          </w:tcPr>
          <w:p w14:paraId="784A074B" w14:textId="55FE5D57" w:rsidR="00D614F3" w:rsidRPr="00404724" w:rsidRDefault="00D614F3" w:rsidP="000A13C5">
            <w:pPr>
              <w:jc w:val="right"/>
              <w:rPr>
                <w:rFonts w:ascii="Calibri" w:hAnsi="Calibri" w:cs="Calibri"/>
                <w:b/>
                <w:bCs/>
                <w:color w:val="FFFFFF" w:themeColor="background1"/>
              </w:rPr>
            </w:pPr>
            <w:r w:rsidRPr="00404724">
              <w:rPr>
                <w:rFonts w:ascii="Calibri" w:hAnsi="Calibri" w:cs="Calibri"/>
                <w:b/>
                <w:bCs/>
                <w:color w:val="FFFFFF" w:themeColor="background1"/>
              </w:rPr>
              <w:t>100</w:t>
            </w:r>
            <w:r w:rsidR="00C82E00" w:rsidRPr="00404724">
              <w:rPr>
                <w:rFonts w:ascii="Calibri" w:hAnsi="Calibri" w:cs="Calibri"/>
                <w:b/>
                <w:bCs/>
                <w:color w:val="FFFFFF" w:themeColor="background1"/>
              </w:rPr>
              <w:t xml:space="preserve"> km/h</w:t>
            </w:r>
            <w:r w:rsidRPr="00404724">
              <w:rPr>
                <w:rFonts w:ascii="Calibri" w:hAnsi="Calibri" w:cs="Calibri"/>
                <w:b/>
                <w:bCs/>
                <w:color w:val="FFFFFF" w:themeColor="background1"/>
              </w:rPr>
              <w:t xml:space="preserve"> to 70</w:t>
            </w:r>
            <w:r w:rsidR="00C82E00" w:rsidRPr="00404724">
              <w:rPr>
                <w:rFonts w:ascii="Calibri" w:hAnsi="Calibri" w:cs="Calibri"/>
                <w:b/>
                <w:bCs/>
                <w:color w:val="FFFFFF" w:themeColor="background1"/>
              </w:rPr>
              <w:t xml:space="preserve"> km/h</w:t>
            </w:r>
          </w:p>
        </w:tc>
      </w:tr>
      <w:tr w:rsidR="00C426BA" w:rsidRPr="00404724" w14:paraId="149DF7B7" w14:textId="77777777" w:rsidTr="00052D85">
        <w:trPr>
          <w:cantSplit/>
        </w:trPr>
        <w:tc>
          <w:tcPr>
            <w:tcW w:w="3256" w:type="dxa"/>
          </w:tcPr>
          <w:p w14:paraId="5EDFEE8A" w14:textId="77777777" w:rsidR="00C426BA" w:rsidRPr="00404724" w:rsidRDefault="00C426BA" w:rsidP="00BB5FCD">
            <w:pPr>
              <w:rPr>
                <w:rFonts w:ascii="Calibri" w:hAnsi="Calibri" w:cs="Calibri"/>
              </w:rPr>
            </w:pPr>
            <w:r w:rsidRPr="00404724">
              <w:rPr>
                <w:rFonts w:ascii="Calibri" w:hAnsi="Calibri" w:cs="Calibri"/>
              </w:rPr>
              <w:t>Lower bound VKT estimate</w:t>
            </w:r>
          </w:p>
        </w:tc>
        <w:tc>
          <w:tcPr>
            <w:tcW w:w="2905" w:type="dxa"/>
          </w:tcPr>
          <w:p w14:paraId="4FCF0C22" w14:textId="77777777" w:rsidR="00C426BA" w:rsidRPr="00404724" w:rsidRDefault="00C426BA" w:rsidP="000A13C5">
            <w:pPr>
              <w:jc w:val="right"/>
              <w:rPr>
                <w:rFonts w:ascii="Calibri" w:hAnsi="Calibri" w:cs="Calibri"/>
              </w:rPr>
            </w:pPr>
            <w:r w:rsidRPr="00404724">
              <w:t>$1,964.4</w:t>
            </w:r>
          </w:p>
        </w:tc>
        <w:tc>
          <w:tcPr>
            <w:tcW w:w="3615" w:type="dxa"/>
          </w:tcPr>
          <w:p w14:paraId="551152AF" w14:textId="77777777" w:rsidR="00C426BA" w:rsidRPr="00404724" w:rsidRDefault="00C426BA" w:rsidP="000A13C5">
            <w:pPr>
              <w:jc w:val="right"/>
              <w:rPr>
                <w:rFonts w:ascii="Calibri" w:hAnsi="Calibri" w:cs="Calibri"/>
              </w:rPr>
            </w:pPr>
            <w:r w:rsidRPr="00404724">
              <w:t>$3,948.6</w:t>
            </w:r>
          </w:p>
        </w:tc>
      </w:tr>
      <w:tr w:rsidR="00C426BA" w:rsidRPr="00404724" w14:paraId="621302C1" w14:textId="77777777" w:rsidTr="00052D85">
        <w:trPr>
          <w:cantSplit/>
        </w:trPr>
        <w:tc>
          <w:tcPr>
            <w:tcW w:w="3256" w:type="dxa"/>
          </w:tcPr>
          <w:p w14:paraId="0B34EFCA" w14:textId="21FA7A9B" w:rsidR="00C426BA" w:rsidRPr="00404724" w:rsidRDefault="007843DB" w:rsidP="00BB5FCD">
            <w:pPr>
              <w:rPr>
                <w:rFonts w:ascii="Calibri" w:hAnsi="Calibri" w:cs="Calibri"/>
              </w:rPr>
            </w:pPr>
            <w:r w:rsidRPr="00404724">
              <w:rPr>
                <w:rFonts w:ascii="Calibri" w:hAnsi="Calibri" w:cs="Calibri"/>
              </w:rPr>
              <w:t xml:space="preserve">Middle </w:t>
            </w:r>
            <w:r w:rsidR="00C426BA" w:rsidRPr="00404724">
              <w:rPr>
                <w:rFonts w:ascii="Calibri" w:hAnsi="Calibri" w:cs="Calibri"/>
              </w:rPr>
              <w:t>VKT estimate</w:t>
            </w:r>
          </w:p>
        </w:tc>
        <w:tc>
          <w:tcPr>
            <w:tcW w:w="2905" w:type="dxa"/>
          </w:tcPr>
          <w:p w14:paraId="08DFD6BA" w14:textId="77777777" w:rsidR="00C426BA" w:rsidRPr="00404724" w:rsidRDefault="00C426BA" w:rsidP="000A13C5">
            <w:pPr>
              <w:jc w:val="right"/>
              <w:rPr>
                <w:rFonts w:ascii="Calibri" w:hAnsi="Calibri" w:cs="Calibri"/>
              </w:rPr>
            </w:pPr>
            <w:r w:rsidRPr="00404724">
              <w:t>$1,340.4</w:t>
            </w:r>
          </w:p>
        </w:tc>
        <w:tc>
          <w:tcPr>
            <w:tcW w:w="3615" w:type="dxa"/>
          </w:tcPr>
          <w:p w14:paraId="0E3D55D8" w14:textId="77777777" w:rsidR="00C426BA" w:rsidRPr="00404724" w:rsidRDefault="00C426BA" w:rsidP="000A13C5">
            <w:pPr>
              <w:jc w:val="right"/>
              <w:rPr>
                <w:rFonts w:ascii="Calibri" w:hAnsi="Calibri" w:cs="Calibri"/>
              </w:rPr>
            </w:pPr>
            <w:r w:rsidRPr="00404724">
              <w:t>$2,367.5</w:t>
            </w:r>
          </w:p>
        </w:tc>
      </w:tr>
      <w:tr w:rsidR="00C426BA" w:rsidRPr="00404724" w14:paraId="4F5D8720" w14:textId="77777777" w:rsidTr="00052D85">
        <w:trPr>
          <w:cantSplit/>
        </w:trPr>
        <w:tc>
          <w:tcPr>
            <w:tcW w:w="3256" w:type="dxa"/>
          </w:tcPr>
          <w:p w14:paraId="0E5D844D" w14:textId="77777777" w:rsidR="00C426BA" w:rsidRPr="00404724" w:rsidRDefault="00C426BA" w:rsidP="00BB5FCD">
            <w:pPr>
              <w:rPr>
                <w:rFonts w:ascii="Calibri" w:hAnsi="Calibri" w:cs="Calibri"/>
              </w:rPr>
            </w:pPr>
            <w:r w:rsidRPr="00404724">
              <w:rPr>
                <w:rFonts w:ascii="Calibri" w:hAnsi="Calibri" w:cs="Calibri"/>
              </w:rPr>
              <w:t>Upper bound VKT estimate</w:t>
            </w:r>
          </w:p>
        </w:tc>
        <w:tc>
          <w:tcPr>
            <w:tcW w:w="2905" w:type="dxa"/>
          </w:tcPr>
          <w:p w14:paraId="34A93DD0" w14:textId="77777777" w:rsidR="00C426BA" w:rsidRPr="00404724" w:rsidRDefault="00C426BA" w:rsidP="000A13C5">
            <w:pPr>
              <w:jc w:val="right"/>
              <w:rPr>
                <w:rFonts w:ascii="Calibri" w:hAnsi="Calibri" w:cs="Calibri"/>
              </w:rPr>
            </w:pPr>
            <w:r w:rsidRPr="00404724">
              <w:t>$320.3</w:t>
            </w:r>
          </w:p>
        </w:tc>
        <w:tc>
          <w:tcPr>
            <w:tcW w:w="3615" w:type="dxa"/>
          </w:tcPr>
          <w:p w14:paraId="5BB5251C" w14:textId="77777777" w:rsidR="00C426BA" w:rsidRPr="00404724" w:rsidRDefault="00C426BA" w:rsidP="000A13C5">
            <w:pPr>
              <w:jc w:val="right"/>
              <w:rPr>
                <w:rFonts w:ascii="Calibri" w:hAnsi="Calibri" w:cs="Calibri"/>
              </w:rPr>
            </w:pPr>
            <w:r w:rsidRPr="00404724">
              <w:t>-$214.8</w:t>
            </w:r>
          </w:p>
        </w:tc>
      </w:tr>
    </w:tbl>
    <w:p w14:paraId="41C88FE1" w14:textId="1BD977A6" w:rsidR="00C426BA" w:rsidRPr="00404724" w:rsidRDefault="00CE054C" w:rsidP="000C1C23">
      <w:r w:rsidRPr="00404724">
        <w:t xml:space="preserve">The table below outlines the costs and benefits associated with each speed reduction scenario and VKT assumption. </w:t>
      </w:r>
      <w:r w:rsidR="00C70A94" w:rsidRPr="00404724">
        <w:t xml:space="preserve">Given the number of FSI remain the same, as the VKT assumptions increase, the BCRs and NPVs decrease. </w:t>
      </w:r>
    </w:p>
    <w:p w14:paraId="2A080271" w14:textId="00709E5B" w:rsidR="00CE054C" w:rsidRPr="00404724" w:rsidRDefault="00C70A94" w:rsidP="000C1C23">
      <w:r w:rsidRPr="00404724">
        <w:t xml:space="preserve">The following table shows the NPVs of each speed reduction scenario and VKT assumption after varying key parameters. The signs of the NPVs </w:t>
      </w:r>
      <w:r w:rsidR="007843DB" w:rsidRPr="00404724">
        <w:t xml:space="preserve">(whether a result is positive or negative) </w:t>
      </w:r>
      <w:r w:rsidRPr="00404724">
        <w:t>for all scenarios and assumptions remain the same after testing for each sensitivity</w:t>
      </w:r>
      <w:r w:rsidR="007843DB" w:rsidRPr="00404724">
        <w:t xml:space="preserve"> –</w:t>
      </w:r>
      <w:r w:rsidRPr="00404724">
        <w:t xml:space="preserve"> except</w:t>
      </w:r>
      <w:r w:rsidR="007843DB" w:rsidRPr="00404724">
        <w:t xml:space="preserve"> </w:t>
      </w:r>
      <w:r w:rsidRPr="00404724">
        <w:t>for that of the upper VKT assumption with a speed reduction of 100</w:t>
      </w:r>
      <w:r w:rsidR="00C82E00" w:rsidRPr="00404724">
        <w:t xml:space="preserve"> km/h</w:t>
      </w:r>
      <w:r w:rsidRPr="00404724">
        <w:t xml:space="preserve"> to 70</w:t>
      </w:r>
      <w:r w:rsidR="00C82E00" w:rsidRPr="00404724">
        <w:t xml:space="preserve"> km/h</w:t>
      </w:r>
      <w:r w:rsidR="007843DB" w:rsidRPr="00404724">
        <w:t>,</w:t>
      </w:r>
      <w:r w:rsidRPr="00404724">
        <w:t xml:space="preserve"> with the inclusion of the reduction in minor injuries. Here, where minor injuries are included, the benefits outweigh the </w:t>
      </w:r>
      <w:r w:rsidR="007F46D9" w:rsidRPr="00404724">
        <w:t>costs,</w:t>
      </w:r>
      <w:r w:rsidRPr="00404724">
        <w:t xml:space="preserve"> and the result is a positive NPV (unlike the central estimate which produced a negative NP</w:t>
      </w:r>
      <w:r w:rsidR="007843DB" w:rsidRPr="00404724">
        <w:t>V</w:t>
      </w:r>
      <w:r w:rsidRPr="00404724">
        <w:t>).</w:t>
      </w:r>
    </w:p>
    <w:p w14:paraId="794F79A3" w14:textId="77777777" w:rsidR="00C426BA" w:rsidRPr="00404724" w:rsidRDefault="00C426BA" w:rsidP="000C1C23">
      <w:pPr>
        <w:sectPr w:rsidR="00C426BA" w:rsidRPr="00404724" w:rsidSect="00C426BA">
          <w:pgSz w:w="11906" w:h="16838" w:code="9"/>
          <w:pgMar w:top="1021" w:right="1021" w:bottom="1021" w:left="1021" w:header="340" w:footer="397" w:gutter="0"/>
          <w:cols w:space="708"/>
          <w:docGrid w:linePitch="360"/>
        </w:sectPr>
      </w:pPr>
    </w:p>
    <w:tbl>
      <w:tblPr>
        <w:tblW w:w="14732" w:type="dxa"/>
        <w:tblLayout w:type="fixed"/>
        <w:tblLook w:val="04A0" w:firstRow="1" w:lastRow="0" w:firstColumn="1" w:lastColumn="0" w:noHBand="0" w:noVBand="1"/>
      </w:tblPr>
      <w:tblGrid>
        <w:gridCol w:w="3818"/>
        <w:gridCol w:w="1819"/>
        <w:gridCol w:w="1819"/>
        <w:gridCol w:w="1819"/>
        <w:gridCol w:w="1819"/>
        <w:gridCol w:w="1819"/>
        <w:gridCol w:w="1819"/>
      </w:tblGrid>
      <w:tr w:rsidR="00C426BA" w:rsidRPr="00404724" w14:paraId="68C74EE4" w14:textId="77777777" w:rsidTr="00CE054C">
        <w:trPr>
          <w:trHeight w:val="330"/>
        </w:trPr>
        <w:tc>
          <w:tcPr>
            <w:tcW w:w="3818" w:type="dxa"/>
            <w:tcBorders>
              <w:top w:val="single" w:sz="8" w:space="0" w:color="auto"/>
              <w:left w:val="single" w:sz="8" w:space="0" w:color="auto"/>
              <w:bottom w:val="nil"/>
              <w:right w:val="nil"/>
            </w:tcBorders>
            <w:shd w:val="clear" w:color="000000" w:fill="140034"/>
            <w:noWrap/>
            <w:vAlign w:val="bottom"/>
          </w:tcPr>
          <w:p w14:paraId="61552351" w14:textId="77777777" w:rsidR="00C426BA" w:rsidRPr="00404724" w:rsidRDefault="00C426BA" w:rsidP="00C426BA">
            <w:pPr>
              <w:spacing w:before="0" w:after="0"/>
              <w:rPr>
                <w:rFonts w:ascii="Calibri" w:hAnsi="Calibri" w:cs="Calibri"/>
                <w:color w:val="FFFFFF" w:themeColor="background1"/>
              </w:rPr>
            </w:pPr>
          </w:p>
        </w:tc>
        <w:tc>
          <w:tcPr>
            <w:tcW w:w="5457" w:type="dxa"/>
            <w:gridSpan w:val="3"/>
            <w:tcBorders>
              <w:top w:val="nil"/>
              <w:left w:val="single" w:sz="8" w:space="0" w:color="auto"/>
              <w:bottom w:val="nil"/>
              <w:right w:val="single" w:sz="8" w:space="0" w:color="auto"/>
            </w:tcBorders>
            <w:shd w:val="clear" w:color="000000" w:fill="140034"/>
          </w:tcPr>
          <w:p w14:paraId="1A38BC0F" w14:textId="660C5D71" w:rsidR="00C426BA" w:rsidRPr="00404724" w:rsidRDefault="00C426BA" w:rsidP="00C426BA">
            <w:pPr>
              <w:spacing w:before="0" w:after="0"/>
              <w:rPr>
                <w:rFonts w:ascii="Calibri" w:hAnsi="Calibri" w:cs="Calibri"/>
                <w:color w:val="FFFFFF" w:themeColor="background1"/>
              </w:rPr>
            </w:pPr>
            <w:r w:rsidRPr="00404724">
              <w:rPr>
                <w:rFonts w:ascii="Calibri" w:hAnsi="Calibri" w:cs="Calibri"/>
                <w:color w:val="FFFFFF" w:themeColor="background1"/>
              </w:rPr>
              <w:t>100</w:t>
            </w:r>
            <w:r w:rsidR="00C82E00" w:rsidRPr="00404724">
              <w:rPr>
                <w:rFonts w:ascii="Calibri" w:hAnsi="Calibri" w:cs="Calibri"/>
                <w:color w:val="FFFFFF" w:themeColor="background1"/>
              </w:rPr>
              <w:t xml:space="preserve"> km/h</w:t>
            </w:r>
            <w:r w:rsidRPr="00404724">
              <w:rPr>
                <w:rFonts w:ascii="Calibri" w:hAnsi="Calibri" w:cs="Calibri"/>
                <w:color w:val="FFFFFF" w:themeColor="background1"/>
              </w:rPr>
              <w:t xml:space="preserve"> to 80</w:t>
            </w:r>
            <w:r w:rsidR="00C82E00" w:rsidRPr="00404724">
              <w:rPr>
                <w:rFonts w:ascii="Calibri" w:hAnsi="Calibri" w:cs="Calibri"/>
                <w:color w:val="FFFFFF" w:themeColor="background1"/>
              </w:rPr>
              <w:t xml:space="preserve"> km/h</w:t>
            </w:r>
          </w:p>
        </w:tc>
        <w:tc>
          <w:tcPr>
            <w:tcW w:w="5457" w:type="dxa"/>
            <w:gridSpan w:val="3"/>
            <w:tcBorders>
              <w:top w:val="nil"/>
              <w:left w:val="single" w:sz="8" w:space="0" w:color="auto"/>
              <w:bottom w:val="nil"/>
              <w:right w:val="single" w:sz="8" w:space="0" w:color="auto"/>
            </w:tcBorders>
            <w:shd w:val="clear" w:color="000000" w:fill="140034"/>
          </w:tcPr>
          <w:p w14:paraId="0D9358EE" w14:textId="3EAEFACE" w:rsidR="00C426BA" w:rsidRPr="00404724" w:rsidRDefault="00C426BA" w:rsidP="00C426BA">
            <w:pPr>
              <w:spacing w:before="0" w:after="0"/>
              <w:rPr>
                <w:rFonts w:ascii="Calibri" w:hAnsi="Calibri" w:cs="Calibri"/>
                <w:color w:val="FFFFFF" w:themeColor="background1"/>
              </w:rPr>
            </w:pPr>
            <w:r w:rsidRPr="00404724">
              <w:rPr>
                <w:rFonts w:ascii="Calibri" w:hAnsi="Calibri" w:cs="Calibri"/>
                <w:color w:val="FFFFFF" w:themeColor="background1"/>
              </w:rPr>
              <w:t>100</w:t>
            </w:r>
            <w:r w:rsidR="00C82E00" w:rsidRPr="00404724">
              <w:rPr>
                <w:rFonts w:ascii="Calibri" w:hAnsi="Calibri" w:cs="Calibri"/>
                <w:color w:val="FFFFFF" w:themeColor="background1"/>
              </w:rPr>
              <w:t xml:space="preserve"> km/h</w:t>
            </w:r>
            <w:r w:rsidRPr="00404724">
              <w:rPr>
                <w:rFonts w:ascii="Calibri" w:hAnsi="Calibri" w:cs="Calibri"/>
                <w:color w:val="FFFFFF" w:themeColor="background1"/>
              </w:rPr>
              <w:t xml:space="preserve"> to 70</w:t>
            </w:r>
            <w:r w:rsidR="00C82E00" w:rsidRPr="00404724">
              <w:rPr>
                <w:rFonts w:ascii="Calibri" w:hAnsi="Calibri" w:cs="Calibri"/>
                <w:color w:val="FFFFFF" w:themeColor="background1"/>
              </w:rPr>
              <w:t xml:space="preserve"> km/h</w:t>
            </w:r>
          </w:p>
        </w:tc>
      </w:tr>
      <w:tr w:rsidR="00CE054C" w:rsidRPr="00404724" w14:paraId="058A3F93" w14:textId="77777777" w:rsidTr="00CE054C">
        <w:trPr>
          <w:trHeight w:val="330"/>
        </w:trPr>
        <w:tc>
          <w:tcPr>
            <w:tcW w:w="3818" w:type="dxa"/>
            <w:tcBorders>
              <w:top w:val="single" w:sz="8" w:space="0" w:color="auto"/>
              <w:left w:val="single" w:sz="8" w:space="0" w:color="auto"/>
              <w:bottom w:val="nil"/>
              <w:right w:val="nil"/>
            </w:tcBorders>
            <w:shd w:val="clear" w:color="000000" w:fill="140034"/>
            <w:noWrap/>
            <w:vAlign w:val="bottom"/>
            <w:hideMark/>
          </w:tcPr>
          <w:p w14:paraId="412A7604" w14:textId="77777777" w:rsidR="00CE054C" w:rsidRPr="00404724" w:rsidRDefault="00CE054C" w:rsidP="00CE054C">
            <w:pPr>
              <w:spacing w:before="0" w:after="0"/>
              <w:rPr>
                <w:rFonts w:ascii="Calibri" w:hAnsi="Calibri" w:cs="Calibri"/>
                <w:color w:val="FFFFFF" w:themeColor="background1"/>
              </w:rPr>
            </w:pPr>
          </w:p>
        </w:tc>
        <w:tc>
          <w:tcPr>
            <w:tcW w:w="1819" w:type="dxa"/>
            <w:tcBorders>
              <w:top w:val="nil"/>
              <w:left w:val="single" w:sz="8" w:space="0" w:color="auto"/>
              <w:bottom w:val="nil"/>
              <w:right w:val="nil"/>
            </w:tcBorders>
            <w:shd w:val="clear" w:color="000000" w:fill="140034"/>
          </w:tcPr>
          <w:p w14:paraId="14FE5498" w14:textId="0F276476" w:rsidR="00CE054C" w:rsidRPr="00404724" w:rsidRDefault="00CE054C" w:rsidP="000A13C5">
            <w:pPr>
              <w:spacing w:before="0" w:after="0"/>
              <w:jc w:val="right"/>
              <w:rPr>
                <w:rFonts w:ascii="Calibri" w:hAnsi="Calibri" w:cs="Calibri"/>
                <w:color w:val="FFFFFF" w:themeColor="background1"/>
              </w:rPr>
            </w:pPr>
            <w:r w:rsidRPr="00404724">
              <w:rPr>
                <w:rFonts w:ascii="Calibri" w:hAnsi="Calibri" w:cs="Calibri"/>
                <w:color w:val="FFFFFF" w:themeColor="background1"/>
              </w:rPr>
              <w:t>Low VKT bound</w:t>
            </w:r>
          </w:p>
        </w:tc>
        <w:tc>
          <w:tcPr>
            <w:tcW w:w="1819" w:type="dxa"/>
            <w:tcBorders>
              <w:top w:val="nil"/>
              <w:left w:val="single" w:sz="8" w:space="0" w:color="auto"/>
              <w:bottom w:val="nil"/>
              <w:right w:val="single" w:sz="8" w:space="0" w:color="auto"/>
            </w:tcBorders>
            <w:shd w:val="clear" w:color="000000" w:fill="140034"/>
          </w:tcPr>
          <w:p w14:paraId="7BFFF639" w14:textId="1D327D5E" w:rsidR="00CE054C" w:rsidRPr="00404724" w:rsidRDefault="00CE054C" w:rsidP="000A13C5">
            <w:pPr>
              <w:spacing w:before="0" w:after="0"/>
              <w:jc w:val="right"/>
              <w:rPr>
                <w:rFonts w:ascii="Calibri" w:hAnsi="Calibri" w:cs="Calibri"/>
                <w:color w:val="FFFFFF" w:themeColor="background1"/>
              </w:rPr>
            </w:pPr>
            <w:r w:rsidRPr="00404724">
              <w:rPr>
                <w:rFonts w:ascii="Calibri" w:hAnsi="Calibri" w:cs="Calibri"/>
                <w:color w:val="FFFFFF" w:themeColor="background1"/>
              </w:rPr>
              <w:t>Middle VKT</w:t>
            </w:r>
          </w:p>
        </w:tc>
        <w:tc>
          <w:tcPr>
            <w:tcW w:w="1819" w:type="dxa"/>
            <w:tcBorders>
              <w:top w:val="nil"/>
              <w:left w:val="single" w:sz="8" w:space="0" w:color="auto"/>
              <w:bottom w:val="nil"/>
              <w:right w:val="single" w:sz="8" w:space="0" w:color="auto"/>
            </w:tcBorders>
            <w:shd w:val="clear" w:color="000000" w:fill="140034"/>
          </w:tcPr>
          <w:p w14:paraId="2595F2F4" w14:textId="2AB9F750" w:rsidR="00CE054C" w:rsidRPr="00404724" w:rsidRDefault="00CE054C" w:rsidP="000A13C5">
            <w:pPr>
              <w:spacing w:before="0" w:after="0"/>
              <w:jc w:val="right"/>
              <w:rPr>
                <w:rFonts w:ascii="Calibri" w:hAnsi="Calibri" w:cs="Calibri"/>
                <w:color w:val="FFFFFF" w:themeColor="background1"/>
              </w:rPr>
            </w:pPr>
            <w:r w:rsidRPr="00404724">
              <w:rPr>
                <w:rFonts w:ascii="Calibri" w:hAnsi="Calibri" w:cs="Calibri"/>
                <w:color w:val="FFFFFF" w:themeColor="background1"/>
              </w:rPr>
              <w:t>Upper VKT bound</w:t>
            </w:r>
          </w:p>
        </w:tc>
        <w:tc>
          <w:tcPr>
            <w:tcW w:w="1819" w:type="dxa"/>
            <w:tcBorders>
              <w:top w:val="nil"/>
              <w:left w:val="single" w:sz="8" w:space="0" w:color="auto"/>
              <w:bottom w:val="nil"/>
              <w:right w:val="single" w:sz="8" w:space="0" w:color="auto"/>
            </w:tcBorders>
            <w:shd w:val="clear" w:color="000000" w:fill="140034"/>
          </w:tcPr>
          <w:p w14:paraId="04963311" w14:textId="4CC6EFD9" w:rsidR="00CE054C" w:rsidRPr="00404724" w:rsidRDefault="00CE054C" w:rsidP="000A13C5">
            <w:pPr>
              <w:spacing w:before="0" w:after="0"/>
              <w:jc w:val="right"/>
              <w:rPr>
                <w:rFonts w:ascii="Calibri" w:hAnsi="Calibri" w:cs="Calibri"/>
                <w:color w:val="FFFFFF" w:themeColor="background1"/>
              </w:rPr>
            </w:pPr>
            <w:r w:rsidRPr="00404724">
              <w:rPr>
                <w:rFonts w:ascii="Calibri" w:hAnsi="Calibri" w:cs="Calibri"/>
                <w:color w:val="FFFFFF" w:themeColor="background1"/>
              </w:rPr>
              <w:t>Low VKT bound</w:t>
            </w:r>
          </w:p>
        </w:tc>
        <w:tc>
          <w:tcPr>
            <w:tcW w:w="1819" w:type="dxa"/>
            <w:tcBorders>
              <w:top w:val="nil"/>
              <w:left w:val="single" w:sz="8" w:space="0" w:color="auto"/>
              <w:bottom w:val="nil"/>
              <w:right w:val="single" w:sz="8" w:space="0" w:color="auto"/>
            </w:tcBorders>
            <w:shd w:val="clear" w:color="000000" w:fill="140034"/>
          </w:tcPr>
          <w:p w14:paraId="1131BE0A" w14:textId="2E3A6528" w:rsidR="00CE054C" w:rsidRPr="00404724" w:rsidRDefault="00CE054C" w:rsidP="000A13C5">
            <w:pPr>
              <w:spacing w:before="0" w:after="0"/>
              <w:jc w:val="right"/>
              <w:rPr>
                <w:rFonts w:ascii="Calibri" w:hAnsi="Calibri" w:cs="Calibri"/>
                <w:color w:val="FFFFFF" w:themeColor="background1"/>
              </w:rPr>
            </w:pPr>
            <w:r w:rsidRPr="00404724">
              <w:rPr>
                <w:rFonts w:ascii="Calibri" w:hAnsi="Calibri" w:cs="Calibri"/>
                <w:color w:val="FFFFFF" w:themeColor="background1"/>
              </w:rPr>
              <w:t>Middle VKT</w:t>
            </w:r>
          </w:p>
        </w:tc>
        <w:tc>
          <w:tcPr>
            <w:tcW w:w="1819" w:type="dxa"/>
            <w:tcBorders>
              <w:top w:val="nil"/>
              <w:left w:val="single" w:sz="8" w:space="0" w:color="auto"/>
              <w:bottom w:val="nil"/>
              <w:right w:val="nil"/>
            </w:tcBorders>
            <w:shd w:val="clear" w:color="000000" w:fill="140034"/>
          </w:tcPr>
          <w:p w14:paraId="3C543536" w14:textId="005C93F7" w:rsidR="00CE054C" w:rsidRPr="00404724" w:rsidRDefault="00CE054C" w:rsidP="000A13C5">
            <w:pPr>
              <w:spacing w:before="0" w:after="0"/>
              <w:jc w:val="right"/>
              <w:rPr>
                <w:rFonts w:ascii="Calibri" w:hAnsi="Calibri" w:cs="Calibri"/>
                <w:color w:val="FFFFFF" w:themeColor="background1"/>
              </w:rPr>
            </w:pPr>
            <w:r w:rsidRPr="00404724">
              <w:rPr>
                <w:rFonts w:ascii="Calibri" w:hAnsi="Calibri" w:cs="Calibri"/>
                <w:color w:val="FFFFFF" w:themeColor="background1"/>
              </w:rPr>
              <w:t>Upper VKT bound</w:t>
            </w:r>
          </w:p>
        </w:tc>
      </w:tr>
      <w:tr w:rsidR="00C70A94" w:rsidRPr="00404724" w14:paraId="61B54EA0" w14:textId="77777777" w:rsidTr="00CE054C">
        <w:trPr>
          <w:trHeight w:val="330"/>
        </w:trPr>
        <w:tc>
          <w:tcPr>
            <w:tcW w:w="3818" w:type="dxa"/>
            <w:tcBorders>
              <w:top w:val="nil"/>
              <w:left w:val="single" w:sz="8" w:space="0" w:color="auto"/>
              <w:bottom w:val="nil"/>
              <w:right w:val="nil"/>
            </w:tcBorders>
            <w:shd w:val="clear" w:color="000000" w:fill="E4E4E4"/>
            <w:noWrap/>
            <w:hideMark/>
          </w:tcPr>
          <w:p w14:paraId="23B58D8C" w14:textId="77777777" w:rsidR="00C70A94" w:rsidRPr="00404724" w:rsidRDefault="00C70A94" w:rsidP="00C70A94">
            <w:pPr>
              <w:spacing w:before="0" w:after="0"/>
              <w:rPr>
                <w:rFonts w:ascii="Calibri" w:hAnsi="Calibri" w:cs="Calibri"/>
              </w:rPr>
            </w:pPr>
            <w:r w:rsidRPr="00404724">
              <w:rPr>
                <w:rFonts w:ascii="Calibri" w:hAnsi="Calibri" w:cs="Calibri"/>
              </w:rPr>
              <w:t>Avoided fatalities and serious injuries</w:t>
            </w:r>
          </w:p>
        </w:tc>
        <w:tc>
          <w:tcPr>
            <w:tcW w:w="1819" w:type="dxa"/>
            <w:tcBorders>
              <w:top w:val="nil"/>
              <w:left w:val="single" w:sz="8" w:space="0" w:color="auto"/>
              <w:bottom w:val="nil"/>
              <w:right w:val="nil"/>
            </w:tcBorders>
            <w:shd w:val="clear" w:color="000000" w:fill="E4E4E4"/>
          </w:tcPr>
          <w:p w14:paraId="0703EE9B" w14:textId="23B8E419" w:rsidR="00C70A94" w:rsidRPr="00404724" w:rsidRDefault="00C70A94" w:rsidP="000A13C5">
            <w:pPr>
              <w:spacing w:before="0" w:after="0"/>
              <w:jc w:val="right"/>
              <w:rPr>
                <w:rFonts w:ascii="Calibri" w:hAnsi="Calibri" w:cs="Calibri"/>
              </w:rPr>
            </w:pPr>
            <w:r w:rsidRPr="00404724">
              <w:rPr>
                <w:rFonts w:cstheme="minorHAnsi"/>
              </w:rPr>
              <w:t>($m)</w:t>
            </w:r>
          </w:p>
        </w:tc>
        <w:tc>
          <w:tcPr>
            <w:tcW w:w="1819" w:type="dxa"/>
            <w:tcBorders>
              <w:top w:val="nil"/>
              <w:left w:val="single" w:sz="8" w:space="0" w:color="auto"/>
              <w:bottom w:val="nil"/>
              <w:right w:val="single" w:sz="8" w:space="0" w:color="auto"/>
            </w:tcBorders>
            <w:shd w:val="clear" w:color="000000" w:fill="E4E4E4"/>
          </w:tcPr>
          <w:p w14:paraId="3CE5735F" w14:textId="07135865" w:rsidR="00C70A94" w:rsidRPr="00404724" w:rsidRDefault="00C70A94" w:rsidP="000A13C5">
            <w:pPr>
              <w:spacing w:before="0" w:after="0"/>
              <w:jc w:val="right"/>
              <w:rPr>
                <w:rFonts w:ascii="Calibri" w:hAnsi="Calibri" w:cs="Calibri"/>
              </w:rPr>
            </w:pPr>
            <w:r w:rsidRPr="00404724">
              <w:rPr>
                <w:rFonts w:cstheme="minorHAnsi"/>
              </w:rPr>
              <w:t>($m)</w:t>
            </w:r>
          </w:p>
        </w:tc>
        <w:tc>
          <w:tcPr>
            <w:tcW w:w="1819" w:type="dxa"/>
            <w:tcBorders>
              <w:top w:val="nil"/>
              <w:left w:val="single" w:sz="8" w:space="0" w:color="auto"/>
              <w:bottom w:val="nil"/>
              <w:right w:val="single" w:sz="8" w:space="0" w:color="auto"/>
            </w:tcBorders>
            <w:shd w:val="clear" w:color="000000" w:fill="E4E4E4"/>
          </w:tcPr>
          <w:p w14:paraId="4987CCCB" w14:textId="0C32CED8" w:rsidR="00C70A94" w:rsidRPr="00404724" w:rsidRDefault="00C70A94" w:rsidP="000A13C5">
            <w:pPr>
              <w:spacing w:before="0" w:after="0"/>
              <w:jc w:val="right"/>
              <w:rPr>
                <w:rFonts w:ascii="Calibri" w:hAnsi="Calibri" w:cs="Calibri"/>
              </w:rPr>
            </w:pPr>
            <w:r w:rsidRPr="00404724">
              <w:rPr>
                <w:rFonts w:cstheme="minorHAnsi"/>
              </w:rPr>
              <w:t>($m)</w:t>
            </w:r>
          </w:p>
        </w:tc>
        <w:tc>
          <w:tcPr>
            <w:tcW w:w="1819" w:type="dxa"/>
            <w:tcBorders>
              <w:top w:val="nil"/>
              <w:left w:val="single" w:sz="8" w:space="0" w:color="auto"/>
              <w:bottom w:val="nil"/>
              <w:right w:val="single" w:sz="8" w:space="0" w:color="auto"/>
            </w:tcBorders>
            <w:shd w:val="clear" w:color="000000" w:fill="E4E4E4"/>
          </w:tcPr>
          <w:p w14:paraId="79C853F2" w14:textId="1435F822" w:rsidR="00C70A94" w:rsidRPr="00404724" w:rsidRDefault="00C70A94" w:rsidP="000A13C5">
            <w:pPr>
              <w:spacing w:before="0" w:after="0"/>
              <w:jc w:val="right"/>
              <w:rPr>
                <w:rFonts w:ascii="Calibri" w:hAnsi="Calibri" w:cs="Calibri"/>
              </w:rPr>
            </w:pPr>
            <w:r w:rsidRPr="00404724">
              <w:rPr>
                <w:rFonts w:cstheme="minorHAnsi"/>
              </w:rPr>
              <w:t>($m)</w:t>
            </w:r>
          </w:p>
        </w:tc>
        <w:tc>
          <w:tcPr>
            <w:tcW w:w="1819" w:type="dxa"/>
            <w:tcBorders>
              <w:top w:val="nil"/>
              <w:left w:val="single" w:sz="8" w:space="0" w:color="auto"/>
              <w:bottom w:val="nil"/>
              <w:right w:val="single" w:sz="8" w:space="0" w:color="auto"/>
            </w:tcBorders>
            <w:shd w:val="clear" w:color="000000" w:fill="E4E4E4"/>
          </w:tcPr>
          <w:p w14:paraId="154960B4" w14:textId="757CE4A6" w:rsidR="00C70A94" w:rsidRPr="00404724" w:rsidRDefault="00C70A94" w:rsidP="000A13C5">
            <w:pPr>
              <w:spacing w:before="0" w:after="0"/>
              <w:jc w:val="right"/>
              <w:rPr>
                <w:rFonts w:ascii="Calibri" w:hAnsi="Calibri" w:cs="Calibri"/>
              </w:rPr>
            </w:pPr>
            <w:r w:rsidRPr="00404724">
              <w:rPr>
                <w:rFonts w:cstheme="minorHAnsi"/>
              </w:rPr>
              <w:t>($m)</w:t>
            </w:r>
          </w:p>
        </w:tc>
        <w:tc>
          <w:tcPr>
            <w:tcW w:w="1819" w:type="dxa"/>
            <w:tcBorders>
              <w:top w:val="nil"/>
              <w:left w:val="single" w:sz="8" w:space="0" w:color="auto"/>
              <w:bottom w:val="nil"/>
              <w:right w:val="nil"/>
            </w:tcBorders>
            <w:shd w:val="clear" w:color="000000" w:fill="E4E4E4"/>
          </w:tcPr>
          <w:p w14:paraId="3B0FA18C" w14:textId="535CAC44" w:rsidR="00C70A94" w:rsidRPr="00404724" w:rsidRDefault="00C70A94" w:rsidP="000A13C5">
            <w:pPr>
              <w:spacing w:before="0" w:after="0"/>
              <w:jc w:val="right"/>
              <w:rPr>
                <w:rFonts w:ascii="Calibri" w:hAnsi="Calibri" w:cs="Calibri"/>
              </w:rPr>
            </w:pPr>
            <w:r w:rsidRPr="00404724">
              <w:rPr>
                <w:rFonts w:cstheme="minorHAnsi"/>
              </w:rPr>
              <w:t>($m)</w:t>
            </w:r>
          </w:p>
        </w:tc>
      </w:tr>
      <w:tr w:rsidR="00C426BA" w:rsidRPr="00404724" w14:paraId="0B5C604B" w14:textId="77777777" w:rsidTr="00CE054C">
        <w:trPr>
          <w:trHeight w:val="330"/>
        </w:trPr>
        <w:tc>
          <w:tcPr>
            <w:tcW w:w="3818" w:type="dxa"/>
            <w:tcBorders>
              <w:top w:val="nil"/>
              <w:left w:val="single" w:sz="8" w:space="0" w:color="auto"/>
              <w:bottom w:val="nil"/>
              <w:right w:val="nil"/>
            </w:tcBorders>
            <w:shd w:val="clear" w:color="000000" w:fill="FFFFFF"/>
            <w:noWrap/>
            <w:hideMark/>
          </w:tcPr>
          <w:p w14:paraId="03963701" w14:textId="77777777" w:rsidR="00C426BA" w:rsidRPr="00404724" w:rsidRDefault="00C426BA" w:rsidP="00C426BA">
            <w:pPr>
              <w:spacing w:before="0" w:after="0"/>
              <w:rPr>
                <w:rFonts w:ascii="Calibri" w:hAnsi="Calibri" w:cs="Calibri"/>
              </w:rPr>
            </w:pPr>
            <w:r w:rsidRPr="00404724">
              <w:rPr>
                <w:rFonts w:ascii="Calibri" w:hAnsi="Calibri" w:cs="Calibri"/>
              </w:rPr>
              <w:t>Avoided fatalities</w:t>
            </w:r>
          </w:p>
        </w:tc>
        <w:tc>
          <w:tcPr>
            <w:tcW w:w="1819" w:type="dxa"/>
            <w:tcBorders>
              <w:top w:val="nil"/>
              <w:left w:val="single" w:sz="8" w:space="0" w:color="auto"/>
              <w:bottom w:val="nil"/>
              <w:right w:val="nil"/>
            </w:tcBorders>
            <w:shd w:val="clear" w:color="000000" w:fill="FFFFFF"/>
          </w:tcPr>
          <w:p w14:paraId="34C8E3E7" w14:textId="77777777" w:rsidR="00C426BA" w:rsidRPr="00404724" w:rsidRDefault="00C426BA" w:rsidP="000A13C5">
            <w:pPr>
              <w:spacing w:before="0" w:after="0"/>
              <w:jc w:val="right"/>
              <w:rPr>
                <w:rFonts w:ascii="Calibri" w:hAnsi="Calibri" w:cs="Calibri"/>
              </w:rPr>
            </w:pPr>
            <w:r w:rsidRPr="00404724">
              <w:rPr>
                <w:rFonts w:ascii="Calibri" w:hAnsi="Calibri" w:cs="Calibri"/>
              </w:rPr>
              <w:t>$477.6</w:t>
            </w:r>
          </w:p>
        </w:tc>
        <w:tc>
          <w:tcPr>
            <w:tcW w:w="1819" w:type="dxa"/>
            <w:tcBorders>
              <w:top w:val="nil"/>
              <w:left w:val="single" w:sz="8" w:space="0" w:color="auto"/>
              <w:bottom w:val="nil"/>
              <w:right w:val="single" w:sz="8" w:space="0" w:color="auto"/>
            </w:tcBorders>
            <w:shd w:val="clear" w:color="000000" w:fill="FFFFFF"/>
          </w:tcPr>
          <w:p w14:paraId="19DBD3C9" w14:textId="77777777" w:rsidR="00C426BA" w:rsidRPr="00404724" w:rsidRDefault="00C426BA" w:rsidP="000A13C5">
            <w:pPr>
              <w:spacing w:before="0" w:after="0"/>
              <w:jc w:val="right"/>
              <w:rPr>
                <w:rFonts w:ascii="Calibri" w:hAnsi="Calibri" w:cs="Calibri"/>
              </w:rPr>
            </w:pPr>
            <w:r w:rsidRPr="00404724">
              <w:rPr>
                <w:rFonts w:ascii="Calibri" w:hAnsi="Calibri" w:cs="Calibri"/>
              </w:rPr>
              <w:t>$477.6</w:t>
            </w:r>
          </w:p>
        </w:tc>
        <w:tc>
          <w:tcPr>
            <w:tcW w:w="1819" w:type="dxa"/>
            <w:tcBorders>
              <w:top w:val="nil"/>
              <w:left w:val="single" w:sz="8" w:space="0" w:color="auto"/>
              <w:bottom w:val="nil"/>
              <w:right w:val="single" w:sz="8" w:space="0" w:color="auto"/>
            </w:tcBorders>
            <w:shd w:val="clear" w:color="000000" w:fill="FFFFFF"/>
          </w:tcPr>
          <w:p w14:paraId="215888B5" w14:textId="77777777" w:rsidR="00C426BA" w:rsidRPr="00404724" w:rsidRDefault="00C426BA" w:rsidP="000A13C5">
            <w:pPr>
              <w:spacing w:before="0" w:after="0"/>
              <w:jc w:val="right"/>
              <w:rPr>
                <w:rFonts w:ascii="Calibri" w:hAnsi="Calibri" w:cs="Calibri"/>
              </w:rPr>
            </w:pPr>
            <w:r w:rsidRPr="00404724">
              <w:rPr>
                <w:rFonts w:ascii="Calibri" w:hAnsi="Calibri" w:cs="Calibri"/>
              </w:rPr>
              <w:t>$477.6</w:t>
            </w:r>
          </w:p>
        </w:tc>
        <w:tc>
          <w:tcPr>
            <w:tcW w:w="1819" w:type="dxa"/>
            <w:tcBorders>
              <w:top w:val="nil"/>
              <w:left w:val="single" w:sz="8" w:space="0" w:color="auto"/>
              <w:bottom w:val="nil"/>
              <w:right w:val="single" w:sz="8" w:space="0" w:color="auto"/>
            </w:tcBorders>
            <w:shd w:val="clear" w:color="000000" w:fill="FFFFFF"/>
          </w:tcPr>
          <w:p w14:paraId="5C81548E" w14:textId="77777777" w:rsidR="00C426BA" w:rsidRPr="00404724" w:rsidRDefault="00C426BA" w:rsidP="000A13C5">
            <w:pPr>
              <w:spacing w:before="0" w:after="0"/>
              <w:jc w:val="right"/>
              <w:rPr>
                <w:rFonts w:ascii="Calibri" w:hAnsi="Calibri" w:cs="Calibri"/>
              </w:rPr>
            </w:pPr>
            <w:r w:rsidRPr="00404724">
              <w:rPr>
                <w:rFonts w:ascii="Calibri" w:hAnsi="Calibri" w:cs="Calibri"/>
              </w:rPr>
              <w:t>$963.4</w:t>
            </w:r>
          </w:p>
        </w:tc>
        <w:tc>
          <w:tcPr>
            <w:tcW w:w="1819" w:type="dxa"/>
            <w:tcBorders>
              <w:top w:val="nil"/>
              <w:left w:val="single" w:sz="8" w:space="0" w:color="auto"/>
              <w:bottom w:val="nil"/>
              <w:right w:val="single" w:sz="8" w:space="0" w:color="auto"/>
            </w:tcBorders>
            <w:shd w:val="clear" w:color="000000" w:fill="FFFFFF"/>
          </w:tcPr>
          <w:p w14:paraId="6895AC64" w14:textId="77777777" w:rsidR="00C426BA" w:rsidRPr="00404724" w:rsidRDefault="00C426BA" w:rsidP="000A13C5">
            <w:pPr>
              <w:spacing w:before="0" w:after="0"/>
              <w:jc w:val="right"/>
              <w:rPr>
                <w:rFonts w:ascii="Calibri" w:hAnsi="Calibri" w:cs="Calibri"/>
              </w:rPr>
            </w:pPr>
            <w:r w:rsidRPr="00404724">
              <w:rPr>
                <w:rFonts w:ascii="Calibri" w:hAnsi="Calibri" w:cs="Calibri"/>
              </w:rPr>
              <w:t>$963.4</w:t>
            </w:r>
          </w:p>
        </w:tc>
        <w:tc>
          <w:tcPr>
            <w:tcW w:w="1819" w:type="dxa"/>
            <w:tcBorders>
              <w:top w:val="nil"/>
              <w:left w:val="single" w:sz="8" w:space="0" w:color="auto"/>
              <w:bottom w:val="nil"/>
              <w:right w:val="nil"/>
            </w:tcBorders>
            <w:shd w:val="clear" w:color="000000" w:fill="FFFFFF"/>
          </w:tcPr>
          <w:p w14:paraId="51036C3E" w14:textId="77777777" w:rsidR="00C426BA" w:rsidRPr="00404724" w:rsidRDefault="00C426BA" w:rsidP="000A13C5">
            <w:pPr>
              <w:spacing w:before="0" w:after="0"/>
              <w:jc w:val="right"/>
              <w:rPr>
                <w:rFonts w:ascii="Calibri" w:hAnsi="Calibri" w:cs="Calibri"/>
              </w:rPr>
            </w:pPr>
            <w:r w:rsidRPr="00404724">
              <w:rPr>
                <w:rFonts w:ascii="Calibri" w:hAnsi="Calibri" w:cs="Calibri"/>
              </w:rPr>
              <w:t>$963.4</w:t>
            </w:r>
          </w:p>
        </w:tc>
      </w:tr>
      <w:tr w:rsidR="00C426BA" w:rsidRPr="00404724" w14:paraId="2448FB6A" w14:textId="77777777" w:rsidTr="00CE054C">
        <w:trPr>
          <w:trHeight w:val="330"/>
        </w:trPr>
        <w:tc>
          <w:tcPr>
            <w:tcW w:w="3818" w:type="dxa"/>
            <w:tcBorders>
              <w:top w:val="nil"/>
              <w:left w:val="single" w:sz="8" w:space="0" w:color="auto"/>
              <w:bottom w:val="nil"/>
              <w:right w:val="nil"/>
            </w:tcBorders>
            <w:shd w:val="clear" w:color="000000" w:fill="FFFFFF"/>
            <w:noWrap/>
            <w:hideMark/>
          </w:tcPr>
          <w:p w14:paraId="71E6C195" w14:textId="77777777" w:rsidR="00C426BA" w:rsidRPr="00404724" w:rsidRDefault="00C426BA" w:rsidP="00C426BA">
            <w:pPr>
              <w:spacing w:before="0" w:after="0"/>
              <w:rPr>
                <w:rFonts w:ascii="Calibri" w:hAnsi="Calibri" w:cs="Calibri"/>
              </w:rPr>
            </w:pPr>
            <w:r w:rsidRPr="00404724">
              <w:rPr>
                <w:rFonts w:ascii="Calibri" w:hAnsi="Calibri" w:cs="Calibri"/>
              </w:rPr>
              <w:t>Avoided serious injuries</w:t>
            </w:r>
          </w:p>
        </w:tc>
        <w:tc>
          <w:tcPr>
            <w:tcW w:w="1819" w:type="dxa"/>
            <w:tcBorders>
              <w:top w:val="nil"/>
              <w:left w:val="single" w:sz="8" w:space="0" w:color="auto"/>
              <w:bottom w:val="nil"/>
              <w:right w:val="nil"/>
            </w:tcBorders>
            <w:shd w:val="clear" w:color="000000" w:fill="FFFFFF"/>
          </w:tcPr>
          <w:p w14:paraId="3C9D7501" w14:textId="77777777" w:rsidR="00C426BA" w:rsidRPr="00404724" w:rsidRDefault="00C426BA" w:rsidP="000A13C5">
            <w:pPr>
              <w:spacing w:before="0" w:after="0"/>
              <w:jc w:val="right"/>
              <w:rPr>
                <w:rFonts w:ascii="Calibri" w:hAnsi="Calibri" w:cs="Calibri"/>
              </w:rPr>
            </w:pPr>
            <w:r w:rsidRPr="00404724">
              <w:rPr>
                <w:rFonts w:ascii="Calibri" w:hAnsi="Calibri" w:cs="Calibri"/>
              </w:rPr>
              <w:t>$1,907.9</w:t>
            </w:r>
          </w:p>
        </w:tc>
        <w:tc>
          <w:tcPr>
            <w:tcW w:w="1819" w:type="dxa"/>
            <w:tcBorders>
              <w:top w:val="nil"/>
              <w:left w:val="single" w:sz="8" w:space="0" w:color="auto"/>
              <w:bottom w:val="nil"/>
              <w:right w:val="single" w:sz="8" w:space="0" w:color="auto"/>
            </w:tcBorders>
            <w:shd w:val="clear" w:color="000000" w:fill="FFFFFF"/>
          </w:tcPr>
          <w:p w14:paraId="7F9E7536" w14:textId="77777777" w:rsidR="00C426BA" w:rsidRPr="00404724" w:rsidRDefault="00C426BA" w:rsidP="000A13C5">
            <w:pPr>
              <w:spacing w:before="0" w:after="0"/>
              <w:jc w:val="right"/>
              <w:rPr>
                <w:rFonts w:ascii="Calibri" w:hAnsi="Calibri" w:cs="Calibri"/>
              </w:rPr>
            </w:pPr>
            <w:r w:rsidRPr="00404724">
              <w:rPr>
                <w:rFonts w:ascii="Calibri" w:hAnsi="Calibri" w:cs="Calibri"/>
              </w:rPr>
              <w:t>$1,907.9</w:t>
            </w:r>
          </w:p>
        </w:tc>
        <w:tc>
          <w:tcPr>
            <w:tcW w:w="1819" w:type="dxa"/>
            <w:tcBorders>
              <w:top w:val="nil"/>
              <w:left w:val="single" w:sz="8" w:space="0" w:color="auto"/>
              <w:bottom w:val="nil"/>
              <w:right w:val="single" w:sz="8" w:space="0" w:color="auto"/>
            </w:tcBorders>
            <w:shd w:val="clear" w:color="000000" w:fill="FFFFFF"/>
          </w:tcPr>
          <w:p w14:paraId="7D038E40" w14:textId="77777777" w:rsidR="00C426BA" w:rsidRPr="00404724" w:rsidRDefault="00C426BA" w:rsidP="000A13C5">
            <w:pPr>
              <w:spacing w:before="0" w:after="0"/>
              <w:jc w:val="right"/>
              <w:rPr>
                <w:rFonts w:ascii="Calibri" w:hAnsi="Calibri" w:cs="Calibri"/>
              </w:rPr>
            </w:pPr>
            <w:r w:rsidRPr="00404724">
              <w:rPr>
                <w:rFonts w:ascii="Calibri" w:hAnsi="Calibri" w:cs="Calibri"/>
              </w:rPr>
              <w:t>$1,907.9</w:t>
            </w:r>
          </w:p>
        </w:tc>
        <w:tc>
          <w:tcPr>
            <w:tcW w:w="1819" w:type="dxa"/>
            <w:tcBorders>
              <w:top w:val="nil"/>
              <w:left w:val="single" w:sz="8" w:space="0" w:color="auto"/>
              <w:bottom w:val="nil"/>
              <w:right w:val="single" w:sz="8" w:space="0" w:color="auto"/>
            </w:tcBorders>
            <w:shd w:val="clear" w:color="000000" w:fill="FFFFFF"/>
          </w:tcPr>
          <w:p w14:paraId="0C753459" w14:textId="77777777" w:rsidR="00C426BA" w:rsidRPr="00404724" w:rsidRDefault="00C426BA" w:rsidP="000A13C5">
            <w:pPr>
              <w:spacing w:before="0" w:after="0"/>
              <w:jc w:val="right"/>
              <w:rPr>
                <w:rFonts w:ascii="Calibri" w:hAnsi="Calibri" w:cs="Calibri"/>
              </w:rPr>
            </w:pPr>
            <w:r w:rsidRPr="00404724">
              <w:rPr>
                <w:rFonts w:ascii="Calibri" w:hAnsi="Calibri" w:cs="Calibri"/>
              </w:rPr>
              <w:t>$4,036.2</w:t>
            </w:r>
          </w:p>
        </w:tc>
        <w:tc>
          <w:tcPr>
            <w:tcW w:w="1819" w:type="dxa"/>
            <w:tcBorders>
              <w:top w:val="nil"/>
              <w:left w:val="single" w:sz="8" w:space="0" w:color="auto"/>
              <w:bottom w:val="nil"/>
              <w:right w:val="single" w:sz="8" w:space="0" w:color="auto"/>
            </w:tcBorders>
            <w:shd w:val="clear" w:color="000000" w:fill="FFFFFF"/>
          </w:tcPr>
          <w:p w14:paraId="076600FE" w14:textId="77777777" w:rsidR="00C426BA" w:rsidRPr="00404724" w:rsidRDefault="00C426BA" w:rsidP="000A13C5">
            <w:pPr>
              <w:spacing w:before="0" w:after="0"/>
              <w:jc w:val="right"/>
              <w:rPr>
                <w:rFonts w:ascii="Calibri" w:hAnsi="Calibri" w:cs="Calibri"/>
              </w:rPr>
            </w:pPr>
            <w:r w:rsidRPr="00404724">
              <w:rPr>
                <w:rFonts w:ascii="Calibri" w:hAnsi="Calibri" w:cs="Calibri"/>
              </w:rPr>
              <w:t>$4,036.2</w:t>
            </w:r>
          </w:p>
        </w:tc>
        <w:tc>
          <w:tcPr>
            <w:tcW w:w="1819" w:type="dxa"/>
            <w:tcBorders>
              <w:top w:val="nil"/>
              <w:left w:val="single" w:sz="8" w:space="0" w:color="auto"/>
              <w:bottom w:val="nil"/>
              <w:right w:val="nil"/>
            </w:tcBorders>
            <w:shd w:val="clear" w:color="000000" w:fill="FFFFFF"/>
          </w:tcPr>
          <w:p w14:paraId="6F40CEC3" w14:textId="77777777" w:rsidR="00C426BA" w:rsidRPr="00404724" w:rsidRDefault="00C426BA" w:rsidP="000A13C5">
            <w:pPr>
              <w:spacing w:before="0" w:after="0"/>
              <w:jc w:val="right"/>
              <w:rPr>
                <w:rFonts w:ascii="Calibri" w:hAnsi="Calibri" w:cs="Calibri"/>
              </w:rPr>
            </w:pPr>
            <w:r w:rsidRPr="00404724">
              <w:rPr>
                <w:rFonts w:ascii="Calibri" w:hAnsi="Calibri" w:cs="Calibri"/>
              </w:rPr>
              <w:t>$4,036.2</w:t>
            </w:r>
          </w:p>
        </w:tc>
      </w:tr>
      <w:tr w:rsidR="00C426BA" w:rsidRPr="00404724" w14:paraId="507E004F" w14:textId="77777777" w:rsidTr="00CE054C">
        <w:trPr>
          <w:trHeight w:val="330"/>
        </w:trPr>
        <w:tc>
          <w:tcPr>
            <w:tcW w:w="3818" w:type="dxa"/>
            <w:tcBorders>
              <w:top w:val="nil"/>
              <w:left w:val="single" w:sz="8" w:space="0" w:color="auto"/>
              <w:bottom w:val="nil"/>
              <w:right w:val="nil"/>
            </w:tcBorders>
            <w:shd w:val="clear" w:color="000000" w:fill="FFFFFF"/>
            <w:noWrap/>
            <w:hideMark/>
          </w:tcPr>
          <w:p w14:paraId="1EE1CCA1" w14:textId="77777777" w:rsidR="00C426BA" w:rsidRPr="00404724" w:rsidRDefault="00C426BA" w:rsidP="00C426BA">
            <w:pPr>
              <w:spacing w:before="0" w:after="0"/>
              <w:rPr>
                <w:rFonts w:ascii="Calibri" w:hAnsi="Calibri" w:cs="Calibri"/>
              </w:rPr>
            </w:pPr>
            <w:r w:rsidRPr="00404724">
              <w:rPr>
                <w:rFonts w:ascii="Calibri" w:hAnsi="Calibri" w:cs="Calibri"/>
              </w:rPr>
              <w:t> </w:t>
            </w:r>
          </w:p>
        </w:tc>
        <w:tc>
          <w:tcPr>
            <w:tcW w:w="1819" w:type="dxa"/>
            <w:tcBorders>
              <w:top w:val="nil"/>
              <w:left w:val="single" w:sz="8" w:space="0" w:color="auto"/>
              <w:bottom w:val="nil"/>
              <w:right w:val="nil"/>
            </w:tcBorders>
            <w:shd w:val="clear" w:color="000000" w:fill="FFFFFF"/>
          </w:tcPr>
          <w:p w14:paraId="5773FC07" w14:textId="77777777" w:rsidR="00C426BA" w:rsidRPr="00404724" w:rsidRDefault="00C426BA" w:rsidP="000A13C5">
            <w:pPr>
              <w:spacing w:before="0" w:after="0"/>
              <w:jc w:val="right"/>
              <w:rPr>
                <w:rFonts w:ascii="Calibri" w:hAnsi="Calibri" w:cs="Calibri"/>
              </w:rPr>
            </w:pPr>
          </w:p>
        </w:tc>
        <w:tc>
          <w:tcPr>
            <w:tcW w:w="1819" w:type="dxa"/>
            <w:tcBorders>
              <w:top w:val="nil"/>
              <w:left w:val="single" w:sz="8" w:space="0" w:color="auto"/>
              <w:bottom w:val="nil"/>
              <w:right w:val="single" w:sz="8" w:space="0" w:color="auto"/>
            </w:tcBorders>
            <w:shd w:val="clear" w:color="000000" w:fill="FFFFFF"/>
          </w:tcPr>
          <w:p w14:paraId="17987395" w14:textId="77777777" w:rsidR="00C426BA" w:rsidRPr="00404724" w:rsidRDefault="00C426BA" w:rsidP="000A13C5">
            <w:pPr>
              <w:spacing w:before="0" w:after="0"/>
              <w:jc w:val="right"/>
              <w:rPr>
                <w:rFonts w:ascii="Calibri" w:hAnsi="Calibri" w:cs="Calibri"/>
              </w:rPr>
            </w:pPr>
          </w:p>
        </w:tc>
        <w:tc>
          <w:tcPr>
            <w:tcW w:w="1819" w:type="dxa"/>
            <w:tcBorders>
              <w:top w:val="nil"/>
              <w:left w:val="single" w:sz="8" w:space="0" w:color="auto"/>
              <w:bottom w:val="nil"/>
              <w:right w:val="single" w:sz="8" w:space="0" w:color="auto"/>
            </w:tcBorders>
            <w:shd w:val="clear" w:color="000000" w:fill="FFFFFF"/>
          </w:tcPr>
          <w:p w14:paraId="4E96E934" w14:textId="77777777" w:rsidR="00C426BA" w:rsidRPr="00404724" w:rsidRDefault="00C426BA" w:rsidP="000A13C5">
            <w:pPr>
              <w:spacing w:before="0" w:after="0"/>
              <w:jc w:val="right"/>
              <w:rPr>
                <w:rFonts w:ascii="Calibri" w:hAnsi="Calibri" w:cs="Calibri"/>
              </w:rPr>
            </w:pPr>
          </w:p>
        </w:tc>
        <w:tc>
          <w:tcPr>
            <w:tcW w:w="1819" w:type="dxa"/>
            <w:tcBorders>
              <w:top w:val="nil"/>
              <w:left w:val="single" w:sz="8" w:space="0" w:color="auto"/>
              <w:bottom w:val="nil"/>
              <w:right w:val="single" w:sz="8" w:space="0" w:color="auto"/>
            </w:tcBorders>
            <w:shd w:val="clear" w:color="000000" w:fill="FFFFFF"/>
          </w:tcPr>
          <w:p w14:paraId="0E7D5413" w14:textId="77777777" w:rsidR="00C426BA" w:rsidRPr="00404724" w:rsidRDefault="00C426BA" w:rsidP="000A13C5">
            <w:pPr>
              <w:spacing w:before="0" w:after="0"/>
              <w:jc w:val="right"/>
              <w:rPr>
                <w:rFonts w:ascii="Calibri" w:hAnsi="Calibri" w:cs="Calibri"/>
              </w:rPr>
            </w:pPr>
          </w:p>
        </w:tc>
        <w:tc>
          <w:tcPr>
            <w:tcW w:w="1819" w:type="dxa"/>
            <w:tcBorders>
              <w:top w:val="nil"/>
              <w:left w:val="single" w:sz="8" w:space="0" w:color="auto"/>
              <w:bottom w:val="nil"/>
              <w:right w:val="single" w:sz="8" w:space="0" w:color="auto"/>
            </w:tcBorders>
            <w:shd w:val="clear" w:color="000000" w:fill="FFFFFF"/>
          </w:tcPr>
          <w:p w14:paraId="790F0AC1" w14:textId="77777777" w:rsidR="00C426BA" w:rsidRPr="00404724" w:rsidRDefault="00C426BA" w:rsidP="000A13C5">
            <w:pPr>
              <w:spacing w:before="0" w:after="0"/>
              <w:jc w:val="right"/>
              <w:rPr>
                <w:rFonts w:ascii="Calibri" w:hAnsi="Calibri" w:cs="Calibri"/>
              </w:rPr>
            </w:pPr>
          </w:p>
        </w:tc>
        <w:tc>
          <w:tcPr>
            <w:tcW w:w="1819" w:type="dxa"/>
            <w:tcBorders>
              <w:top w:val="nil"/>
              <w:left w:val="single" w:sz="8" w:space="0" w:color="auto"/>
              <w:bottom w:val="nil"/>
              <w:right w:val="nil"/>
            </w:tcBorders>
            <w:shd w:val="clear" w:color="000000" w:fill="FFFFFF"/>
          </w:tcPr>
          <w:p w14:paraId="511C949C" w14:textId="77777777" w:rsidR="00C426BA" w:rsidRPr="00404724" w:rsidRDefault="00C426BA" w:rsidP="000A13C5">
            <w:pPr>
              <w:spacing w:before="0" w:after="0"/>
              <w:jc w:val="right"/>
              <w:rPr>
                <w:rFonts w:ascii="Calibri" w:hAnsi="Calibri" w:cs="Calibri"/>
              </w:rPr>
            </w:pPr>
          </w:p>
        </w:tc>
      </w:tr>
      <w:tr w:rsidR="00C70A94" w:rsidRPr="00404724" w14:paraId="7F0473E9" w14:textId="77777777" w:rsidTr="00CE054C">
        <w:trPr>
          <w:trHeight w:val="330"/>
        </w:trPr>
        <w:tc>
          <w:tcPr>
            <w:tcW w:w="3818" w:type="dxa"/>
            <w:tcBorders>
              <w:top w:val="nil"/>
              <w:left w:val="single" w:sz="8" w:space="0" w:color="auto"/>
              <w:bottom w:val="nil"/>
              <w:right w:val="nil"/>
            </w:tcBorders>
            <w:shd w:val="clear" w:color="000000" w:fill="E4E4E4"/>
            <w:noWrap/>
            <w:hideMark/>
          </w:tcPr>
          <w:p w14:paraId="0CDEB629" w14:textId="77777777" w:rsidR="00C70A94" w:rsidRPr="00404724" w:rsidRDefault="00C70A94" w:rsidP="00C70A94">
            <w:pPr>
              <w:spacing w:before="0" w:after="0"/>
              <w:rPr>
                <w:rFonts w:ascii="Calibri" w:hAnsi="Calibri" w:cs="Calibri"/>
              </w:rPr>
            </w:pPr>
            <w:r w:rsidRPr="00404724">
              <w:rPr>
                <w:rFonts w:ascii="Calibri" w:hAnsi="Calibri" w:cs="Calibri"/>
              </w:rPr>
              <w:t>Avoided fuel consumption</w:t>
            </w:r>
          </w:p>
        </w:tc>
        <w:tc>
          <w:tcPr>
            <w:tcW w:w="1819" w:type="dxa"/>
            <w:tcBorders>
              <w:top w:val="nil"/>
              <w:left w:val="single" w:sz="8" w:space="0" w:color="auto"/>
              <w:bottom w:val="nil"/>
              <w:right w:val="nil"/>
            </w:tcBorders>
            <w:shd w:val="clear" w:color="000000" w:fill="E4E4E4"/>
          </w:tcPr>
          <w:p w14:paraId="56FF061B" w14:textId="5C0FD15A" w:rsidR="00C70A94" w:rsidRPr="00404724" w:rsidRDefault="00C70A94" w:rsidP="000A13C5">
            <w:pPr>
              <w:spacing w:before="0" w:after="0"/>
              <w:jc w:val="right"/>
              <w:rPr>
                <w:rFonts w:ascii="Calibri" w:hAnsi="Calibri" w:cs="Calibri"/>
              </w:rPr>
            </w:pPr>
            <w:r w:rsidRPr="00404724">
              <w:rPr>
                <w:rFonts w:cstheme="minorHAnsi"/>
              </w:rPr>
              <w:t>($m)</w:t>
            </w:r>
          </w:p>
        </w:tc>
        <w:tc>
          <w:tcPr>
            <w:tcW w:w="1819" w:type="dxa"/>
            <w:tcBorders>
              <w:top w:val="nil"/>
              <w:left w:val="single" w:sz="8" w:space="0" w:color="auto"/>
              <w:bottom w:val="nil"/>
              <w:right w:val="single" w:sz="8" w:space="0" w:color="auto"/>
            </w:tcBorders>
            <w:shd w:val="clear" w:color="000000" w:fill="E4E4E4"/>
          </w:tcPr>
          <w:p w14:paraId="109A1107" w14:textId="65DF5BCF" w:rsidR="00C70A94" w:rsidRPr="00404724" w:rsidRDefault="00C70A94" w:rsidP="000A13C5">
            <w:pPr>
              <w:spacing w:before="0" w:after="0"/>
              <w:jc w:val="right"/>
              <w:rPr>
                <w:rFonts w:ascii="Calibri" w:hAnsi="Calibri" w:cs="Calibri"/>
              </w:rPr>
            </w:pPr>
            <w:r w:rsidRPr="00404724">
              <w:rPr>
                <w:rFonts w:cstheme="minorHAnsi"/>
              </w:rPr>
              <w:t>($m)</w:t>
            </w:r>
          </w:p>
        </w:tc>
        <w:tc>
          <w:tcPr>
            <w:tcW w:w="1819" w:type="dxa"/>
            <w:tcBorders>
              <w:top w:val="nil"/>
              <w:left w:val="single" w:sz="8" w:space="0" w:color="auto"/>
              <w:bottom w:val="nil"/>
              <w:right w:val="single" w:sz="8" w:space="0" w:color="auto"/>
            </w:tcBorders>
            <w:shd w:val="clear" w:color="000000" w:fill="E4E4E4"/>
          </w:tcPr>
          <w:p w14:paraId="018BFD82" w14:textId="44D2068A" w:rsidR="00C70A94" w:rsidRPr="00404724" w:rsidRDefault="00C70A94" w:rsidP="000A13C5">
            <w:pPr>
              <w:spacing w:before="0" w:after="0"/>
              <w:jc w:val="right"/>
              <w:rPr>
                <w:rFonts w:ascii="Calibri" w:hAnsi="Calibri" w:cs="Calibri"/>
              </w:rPr>
            </w:pPr>
            <w:r w:rsidRPr="00404724">
              <w:rPr>
                <w:rFonts w:cstheme="minorHAnsi"/>
              </w:rPr>
              <w:t>($m)</w:t>
            </w:r>
          </w:p>
        </w:tc>
        <w:tc>
          <w:tcPr>
            <w:tcW w:w="1819" w:type="dxa"/>
            <w:tcBorders>
              <w:top w:val="nil"/>
              <w:left w:val="single" w:sz="8" w:space="0" w:color="auto"/>
              <w:bottom w:val="nil"/>
              <w:right w:val="single" w:sz="8" w:space="0" w:color="auto"/>
            </w:tcBorders>
            <w:shd w:val="clear" w:color="000000" w:fill="E4E4E4"/>
          </w:tcPr>
          <w:p w14:paraId="72890E09" w14:textId="4851BD04" w:rsidR="00C70A94" w:rsidRPr="00404724" w:rsidRDefault="00C70A94" w:rsidP="000A13C5">
            <w:pPr>
              <w:spacing w:before="0" w:after="0"/>
              <w:jc w:val="right"/>
              <w:rPr>
                <w:rFonts w:ascii="Calibri" w:hAnsi="Calibri" w:cs="Calibri"/>
              </w:rPr>
            </w:pPr>
            <w:r w:rsidRPr="00404724">
              <w:rPr>
                <w:rFonts w:cstheme="minorHAnsi"/>
              </w:rPr>
              <w:t>($m)</w:t>
            </w:r>
          </w:p>
        </w:tc>
        <w:tc>
          <w:tcPr>
            <w:tcW w:w="1819" w:type="dxa"/>
            <w:tcBorders>
              <w:top w:val="nil"/>
              <w:left w:val="single" w:sz="8" w:space="0" w:color="auto"/>
              <w:bottom w:val="nil"/>
              <w:right w:val="single" w:sz="8" w:space="0" w:color="auto"/>
            </w:tcBorders>
            <w:shd w:val="clear" w:color="000000" w:fill="E4E4E4"/>
          </w:tcPr>
          <w:p w14:paraId="0EEC56C0" w14:textId="02CD16FA" w:rsidR="00C70A94" w:rsidRPr="00404724" w:rsidRDefault="00C70A94" w:rsidP="000A13C5">
            <w:pPr>
              <w:spacing w:before="0" w:after="0"/>
              <w:jc w:val="right"/>
              <w:rPr>
                <w:rFonts w:ascii="Calibri" w:hAnsi="Calibri" w:cs="Calibri"/>
              </w:rPr>
            </w:pPr>
            <w:r w:rsidRPr="00404724">
              <w:rPr>
                <w:rFonts w:cstheme="minorHAnsi"/>
              </w:rPr>
              <w:t>($m)</w:t>
            </w:r>
          </w:p>
        </w:tc>
        <w:tc>
          <w:tcPr>
            <w:tcW w:w="1819" w:type="dxa"/>
            <w:tcBorders>
              <w:top w:val="nil"/>
              <w:left w:val="single" w:sz="8" w:space="0" w:color="auto"/>
              <w:bottom w:val="nil"/>
              <w:right w:val="nil"/>
            </w:tcBorders>
            <w:shd w:val="clear" w:color="000000" w:fill="E4E4E4"/>
          </w:tcPr>
          <w:p w14:paraId="1BC8BCEC" w14:textId="10F7241A" w:rsidR="00C70A94" w:rsidRPr="00404724" w:rsidRDefault="00C70A94" w:rsidP="000A13C5">
            <w:pPr>
              <w:spacing w:before="0" w:after="0"/>
              <w:jc w:val="right"/>
              <w:rPr>
                <w:rFonts w:ascii="Calibri" w:hAnsi="Calibri" w:cs="Calibri"/>
              </w:rPr>
            </w:pPr>
            <w:r w:rsidRPr="00404724">
              <w:rPr>
                <w:rFonts w:cstheme="minorHAnsi"/>
              </w:rPr>
              <w:t>($m)</w:t>
            </w:r>
          </w:p>
        </w:tc>
      </w:tr>
      <w:tr w:rsidR="00C426BA" w:rsidRPr="00404724" w14:paraId="448FC03A" w14:textId="77777777" w:rsidTr="00CE054C">
        <w:trPr>
          <w:trHeight w:val="330"/>
        </w:trPr>
        <w:tc>
          <w:tcPr>
            <w:tcW w:w="3818" w:type="dxa"/>
            <w:tcBorders>
              <w:top w:val="nil"/>
              <w:left w:val="single" w:sz="8" w:space="0" w:color="auto"/>
              <w:bottom w:val="nil"/>
              <w:right w:val="nil"/>
            </w:tcBorders>
            <w:shd w:val="clear" w:color="000000" w:fill="FFFFFF"/>
            <w:noWrap/>
            <w:hideMark/>
          </w:tcPr>
          <w:p w14:paraId="68DFAB1A" w14:textId="77777777" w:rsidR="00C426BA" w:rsidRPr="00404724" w:rsidRDefault="00C426BA" w:rsidP="00C426BA">
            <w:pPr>
              <w:spacing w:before="0" w:after="0"/>
              <w:rPr>
                <w:rFonts w:ascii="Calibri" w:hAnsi="Calibri" w:cs="Calibri"/>
              </w:rPr>
            </w:pPr>
            <w:r w:rsidRPr="00404724">
              <w:rPr>
                <w:rFonts w:ascii="Calibri" w:hAnsi="Calibri" w:cs="Calibri"/>
              </w:rPr>
              <w:t>Cost of fuel</w:t>
            </w:r>
          </w:p>
        </w:tc>
        <w:tc>
          <w:tcPr>
            <w:tcW w:w="1819" w:type="dxa"/>
            <w:tcBorders>
              <w:top w:val="nil"/>
              <w:left w:val="single" w:sz="8" w:space="0" w:color="auto"/>
              <w:bottom w:val="nil"/>
              <w:right w:val="nil"/>
            </w:tcBorders>
            <w:shd w:val="clear" w:color="000000" w:fill="FFFFFF"/>
          </w:tcPr>
          <w:p w14:paraId="67B3EF37" w14:textId="77777777" w:rsidR="00C426BA" w:rsidRPr="00404724" w:rsidRDefault="00C426BA" w:rsidP="000A13C5">
            <w:pPr>
              <w:spacing w:before="0" w:after="0"/>
              <w:jc w:val="right"/>
              <w:rPr>
                <w:rFonts w:ascii="Calibri" w:hAnsi="Calibri" w:cs="Calibri"/>
              </w:rPr>
            </w:pPr>
            <w:r w:rsidRPr="00404724">
              <w:rPr>
                <w:rFonts w:ascii="Calibri" w:hAnsi="Calibri" w:cs="Calibri"/>
              </w:rPr>
              <w:t>$17.0</w:t>
            </w:r>
          </w:p>
        </w:tc>
        <w:tc>
          <w:tcPr>
            <w:tcW w:w="1819" w:type="dxa"/>
            <w:tcBorders>
              <w:top w:val="nil"/>
              <w:left w:val="single" w:sz="8" w:space="0" w:color="auto"/>
              <w:bottom w:val="nil"/>
              <w:right w:val="single" w:sz="8" w:space="0" w:color="auto"/>
            </w:tcBorders>
            <w:shd w:val="clear" w:color="000000" w:fill="FFFFFF"/>
          </w:tcPr>
          <w:p w14:paraId="7CED0AF6" w14:textId="77777777" w:rsidR="00C426BA" w:rsidRPr="00404724" w:rsidRDefault="00C426BA" w:rsidP="000A13C5">
            <w:pPr>
              <w:spacing w:before="0" w:after="0"/>
              <w:jc w:val="right"/>
              <w:rPr>
                <w:rFonts w:ascii="Calibri" w:hAnsi="Calibri" w:cs="Calibri"/>
              </w:rPr>
            </w:pPr>
            <w:r w:rsidRPr="00404724">
              <w:rPr>
                <w:rFonts w:ascii="Calibri" w:hAnsi="Calibri" w:cs="Calibri"/>
              </w:rPr>
              <w:t>$45.2</w:t>
            </w:r>
          </w:p>
        </w:tc>
        <w:tc>
          <w:tcPr>
            <w:tcW w:w="1819" w:type="dxa"/>
            <w:tcBorders>
              <w:top w:val="nil"/>
              <w:left w:val="single" w:sz="8" w:space="0" w:color="auto"/>
              <w:bottom w:val="nil"/>
              <w:right w:val="single" w:sz="8" w:space="0" w:color="auto"/>
            </w:tcBorders>
            <w:shd w:val="clear" w:color="000000" w:fill="FFFFFF"/>
          </w:tcPr>
          <w:p w14:paraId="2CCA747B" w14:textId="77777777" w:rsidR="00C426BA" w:rsidRPr="00404724" w:rsidRDefault="00C426BA" w:rsidP="000A13C5">
            <w:pPr>
              <w:spacing w:before="0" w:after="0"/>
              <w:jc w:val="right"/>
              <w:rPr>
                <w:rFonts w:ascii="Calibri" w:hAnsi="Calibri" w:cs="Calibri"/>
              </w:rPr>
            </w:pPr>
            <w:r w:rsidRPr="00404724">
              <w:rPr>
                <w:rFonts w:ascii="Calibri" w:hAnsi="Calibri" w:cs="Calibri"/>
              </w:rPr>
              <w:t>$85.1</w:t>
            </w:r>
          </w:p>
        </w:tc>
        <w:tc>
          <w:tcPr>
            <w:tcW w:w="1819" w:type="dxa"/>
            <w:tcBorders>
              <w:top w:val="nil"/>
              <w:left w:val="single" w:sz="8" w:space="0" w:color="auto"/>
              <w:bottom w:val="nil"/>
              <w:right w:val="single" w:sz="8" w:space="0" w:color="auto"/>
            </w:tcBorders>
            <w:shd w:val="clear" w:color="000000" w:fill="FFFFFF"/>
          </w:tcPr>
          <w:p w14:paraId="6DE368EC" w14:textId="77777777" w:rsidR="00C426BA" w:rsidRPr="00404724" w:rsidRDefault="00C426BA" w:rsidP="000A13C5">
            <w:pPr>
              <w:spacing w:before="0" w:after="0"/>
              <w:jc w:val="right"/>
              <w:rPr>
                <w:rFonts w:ascii="Calibri" w:hAnsi="Calibri" w:cs="Calibri"/>
              </w:rPr>
            </w:pPr>
            <w:r w:rsidRPr="00404724">
              <w:rPr>
                <w:rFonts w:ascii="Calibri" w:hAnsi="Calibri" w:cs="Calibri"/>
              </w:rPr>
              <w:t>$33.9</w:t>
            </w:r>
          </w:p>
        </w:tc>
        <w:tc>
          <w:tcPr>
            <w:tcW w:w="1819" w:type="dxa"/>
            <w:tcBorders>
              <w:top w:val="nil"/>
              <w:left w:val="single" w:sz="8" w:space="0" w:color="auto"/>
              <w:bottom w:val="nil"/>
              <w:right w:val="single" w:sz="8" w:space="0" w:color="auto"/>
            </w:tcBorders>
            <w:shd w:val="clear" w:color="000000" w:fill="FFFFFF"/>
          </w:tcPr>
          <w:p w14:paraId="483D288F" w14:textId="77777777" w:rsidR="00C426BA" w:rsidRPr="00404724" w:rsidRDefault="00C426BA" w:rsidP="000A13C5">
            <w:pPr>
              <w:spacing w:before="0" w:after="0"/>
              <w:jc w:val="right"/>
              <w:rPr>
                <w:rFonts w:ascii="Calibri" w:hAnsi="Calibri" w:cs="Calibri"/>
              </w:rPr>
            </w:pPr>
            <w:r w:rsidRPr="00404724">
              <w:rPr>
                <w:rFonts w:ascii="Calibri" w:hAnsi="Calibri" w:cs="Calibri"/>
              </w:rPr>
              <w:t>$90.5</w:t>
            </w:r>
          </w:p>
        </w:tc>
        <w:tc>
          <w:tcPr>
            <w:tcW w:w="1819" w:type="dxa"/>
            <w:tcBorders>
              <w:top w:val="nil"/>
              <w:left w:val="single" w:sz="8" w:space="0" w:color="auto"/>
              <w:bottom w:val="nil"/>
              <w:right w:val="nil"/>
            </w:tcBorders>
            <w:shd w:val="clear" w:color="000000" w:fill="FFFFFF"/>
          </w:tcPr>
          <w:p w14:paraId="6D49D57B" w14:textId="77777777" w:rsidR="00C426BA" w:rsidRPr="00404724" w:rsidRDefault="00C426BA" w:rsidP="000A13C5">
            <w:pPr>
              <w:spacing w:before="0" w:after="0"/>
              <w:jc w:val="right"/>
              <w:rPr>
                <w:rFonts w:ascii="Calibri" w:hAnsi="Calibri" w:cs="Calibri"/>
              </w:rPr>
            </w:pPr>
            <w:r w:rsidRPr="00404724">
              <w:rPr>
                <w:rFonts w:ascii="Calibri" w:hAnsi="Calibri" w:cs="Calibri"/>
              </w:rPr>
              <w:t>$169.4</w:t>
            </w:r>
          </w:p>
        </w:tc>
      </w:tr>
      <w:tr w:rsidR="00C426BA" w:rsidRPr="00404724" w14:paraId="5916C849" w14:textId="77777777" w:rsidTr="00CE054C">
        <w:trPr>
          <w:trHeight w:val="330"/>
        </w:trPr>
        <w:tc>
          <w:tcPr>
            <w:tcW w:w="3818" w:type="dxa"/>
            <w:tcBorders>
              <w:top w:val="nil"/>
              <w:left w:val="single" w:sz="8" w:space="0" w:color="auto"/>
              <w:bottom w:val="nil"/>
              <w:right w:val="nil"/>
            </w:tcBorders>
            <w:shd w:val="clear" w:color="000000" w:fill="FFFFFF"/>
            <w:noWrap/>
            <w:hideMark/>
          </w:tcPr>
          <w:p w14:paraId="59CE4450" w14:textId="77777777" w:rsidR="00C426BA" w:rsidRPr="00404724" w:rsidRDefault="00C426BA" w:rsidP="00C426BA">
            <w:pPr>
              <w:spacing w:before="0" w:after="0"/>
              <w:rPr>
                <w:rFonts w:ascii="Calibri" w:hAnsi="Calibri" w:cs="Calibri"/>
              </w:rPr>
            </w:pPr>
            <w:r w:rsidRPr="00404724">
              <w:rPr>
                <w:rFonts w:ascii="Calibri" w:hAnsi="Calibri" w:cs="Calibri"/>
              </w:rPr>
              <w:t>Emissions abatement</w:t>
            </w:r>
          </w:p>
        </w:tc>
        <w:tc>
          <w:tcPr>
            <w:tcW w:w="1819" w:type="dxa"/>
            <w:tcBorders>
              <w:top w:val="nil"/>
              <w:left w:val="single" w:sz="8" w:space="0" w:color="auto"/>
              <w:bottom w:val="nil"/>
              <w:right w:val="nil"/>
            </w:tcBorders>
            <w:shd w:val="clear" w:color="000000" w:fill="FFFFFF"/>
          </w:tcPr>
          <w:p w14:paraId="591FA9B2" w14:textId="77777777" w:rsidR="00C426BA" w:rsidRPr="00404724" w:rsidRDefault="00C426BA" w:rsidP="000A13C5">
            <w:pPr>
              <w:spacing w:before="0" w:after="0"/>
              <w:jc w:val="right"/>
              <w:rPr>
                <w:rFonts w:ascii="Calibri" w:hAnsi="Calibri" w:cs="Calibri"/>
              </w:rPr>
            </w:pPr>
            <w:r w:rsidRPr="00404724">
              <w:rPr>
                <w:rFonts w:ascii="Calibri" w:hAnsi="Calibri" w:cs="Calibri"/>
              </w:rPr>
              <w:t>$3.0</w:t>
            </w:r>
          </w:p>
        </w:tc>
        <w:tc>
          <w:tcPr>
            <w:tcW w:w="1819" w:type="dxa"/>
            <w:tcBorders>
              <w:top w:val="nil"/>
              <w:left w:val="single" w:sz="8" w:space="0" w:color="auto"/>
              <w:bottom w:val="nil"/>
              <w:right w:val="single" w:sz="8" w:space="0" w:color="auto"/>
            </w:tcBorders>
            <w:shd w:val="clear" w:color="000000" w:fill="FFFFFF"/>
          </w:tcPr>
          <w:p w14:paraId="2EBDFC70" w14:textId="77777777" w:rsidR="00C426BA" w:rsidRPr="00404724" w:rsidRDefault="00C426BA" w:rsidP="000A13C5">
            <w:pPr>
              <w:spacing w:before="0" w:after="0"/>
              <w:jc w:val="right"/>
              <w:rPr>
                <w:rFonts w:ascii="Calibri" w:hAnsi="Calibri" w:cs="Calibri"/>
              </w:rPr>
            </w:pPr>
            <w:r w:rsidRPr="00404724">
              <w:rPr>
                <w:rFonts w:ascii="Calibri" w:hAnsi="Calibri" w:cs="Calibri"/>
              </w:rPr>
              <w:t>$7.9</w:t>
            </w:r>
          </w:p>
        </w:tc>
        <w:tc>
          <w:tcPr>
            <w:tcW w:w="1819" w:type="dxa"/>
            <w:tcBorders>
              <w:top w:val="nil"/>
              <w:left w:val="single" w:sz="8" w:space="0" w:color="auto"/>
              <w:bottom w:val="nil"/>
              <w:right w:val="single" w:sz="8" w:space="0" w:color="auto"/>
            </w:tcBorders>
            <w:shd w:val="clear" w:color="000000" w:fill="FFFFFF"/>
          </w:tcPr>
          <w:p w14:paraId="498A284F" w14:textId="77777777" w:rsidR="00C426BA" w:rsidRPr="00404724" w:rsidRDefault="00C426BA" w:rsidP="000A13C5">
            <w:pPr>
              <w:spacing w:before="0" w:after="0"/>
              <w:jc w:val="right"/>
              <w:rPr>
                <w:rFonts w:ascii="Calibri" w:hAnsi="Calibri" w:cs="Calibri"/>
              </w:rPr>
            </w:pPr>
            <w:r w:rsidRPr="00404724">
              <w:rPr>
                <w:rFonts w:ascii="Calibri" w:hAnsi="Calibri" w:cs="Calibri"/>
              </w:rPr>
              <w:t>$14.8</w:t>
            </w:r>
          </w:p>
        </w:tc>
        <w:tc>
          <w:tcPr>
            <w:tcW w:w="1819" w:type="dxa"/>
            <w:tcBorders>
              <w:top w:val="nil"/>
              <w:left w:val="single" w:sz="8" w:space="0" w:color="auto"/>
              <w:bottom w:val="nil"/>
              <w:right w:val="single" w:sz="8" w:space="0" w:color="auto"/>
            </w:tcBorders>
            <w:shd w:val="clear" w:color="000000" w:fill="FFFFFF"/>
          </w:tcPr>
          <w:p w14:paraId="54392D73" w14:textId="77777777" w:rsidR="00C426BA" w:rsidRPr="00404724" w:rsidRDefault="00C426BA" w:rsidP="000A13C5">
            <w:pPr>
              <w:spacing w:before="0" w:after="0"/>
              <w:jc w:val="right"/>
              <w:rPr>
                <w:rFonts w:ascii="Calibri" w:hAnsi="Calibri" w:cs="Calibri"/>
              </w:rPr>
            </w:pPr>
            <w:r w:rsidRPr="00404724">
              <w:rPr>
                <w:rFonts w:ascii="Calibri" w:hAnsi="Calibri" w:cs="Calibri"/>
              </w:rPr>
              <w:t>$5.9</w:t>
            </w:r>
          </w:p>
        </w:tc>
        <w:tc>
          <w:tcPr>
            <w:tcW w:w="1819" w:type="dxa"/>
            <w:tcBorders>
              <w:top w:val="nil"/>
              <w:left w:val="single" w:sz="8" w:space="0" w:color="auto"/>
              <w:bottom w:val="nil"/>
              <w:right w:val="single" w:sz="8" w:space="0" w:color="auto"/>
            </w:tcBorders>
            <w:shd w:val="clear" w:color="000000" w:fill="FFFFFF"/>
          </w:tcPr>
          <w:p w14:paraId="30916AF2" w14:textId="77777777" w:rsidR="00C426BA" w:rsidRPr="00404724" w:rsidRDefault="00C426BA" w:rsidP="000A13C5">
            <w:pPr>
              <w:spacing w:before="0" w:after="0"/>
              <w:jc w:val="right"/>
              <w:rPr>
                <w:rFonts w:ascii="Calibri" w:hAnsi="Calibri" w:cs="Calibri"/>
              </w:rPr>
            </w:pPr>
            <w:r w:rsidRPr="00404724">
              <w:rPr>
                <w:rFonts w:ascii="Calibri" w:hAnsi="Calibri" w:cs="Calibri"/>
              </w:rPr>
              <w:t>$15.9</w:t>
            </w:r>
          </w:p>
        </w:tc>
        <w:tc>
          <w:tcPr>
            <w:tcW w:w="1819" w:type="dxa"/>
            <w:tcBorders>
              <w:top w:val="nil"/>
              <w:left w:val="single" w:sz="8" w:space="0" w:color="auto"/>
              <w:bottom w:val="nil"/>
              <w:right w:val="nil"/>
            </w:tcBorders>
            <w:shd w:val="clear" w:color="000000" w:fill="FFFFFF"/>
          </w:tcPr>
          <w:p w14:paraId="55C09B68" w14:textId="77777777" w:rsidR="00C426BA" w:rsidRPr="00404724" w:rsidRDefault="00C426BA" w:rsidP="000A13C5">
            <w:pPr>
              <w:spacing w:before="0" w:after="0"/>
              <w:jc w:val="right"/>
              <w:rPr>
                <w:rFonts w:ascii="Calibri" w:hAnsi="Calibri" w:cs="Calibri"/>
              </w:rPr>
            </w:pPr>
            <w:r w:rsidRPr="00404724">
              <w:rPr>
                <w:rFonts w:ascii="Calibri" w:hAnsi="Calibri" w:cs="Calibri"/>
              </w:rPr>
              <w:t>$29.6</w:t>
            </w:r>
          </w:p>
        </w:tc>
      </w:tr>
      <w:tr w:rsidR="00C426BA" w:rsidRPr="00404724" w14:paraId="79E95194" w14:textId="77777777" w:rsidTr="00CE054C">
        <w:trPr>
          <w:trHeight w:val="330"/>
        </w:trPr>
        <w:tc>
          <w:tcPr>
            <w:tcW w:w="3818" w:type="dxa"/>
            <w:tcBorders>
              <w:top w:val="nil"/>
              <w:left w:val="single" w:sz="8" w:space="0" w:color="auto"/>
              <w:bottom w:val="nil"/>
              <w:right w:val="nil"/>
            </w:tcBorders>
            <w:shd w:val="clear" w:color="000000" w:fill="FFFFFF"/>
            <w:noWrap/>
            <w:hideMark/>
          </w:tcPr>
          <w:p w14:paraId="5A0E7AC0" w14:textId="77777777" w:rsidR="00C426BA" w:rsidRPr="00404724" w:rsidRDefault="00C426BA" w:rsidP="00C426BA">
            <w:pPr>
              <w:spacing w:before="0" w:after="0"/>
              <w:rPr>
                <w:rFonts w:ascii="Calibri" w:hAnsi="Calibri" w:cs="Calibri"/>
              </w:rPr>
            </w:pPr>
            <w:r w:rsidRPr="00404724">
              <w:rPr>
                <w:rFonts w:ascii="Calibri" w:hAnsi="Calibri" w:cs="Calibri"/>
              </w:rPr>
              <w:t>Health benefits</w:t>
            </w:r>
          </w:p>
        </w:tc>
        <w:tc>
          <w:tcPr>
            <w:tcW w:w="1819" w:type="dxa"/>
            <w:tcBorders>
              <w:top w:val="nil"/>
              <w:left w:val="single" w:sz="8" w:space="0" w:color="auto"/>
              <w:bottom w:val="nil"/>
              <w:right w:val="nil"/>
            </w:tcBorders>
            <w:shd w:val="clear" w:color="000000" w:fill="FFFFFF"/>
          </w:tcPr>
          <w:p w14:paraId="7887F69B" w14:textId="77777777" w:rsidR="00C426BA" w:rsidRPr="00404724" w:rsidRDefault="00C426BA" w:rsidP="000A13C5">
            <w:pPr>
              <w:spacing w:before="0" w:after="0"/>
              <w:jc w:val="right"/>
              <w:rPr>
                <w:rFonts w:ascii="Calibri" w:hAnsi="Calibri" w:cs="Calibri"/>
              </w:rPr>
            </w:pPr>
            <w:r w:rsidRPr="00404724">
              <w:rPr>
                <w:rFonts w:ascii="Calibri" w:hAnsi="Calibri" w:cs="Calibri"/>
              </w:rPr>
              <w:t>$1.0</w:t>
            </w:r>
          </w:p>
        </w:tc>
        <w:tc>
          <w:tcPr>
            <w:tcW w:w="1819" w:type="dxa"/>
            <w:tcBorders>
              <w:top w:val="nil"/>
              <w:left w:val="single" w:sz="8" w:space="0" w:color="auto"/>
              <w:bottom w:val="nil"/>
              <w:right w:val="single" w:sz="8" w:space="0" w:color="auto"/>
            </w:tcBorders>
            <w:shd w:val="clear" w:color="000000" w:fill="FFFFFF"/>
          </w:tcPr>
          <w:p w14:paraId="130C96DE" w14:textId="77777777" w:rsidR="00C426BA" w:rsidRPr="00404724" w:rsidRDefault="00C426BA" w:rsidP="000A13C5">
            <w:pPr>
              <w:spacing w:before="0" w:after="0"/>
              <w:jc w:val="right"/>
              <w:rPr>
                <w:rFonts w:ascii="Calibri" w:hAnsi="Calibri" w:cs="Calibri"/>
              </w:rPr>
            </w:pPr>
            <w:r w:rsidRPr="00404724">
              <w:rPr>
                <w:rFonts w:ascii="Calibri" w:hAnsi="Calibri" w:cs="Calibri"/>
              </w:rPr>
              <w:t>$2.5</w:t>
            </w:r>
          </w:p>
        </w:tc>
        <w:tc>
          <w:tcPr>
            <w:tcW w:w="1819" w:type="dxa"/>
            <w:tcBorders>
              <w:top w:val="nil"/>
              <w:left w:val="single" w:sz="8" w:space="0" w:color="auto"/>
              <w:bottom w:val="nil"/>
              <w:right w:val="single" w:sz="8" w:space="0" w:color="auto"/>
            </w:tcBorders>
            <w:shd w:val="clear" w:color="000000" w:fill="FFFFFF"/>
          </w:tcPr>
          <w:p w14:paraId="65046E2E" w14:textId="77777777" w:rsidR="00C426BA" w:rsidRPr="00404724" w:rsidRDefault="00C426BA" w:rsidP="000A13C5">
            <w:pPr>
              <w:spacing w:before="0" w:after="0"/>
              <w:jc w:val="right"/>
              <w:rPr>
                <w:rFonts w:ascii="Calibri" w:hAnsi="Calibri" w:cs="Calibri"/>
              </w:rPr>
            </w:pPr>
            <w:r w:rsidRPr="00404724">
              <w:rPr>
                <w:rFonts w:ascii="Calibri" w:hAnsi="Calibri" w:cs="Calibri"/>
              </w:rPr>
              <w:t>$4.8</w:t>
            </w:r>
          </w:p>
        </w:tc>
        <w:tc>
          <w:tcPr>
            <w:tcW w:w="1819" w:type="dxa"/>
            <w:tcBorders>
              <w:top w:val="nil"/>
              <w:left w:val="single" w:sz="8" w:space="0" w:color="auto"/>
              <w:bottom w:val="nil"/>
              <w:right w:val="single" w:sz="8" w:space="0" w:color="auto"/>
            </w:tcBorders>
            <w:shd w:val="clear" w:color="000000" w:fill="FFFFFF"/>
          </w:tcPr>
          <w:p w14:paraId="7603C901" w14:textId="77777777" w:rsidR="00C426BA" w:rsidRPr="00404724" w:rsidRDefault="00C426BA" w:rsidP="000A13C5">
            <w:pPr>
              <w:spacing w:before="0" w:after="0"/>
              <w:jc w:val="right"/>
              <w:rPr>
                <w:rFonts w:ascii="Calibri" w:hAnsi="Calibri" w:cs="Calibri"/>
              </w:rPr>
            </w:pPr>
            <w:r w:rsidRPr="00404724">
              <w:rPr>
                <w:rFonts w:ascii="Calibri" w:hAnsi="Calibri" w:cs="Calibri"/>
              </w:rPr>
              <w:t>$1.9</w:t>
            </w:r>
          </w:p>
        </w:tc>
        <w:tc>
          <w:tcPr>
            <w:tcW w:w="1819" w:type="dxa"/>
            <w:tcBorders>
              <w:top w:val="nil"/>
              <w:left w:val="single" w:sz="8" w:space="0" w:color="auto"/>
              <w:bottom w:val="nil"/>
              <w:right w:val="single" w:sz="8" w:space="0" w:color="auto"/>
            </w:tcBorders>
            <w:shd w:val="clear" w:color="000000" w:fill="FFFFFF"/>
          </w:tcPr>
          <w:p w14:paraId="0A431398" w14:textId="77777777" w:rsidR="00C426BA" w:rsidRPr="00404724" w:rsidRDefault="00C426BA" w:rsidP="000A13C5">
            <w:pPr>
              <w:spacing w:before="0" w:after="0"/>
              <w:jc w:val="right"/>
              <w:rPr>
                <w:rFonts w:ascii="Calibri" w:hAnsi="Calibri" w:cs="Calibri"/>
              </w:rPr>
            </w:pPr>
            <w:r w:rsidRPr="00404724">
              <w:rPr>
                <w:rFonts w:ascii="Calibri" w:hAnsi="Calibri" w:cs="Calibri"/>
              </w:rPr>
              <w:t>$5.1</w:t>
            </w:r>
          </w:p>
        </w:tc>
        <w:tc>
          <w:tcPr>
            <w:tcW w:w="1819" w:type="dxa"/>
            <w:tcBorders>
              <w:top w:val="nil"/>
              <w:left w:val="single" w:sz="8" w:space="0" w:color="auto"/>
              <w:bottom w:val="nil"/>
              <w:right w:val="nil"/>
            </w:tcBorders>
            <w:shd w:val="clear" w:color="000000" w:fill="FFFFFF"/>
          </w:tcPr>
          <w:p w14:paraId="4A5354CE" w14:textId="77777777" w:rsidR="00C426BA" w:rsidRPr="00404724" w:rsidRDefault="00C426BA" w:rsidP="000A13C5">
            <w:pPr>
              <w:spacing w:before="0" w:after="0"/>
              <w:jc w:val="right"/>
              <w:rPr>
                <w:rFonts w:ascii="Calibri" w:hAnsi="Calibri" w:cs="Calibri"/>
              </w:rPr>
            </w:pPr>
            <w:r w:rsidRPr="00404724">
              <w:rPr>
                <w:rFonts w:ascii="Calibri" w:hAnsi="Calibri" w:cs="Calibri"/>
              </w:rPr>
              <w:t>$9.5</w:t>
            </w:r>
          </w:p>
        </w:tc>
      </w:tr>
      <w:tr w:rsidR="00C426BA" w:rsidRPr="00404724" w14:paraId="786416F8" w14:textId="77777777" w:rsidTr="00CE054C">
        <w:trPr>
          <w:trHeight w:val="330"/>
        </w:trPr>
        <w:tc>
          <w:tcPr>
            <w:tcW w:w="3818" w:type="dxa"/>
            <w:tcBorders>
              <w:top w:val="nil"/>
              <w:left w:val="single" w:sz="8" w:space="0" w:color="auto"/>
              <w:bottom w:val="nil"/>
              <w:right w:val="nil"/>
            </w:tcBorders>
            <w:shd w:val="clear" w:color="000000" w:fill="FFFFFF"/>
            <w:noWrap/>
            <w:hideMark/>
          </w:tcPr>
          <w:p w14:paraId="06EB8671" w14:textId="77777777" w:rsidR="00C426BA" w:rsidRPr="00404724" w:rsidRDefault="00C426BA" w:rsidP="00C426BA">
            <w:pPr>
              <w:spacing w:before="0" w:after="0"/>
              <w:rPr>
                <w:rFonts w:ascii="Calibri" w:hAnsi="Calibri" w:cs="Calibri"/>
              </w:rPr>
            </w:pPr>
            <w:r w:rsidRPr="00404724">
              <w:rPr>
                <w:rFonts w:ascii="Calibri" w:hAnsi="Calibri" w:cs="Calibri"/>
              </w:rPr>
              <w:t> </w:t>
            </w:r>
          </w:p>
        </w:tc>
        <w:tc>
          <w:tcPr>
            <w:tcW w:w="1819" w:type="dxa"/>
            <w:tcBorders>
              <w:top w:val="nil"/>
              <w:left w:val="single" w:sz="8" w:space="0" w:color="auto"/>
              <w:bottom w:val="nil"/>
              <w:right w:val="nil"/>
            </w:tcBorders>
            <w:shd w:val="clear" w:color="000000" w:fill="FFFFFF"/>
          </w:tcPr>
          <w:p w14:paraId="14915147" w14:textId="77777777" w:rsidR="00C426BA" w:rsidRPr="00404724" w:rsidRDefault="00C426BA" w:rsidP="000A13C5">
            <w:pPr>
              <w:spacing w:before="0" w:after="0"/>
              <w:jc w:val="right"/>
              <w:rPr>
                <w:rFonts w:ascii="Calibri" w:hAnsi="Calibri" w:cs="Calibri"/>
              </w:rPr>
            </w:pPr>
          </w:p>
        </w:tc>
        <w:tc>
          <w:tcPr>
            <w:tcW w:w="1819" w:type="dxa"/>
            <w:tcBorders>
              <w:top w:val="nil"/>
              <w:left w:val="single" w:sz="8" w:space="0" w:color="auto"/>
              <w:bottom w:val="nil"/>
              <w:right w:val="single" w:sz="8" w:space="0" w:color="auto"/>
            </w:tcBorders>
            <w:shd w:val="clear" w:color="000000" w:fill="FFFFFF"/>
          </w:tcPr>
          <w:p w14:paraId="25E7DB6C" w14:textId="77777777" w:rsidR="00C426BA" w:rsidRPr="00404724" w:rsidRDefault="00C426BA" w:rsidP="000A13C5">
            <w:pPr>
              <w:spacing w:before="0" w:after="0"/>
              <w:jc w:val="right"/>
              <w:rPr>
                <w:rFonts w:ascii="Calibri" w:hAnsi="Calibri" w:cs="Calibri"/>
              </w:rPr>
            </w:pPr>
          </w:p>
        </w:tc>
        <w:tc>
          <w:tcPr>
            <w:tcW w:w="1819" w:type="dxa"/>
            <w:tcBorders>
              <w:top w:val="nil"/>
              <w:left w:val="single" w:sz="8" w:space="0" w:color="auto"/>
              <w:bottom w:val="nil"/>
              <w:right w:val="single" w:sz="8" w:space="0" w:color="auto"/>
            </w:tcBorders>
            <w:shd w:val="clear" w:color="000000" w:fill="FFFFFF"/>
          </w:tcPr>
          <w:p w14:paraId="4AD994C7" w14:textId="77777777" w:rsidR="00C426BA" w:rsidRPr="00404724" w:rsidRDefault="00C426BA" w:rsidP="000A13C5">
            <w:pPr>
              <w:spacing w:before="0" w:after="0"/>
              <w:jc w:val="right"/>
              <w:rPr>
                <w:rFonts w:ascii="Calibri" w:hAnsi="Calibri" w:cs="Calibri"/>
              </w:rPr>
            </w:pPr>
          </w:p>
        </w:tc>
        <w:tc>
          <w:tcPr>
            <w:tcW w:w="1819" w:type="dxa"/>
            <w:tcBorders>
              <w:top w:val="nil"/>
              <w:left w:val="single" w:sz="8" w:space="0" w:color="auto"/>
              <w:bottom w:val="nil"/>
              <w:right w:val="single" w:sz="8" w:space="0" w:color="auto"/>
            </w:tcBorders>
            <w:shd w:val="clear" w:color="000000" w:fill="FFFFFF"/>
          </w:tcPr>
          <w:p w14:paraId="182D6844" w14:textId="77777777" w:rsidR="00C426BA" w:rsidRPr="00404724" w:rsidRDefault="00C426BA" w:rsidP="000A13C5">
            <w:pPr>
              <w:spacing w:before="0" w:after="0"/>
              <w:jc w:val="right"/>
              <w:rPr>
                <w:rFonts w:ascii="Calibri" w:hAnsi="Calibri" w:cs="Calibri"/>
              </w:rPr>
            </w:pPr>
          </w:p>
        </w:tc>
        <w:tc>
          <w:tcPr>
            <w:tcW w:w="1819" w:type="dxa"/>
            <w:tcBorders>
              <w:top w:val="nil"/>
              <w:left w:val="single" w:sz="8" w:space="0" w:color="auto"/>
              <w:bottom w:val="nil"/>
              <w:right w:val="single" w:sz="8" w:space="0" w:color="auto"/>
            </w:tcBorders>
            <w:shd w:val="clear" w:color="000000" w:fill="FFFFFF"/>
          </w:tcPr>
          <w:p w14:paraId="2105C79B" w14:textId="77777777" w:rsidR="00C426BA" w:rsidRPr="00404724" w:rsidRDefault="00C426BA" w:rsidP="000A13C5">
            <w:pPr>
              <w:spacing w:before="0" w:after="0"/>
              <w:jc w:val="right"/>
              <w:rPr>
                <w:rFonts w:ascii="Calibri" w:hAnsi="Calibri" w:cs="Calibri"/>
              </w:rPr>
            </w:pPr>
          </w:p>
        </w:tc>
        <w:tc>
          <w:tcPr>
            <w:tcW w:w="1819" w:type="dxa"/>
            <w:tcBorders>
              <w:top w:val="nil"/>
              <w:left w:val="single" w:sz="8" w:space="0" w:color="auto"/>
              <w:bottom w:val="nil"/>
              <w:right w:val="nil"/>
            </w:tcBorders>
            <w:shd w:val="clear" w:color="000000" w:fill="FFFFFF"/>
          </w:tcPr>
          <w:p w14:paraId="75C7430C" w14:textId="77777777" w:rsidR="00C426BA" w:rsidRPr="00404724" w:rsidRDefault="00C426BA" w:rsidP="000A13C5">
            <w:pPr>
              <w:spacing w:before="0" w:after="0"/>
              <w:jc w:val="right"/>
              <w:rPr>
                <w:rFonts w:ascii="Calibri" w:hAnsi="Calibri" w:cs="Calibri"/>
              </w:rPr>
            </w:pPr>
          </w:p>
        </w:tc>
      </w:tr>
      <w:tr w:rsidR="00C426BA" w:rsidRPr="00404724" w14:paraId="39444108" w14:textId="77777777" w:rsidTr="00CE054C">
        <w:trPr>
          <w:trHeight w:val="345"/>
        </w:trPr>
        <w:tc>
          <w:tcPr>
            <w:tcW w:w="3818" w:type="dxa"/>
            <w:tcBorders>
              <w:top w:val="nil"/>
              <w:left w:val="single" w:sz="8" w:space="0" w:color="auto"/>
              <w:bottom w:val="single" w:sz="8" w:space="0" w:color="auto"/>
              <w:right w:val="nil"/>
            </w:tcBorders>
            <w:shd w:val="clear" w:color="000000" w:fill="D5ECDA"/>
            <w:noWrap/>
            <w:hideMark/>
          </w:tcPr>
          <w:p w14:paraId="32D232CA" w14:textId="77777777" w:rsidR="00C426BA" w:rsidRPr="00404724" w:rsidRDefault="00C426BA" w:rsidP="00C426BA">
            <w:pPr>
              <w:spacing w:before="0" w:after="0"/>
              <w:rPr>
                <w:rFonts w:ascii="Calibri" w:hAnsi="Calibri" w:cs="Calibri"/>
              </w:rPr>
            </w:pPr>
            <w:r w:rsidRPr="00404724">
              <w:rPr>
                <w:rFonts w:ascii="Calibri" w:hAnsi="Calibri" w:cs="Calibri"/>
              </w:rPr>
              <w:t>Total benefits</w:t>
            </w:r>
          </w:p>
        </w:tc>
        <w:tc>
          <w:tcPr>
            <w:tcW w:w="1819" w:type="dxa"/>
            <w:tcBorders>
              <w:top w:val="nil"/>
              <w:left w:val="single" w:sz="8" w:space="0" w:color="auto"/>
              <w:bottom w:val="single" w:sz="4" w:space="0" w:color="auto"/>
              <w:right w:val="nil"/>
            </w:tcBorders>
            <w:shd w:val="clear" w:color="000000" w:fill="D5ECDA"/>
          </w:tcPr>
          <w:p w14:paraId="44F32B40" w14:textId="77777777" w:rsidR="00C426BA" w:rsidRPr="00404724" w:rsidRDefault="00C426BA" w:rsidP="000A13C5">
            <w:pPr>
              <w:spacing w:before="0" w:after="0"/>
              <w:jc w:val="right"/>
              <w:rPr>
                <w:rFonts w:ascii="Calibri" w:hAnsi="Calibri" w:cs="Calibri"/>
              </w:rPr>
            </w:pPr>
            <w:r w:rsidRPr="00404724">
              <w:rPr>
                <w:rFonts w:ascii="Calibri" w:hAnsi="Calibri" w:cs="Calibri"/>
              </w:rPr>
              <w:t>$2,406.4</w:t>
            </w:r>
          </w:p>
        </w:tc>
        <w:tc>
          <w:tcPr>
            <w:tcW w:w="1819" w:type="dxa"/>
            <w:tcBorders>
              <w:top w:val="nil"/>
              <w:left w:val="single" w:sz="8" w:space="0" w:color="auto"/>
              <w:bottom w:val="single" w:sz="4" w:space="0" w:color="auto"/>
              <w:right w:val="single" w:sz="8" w:space="0" w:color="auto"/>
            </w:tcBorders>
            <w:shd w:val="clear" w:color="000000" w:fill="D5ECDA"/>
          </w:tcPr>
          <w:p w14:paraId="3FCF151C" w14:textId="77777777" w:rsidR="00C426BA" w:rsidRPr="00404724" w:rsidRDefault="00C426BA" w:rsidP="000A13C5">
            <w:pPr>
              <w:spacing w:before="0" w:after="0"/>
              <w:jc w:val="right"/>
              <w:rPr>
                <w:rFonts w:ascii="Calibri" w:hAnsi="Calibri" w:cs="Calibri"/>
              </w:rPr>
            </w:pPr>
            <w:r w:rsidRPr="00404724">
              <w:rPr>
                <w:rFonts w:ascii="Calibri" w:hAnsi="Calibri" w:cs="Calibri"/>
              </w:rPr>
              <w:t>$2,441.2</w:t>
            </w:r>
          </w:p>
        </w:tc>
        <w:tc>
          <w:tcPr>
            <w:tcW w:w="1819" w:type="dxa"/>
            <w:tcBorders>
              <w:top w:val="nil"/>
              <w:left w:val="single" w:sz="8" w:space="0" w:color="auto"/>
              <w:bottom w:val="single" w:sz="4" w:space="0" w:color="auto"/>
              <w:right w:val="single" w:sz="8" w:space="0" w:color="auto"/>
            </w:tcBorders>
            <w:shd w:val="clear" w:color="000000" w:fill="D5ECDA"/>
          </w:tcPr>
          <w:p w14:paraId="0669AB5E" w14:textId="77777777" w:rsidR="00C426BA" w:rsidRPr="00404724" w:rsidRDefault="00C426BA" w:rsidP="000A13C5">
            <w:pPr>
              <w:spacing w:before="0" w:after="0"/>
              <w:jc w:val="right"/>
              <w:rPr>
                <w:rFonts w:ascii="Calibri" w:hAnsi="Calibri" w:cs="Calibri"/>
              </w:rPr>
            </w:pPr>
            <w:r w:rsidRPr="00404724">
              <w:rPr>
                <w:rFonts w:ascii="Calibri" w:hAnsi="Calibri" w:cs="Calibri"/>
              </w:rPr>
              <w:t>$2,490.2</w:t>
            </w:r>
          </w:p>
        </w:tc>
        <w:tc>
          <w:tcPr>
            <w:tcW w:w="1819" w:type="dxa"/>
            <w:tcBorders>
              <w:top w:val="nil"/>
              <w:left w:val="single" w:sz="8" w:space="0" w:color="auto"/>
              <w:bottom w:val="single" w:sz="4" w:space="0" w:color="auto"/>
              <w:right w:val="single" w:sz="8" w:space="0" w:color="auto"/>
            </w:tcBorders>
            <w:shd w:val="clear" w:color="000000" w:fill="D5ECDA"/>
          </w:tcPr>
          <w:p w14:paraId="1EDFE09C" w14:textId="77777777" w:rsidR="00C426BA" w:rsidRPr="00404724" w:rsidRDefault="00C426BA" w:rsidP="000A13C5">
            <w:pPr>
              <w:spacing w:before="0" w:after="0"/>
              <w:jc w:val="right"/>
              <w:rPr>
                <w:rFonts w:ascii="Calibri" w:hAnsi="Calibri" w:cs="Calibri"/>
              </w:rPr>
            </w:pPr>
            <w:r w:rsidRPr="00404724">
              <w:rPr>
                <w:rFonts w:ascii="Calibri" w:hAnsi="Calibri" w:cs="Calibri"/>
              </w:rPr>
              <w:t>$5,041.2</w:t>
            </w:r>
          </w:p>
        </w:tc>
        <w:tc>
          <w:tcPr>
            <w:tcW w:w="1819" w:type="dxa"/>
            <w:tcBorders>
              <w:top w:val="nil"/>
              <w:left w:val="single" w:sz="8" w:space="0" w:color="auto"/>
              <w:bottom w:val="single" w:sz="4" w:space="0" w:color="auto"/>
              <w:right w:val="single" w:sz="8" w:space="0" w:color="auto"/>
            </w:tcBorders>
            <w:shd w:val="clear" w:color="000000" w:fill="D5ECDA"/>
          </w:tcPr>
          <w:p w14:paraId="0DB881A3" w14:textId="77777777" w:rsidR="00C426BA" w:rsidRPr="00404724" w:rsidRDefault="00C426BA" w:rsidP="000A13C5">
            <w:pPr>
              <w:spacing w:before="0" w:after="0"/>
              <w:jc w:val="right"/>
              <w:rPr>
                <w:rFonts w:ascii="Calibri" w:hAnsi="Calibri" w:cs="Calibri"/>
              </w:rPr>
            </w:pPr>
            <w:r w:rsidRPr="00404724">
              <w:rPr>
                <w:rFonts w:ascii="Calibri" w:hAnsi="Calibri" w:cs="Calibri"/>
              </w:rPr>
              <w:t>$5,110.9</w:t>
            </w:r>
          </w:p>
        </w:tc>
        <w:tc>
          <w:tcPr>
            <w:tcW w:w="1819" w:type="dxa"/>
            <w:tcBorders>
              <w:top w:val="nil"/>
              <w:left w:val="single" w:sz="8" w:space="0" w:color="auto"/>
              <w:bottom w:val="single" w:sz="4" w:space="0" w:color="auto"/>
              <w:right w:val="nil"/>
            </w:tcBorders>
            <w:shd w:val="clear" w:color="000000" w:fill="D5ECDA"/>
          </w:tcPr>
          <w:p w14:paraId="7A521032" w14:textId="77777777" w:rsidR="00C426BA" w:rsidRPr="00404724" w:rsidRDefault="00C426BA" w:rsidP="000A13C5">
            <w:pPr>
              <w:spacing w:before="0" w:after="0"/>
              <w:jc w:val="right"/>
              <w:rPr>
                <w:rFonts w:ascii="Calibri" w:hAnsi="Calibri" w:cs="Calibri"/>
              </w:rPr>
            </w:pPr>
            <w:r w:rsidRPr="00404724">
              <w:rPr>
                <w:rFonts w:ascii="Calibri" w:hAnsi="Calibri" w:cs="Calibri"/>
              </w:rPr>
              <w:t>$5,208.0</w:t>
            </w:r>
          </w:p>
        </w:tc>
      </w:tr>
      <w:tr w:rsidR="00C426BA" w:rsidRPr="00404724" w14:paraId="15DDE2DC" w14:textId="77777777" w:rsidTr="00CE054C">
        <w:trPr>
          <w:trHeight w:val="330"/>
        </w:trPr>
        <w:tc>
          <w:tcPr>
            <w:tcW w:w="3818" w:type="dxa"/>
            <w:tcBorders>
              <w:top w:val="nil"/>
              <w:left w:val="nil"/>
              <w:bottom w:val="nil"/>
              <w:right w:val="nil"/>
            </w:tcBorders>
            <w:shd w:val="clear" w:color="000000" w:fill="FFFFFF"/>
            <w:noWrap/>
            <w:hideMark/>
          </w:tcPr>
          <w:p w14:paraId="0A7F94EB" w14:textId="77777777" w:rsidR="00C426BA" w:rsidRPr="00404724" w:rsidRDefault="00C426BA" w:rsidP="00C426BA">
            <w:pPr>
              <w:spacing w:before="0" w:after="0"/>
              <w:rPr>
                <w:rFonts w:ascii="Calibri" w:hAnsi="Calibri" w:cs="Calibri"/>
              </w:rPr>
            </w:pPr>
            <w:r w:rsidRPr="00404724">
              <w:rPr>
                <w:rFonts w:ascii="Calibri" w:hAnsi="Calibri" w:cs="Calibri"/>
              </w:rPr>
              <w:t> </w:t>
            </w:r>
          </w:p>
        </w:tc>
        <w:tc>
          <w:tcPr>
            <w:tcW w:w="1819" w:type="dxa"/>
            <w:tcBorders>
              <w:top w:val="nil"/>
              <w:left w:val="single" w:sz="8" w:space="0" w:color="auto"/>
              <w:bottom w:val="nil"/>
              <w:right w:val="nil"/>
            </w:tcBorders>
            <w:shd w:val="clear" w:color="000000" w:fill="FFFFFF"/>
          </w:tcPr>
          <w:p w14:paraId="5B80BA03" w14:textId="77777777" w:rsidR="00C426BA" w:rsidRPr="00404724" w:rsidRDefault="00C426BA" w:rsidP="000A13C5">
            <w:pPr>
              <w:spacing w:before="0" w:after="0"/>
              <w:jc w:val="right"/>
              <w:rPr>
                <w:rFonts w:ascii="Calibri" w:hAnsi="Calibri" w:cs="Calibri"/>
              </w:rPr>
            </w:pPr>
          </w:p>
        </w:tc>
        <w:tc>
          <w:tcPr>
            <w:tcW w:w="1819" w:type="dxa"/>
            <w:tcBorders>
              <w:top w:val="nil"/>
              <w:left w:val="single" w:sz="8" w:space="0" w:color="auto"/>
              <w:bottom w:val="nil"/>
              <w:right w:val="single" w:sz="8" w:space="0" w:color="auto"/>
            </w:tcBorders>
            <w:shd w:val="clear" w:color="000000" w:fill="FFFFFF"/>
          </w:tcPr>
          <w:p w14:paraId="746CD93B" w14:textId="77777777" w:rsidR="00C426BA" w:rsidRPr="00404724" w:rsidRDefault="00C426BA" w:rsidP="000A13C5">
            <w:pPr>
              <w:spacing w:before="0" w:after="0"/>
              <w:jc w:val="right"/>
              <w:rPr>
                <w:rFonts w:ascii="Calibri" w:hAnsi="Calibri" w:cs="Calibri"/>
              </w:rPr>
            </w:pPr>
          </w:p>
        </w:tc>
        <w:tc>
          <w:tcPr>
            <w:tcW w:w="1819" w:type="dxa"/>
            <w:tcBorders>
              <w:top w:val="nil"/>
              <w:left w:val="single" w:sz="8" w:space="0" w:color="auto"/>
              <w:bottom w:val="nil"/>
              <w:right w:val="single" w:sz="8" w:space="0" w:color="auto"/>
            </w:tcBorders>
            <w:shd w:val="clear" w:color="000000" w:fill="FFFFFF"/>
          </w:tcPr>
          <w:p w14:paraId="0ED6ABF7" w14:textId="77777777" w:rsidR="00C426BA" w:rsidRPr="00404724" w:rsidRDefault="00C426BA" w:rsidP="000A13C5">
            <w:pPr>
              <w:spacing w:before="0" w:after="0"/>
              <w:jc w:val="right"/>
              <w:rPr>
                <w:rFonts w:ascii="Calibri" w:hAnsi="Calibri" w:cs="Calibri"/>
              </w:rPr>
            </w:pPr>
          </w:p>
        </w:tc>
        <w:tc>
          <w:tcPr>
            <w:tcW w:w="1819" w:type="dxa"/>
            <w:tcBorders>
              <w:top w:val="nil"/>
              <w:left w:val="single" w:sz="8" w:space="0" w:color="auto"/>
              <w:bottom w:val="nil"/>
              <w:right w:val="single" w:sz="8" w:space="0" w:color="auto"/>
            </w:tcBorders>
            <w:shd w:val="clear" w:color="000000" w:fill="FFFFFF"/>
          </w:tcPr>
          <w:p w14:paraId="5C8FDC33" w14:textId="77777777" w:rsidR="00C426BA" w:rsidRPr="00404724" w:rsidRDefault="00C426BA" w:rsidP="000A13C5">
            <w:pPr>
              <w:spacing w:before="0" w:after="0"/>
              <w:jc w:val="right"/>
              <w:rPr>
                <w:rFonts w:ascii="Calibri" w:hAnsi="Calibri" w:cs="Calibri"/>
              </w:rPr>
            </w:pPr>
          </w:p>
        </w:tc>
        <w:tc>
          <w:tcPr>
            <w:tcW w:w="1819" w:type="dxa"/>
            <w:tcBorders>
              <w:top w:val="nil"/>
              <w:left w:val="single" w:sz="8" w:space="0" w:color="auto"/>
              <w:bottom w:val="nil"/>
              <w:right w:val="single" w:sz="8" w:space="0" w:color="auto"/>
            </w:tcBorders>
            <w:shd w:val="clear" w:color="000000" w:fill="FFFFFF"/>
          </w:tcPr>
          <w:p w14:paraId="15FF7695" w14:textId="77777777" w:rsidR="00C426BA" w:rsidRPr="00404724" w:rsidRDefault="00C426BA" w:rsidP="000A13C5">
            <w:pPr>
              <w:spacing w:before="0" w:after="0"/>
              <w:jc w:val="right"/>
              <w:rPr>
                <w:rFonts w:ascii="Calibri" w:hAnsi="Calibri" w:cs="Calibri"/>
              </w:rPr>
            </w:pPr>
          </w:p>
        </w:tc>
        <w:tc>
          <w:tcPr>
            <w:tcW w:w="1819" w:type="dxa"/>
            <w:tcBorders>
              <w:top w:val="nil"/>
              <w:left w:val="single" w:sz="8" w:space="0" w:color="auto"/>
              <w:bottom w:val="nil"/>
              <w:right w:val="nil"/>
            </w:tcBorders>
            <w:shd w:val="clear" w:color="000000" w:fill="FFFFFF"/>
          </w:tcPr>
          <w:p w14:paraId="0474F4BE" w14:textId="77777777" w:rsidR="00C426BA" w:rsidRPr="00404724" w:rsidRDefault="00C426BA" w:rsidP="000A13C5">
            <w:pPr>
              <w:spacing w:before="0" w:after="0"/>
              <w:jc w:val="right"/>
              <w:rPr>
                <w:rFonts w:ascii="Calibri" w:hAnsi="Calibri" w:cs="Calibri"/>
              </w:rPr>
            </w:pPr>
          </w:p>
        </w:tc>
      </w:tr>
      <w:tr w:rsidR="00C70A94" w:rsidRPr="00404724" w14:paraId="34AB5735" w14:textId="77777777" w:rsidTr="00CE054C">
        <w:trPr>
          <w:trHeight w:val="330"/>
        </w:trPr>
        <w:tc>
          <w:tcPr>
            <w:tcW w:w="3818" w:type="dxa"/>
            <w:tcBorders>
              <w:top w:val="nil"/>
              <w:left w:val="nil"/>
              <w:bottom w:val="nil"/>
              <w:right w:val="nil"/>
            </w:tcBorders>
            <w:shd w:val="clear" w:color="000000" w:fill="140034"/>
            <w:noWrap/>
            <w:hideMark/>
          </w:tcPr>
          <w:p w14:paraId="7C54D07C" w14:textId="5D18C3F2" w:rsidR="00C70A94" w:rsidRPr="00404724" w:rsidRDefault="00C70A94" w:rsidP="00C70A94">
            <w:pPr>
              <w:spacing w:before="0" w:after="0"/>
              <w:rPr>
                <w:rFonts w:ascii="Calibri" w:hAnsi="Calibri" w:cs="Calibri"/>
                <w:color w:val="FFFFFF" w:themeColor="background1"/>
              </w:rPr>
            </w:pPr>
            <w:r w:rsidRPr="00404724">
              <w:rPr>
                <w:rFonts w:cstheme="minorHAnsi"/>
                <w:color w:val="FFFFFF" w:themeColor="background1"/>
              </w:rPr>
              <w:t>($m)</w:t>
            </w:r>
          </w:p>
        </w:tc>
        <w:tc>
          <w:tcPr>
            <w:tcW w:w="1819" w:type="dxa"/>
            <w:tcBorders>
              <w:top w:val="nil"/>
              <w:left w:val="single" w:sz="8" w:space="0" w:color="auto"/>
              <w:bottom w:val="nil"/>
              <w:right w:val="nil"/>
            </w:tcBorders>
            <w:shd w:val="clear" w:color="000000" w:fill="140034"/>
          </w:tcPr>
          <w:p w14:paraId="5CCF1896" w14:textId="1A21F6DB" w:rsidR="00C70A94" w:rsidRPr="00404724" w:rsidRDefault="00C70A94" w:rsidP="000A13C5">
            <w:pPr>
              <w:spacing w:before="0" w:after="0"/>
              <w:jc w:val="right"/>
              <w:rPr>
                <w:rFonts w:ascii="Calibri" w:hAnsi="Calibri" w:cs="Calibri"/>
                <w:color w:val="FFFFFF" w:themeColor="background1"/>
              </w:rPr>
            </w:pPr>
            <w:r w:rsidRPr="00404724">
              <w:rPr>
                <w:rFonts w:cstheme="minorHAnsi"/>
                <w:color w:val="FFFFFF" w:themeColor="background1"/>
              </w:rPr>
              <w:t>($m)</w:t>
            </w:r>
          </w:p>
        </w:tc>
        <w:tc>
          <w:tcPr>
            <w:tcW w:w="1819" w:type="dxa"/>
            <w:tcBorders>
              <w:top w:val="nil"/>
              <w:left w:val="single" w:sz="8" w:space="0" w:color="auto"/>
              <w:bottom w:val="nil"/>
              <w:right w:val="single" w:sz="8" w:space="0" w:color="auto"/>
            </w:tcBorders>
            <w:shd w:val="clear" w:color="000000" w:fill="140034"/>
          </w:tcPr>
          <w:p w14:paraId="0FEF0FEE" w14:textId="2407DE2B" w:rsidR="00C70A94" w:rsidRPr="00404724" w:rsidRDefault="00C70A94" w:rsidP="000A13C5">
            <w:pPr>
              <w:spacing w:before="0" w:after="0"/>
              <w:jc w:val="right"/>
              <w:rPr>
                <w:rFonts w:ascii="Calibri" w:hAnsi="Calibri" w:cs="Calibri"/>
                <w:color w:val="FFFFFF" w:themeColor="background1"/>
              </w:rPr>
            </w:pPr>
            <w:r w:rsidRPr="00404724">
              <w:rPr>
                <w:rFonts w:cstheme="minorHAnsi"/>
                <w:color w:val="FFFFFF" w:themeColor="background1"/>
              </w:rPr>
              <w:t>($m)</w:t>
            </w:r>
          </w:p>
        </w:tc>
        <w:tc>
          <w:tcPr>
            <w:tcW w:w="1819" w:type="dxa"/>
            <w:tcBorders>
              <w:top w:val="nil"/>
              <w:left w:val="single" w:sz="8" w:space="0" w:color="auto"/>
              <w:bottom w:val="nil"/>
              <w:right w:val="single" w:sz="8" w:space="0" w:color="auto"/>
            </w:tcBorders>
            <w:shd w:val="clear" w:color="000000" w:fill="140034"/>
          </w:tcPr>
          <w:p w14:paraId="6142E457" w14:textId="5CE2CA59" w:rsidR="00C70A94" w:rsidRPr="00404724" w:rsidRDefault="00C70A94" w:rsidP="000A13C5">
            <w:pPr>
              <w:spacing w:before="0" w:after="0"/>
              <w:jc w:val="right"/>
              <w:rPr>
                <w:rFonts w:ascii="Calibri" w:hAnsi="Calibri" w:cs="Calibri"/>
                <w:color w:val="FFFFFF" w:themeColor="background1"/>
              </w:rPr>
            </w:pPr>
            <w:r w:rsidRPr="00404724">
              <w:rPr>
                <w:rFonts w:cstheme="minorHAnsi"/>
                <w:color w:val="FFFFFF" w:themeColor="background1"/>
              </w:rPr>
              <w:t>($m)</w:t>
            </w:r>
          </w:p>
        </w:tc>
        <w:tc>
          <w:tcPr>
            <w:tcW w:w="1819" w:type="dxa"/>
            <w:tcBorders>
              <w:top w:val="nil"/>
              <w:left w:val="single" w:sz="8" w:space="0" w:color="auto"/>
              <w:bottom w:val="nil"/>
              <w:right w:val="single" w:sz="8" w:space="0" w:color="auto"/>
            </w:tcBorders>
            <w:shd w:val="clear" w:color="000000" w:fill="140034"/>
          </w:tcPr>
          <w:p w14:paraId="5E3ED75D" w14:textId="0379910D" w:rsidR="00C70A94" w:rsidRPr="00404724" w:rsidRDefault="00C70A94" w:rsidP="000A13C5">
            <w:pPr>
              <w:spacing w:before="0" w:after="0"/>
              <w:jc w:val="right"/>
              <w:rPr>
                <w:rFonts w:ascii="Calibri" w:hAnsi="Calibri" w:cs="Calibri"/>
                <w:color w:val="FFFFFF" w:themeColor="background1"/>
              </w:rPr>
            </w:pPr>
            <w:r w:rsidRPr="00404724">
              <w:rPr>
                <w:rFonts w:cstheme="minorHAnsi"/>
                <w:color w:val="FFFFFF" w:themeColor="background1"/>
              </w:rPr>
              <w:t>($m)</w:t>
            </w:r>
          </w:p>
        </w:tc>
        <w:tc>
          <w:tcPr>
            <w:tcW w:w="1819" w:type="dxa"/>
            <w:tcBorders>
              <w:top w:val="nil"/>
              <w:left w:val="single" w:sz="8" w:space="0" w:color="auto"/>
              <w:bottom w:val="nil"/>
              <w:right w:val="single" w:sz="8" w:space="0" w:color="auto"/>
            </w:tcBorders>
            <w:shd w:val="clear" w:color="000000" w:fill="140034"/>
          </w:tcPr>
          <w:p w14:paraId="2BD8EAFF" w14:textId="69BE5598" w:rsidR="00C70A94" w:rsidRPr="00404724" w:rsidRDefault="00C70A94" w:rsidP="000A13C5">
            <w:pPr>
              <w:spacing w:before="0" w:after="0"/>
              <w:jc w:val="right"/>
              <w:rPr>
                <w:rFonts w:ascii="Calibri" w:hAnsi="Calibri" w:cs="Calibri"/>
                <w:color w:val="FFFFFF" w:themeColor="background1"/>
              </w:rPr>
            </w:pPr>
            <w:r w:rsidRPr="00404724">
              <w:rPr>
                <w:rFonts w:cstheme="minorHAnsi"/>
                <w:color w:val="FFFFFF" w:themeColor="background1"/>
              </w:rPr>
              <w:t>($m)</w:t>
            </w:r>
          </w:p>
        </w:tc>
        <w:tc>
          <w:tcPr>
            <w:tcW w:w="1819" w:type="dxa"/>
            <w:tcBorders>
              <w:top w:val="nil"/>
              <w:left w:val="single" w:sz="8" w:space="0" w:color="auto"/>
              <w:bottom w:val="nil"/>
              <w:right w:val="nil"/>
            </w:tcBorders>
            <w:shd w:val="clear" w:color="000000" w:fill="140034"/>
          </w:tcPr>
          <w:p w14:paraId="3BBBF4CE" w14:textId="45E69910" w:rsidR="00C70A94" w:rsidRPr="00404724" w:rsidRDefault="00C70A94" w:rsidP="000A13C5">
            <w:pPr>
              <w:spacing w:before="0" w:after="0"/>
              <w:jc w:val="right"/>
              <w:rPr>
                <w:rFonts w:ascii="Calibri" w:hAnsi="Calibri" w:cs="Calibri"/>
                <w:color w:val="FFFFFF" w:themeColor="background1"/>
              </w:rPr>
            </w:pPr>
            <w:r w:rsidRPr="00404724">
              <w:rPr>
                <w:rFonts w:cstheme="minorHAnsi"/>
                <w:color w:val="FFFFFF" w:themeColor="background1"/>
              </w:rPr>
              <w:t>($m)</w:t>
            </w:r>
          </w:p>
        </w:tc>
      </w:tr>
      <w:tr w:rsidR="00C426BA" w:rsidRPr="00404724" w14:paraId="5CA97E0F" w14:textId="77777777" w:rsidTr="00CE054C">
        <w:trPr>
          <w:trHeight w:val="330"/>
        </w:trPr>
        <w:tc>
          <w:tcPr>
            <w:tcW w:w="3818" w:type="dxa"/>
            <w:tcBorders>
              <w:top w:val="nil"/>
              <w:left w:val="single" w:sz="8" w:space="0" w:color="auto"/>
              <w:bottom w:val="nil"/>
              <w:right w:val="nil"/>
            </w:tcBorders>
            <w:shd w:val="clear" w:color="000000" w:fill="E4E4E4"/>
            <w:noWrap/>
            <w:hideMark/>
          </w:tcPr>
          <w:p w14:paraId="2C3D53F6" w14:textId="77777777" w:rsidR="00C426BA" w:rsidRPr="00404724" w:rsidRDefault="00C426BA" w:rsidP="00C426BA">
            <w:pPr>
              <w:spacing w:before="0" w:after="0"/>
              <w:rPr>
                <w:rFonts w:ascii="Calibri" w:hAnsi="Calibri" w:cs="Calibri"/>
              </w:rPr>
            </w:pPr>
            <w:r w:rsidRPr="00404724">
              <w:rPr>
                <w:rFonts w:ascii="Calibri" w:hAnsi="Calibri" w:cs="Calibri"/>
              </w:rPr>
              <w:t>Travel time</w:t>
            </w:r>
          </w:p>
        </w:tc>
        <w:tc>
          <w:tcPr>
            <w:tcW w:w="1819" w:type="dxa"/>
            <w:tcBorders>
              <w:top w:val="nil"/>
              <w:left w:val="single" w:sz="8" w:space="0" w:color="auto"/>
              <w:bottom w:val="nil"/>
              <w:right w:val="nil"/>
            </w:tcBorders>
            <w:shd w:val="clear" w:color="000000" w:fill="E4E4E4"/>
          </w:tcPr>
          <w:p w14:paraId="47CAD7B0" w14:textId="77777777" w:rsidR="00C426BA" w:rsidRPr="00404724" w:rsidRDefault="00C426BA" w:rsidP="000A13C5">
            <w:pPr>
              <w:spacing w:before="0" w:after="0"/>
              <w:jc w:val="right"/>
              <w:rPr>
                <w:rFonts w:ascii="Calibri" w:hAnsi="Calibri" w:cs="Calibri"/>
              </w:rPr>
            </w:pPr>
          </w:p>
        </w:tc>
        <w:tc>
          <w:tcPr>
            <w:tcW w:w="1819" w:type="dxa"/>
            <w:tcBorders>
              <w:top w:val="nil"/>
              <w:left w:val="single" w:sz="8" w:space="0" w:color="auto"/>
              <w:bottom w:val="nil"/>
              <w:right w:val="single" w:sz="8" w:space="0" w:color="auto"/>
            </w:tcBorders>
            <w:shd w:val="clear" w:color="000000" w:fill="E4E4E4"/>
          </w:tcPr>
          <w:p w14:paraId="4BC1542D" w14:textId="77777777" w:rsidR="00C426BA" w:rsidRPr="00404724" w:rsidRDefault="00C426BA" w:rsidP="000A13C5">
            <w:pPr>
              <w:spacing w:before="0" w:after="0"/>
              <w:jc w:val="right"/>
              <w:rPr>
                <w:rFonts w:ascii="Calibri" w:hAnsi="Calibri" w:cs="Calibri"/>
              </w:rPr>
            </w:pPr>
          </w:p>
        </w:tc>
        <w:tc>
          <w:tcPr>
            <w:tcW w:w="1819" w:type="dxa"/>
            <w:tcBorders>
              <w:top w:val="nil"/>
              <w:left w:val="single" w:sz="8" w:space="0" w:color="auto"/>
              <w:bottom w:val="nil"/>
              <w:right w:val="single" w:sz="8" w:space="0" w:color="auto"/>
            </w:tcBorders>
            <w:shd w:val="clear" w:color="000000" w:fill="E4E4E4"/>
          </w:tcPr>
          <w:p w14:paraId="52C72900" w14:textId="77777777" w:rsidR="00C426BA" w:rsidRPr="00404724" w:rsidRDefault="00C426BA" w:rsidP="000A13C5">
            <w:pPr>
              <w:spacing w:before="0" w:after="0"/>
              <w:jc w:val="right"/>
              <w:rPr>
                <w:rFonts w:ascii="Calibri" w:hAnsi="Calibri" w:cs="Calibri"/>
              </w:rPr>
            </w:pPr>
          </w:p>
        </w:tc>
        <w:tc>
          <w:tcPr>
            <w:tcW w:w="1819" w:type="dxa"/>
            <w:tcBorders>
              <w:top w:val="nil"/>
              <w:left w:val="single" w:sz="8" w:space="0" w:color="auto"/>
              <w:bottom w:val="nil"/>
              <w:right w:val="single" w:sz="8" w:space="0" w:color="auto"/>
            </w:tcBorders>
            <w:shd w:val="clear" w:color="000000" w:fill="E4E4E4"/>
          </w:tcPr>
          <w:p w14:paraId="3D7CB8FF" w14:textId="77777777" w:rsidR="00C426BA" w:rsidRPr="00404724" w:rsidRDefault="00C426BA" w:rsidP="000A13C5">
            <w:pPr>
              <w:spacing w:before="0" w:after="0"/>
              <w:jc w:val="right"/>
              <w:rPr>
                <w:rFonts w:ascii="Calibri" w:hAnsi="Calibri" w:cs="Calibri"/>
              </w:rPr>
            </w:pPr>
          </w:p>
        </w:tc>
        <w:tc>
          <w:tcPr>
            <w:tcW w:w="1819" w:type="dxa"/>
            <w:tcBorders>
              <w:top w:val="nil"/>
              <w:left w:val="single" w:sz="8" w:space="0" w:color="auto"/>
              <w:bottom w:val="nil"/>
              <w:right w:val="single" w:sz="8" w:space="0" w:color="auto"/>
            </w:tcBorders>
            <w:shd w:val="clear" w:color="000000" w:fill="E4E4E4"/>
          </w:tcPr>
          <w:p w14:paraId="74D1D9DD" w14:textId="77777777" w:rsidR="00C426BA" w:rsidRPr="00404724" w:rsidRDefault="00C426BA" w:rsidP="000A13C5">
            <w:pPr>
              <w:spacing w:before="0" w:after="0"/>
              <w:jc w:val="right"/>
              <w:rPr>
                <w:rFonts w:ascii="Calibri" w:hAnsi="Calibri" w:cs="Calibri"/>
              </w:rPr>
            </w:pPr>
          </w:p>
        </w:tc>
        <w:tc>
          <w:tcPr>
            <w:tcW w:w="1819" w:type="dxa"/>
            <w:tcBorders>
              <w:top w:val="nil"/>
              <w:left w:val="single" w:sz="8" w:space="0" w:color="auto"/>
              <w:bottom w:val="nil"/>
              <w:right w:val="nil"/>
            </w:tcBorders>
            <w:shd w:val="clear" w:color="000000" w:fill="E4E4E4"/>
          </w:tcPr>
          <w:p w14:paraId="319FDB36" w14:textId="77777777" w:rsidR="00C426BA" w:rsidRPr="00404724" w:rsidRDefault="00C426BA" w:rsidP="000A13C5">
            <w:pPr>
              <w:spacing w:before="0" w:after="0"/>
              <w:jc w:val="right"/>
              <w:rPr>
                <w:rFonts w:ascii="Calibri" w:hAnsi="Calibri" w:cs="Calibri"/>
              </w:rPr>
            </w:pPr>
          </w:p>
        </w:tc>
      </w:tr>
      <w:tr w:rsidR="00C426BA" w:rsidRPr="00404724" w14:paraId="497DCF62" w14:textId="77777777" w:rsidTr="00CE054C">
        <w:trPr>
          <w:trHeight w:val="330"/>
        </w:trPr>
        <w:tc>
          <w:tcPr>
            <w:tcW w:w="3818" w:type="dxa"/>
            <w:tcBorders>
              <w:top w:val="nil"/>
              <w:left w:val="single" w:sz="8" w:space="0" w:color="auto"/>
              <w:bottom w:val="nil"/>
              <w:right w:val="nil"/>
            </w:tcBorders>
            <w:shd w:val="clear" w:color="000000" w:fill="FFFFFF"/>
            <w:noWrap/>
            <w:hideMark/>
          </w:tcPr>
          <w:p w14:paraId="6D55DE50" w14:textId="77777777" w:rsidR="00C426BA" w:rsidRPr="00404724" w:rsidRDefault="00C426BA" w:rsidP="00C426BA">
            <w:pPr>
              <w:spacing w:before="0" w:after="0"/>
              <w:rPr>
                <w:rFonts w:ascii="Calibri" w:hAnsi="Calibri" w:cs="Calibri"/>
              </w:rPr>
            </w:pPr>
            <w:r w:rsidRPr="00404724">
              <w:rPr>
                <w:rFonts w:ascii="Calibri" w:hAnsi="Calibri" w:cs="Calibri"/>
              </w:rPr>
              <w:t>Personal</w:t>
            </w:r>
          </w:p>
        </w:tc>
        <w:tc>
          <w:tcPr>
            <w:tcW w:w="1819" w:type="dxa"/>
            <w:tcBorders>
              <w:top w:val="nil"/>
              <w:left w:val="single" w:sz="8" w:space="0" w:color="auto"/>
              <w:bottom w:val="nil"/>
              <w:right w:val="nil"/>
            </w:tcBorders>
            <w:shd w:val="clear" w:color="000000" w:fill="FFFFFF"/>
          </w:tcPr>
          <w:p w14:paraId="123E8D3D" w14:textId="77777777" w:rsidR="00C426BA" w:rsidRPr="00404724" w:rsidRDefault="00C426BA" w:rsidP="000A13C5">
            <w:pPr>
              <w:spacing w:before="0" w:after="0"/>
              <w:jc w:val="right"/>
              <w:rPr>
                <w:rFonts w:ascii="Calibri" w:hAnsi="Calibri" w:cs="Calibri"/>
              </w:rPr>
            </w:pPr>
            <w:r w:rsidRPr="00404724">
              <w:rPr>
                <w:rFonts w:ascii="Calibri" w:hAnsi="Calibri" w:cs="Calibri"/>
              </w:rPr>
              <w:t>-$232.1</w:t>
            </w:r>
          </w:p>
        </w:tc>
        <w:tc>
          <w:tcPr>
            <w:tcW w:w="1819" w:type="dxa"/>
            <w:tcBorders>
              <w:top w:val="nil"/>
              <w:left w:val="single" w:sz="8" w:space="0" w:color="auto"/>
              <w:bottom w:val="nil"/>
              <w:right w:val="single" w:sz="8" w:space="0" w:color="auto"/>
            </w:tcBorders>
            <w:shd w:val="clear" w:color="000000" w:fill="FFFFFF"/>
          </w:tcPr>
          <w:p w14:paraId="04BD1F7A" w14:textId="77777777" w:rsidR="00C426BA" w:rsidRPr="00404724" w:rsidRDefault="00C426BA" w:rsidP="000A13C5">
            <w:pPr>
              <w:spacing w:before="0" w:after="0"/>
              <w:jc w:val="right"/>
              <w:rPr>
                <w:rFonts w:ascii="Calibri" w:hAnsi="Calibri" w:cs="Calibri"/>
              </w:rPr>
            </w:pPr>
            <w:r w:rsidRPr="00404724">
              <w:rPr>
                <w:rFonts w:ascii="Calibri" w:hAnsi="Calibri" w:cs="Calibri"/>
              </w:rPr>
              <w:t>-$580.2</w:t>
            </w:r>
          </w:p>
        </w:tc>
        <w:tc>
          <w:tcPr>
            <w:tcW w:w="1819" w:type="dxa"/>
            <w:tcBorders>
              <w:top w:val="nil"/>
              <w:left w:val="single" w:sz="8" w:space="0" w:color="auto"/>
              <w:bottom w:val="nil"/>
              <w:right w:val="single" w:sz="8" w:space="0" w:color="auto"/>
            </w:tcBorders>
            <w:shd w:val="clear" w:color="000000" w:fill="FFFFFF"/>
          </w:tcPr>
          <w:p w14:paraId="666D3547" w14:textId="77777777" w:rsidR="00C426BA" w:rsidRPr="00404724" w:rsidRDefault="00C426BA" w:rsidP="000A13C5">
            <w:pPr>
              <w:spacing w:before="0" w:after="0"/>
              <w:jc w:val="right"/>
              <w:rPr>
                <w:rFonts w:ascii="Calibri" w:hAnsi="Calibri" w:cs="Calibri"/>
              </w:rPr>
            </w:pPr>
            <w:r w:rsidRPr="00404724">
              <w:rPr>
                <w:rFonts w:ascii="Calibri" w:hAnsi="Calibri" w:cs="Calibri"/>
              </w:rPr>
              <w:t>-$1,160.4</w:t>
            </w:r>
          </w:p>
        </w:tc>
        <w:tc>
          <w:tcPr>
            <w:tcW w:w="1819" w:type="dxa"/>
            <w:tcBorders>
              <w:top w:val="nil"/>
              <w:left w:val="single" w:sz="8" w:space="0" w:color="auto"/>
              <w:bottom w:val="nil"/>
              <w:right w:val="single" w:sz="8" w:space="0" w:color="auto"/>
            </w:tcBorders>
            <w:shd w:val="clear" w:color="000000" w:fill="FFFFFF"/>
          </w:tcPr>
          <w:p w14:paraId="06A1DA36" w14:textId="77777777" w:rsidR="00C426BA" w:rsidRPr="00404724" w:rsidRDefault="00C426BA" w:rsidP="000A13C5">
            <w:pPr>
              <w:spacing w:before="0" w:after="0"/>
              <w:jc w:val="right"/>
              <w:rPr>
                <w:rFonts w:ascii="Calibri" w:hAnsi="Calibri" w:cs="Calibri"/>
              </w:rPr>
            </w:pPr>
            <w:r w:rsidRPr="00404724">
              <w:rPr>
                <w:rFonts w:ascii="Calibri" w:hAnsi="Calibri" w:cs="Calibri"/>
              </w:rPr>
              <w:t>-$581.6</w:t>
            </w:r>
          </w:p>
        </w:tc>
        <w:tc>
          <w:tcPr>
            <w:tcW w:w="1819" w:type="dxa"/>
            <w:tcBorders>
              <w:top w:val="nil"/>
              <w:left w:val="single" w:sz="8" w:space="0" w:color="auto"/>
              <w:bottom w:val="nil"/>
              <w:right w:val="single" w:sz="8" w:space="0" w:color="auto"/>
            </w:tcBorders>
            <w:shd w:val="clear" w:color="000000" w:fill="FFFFFF"/>
          </w:tcPr>
          <w:p w14:paraId="0A3CEEEF" w14:textId="77777777" w:rsidR="00C426BA" w:rsidRPr="00404724" w:rsidRDefault="00C426BA" w:rsidP="000A13C5">
            <w:pPr>
              <w:spacing w:before="0" w:after="0"/>
              <w:jc w:val="right"/>
              <w:rPr>
                <w:rFonts w:ascii="Calibri" w:hAnsi="Calibri" w:cs="Calibri"/>
              </w:rPr>
            </w:pPr>
            <w:r w:rsidRPr="00404724">
              <w:rPr>
                <w:rFonts w:ascii="Calibri" w:hAnsi="Calibri" w:cs="Calibri"/>
              </w:rPr>
              <w:t>-$1,454.1</w:t>
            </w:r>
          </w:p>
        </w:tc>
        <w:tc>
          <w:tcPr>
            <w:tcW w:w="1819" w:type="dxa"/>
            <w:tcBorders>
              <w:top w:val="nil"/>
              <w:left w:val="single" w:sz="8" w:space="0" w:color="auto"/>
              <w:bottom w:val="nil"/>
              <w:right w:val="nil"/>
            </w:tcBorders>
            <w:shd w:val="clear" w:color="000000" w:fill="FFFFFF"/>
          </w:tcPr>
          <w:p w14:paraId="5EA70BD5" w14:textId="77777777" w:rsidR="00C426BA" w:rsidRPr="00404724" w:rsidRDefault="00C426BA" w:rsidP="000A13C5">
            <w:pPr>
              <w:spacing w:before="0" w:after="0"/>
              <w:jc w:val="right"/>
              <w:rPr>
                <w:rFonts w:ascii="Calibri" w:hAnsi="Calibri" w:cs="Calibri"/>
              </w:rPr>
            </w:pPr>
            <w:r w:rsidRPr="00404724">
              <w:rPr>
                <w:rFonts w:ascii="Calibri" w:hAnsi="Calibri" w:cs="Calibri"/>
              </w:rPr>
              <w:t>-$2,908.2</w:t>
            </w:r>
          </w:p>
        </w:tc>
      </w:tr>
      <w:tr w:rsidR="00C426BA" w:rsidRPr="00404724" w14:paraId="704F1B38" w14:textId="77777777" w:rsidTr="00CE054C">
        <w:trPr>
          <w:trHeight w:val="330"/>
        </w:trPr>
        <w:tc>
          <w:tcPr>
            <w:tcW w:w="3818" w:type="dxa"/>
            <w:tcBorders>
              <w:top w:val="nil"/>
              <w:left w:val="single" w:sz="8" w:space="0" w:color="auto"/>
              <w:bottom w:val="nil"/>
              <w:right w:val="nil"/>
            </w:tcBorders>
            <w:shd w:val="clear" w:color="000000" w:fill="FFFFFF"/>
            <w:noWrap/>
            <w:hideMark/>
          </w:tcPr>
          <w:p w14:paraId="7A89B6BE" w14:textId="77777777" w:rsidR="00C426BA" w:rsidRPr="00404724" w:rsidRDefault="00C426BA" w:rsidP="00C426BA">
            <w:pPr>
              <w:spacing w:before="0" w:after="0"/>
              <w:rPr>
                <w:rFonts w:ascii="Calibri" w:hAnsi="Calibri" w:cs="Calibri"/>
              </w:rPr>
            </w:pPr>
            <w:r w:rsidRPr="00404724">
              <w:rPr>
                <w:rFonts w:ascii="Calibri" w:hAnsi="Calibri" w:cs="Calibri"/>
              </w:rPr>
              <w:t>Business</w:t>
            </w:r>
          </w:p>
        </w:tc>
        <w:tc>
          <w:tcPr>
            <w:tcW w:w="1819" w:type="dxa"/>
            <w:tcBorders>
              <w:top w:val="nil"/>
              <w:left w:val="single" w:sz="8" w:space="0" w:color="auto"/>
              <w:bottom w:val="nil"/>
              <w:right w:val="nil"/>
            </w:tcBorders>
            <w:shd w:val="clear" w:color="000000" w:fill="FFFFFF"/>
          </w:tcPr>
          <w:p w14:paraId="1034968E" w14:textId="77777777" w:rsidR="00C426BA" w:rsidRPr="00404724" w:rsidRDefault="00C426BA" w:rsidP="000A13C5">
            <w:pPr>
              <w:spacing w:before="0" w:after="0"/>
              <w:jc w:val="right"/>
              <w:rPr>
                <w:rFonts w:ascii="Calibri" w:hAnsi="Calibri" w:cs="Calibri"/>
              </w:rPr>
            </w:pPr>
            <w:r w:rsidRPr="00404724">
              <w:rPr>
                <w:rFonts w:ascii="Calibri" w:hAnsi="Calibri" w:cs="Calibri"/>
              </w:rPr>
              <w:t>-$178.3</w:t>
            </w:r>
          </w:p>
        </w:tc>
        <w:tc>
          <w:tcPr>
            <w:tcW w:w="1819" w:type="dxa"/>
            <w:tcBorders>
              <w:top w:val="nil"/>
              <w:left w:val="single" w:sz="8" w:space="0" w:color="auto"/>
              <w:bottom w:val="nil"/>
              <w:right w:val="single" w:sz="8" w:space="0" w:color="auto"/>
            </w:tcBorders>
            <w:shd w:val="clear" w:color="000000" w:fill="FFFFFF"/>
          </w:tcPr>
          <w:p w14:paraId="4C807F0E" w14:textId="77777777" w:rsidR="00C426BA" w:rsidRPr="00404724" w:rsidRDefault="00C426BA" w:rsidP="000A13C5">
            <w:pPr>
              <w:spacing w:before="0" w:after="0"/>
              <w:jc w:val="right"/>
              <w:rPr>
                <w:rFonts w:ascii="Calibri" w:hAnsi="Calibri" w:cs="Calibri"/>
              </w:rPr>
            </w:pPr>
            <w:r w:rsidRPr="00404724">
              <w:rPr>
                <w:rFonts w:ascii="Calibri" w:hAnsi="Calibri" w:cs="Calibri"/>
              </w:rPr>
              <w:t>-$445.8</w:t>
            </w:r>
          </w:p>
        </w:tc>
        <w:tc>
          <w:tcPr>
            <w:tcW w:w="1819" w:type="dxa"/>
            <w:tcBorders>
              <w:top w:val="nil"/>
              <w:left w:val="single" w:sz="8" w:space="0" w:color="auto"/>
              <w:bottom w:val="nil"/>
              <w:right w:val="single" w:sz="8" w:space="0" w:color="auto"/>
            </w:tcBorders>
            <w:shd w:val="clear" w:color="000000" w:fill="FFFFFF"/>
          </w:tcPr>
          <w:p w14:paraId="78972223" w14:textId="77777777" w:rsidR="00C426BA" w:rsidRPr="00404724" w:rsidRDefault="00C426BA" w:rsidP="000A13C5">
            <w:pPr>
              <w:spacing w:before="0" w:after="0"/>
              <w:jc w:val="right"/>
              <w:rPr>
                <w:rFonts w:ascii="Calibri" w:hAnsi="Calibri" w:cs="Calibri"/>
              </w:rPr>
            </w:pPr>
            <w:r w:rsidRPr="00404724">
              <w:rPr>
                <w:rFonts w:ascii="Calibri" w:hAnsi="Calibri" w:cs="Calibri"/>
              </w:rPr>
              <w:t>-$891.7</w:t>
            </w:r>
          </w:p>
        </w:tc>
        <w:tc>
          <w:tcPr>
            <w:tcW w:w="1819" w:type="dxa"/>
            <w:tcBorders>
              <w:top w:val="nil"/>
              <w:left w:val="single" w:sz="8" w:space="0" w:color="auto"/>
              <w:bottom w:val="nil"/>
              <w:right w:val="single" w:sz="8" w:space="0" w:color="auto"/>
            </w:tcBorders>
            <w:shd w:val="clear" w:color="000000" w:fill="FFFFFF"/>
          </w:tcPr>
          <w:p w14:paraId="590581B0" w14:textId="77777777" w:rsidR="00C426BA" w:rsidRPr="00404724" w:rsidRDefault="00C426BA" w:rsidP="000A13C5">
            <w:pPr>
              <w:spacing w:before="0" w:after="0"/>
              <w:jc w:val="right"/>
              <w:rPr>
                <w:rFonts w:ascii="Calibri" w:hAnsi="Calibri" w:cs="Calibri"/>
              </w:rPr>
            </w:pPr>
            <w:r w:rsidRPr="00404724">
              <w:rPr>
                <w:rFonts w:ascii="Calibri" w:hAnsi="Calibri" w:cs="Calibri"/>
              </w:rPr>
              <w:t>-$446.9</w:t>
            </w:r>
          </w:p>
        </w:tc>
        <w:tc>
          <w:tcPr>
            <w:tcW w:w="1819" w:type="dxa"/>
            <w:tcBorders>
              <w:top w:val="nil"/>
              <w:left w:val="single" w:sz="8" w:space="0" w:color="auto"/>
              <w:bottom w:val="nil"/>
              <w:right w:val="single" w:sz="8" w:space="0" w:color="auto"/>
            </w:tcBorders>
            <w:shd w:val="clear" w:color="000000" w:fill="FFFFFF"/>
          </w:tcPr>
          <w:p w14:paraId="434D2936" w14:textId="77777777" w:rsidR="00C426BA" w:rsidRPr="00404724" w:rsidRDefault="00C426BA" w:rsidP="000A13C5">
            <w:pPr>
              <w:spacing w:before="0" w:after="0"/>
              <w:jc w:val="right"/>
              <w:rPr>
                <w:rFonts w:ascii="Calibri" w:hAnsi="Calibri" w:cs="Calibri"/>
              </w:rPr>
            </w:pPr>
            <w:r w:rsidRPr="00404724">
              <w:rPr>
                <w:rFonts w:ascii="Calibri" w:hAnsi="Calibri" w:cs="Calibri"/>
              </w:rPr>
              <w:t>-$1,117.4</w:t>
            </w:r>
          </w:p>
        </w:tc>
        <w:tc>
          <w:tcPr>
            <w:tcW w:w="1819" w:type="dxa"/>
            <w:tcBorders>
              <w:top w:val="nil"/>
              <w:left w:val="single" w:sz="8" w:space="0" w:color="auto"/>
              <w:bottom w:val="nil"/>
              <w:right w:val="nil"/>
            </w:tcBorders>
            <w:shd w:val="clear" w:color="000000" w:fill="FFFFFF"/>
          </w:tcPr>
          <w:p w14:paraId="0232C228" w14:textId="77777777" w:rsidR="00C426BA" w:rsidRPr="00404724" w:rsidRDefault="00C426BA" w:rsidP="000A13C5">
            <w:pPr>
              <w:spacing w:before="0" w:after="0"/>
              <w:jc w:val="right"/>
              <w:rPr>
                <w:rFonts w:ascii="Calibri" w:hAnsi="Calibri" w:cs="Calibri"/>
              </w:rPr>
            </w:pPr>
            <w:r w:rsidRPr="00404724">
              <w:rPr>
                <w:rFonts w:ascii="Calibri" w:hAnsi="Calibri" w:cs="Calibri"/>
              </w:rPr>
              <w:t>-$2,234.7</w:t>
            </w:r>
          </w:p>
        </w:tc>
      </w:tr>
      <w:tr w:rsidR="00C426BA" w:rsidRPr="00404724" w14:paraId="2B573E8B" w14:textId="77777777" w:rsidTr="00CE054C">
        <w:trPr>
          <w:trHeight w:val="330"/>
        </w:trPr>
        <w:tc>
          <w:tcPr>
            <w:tcW w:w="3818" w:type="dxa"/>
            <w:tcBorders>
              <w:top w:val="nil"/>
              <w:left w:val="single" w:sz="8" w:space="0" w:color="auto"/>
              <w:bottom w:val="nil"/>
              <w:right w:val="nil"/>
            </w:tcBorders>
            <w:shd w:val="clear" w:color="000000" w:fill="FFFFFF"/>
            <w:noWrap/>
            <w:hideMark/>
          </w:tcPr>
          <w:p w14:paraId="25D4375F" w14:textId="77777777" w:rsidR="00C426BA" w:rsidRPr="00404724" w:rsidRDefault="00C426BA" w:rsidP="00C426BA">
            <w:pPr>
              <w:spacing w:before="0" w:after="0"/>
              <w:rPr>
                <w:rFonts w:ascii="Calibri" w:hAnsi="Calibri" w:cs="Calibri"/>
              </w:rPr>
            </w:pPr>
            <w:r w:rsidRPr="00404724">
              <w:rPr>
                <w:rFonts w:ascii="Calibri" w:hAnsi="Calibri" w:cs="Calibri"/>
              </w:rPr>
              <w:t>Freight</w:t>
            </w:r>
          </w:p>
        </w:tc>
        <w:tc>
          <w:tcPr>
            <w:tcW w:w="1819" w:type="dxa"/>
            <w:tcBorders>
              <w:top w:val="nil"/>
              <w:left w:val="single" w:sz="8" w:space="0" w:color="auto"/>
              <w:bottom w:val="nil"/>
              <w:right w:val="nil"/>
            </w:tcBorders>
            <w:shd w:val="clear" w:color="000000" w:fill="FFFFFF"/>
          </w:tcPr>
          <w:p w14:paraId="595D0403" w14:textId="77777777" w:rsidR="00C426BA" w:rsidRPr="00404724" w:rsidRDefault="00C426BA" w:rsidP="000A13C5">
            <w:pPr>
              <w:spacing w:before="0" w:after="0"/>
              <w:jc w:val="right"/>
              <w:rPr>
                <w:rFonts w:ascii="Calibri" w:hAnsi="Calibri" w:cs="Calibri"/>
              </w:rPr>
            </w:pPr>
            <w:r w:rsidRPr="00404724">
              <w:rPr>
                <w:rFonts w:ascii="Calibri" w:hAnsi="Calibri" w:cs="Calibri"/>
              </w:rPr>
              <w:t>-$21.5</w:t>
            </w:r>
          </w:p>
        </w:tc>
        <w:tc>
          <w:tcPr>
            <w:tcW w:w="1819" w:type="dxa"/>
            <w:tcBorders>
              <w:top w:val="nil"/>
              <w:left w:val="single" w:sz="8" w:space="0" w:color="auto"/>
              <w:bottom w:val="nil"/>
              <w:right w:val="single" w:sz="8" w:space="0" w:color="auto"/>
            </w:tcBorders>
            <w:shd w:val="clear" w:color="000000" w:fill="FFFFFF"/>
          </w:tcPr>
          <w:p w14:paraId="606FD263" w14:textId="77777777" w:rsidR="00C426BA" w:rsidRPr="00404724" w:rsidRDefault="00C426BA" w:rsidP="000A13C5">
            <w:pPr>
              <w:spacing w:before="0" w:after="0"/>
              <w:jc w:val="right"/>
              <w:rPr>
                <w:rFonts w:ascii="Calibri" w:hAnsi="Calibri" w:cs="Calibri"/>
              </w:rPr>
            </w:pPr>
            <w:r w:rsidRPr="00404724">
              <w:rPr>
                <w:rFonts w:ascii="Calibri" w:hAnsi="Calibri" w:cs="Calibri"/>
              </w:rPr>
              <w:t>-$64.6</w:t>
            </w:r>
          </w:p>
        </w:tc>
        <w:tc>
          <w:tcPr>
            <w:tcW w:w="1819" w:type="dxa"/>
            <w:tcBorders>
              <w:top w:val="nil"/>
              <w:left w:val="single" w:sz="8" w:space="0" w:color="auto"/>
              <w:bottom w:val="nil"/>
              <w:right w:val="single" w:sz="8" w:space="0" w:color="auto"/>
            </w:tcBorders>
            <w:shd w:val="clear" w:color="000000" w:fill="FFFFFF"/>
          </w:tcPr>
          <w:p w14:paraId="3CE6FE00" w14:textId="77777777" w:rsidR="00C426BA" w:rsidRPr="00404724" w:rsidRDefault="00C426BA" w:rsidP="000A13C5">
            <w:pPr>
              <w:spacing w:before="0" w:after="0"/>
              <w:jc w:val="right"/>
              <w:rPr>
                <w:rFonts w:ascii="Calibri" w:hAnsi="Calibri" w:cs="Calibri"/>
              </w:rPr>
            </w:pPr>
            <w:r w:rsidRPr="00404724">
              <w:rPr>
                <w:rFonts w:ascii="Calibri" w:hAnsi="Calibri" w:cs="Calibri"/>
              </w:rPr>
              <w:t>-$107.7</w:t>
            </w:r>
          </w:p>
        </w:tc>
        <w:tc>
          <w:tcPr>
            <w:tcW w:w="1819" w:type="dxa"/>
            <w:tcBorders>
              <w:top w:val="nil"/>
              <w:left w:val="single" w:sz="8" w:space="0" w:color="auto"/>
              <w:bottom w:val="nil"/>
              <w:right w:val="single" w:sz="8" w:space="0" w:color="auto"/>
            </w:tcBorders>
            <w:shd w:val="clear" w:color="000000" w:fill="FFFFFF"/>
          </w:tcPr>
          <w:p w14:paraId="04AB1E45" w14:textId="77777777" w:rsidR="00C426BA" w:rsidRPr="00404724" w:rsidRDefault="00C426BA" w:rsidP="000A13C5">
            <w:pPr>
              <w:spacing w:before="0" w:after="0"/>
              <w:jc w:val="right"/>
              <w:rPr>
                <w:rFonts w:ascii="Calibri" w:hAnsi="Calibri" w:cs="Calibri"/>
              </w:rPr>
            </w:pPr>
            <w:r w:rsidRPr="00404724">
              <w:rPr>
                <w:rFonts w:ascii="Calibri" w:hAnsi="Calibri" w:cs="Calibri"/>
              </w:rPr>
              <w:t>-$54.0</w:t>
            </w:r>
          </w:p>
        </w:tc>
        <w:tc>
          <w:tcPr>
            <w:tcW w:w="1819" w:type="dxa"/>
            <w:tcBorders>
              <w:top w:val="nil"/>
              <w:left w:val="single" w:sz="8" w:space="0" w:color="auto"/>
              <w:bottom w:val="nil"/>
              <w:right w:val="single" w:sz="8" w:space="0" w:color="auto"/>
            </w:tcBorders>
            <w:shd w:val="clear" w:color="000000" w:fill="FFFFFF"/>
          </w:tcPr>
          <w:p w14:paraId="33B4EF7F" w14:textId="77777777" w:rsidR="00C426BA" w:rsidRPr="00404724" w:rsidRDefault="00C426BA" w:rsidP="000A13C5">
            <w:pPr>
              <w:spacing w:before="0" w:after="0"/>
              <w:jc w:val="right"/>
              <w:rPr>
                <w:rFonts w:ascii="Calibri" w:hAnsi="Calibri" w:cs="Calibri"/>
              </w:rPr>
            </w:pPr>
            <w:r w:rsidRPr="00404724">
              <w:rPr>
                <w:rFonts w:ascii="Calibri" w:hAnsi="Calibri" w:cs="Calibri"/>
              </w:rPr>
              <w:t>-$161.9</w:t>
            </w:r>
          </w:p>
        </w:tc>
        <w:tc>
          <w:tcPr>
            <w:tcW w:w="1819" w:type="dxa"/>
            <w:tcBorders>
              <w:top w:val="nil"/>
              <w:left w:val="single" w:sz="8" w:space="0" w:color="auto"/>
              <w:bottom w:val="nil"/>
              <w:right w:val="nil"/>
            </w:tcBorders>
            <w:shd w:val="clear" w:color="000000" w:fill="FFFFFF"/>
          </w:tcPr>
          <w:p w14:paraId="3F5497FB" w14:textId="77777777" w:rsidR="00C426BA" w:rsidRPr="00404724" w:rsidRDefault="00C426BA" w:rsidP="000A13C5">
            <w:pPr>
              <w:spacing w:before="0" w:after="0"/>
              <w:jc w:val="right"/>
              <w:rPr>
                <w:rFonts w:ascii="Calibri" w:hAnsi="Calibri" w:cs="Calibri"/>
              </w:rPr>
            </w:pPr>
            <w:r w:rsidRPr="00404724">
              <w:rPr>
                <w:rFonts w:ascii="Calibri" w:hAnsi="Calibri" w:cs="Calibri"/>
              </w:rPr>
              <w:t>-$269.8</w:t>
            </w:r>
          </w:p>
        </w:tc>
      </w:tr>
      <w:tr w:rsidR="00C426BA" w:rsidRPr="00404724" w14:paraId="603356F7" w14:textId="77777777" w:rsidTr="00CE054C">
        <w:trPr>
          <w:trHeight w:val="330"/>
        </w:trPr>
        <w:tc>
          <w:tcPr>
            <w:tcW w:w="3818" w:type="dxa"/>
            <w:tcBorders>
              <w:top w:val="nil"/>
              <w:left w:val="single" w:sz="8" w:space="0" w:color="auto"/>
              <w:bottom w:val="nil"/>
              <w:right w:val="nil"/>
            </w:tcBorders>
            <w:shd w:val="clear" w:color="000000" w:fill="FFFFFF"/>
            <w:noWrap/>
          </w:tcPr>
          <w:p w14:paraId="4D07237A" w14:textId="77777777" w:rsidR="00C426BA" w:rsidRPr="00404724" w:rsidRDefault="00C426BA" w:rsidP="00C426BA">
            <w:pPr>
              <w:spacing w:before="0" w:after="0"/>
              <w:rPr>
                <w:rFonts w:ascii="Calibri" w:hAnsi="Calibri" w:cs="Calibri"/>
              </w:rPr>
            </w:pPr>
          </w:p>
        </w:tc>
        <w:tc>
          <w:tcPr>
            <w:tcW w:w="1819" w:type="dxa"/>
            <w:tcBorders>
              <w:top w:val="nil"/>
              <w:left w:val="single" w:sz="8" w:space="0" w:color="auto"/>
              <w:bottom w:val="nil"/>
              <w:right w:val="nil"/>
            </w:tcBorders>
            <w:shd w:val="clear" w:color="000000" w:fill="FFFFFF"/>
          </w:tcPr>
          <w:p w14:paraId="25E8D604" w14:textId="77777777" w:rsidR="00C426BA" w:rsidRPr="00404724" w:rsidRDefault="00C426BA" w:rsidP="000A13C5">
            <w:pPr>
              <w:spacing w:before="0" w:after="0"/>
              <w:jc w:val="right"/>
              <w:rPr>
                <w:rFonts w:ascii="Calibri" w:hAnsi="Calibri" w:cs="Calibri"/>
              </w:rPr>
            </w:pPr>
          </w:p>
        </w:tc>
        <w:tc>
          <w:tcPr>
            <w:tcW w:w="1819" w:type="dxa"/>
            <w:tcBorders>
              <w:top w:val="nil"/>
              <w:left w:val="single" w:sz="8" w:space="0" w:color="auto"/>
              <w:bottom w:val="nil"/>
              <w:right w:val="single" w:sz="8" w:space="0" w:color="auto"/>
            </w:tcBorders>
            <w:shd w:val="clear" w:color="000000" w:fill="FFFFFF"/>
          </w:tcPr>
          <w:p w14:paraId="706710FF" w14:textId="77777777" w:rsidR="00C426BA" w:rsidRPr="00404724" w:rsidRDefault="00C426BA" w:rsidP="000A13C5">
            <w:pPr>
              <w:spacing w:before="0" w:after="0"/>
              <w:jc w:val="right"/>
              <w:rPr>
                <w:rFonts w:ascii="Calibri" w:hAnsi="Calibri" w:cs="Calibri"/>
              </w:rPr>
            </w:pPr>
          </w:p>
        </w:tc>
        <w:tc>
          <w:tcPr>
            <w:tcW w:w="1819" w:type="dxa"/>
            <w:tcBorders>
              <w:top w:val="nil"/>
              <w:left w:val="single" w:sz="8" w:space="0" w:color="auto"/>
              <w:bottom w:val="nil"/>
              <w:right w:val="single" w:sz="8" w:space="0" w:color="auto"/>
            </w:tcBorders>
            <w:shd w:val="clear" w:color="000000" w:fill="FFFFFF"/>
          </w:tcPr>
          <w:p w14:paraId="3D03F3A8" w14:textId="77777777" w:rsidR="00C426BA" w:rsidRPr="00404724" w:rsidRDefault="00C426BA" w:rsidP="000A13C5">
            <w:pPr>
              <w:spacing w:before="0" w:after="0"/>
              <w:jc w:val="right"/>
              <w:rPr>
                <w:rFonts w:ascii="Calibri" w:hAnsi="Calibri" w:cs="Calibri"/>
              </w:rPr>
            </w:pPr>
          </w:p>
        </w:tc>
        <w:tc>
          <w:tcPr>
            <w:tcW w:w="1819" w:type="dxa"/>
            <w:tcBorders>
              <w:top w:val="nil"/>
              <w:left w:val="single" w:sz="8" w:space="0" w:color="auto"/>
              <w:bottom w:val="nil"/>
              <w:right w:val="single" w:sz="8" w:space="0" w:color="auto"/>
            </w:tcBorders>
            <w:shd w:val="clear" w:color="000000" w:fill="FFFFFF"/>
          </w:tcPr>
          <w:p w14:paraId="5BA758F5" w14:textId="77777777" w:rsidR="00C426BA" w:rsidRPr="00404724" w:rsidRDefault="00C426BA" w:rsidP="000A13C5">
            <w:pPr>
              <w:spacing w:before="0" w:after="0"/>
              <w:jc w:val="right"/>
              <w:rPr>
                <w:rFonts w:ascii="Calibri" w:hAnsi="Calibri" w:cs="Calibri"/>
              </w:rPr>
            </w:pPr>
          </w:p>
        </w:tc>
        <w:tc>
          <w:tcPr>
            <w:tcW w:w="1819" w:type="dxa"/>
            <w:tcBorders>
              <w:top w:val="nil"/>
              <w:left w:val="single" w:sz="8" w:space="0" w:color="auto"/>
              <w:bottom w:val="nil"/>
              <w:right w:val="single" w:sz="8" w:space="0" w:color="auto"/>
            </w:tcBorders>
            <w:shd w:val="clear" w:color="000000" w:fill="FFFFFF"/>
          </w:tcPr>
          <w:p w14:paraId="3E0CA28B" w14:textId="77777777" w:rsidR="00C426BA" w:rsidRPr="00404724" w:rsidRDefault="00C426BA" w:rsidP="000A13C5">
            <w:pPr>
              <w:spacing w:before="0" w:after="0"/>
              <w:jc w:val="right"/>
              <w:rPr>
                <w:rFonts w:ascii="Calibri" w:hAnsi="Calibri" w:cs="Calibri"/>
              </w:rPr>
            </w:pPr>
          </w:p>
        </w:tc>
        <w:tc>
          <w:tcPr>
            <w:tcW w:w="1819" w:type="dxa"/>
            <w:tcBorders>
              <w:top w:val="nil"/>
              <w:left w:val="single" w:sz="8" w:space="0" w:color="auto"/>
              <w:bottom w:val="nil"/>
              <w:right w:val="nil"/>
            </w:tcBorders>
            <w:shd w:val="clear" w:color="000000" w:fill="FFFFFF"/>
          </w:tcPr>
          <w:p w14:paraId="05C48BC9" w14:textId="77777777" w:rsidR="00C426BA" w:rsidRPr="00404724" w:rsidRDefault="00C426BA" w:rsidP="000A13C5">
            <w:pPr>
              <w:spacing w:before="0" w:after="0"/>
              <w:jc w:val="right"/>
              <w:rPr>
                <w:rFonts w:ascii="Calibri" w:hAnsi="Calibri" w:cs="Calibri"/>
              </w:rPr>
            </w:pPr>
          </w:p>
        </w:tc>
      </w:tr>
      <w:tr w:rsidR="00C426BA" w:rsidRPr="00404724" w14:paraId="6A598BE7" w14:textId="77777777" w:rsidTr="00CE054C">
        <w:trPr>
          <w:trHeight w:val="330"/>
        </w:trPr>
        <w:tc>
          <w:tcPr>
            <w:tcW w:w="3818" w:type="dxa"/>
            <w:tcBorders>
              <w:top w:val="nil"/>
              <w:left w:val="single" w:sz="8" w:space="0" w:color="auto"/>
              <w:bottom w:val="nil"/>
              <w:right w:val="nil"/>
            </w:tcBorders>
            <w:shd w:val="clear" w:color="000000" w:fill="FFFFFF"/>
            <w:noWrap/>
          </w:tcPr>
          <w:p w14:paraId="2C9C1D5F" w14:textId="77777777" w:rsidR="00C426BA" w:rsidRPr="00404724" w:rsidRDefault="00C426BA" w:rsidP="00C426BA">
            <w:pPr>
              <w:spacing w:before="0" w:after="0"/>
              <w:rPr>
                <w:rFonts w:ascii="Calibri" w:hAnsi="Calibri" w:cs="Calibri"/>
              </w:rPr>
            </w:pPr>
            <w:r w:rsidRPr="00404724">
              <w:rPr>
                <w:rFonts w:ascii="Calibri" w:hAnsi="Calibri" w:cs="Calibri"/>
              </w:rPr>
              <w:t>Information campaign</w:t>
            </w:r>
          </w:p>
        </w:tc>
        <w:tc>
          <w:tcPr>
            <w:tcW w:w="1819" w:type="dxa"/>
            <w:tcBorders>
              <w:top w:val="nil"/>
              <w:left w:val="single" w:sz="8" w:space="0" w:color="auto"/>
              <w:bottom w:val="nil"/>
              <w:right w:val="nil"/>
            </w:tcBorders>
            <w:shd w:val="clear" w:color="000000" w:fill="FFFFFF"/>
          </w:tcPr>
          <w:p w14:paraId="7C1F7E9B" w14:textId="77777777" w:rsidR="00C426BA" w:rsidRPr="00404724" w:rsidRDefault="00C426BA" w:rsidP="000A13C5">
            <w:pPr>
              <w:spacing w:before="0" w:after="0"/>
              <w:jc w:val="right"/>
              <w:rPr>
                <w:rFonts w:ascii="Calibri" w:hAnsi="Calibri" w:cs="Calibri"/>
              </w:rPr>
            </w:pPr>
            <w:r w:rsidRPr="00404724">
              <w:rPr>
                <w:rFonts w:ascii="Calibri" w:hAnsi="Calibri" w:cs="Calibri"/>
              </w:rPr>
              <w:t>-$10.1</w:t>
            </w:r>
          </w:p>
        </w:tc>
        <w:tc>
          <w:tcPr>
            <w:tcW w:w="1819" w:type="dxa"/>
            <w:tcBorders>
              <w:top w:val="nil"/>
              <w:left w:val="single" w:sz="8" w:space="0" w:color="auto"/>
              <w:bottom w:val="nil"/>
              <w:right w:val="single" w:sz="8" w:space="0" w:color="auto"/>
            </w:tcBorders>
            <w:shd w:val="clear" w:color="000000" w:fill="FFFFFF"/>
          </w:tcPr>
          <w:p w14:paraId="5F48E9E2" w14:textId="77777777" w:rsidR="00C426BA" w:rsidRPr="00404724" w:rsidRDefault="00C426BA" w:rsidP="000A13C5">
            <w:pPr>
              <w:spacing w:before="0" w:after="0"/>
              <w:jc w:val="right"/>
              <w:rPr>
                <w:rFonts w:ascii="Calibri" w:hAnsi="Calibri" w:cs="Calibri"/>
              </w:rPr>
            </w:pPr>
            <w:r w:rsidRPr="00404724">
              <w:rPr>
                <w:rFonts w:ascii="Calibri" w:hAnsi="Calibri" w:cs="Calibri"/>
              </w:rPr>
              <w:t>-$10.1</w:t>
            </w:r>
          </w:p>
        </w:tc>
        <w:tc>
          <w:tcPr>
            <w:tcW w:w="1819" w:type="dxa"/>
            <w:tcBorders>
              <w:top w:val="nil"/>
              <w:left w:val="single" w:sz="8" w:space="0" w:color="auto"/>
              <w:bottom w:val="nil"/>
              <w:right w:val="single" w:sz="8" w:space="0" w:color="auto"/>
            </w:tcBorders>
            <w:shd w:val="clear" w:color="000000" w:fill="FFFFFF"/>
          </w:tcPr>
          <w:p w14:paraId="0B415A66" w14:textId="77777777" w:rsidR="00C426BA" w:rsidRPr="00404724" w:rsidRDefault="00C426BA" w:rsidP="000A13C5">
            <w:pPr>
              <w:spacing w:before="0" w:after="0"/>
              <w:jc w:val="right"/>
              <w:rPr>
                <w:rFonts w:ascii="Calibri" w:hAnsi="Calibri" w:cs="Calibri"/>
              </w:rPr>
            </w:pPr>
            <w:r w:rsidRPr="00404724">
              <w:rPr>
                <w:rFonts w:ascii="Calibri" w:hAnsi="Calibri" w:cs="Calibri"/>
              </w:rPr>
              <w:t>-$10.1</w:t>
            </w:r>
          </w:p>
        </w:tc>
        <w:tc>
          <w:tcPr>
            <w:tcW w:w="1819" w:type="dxa"/>
            <w:tcBorders>
              <w:top w:val="nil"/>
              <w:left w:val="single" w:sz="8" w:space="0" w:color="auto"/>
              <w:bottom w:val="nil"/>
              <w:right w:val="single" w:sz="8" w:space="0" w:color="auto"/>
            </w:tcBorders>
            <w:shd w:val="clear" w:color="000000" w:fill="FFFFFF"/>
          </w:tcPr>
          <w:p w14:paraId="65359F9E" w14:textId="77777777" w:rsidR="00C426BA" w:rsidRPr="00404724" w:rsidRDefault="00C426BA" w:rsidP="000A13C5">
            <w:pPr>
              <w:spacing w:before="0" w:after="0"/>
              <w:jc w:val="right"/>
              <w:rPr>
                <w:rFonts w:ascii="Calibri" w:hAnsi="Calibri" w:cs="Calibri"/>
              </w:rPr>
            </w:pPr>
            <w:r w:rsidRPr="00404724">
              <w:rPr>
                <w:rFonts w:ascii="Calibri" w:hAnsi="Calibri" w:cs="Calibri"/>
              </w:rPr>
              <w:t>-$10.1</w:t>
            </w:r>
          </w:p>
        </w:tc>
        <w:tc>
          <w:tcPr>
            <w:tcW w:w="1819" w:type="dxa"/>
            <w:tcBorders>
              <w:top w:val="nil"/>
              <w:left w:val="single" w:sz="8" w:space="0" w:color="auto"/>
              <w:bottom w:val="nil"/>
              <w:right w:val="single" w:sz="8" w:space="0" w:color="auto"/>
            </w:tcBorders>
            <w:shd w:val="clear" w:color="000000" w:fill="FFFFFF"/>
          </w:tcPr>
          <w:p w14:paraId="553962D0" w14:textId="77777777" w:rsidR="00C426BA" w:rsidRPr="00404724" w:rsidRDefault="00C426BA" w:rsidP="000A13C5">
            <w:pPr>
              <w:spacing w:before="0" w:after="0"/>
              <w:jc w:val="right"/>
              <w:rPr>
                <w:rFonts w:ascii="Calibri" w:hAnsi="Calibri" w:cs="Calibri"/>
              </w:rPr>
            </w:pPr>
            <w:r w:rsidRPr="00404724">
              <w:rPr>
                <w:rFonts w:ascii="Calibri" w:hAnsi="Calibri" w:cs="Calibri"/>
              </w:rPr>
              <w:t>-$10.1</w:t>
            </w:r>
          </w:p>
        </w:tc>
        <w:tc>
          <w:tcPr>
            <w:tcW w:w="1819" w:type="dxa"/>
            <w:tcBorders>
              <w:top w:val="nil"/>
              <w:left w:val="single" w:sz="8" w:space="0" w:color="auto"/>
              <w:bottom w:val="nil"/>
              <w:right w:val="nil"/>
            </w:tcBorders>
            <w:shd w:val="clear" w:color="000000" w:fill="FFFFFF"/>
          </w:tcPr>
          <w:p w14:paraId="1590AD6B" w14:textId="77777777" w:rsidR="00C426BA" w:rsidRPr="00404724" w:rsidRDefault="00C426BA" w:rsidP="000A13C5">
            <w:pPr>
              <w:spacing w:before="0" w:after="0"/>
              <w:jc w:val="right"/>
              <w:rPr>
                <w:rFonts w:ascii="Calibri" w:hAnsi="Calibri" w:cs="Calibri"/>
              </w:rPr>
            </w:pPr>
            <w:r w:rsidRPr="00404724">
              <w:rPr>
                <w:rFonts w:ascii="Calibri" w:hAnsi="Calibri" w:cs="Calibri"/>
              </w:rPr>
              <w:t>-$10.1</w:t>
            </w:r>
          </w:p>
        </w:tc>
      </w:tr>
      <w:tr w:rsidR="00C426BA" w:rsidRPr="00404724" w14:paraId="1B9CAEE0" w14:textId="77777777" w:rsidTr="00CE054C">
        <w:trPr>
          <w:trHeight w:val="330"/>
        </w:trPr>
        <w:tc>
          <w:tcPr>
            <w:tcW w:w="3818" w:type="dxa"/>
            <w:tcBorders>
              <w:top w:val="nil"/>
              <w:left w:val="single" w:sz="8" w:space="0" w:color="auto"/>
              <w:bottom w:val="nil"/>
              <w:right w:val="nil"/>
            </w:tcBorders>
            <w:shd w:val="clear" w:color="000000" w:fill="FFFFFF"/>
            <w:noWrap/>
            <w:hideMark/>
          </w:tcPr>
          <w:p w14:paraId="0859194D" w14:textId="77777777" w:rsidR="00C426BA" w:rsidRPr="00404724" w:rsidRDefault="00C426BA" w:rsidP="00C426BA">
            <w:pPr>
              <w:spacing w:before="0" w:after="0"/>
              <w:rPr>
                <w:rFonts w:ascii="Calibri" w:hAnsi="Calibri" w:cs="Calibri"/>
              </w:rPr>
            </w:pPr>
            <w:r w:rsidRPr="00404724">
              <w:rPr>
                <w:rFonts w:ascii="Calibri" w:hAnsi="Calibri" w:cs="Calibri"/>
              </w:rPr>
              <w:t> </w:t>
            </w:r>
          </w:p>
        </w:tc>
        <w:tc>
          <w:tcPr>
            <w:tcW w:w="1819" w:type="dxa"/>
            <w:tcBorders>
              <w:top w:val="nil"/>
              <w:left w:val="single" w:sz="8" w:space="0" w:color="auto"/>
              <w:bottom w:val="nil"/>
              <w:right w:val="nil"/>
            </w:tcBorders>
            <w:shd w:val="clear" w:color="000000" w:fill="FFFFFF"/>
          </w:tcPr>
          <w:p w14:paraId="5D2C6687" w14:textId="77777777" w:rsidR="00C426BA" w:rsidRPr="00404724" w:rsidRDefault="00C426BA" w:rsidP="000A13C5">
            <w:pPr>
              <w:spacing w:before="0" w:after="0"/>
              <w:jc w:val="right"/>
              <w:rPr>
                <w:rFonts w:ascii="Calibri" w:hAnsi="Calibri" w:cs="Calibri"/>
              </w:rPr>
            </w:pPr>
          </w:p>
        </w:tc>
        <w:tc>
          <w:tcPr>
            <w:tcW w:w="1819" w:type="dxa"/>
            <w:tcBorders>
              <w:top w:val="nil"/>
              <w:left w:val="single" w:sz="8" w:space="0" w:color="auto"/>
              <w:bottom w:val="nil"/>
              <w:right w:val="single" w:sz="8" w:space="0" w:color="auto"/>
            </w:tcBorders>
            <w:shd w:val="clear" w:color="000000" w:fill="FFFFFF"/>
          </w:tcPr>
          <w:p w14:paraId="0B6634CB" w14:textId="77777777" w:rsidR="00C426BA" w:rsidRPr="00404724" w:rsidRDefault="00C426BA" w:rsidP="000A13C5">
            <w:pPr>
              <w:spacing w:before="0" w:after="0"/>
              <w:jc w:val="right"/>
              <w:rPr>
                <w:rFonts w:ascii="Calibri" w:hAnsi="Calibri" w:cs="Calibri"/>
              </w:rPr>
            </w:pPr>
          </w:p>
        </w:tc>
        <w:tc>
          <w:tcPr>
            <w:tcW w:w="1819" w:type="dxa"/>
            <w:tcBorders>
              <w:top w:val="nil"/>
              <w:left w:val="single" w:sz="8" w:space="0" w:color="auto"/>
              <w:bottom w:val="nil"/>
              <w:right w:val="single" w:sz="8" w:space="0" w:color="auto"/>
            </w:tcBorders>
            <w:shd w:val="clear" w:color="000000" w:fill="FFFFFF"/>
          </w:tcPr>
          <w:p w14:paraId="6B040ADD" w14:textId="77777777" w:rsidR="00C426BA" w:rsidRPr="00404724" w:rsidRDefault="00C426BA" w:rsidP="000A13C5">
            <w:pPr>
              <w:spacing w:before="0" w:after="0"/>
              <w:jc w:val="right"/>
              <w:rPr>
                <w:rFonts w:ascii="Calibri" w:hAnsi="Calibri" w:cs="Calibri"/>
              </w:rPr>
            </w:pPr>
          </w:p>
        </w:tc>
        <w:tc>
          <w:tcPr>
            <w:tcW w:w="1819" w:type="dxa"/>
            <w:tcBorders>
              <w:top w:val="nil"/>
              <w:left w:val="single" w:sz="8" w:space="0" w:color="auto"/>
              <w:bottom w:val="nil"/>
              <w:right w:val="single" w:sz="8" w:space="0" w:color="auto"/>
            </w:tcBorders>
            <w:shd w:val="clear" w:color="000000" w:fill="FFFFFF"/>
          </w:tcPr>
          <w:p w14:paraId="1521A631" w14:textId="77777777" w:rsidR="00C426BA" w:rsidRPr="00404724" w:rsidRDefault="00C426BA" w:rsidP="000A13C5">
            <w:pPr>
              <w:spacing w:before="0" w:after="0"/>
              <w:jc w:val="right"/>
              <w:rPr>
                <w:rFonts w:ascii="Calibri" w:hAnsi="Calibri" w:cs="Calibri"/>
              </w:rPr>
            </w:pPr>
          </w:p>
        </w:tc>
        <w:tc>
          <w:tcPr>
            <w:tcW w:w="1819" w:type="dxa"/>
            <w:tcBorders>
              <w:top w:val="nil"/>
              <w:left w:val="single" w:sz="8" w:space="0" w:color="auto"/>
              <w:bottom w:val="nil"/>
              <w:right w:val="single" w:sz="8" w:space="0" w:color="auto"/>
            </w:tcBorders>
            <w:shd w:val="clear" w:color="000000" w:fill="FFFFFF"/>
          </w:tcPr>
          <w:p w14:paraId="46F15A7A" w14:textId="77777777" w:rsidR="00C426BA" w:rsidRPr="00404724" w:rsidRDefault="00C426BA" w:rsidP="000A13C5">
            <w:pPr>
              <w:spacing w:before="0" w:after="0"/>
              <w:jc w:val="right"/>
              <w:rPr>
                <w:rFonts w:ascii="Calibri" w:hAnsi="Calibri" w:cs="Calibri"/>
              </w:rPr>
            </w:pPr>
          </w:p>
        </w:tc>
        <w:tc>
          <w:tcPr>
            <w:tcW w:w="1819" w:type="dxa"/>
            <w:tcBorders>
              <w:top w:val="nil"/>
              <w:left w:val="single" w:sz="8" w:space="0" w:color="auto"/>
              <w:bottom w:val="nil"/>
              <w:right w:val="nil"/>
            </w:tcBorders>
            <w:shd w:val="clear" w:color="000000" w:fill="FFFFFF"/>
          </w:tcPr>
          <w:p w14:paraId="3428C866" w14:textId="77777777" w:rsidR="00C426BA" w:rsidRPr="00404724" w:rsidRDefault="00C426BA" w:rsidP="000A13C5">
            <w:pPr>
              <w:spacing w:before="0" w:after="0"/>
              <w:jc w:val="right"/>
              <w:rPr>
                <w:rFonts w:ascii="Calibri" w:hAnsi="Calibri" w:cs="Calibri"/>
              </w:rPr>
            </w:pPr>
          </w:p>
        </w:tc>
      </w:tr>
      <w:tr w:rsidR="00C426BA" w:rsidRPr="00404724" w14:paraId="43BCDE0E" w14:textId="77777777" w:rsidTr="00CE054C">
        <w:trPr>
          <w:trHeight w:val="345"/>
        </w:trPr>
        <w:tc>
          <w:tcPr>
            <w:tcW w:w="3818" w:type="dxa"/>
            <w:tcBorders>
              <w:top w:val="nil"/>
              <w:left w:val="single" w:sz="8" w:space="0" w:color="auto"/>
              <w:bottom w:val="single" w:sz="8" w:space="0" w:color="auto"/>
              <w:right w:val="nil"/>
            </w:tcBorders>
            <w:shd w:val="clear" w:color="000000" w:fill="E3F1F7"/>
            <w:noWrap/>
            <w:hideMark/>
          </w:tcPr>
          <w:p w14:paraId="64ED753B" w14:textId="77777777" w:rsidR="00C426BA" w:rsidRPr="00404724" w:rsidRDefault="00C426BA" w:rsidP="00C426BA">
            <w:pPr>
              <w:spacing w:before="0" w:after="0"/>
              <w:rPr>
                <w:rFonts w:ascii="Calibri" w:hAnsi="Calibri" w:cs="Calibri"/>
              </w:rPr>
            </w:pPr>
            <w:r w:rsidRPr="00404724">
              <w:rPr>
                <w:rFonts w:ascii="Calibri" w:hAnsi="Calibri" w:cs="Calibri"/>
              </w:rPr>
              <w:t>Total costs</w:t>
            </w:r>
          </w:p>
        </w:tc>
        <w:tc>
          <w:tcPr>
            <w:tcW w:w="1819" w:type="dxa"/>
            <w:tcBorders>
              <w:top w:val="nil"/>
              <w:left w:val="single" w:sz="8" w:space="0" w:color="auto"/>
              <w:bottom w:val="single" w:sz="8" w:space="0" w:color="auto"/>
              <w:right w:val="nil"/>
            </w:tcBorders>
            <w:shd w:val="clear" w:color="000000" w:fill="E3F1F7"/>
          </w:tcPr>
          <w:p w14:paraId="04B73892" w14:textId="77777777" w:rsidR="00C426BA" w:rsidRPr="00404724" w:rsidRDefault="00C426BA" w:rsidP="000A13C5">
            <w:pPr>
              <w:spacing w:before="0" w:after="0"/>
              <w:jc w:val="right"/>
              <w:rPr>
                <w:rFonts w:ascii="Calibri" w:hAnsi="Calibri" w:cs="Calibri"/>
              </w:rPr>
            </w:pPr>
            <w:r w:rsidRPr="00404724">
              <w:rPr>
                <w:rFonts w:ascii="Calibri" w:hAnsi="Calibri" w:cs="Calibri"/>
              </w:rPr>
              <w:t>-$442.0</w:t>
            </w:r>
          </w:p>
        </w:tc>
        <w:tc>
          <w:tcPr>
            <w:tcW w:w="1819" w:type="dxa"/>
            <w:tcBorders>
              <w:top w:val="nil"/>
              <w:left w:val="single" w:sz="8" w:space="0" w:color="auto"/>
              <w:bottom w:val="single" w:sz="8" w:space="0" w:color="auto"/>
              <w:right w:val="single" w:sz="8" w:space="0" w:color="auto"/>
            </w:tcBorders>
            <w:shd w:val="clear" w:color="000000" w:fill="E3F1F7"/>
          </w:tcPr>
          <w:p w14:paraId="0401EE3E" w14:textId="77777777" w:rsidR="00C426BA" w:rsidRPr="00404724" w:rsidRDefault="00C426BA" w:rsidP="000A13C5">
            <w:pPr>
              <w:spacing w:before="0" w:after="0"/>
              <w:jc w:val="right"/>
              <w:rPr>
                <w:rFonts w:ascii="Calibri" w:hAnsi="Calibri" w:cs="Calibri"/>
              </w:rPr>
            </w:pPr>
            <w:r w:rsidRPr="00404724">
              <w:rPr>
                <w:rFonts w:ascii="Calibri" w:hAnsi="Calibri" w:cs="Calibri"/>
              </w:rPr>
              <w:t>-$1,100.7</w:t>
            </w:r>
          </w:p>
        </w:tc>
        <w:tc>
          <w:tcPr>
            <w:tcW w:w="1819" w:type="dxa"/>
            <w:tcBorders>
              <w:top w:val="nil"/>
              <w:left w:val="single" w:sz="8" w:space="0" w:color="auto"/>
              <w:bottom w:val="single" w:sz="8" w:space="0" w:color="auto"/>
              <w:right w:val="single" w:sz="8" w:space="0" w:color="auto"/>
            </w:tcBorders>
            <w:shd w:val="clear" w:color="000000" w:fill="E3F1F7"/>
          </w:tcPr>
          <w:p w14:paraId="591D72A6" w14:textId="77777777" w:rsidR="00C426BA" w:rsidRPr="00404724" w:rsidRDefault="00C426BA" w:rsidP="000A13C5">
            <w:pPr>
              <w:spacing w:before="0" w:after="0"/>
              <w:jc w:val="right"/>
              <w:rPr>
                <w:rFonts w:ascii="Calibri" w:hAnsi="Calibri" w:cs="Calibri"/>
              </w:rPr>
            </w:pPr>
            <w:r w:rsidRPr="00404724">
              <w:rPr>
                <w:rFonts w:ascii="Calibri" w:hAnsi="Calibri" w:cs="Calibri"/>
              </w:rPr>
              <w:t>-$2,169.9</w:t>
            </w:r>
          </w:p>
        </w:tc>
        <w:tc>
          <w:tcPr>
            <w:tcW w:w="1819" w:type="dxa"/>
            <w:tcBorders>
              <w:top w:val="nil"/>
              <w:left w:val="single" w:sz="8" w:space="0" w:color="auto"/>
              <w:bottom w:val="single" w:sz="8" w:space="0" w:color="auto"/>
              <w:right w:val="single" w:sz="8" w:space="0" w:color="auto"/>
            </w:tcBorders>
            <w:shd w:val="clear" w:color="000000" w:fill="E3F1F7"/>
          </w:tcPr>
          <w:p w14:paraId="59C43800" w14:textId="77777777" w:rsidR="00C426BA" w:rsidRPr="00404724" w:rsidRDefault="00C426BA" w:rsidP="000A13C5">
            <w:pPr>
              <w:spacing w:before="0" w:after="0"/>
              <w:jc w:val="right"/>
              <w:rPr>
                <w:rFonts w:ascii="Calibri" w:hAnsi="Calibri" w:cs="Calibri"/>
              </w:rPr>
            </w:pPr>
            <w:r w:rsidRPr="00404724">
              <w:rPr>
                <w:rFonts w:ascii="Calibri" w:hAnsi="Calibri" w:cs="Calibri"/>
              </w:rPr>
              <w:t>-$1,092.6</w:t>
            </w:r>
          </w:p>
        </w:tc>
        <w:tc>
          <w:tcPr>
            <w:tcW w:w="1819" w:type="dxa"/>
            <w:tcBorders>
              <w:top w:val="nil"/>
              <w:left w:val="single" w:sz="8" w:space="0" w:color="auto"/>
              <w:bottom w:val="single" w:sz="8" w:space="0" w:color="auto"/>
              <w:right w:val="single" w:sz="8" w:space="0" w:color="auto"/>
            </w:tcBorders>
            <w:shd w:val="clear" w:color="000000" w:fill="E3F1F7"/>
          </w:tcPr>
          <w:p w14:paraId="57A52ED7" w14:textId="77777777" w:rsidR="00C426BA" w:rsidRPr="00404724" w:rsidRDefault="00C426BA" w:rsidP="000A13C5">
            <w:pPr>
              <w:spacing w:before="0" w:after="0"/>
              <w:jc w:val="right"/>
              <w:rPr>
                <w:rFonts w:ascii="Calibri" w:hAnsi="Calibri" w:cs="Calibri"/>
              </w:rPr>
            </w:pPr>
            <w:r w:rsidRPr="00404724">
              <w:rPr>
                <w:rFonts w:ascii="Calibri" w:hAnsi="Calibri" w:cs="Calibri"/>
              </w:rPr>
              <w:t>-$2,743.4</w:t>
            </w:r>
          </w:p>
        </w:tc>
        <w:tc>
          <w:tcPr>
            <w:tcW w:w="1819" w:type="dxa"/>
            <w:tcBorders>
              <w:top w:val="nil"/>
              <w:left w:val="single" w:sz="8" w:space="0" w:color="auto"/>
              <w:bottom w:val="single" w:sz="8" w:space="0" w:color="auto"/>
              <w:right w:val="nil"/>
            </w:tcBorders>
            <w:shd w:val="clear" w:color="000000" w:fill="E3F1F7"/>
          </w:tcPr>
          <w:p w14:paraId="7702DBF3" w14:textId="77777777" w:rsidR="00C426BA" w:rsidRPr="00404724" w:rsidRDefault="00C426BA" w:rsidP="000A13C5">
            <w:pPr>
              <w:spacing w:before="0" w:after="0"/>
              <w:jc w:val="right"/>
              <w:rPr>
                <w:rFonts w:ascii="Calibri" w:hAnsi="Calibri" w:cs="Calibri"/>
              </w:rPr>
            </w:pPr>
            <w:r w:rsidRPr="00404724">
              <w:rPr>
                <w:rFonts w:ascii="Calibri" w:hAnsi="Calibri" w:cs="Calibri"/>
              </w:rPr>
              <w:t>-$5,422.8</w:t>
            </w:r>
          </w:p>
        </w:tc>
      </w:tr>
      <w:tr w:rsidR="00C426BA" w:rsidRPr="00404724" w14:paraId="7FABFF96" w14:textId="77777777" w:rsidTr="00CE054C">
        <w:trPr>
          <w:trHeight w:val="345"/>
        </w:trPr>
        <w:tc>
          <w:tcPr>
            <w:tcW w:w="3818" w:type="dxa"/>
            <w:tcBorders>
              <w:top w:val="nil"/>
              <w:left w:val="nil"/>
              <w:bottom w:val="nil"/>
              <w:right w:val="nil"/>
            </w:tcBorders>
            <w:shd w:val="clear" w:color="000000" w:fill="FFFFFF"/>
            <w:noWrap/>
            <w:hideMark/>
          </w:tcPr>
          <w:p w14:paraId="3F9FA4C4" w14:textId="77777777" w:rsidR="00C426BA" w:rsidRPr="00404724" w:rsidRDefault="00C426BA" w:rsidP="00C426BA">
            <w:pPr>
              <w:spacing w:before="0" w:after="0"/>
              <w:rPr>
                <w:rFonts w:ascii="Calibri" w:hAnsi="Calibri" w:cs="Calibri"/>
              </w:rPr>
            </w:pPr>
            <w:r w:rsidRPr="00404724">
              <w:rPr>
                <w:rFonts w:ascii="Calibri" w:hAnsi="Calibri" w:cs="Calibri"/>
              </w:rPr>
              <w:t> </w:t>
            </w:r>
          </w:p>
        </w:tc>
        <w:tc>
          <w:tcPr>
            <w:tcW w:w="1819" w:type="dxa"/>
            <w:tcBorders>
              <w:top w:val="nil"/>
              <w:left w:val="nil"/>
              <w:bottom w:val="nil"/>
              <w:right w:val="nil"/>
            </w:tcBorders>
            <w:shd w:val="clear" w:color="000000" w:fill="FFFFFF"/>
          </w:tcPr>
          <w:p w14:paraId="6A80B955" w14:textId="77777777" w:rsidR="00C426BA" w:rsidRPr="00404724" w:rsidRDefault="00C426BA" w:rsidP="000A13C5">
            <w:pPr>
              <w:spacing w:before="0" w:after="0"/>
              <w:jc w:val="right"/>
              <w:rPr>
                <w:rFonts w:ascii="Calibri" w:hAnsi="Calibri" w:cs="Calibri"/>
              </w:rPr>
            </w:pPr>
          </w:p>
        </w:tc>
        <w:tc>
          <w:tcPr>
            <w:tcW w:w="1819" w:type="dxa"/>
            <w:tcBorders>
              <w:top w:val="nil"/>
              <w:left w:val="nil"/>
              <w:bottom w:val="nil"/>
              <w:right w:val="nil"/>
            </w:tcBorders>
            <w:shd w:val="clear" w:color="000000" w:fill="FFFFFF"/>
          </w:tcPr>
          <w:p w14:paraId="6752F2AE" w14:textId="77777777" w:rsidR="00C426BA" w:rsidRPr="00404724" w:rsidRDefault="00C426BA" w:rsidP="000A13C5">
            <w:pPr>
              <w:spacing w:before="0" w:after="0"/>
              <w:jc w:val="right"/>
              <w:rPr>
                <w:rFonts w:ascii="Calibri" w:hAnsi="Calibri" w:cs="Calibri"/>
              </w:rPr>
            </w:pPr>
          </w:p>
        </w:tc>
        <w:tc>
          <w:tcPr>
            <w:tcW w:w="1819" w:type="dxa"/>
            <w:tcBorders>
              <w:top w:val="nil"/>
              <w:left w:val="nil"/>
              <w:bottom w:val="nil"/>
              <w:right w:val="nil"/>
            </w:tcBorders>
            <w:shd w:val="clear" w:color="000000" w:fill="FFFFFF"/>
          </w:tcPr>
          <w:p w14:paraId="7434E043" w14:textId="77777777" w:rsidR="00C426BA" w:rsidRPr="00404724" w:rsidRDefault="00C426BA" w:rsidP="000A13C5">
            <w:pPr>
              <w:spacing w:before="0" w:after="0"/>
              <w:jc w:val="right"/>
              <w:rPr>
                <w:rFonts w:ascii="Calibri" w:hAnsi="Calibri" w:cs="Calibri"/>
              </w:rPr>
            </w:pPr>
          </w:p>
        </w:tc>
        <w:tc>
          <w:tcPr>
            <w:tcW w:w="1819" w:type="dxa"/>
            <w:tcBorders>
              <w:top w:val="nil"/>
              <w:left w:val="nil"/>
              <w:bottom w:val="nil"/>
              <w:right w:val="nil"/>
            </w:tcBorders>
            <w:shd w:val="clear" w:color="000000" w:fill="FFFFFF"/>
          </w:tcPr>
          <w:p w14:paraId="2B8C6F7D" w14:textId="77777777" w:rsidR="00C426BA" w:rsidRPr="00404724" w:rsidRDefault="00C426BA" w:rsidP="000A13C5">
            <w:pPr>
              <w:spacing w:before="0" w:after="0"/>
              <w:jc w:val="right"/>
              <w:rPr>
                <w:rFonts w:ascii="Calibri" w:hAnsi="Calibri" w:cs="Calibri"/>
              </w:rPr>
            </w:pPr>
          </w:p>
        </w:tc>
        <w:tc>
          <w:tcPr>
            <w:tcW w:w="1819" w:type="dxa"/>
            <w:tcBorders>
              <w:top w:val="nil"/>
              <w:left w:val="nil"/>
              <w:bottom w:val="nil"/>
              <w:right w:val="nil"/>
            </w:tcBorders>
            <w:shd w:val="clear" w:color="000000" w:fill="FFFFFF"/>
          </w:tcPr>
          <w:p w14:paraId="459DDFB5" w14:textId="77777777" w:rsidR="00C426BA" w:rsidRPr="00404724" w:rsidRDefault="00C426BA" w:rsidP="000A13C5">
            <w:pPr>
              <w:spacing w:before="0" w:after="0"/>
              <w:jc w:val="right"/>
              <w:rPr>
                <w:rFonts w:ascii="Calibri" w:hAnsi="Calibri" w:cs="Calibri"/>
              </w:rPr>
            </w:pPr>
          </w:p>
        </w:tc>
        <w:tc>
          <w:tcPr>
            <w:tcW w:w="1819" w:type="dxa"/>
            <w:tcBorders>
              <w:top w:val="nil"/>
              <w:left w:val="nil"/>
              <w:bottom w:val="nil"/>
              <w:right w:val="nil"/>
            </w:tcBorders>
            <w:shd w:val="clear" w:color="000000" w:fill="FFFFFF"/>
          </w:tcPr>
          <w:p w14:paraId="549BFFAA" w14:textId="77777777" w:rsidR="00C426BA" w:rsidRPr="00404724" w:rsidRDefault="00C426BA" w:rsidP="000A13C5">
            <w:pPr>
              <w:spacing w:before="0" w:after="0"/>
              <w:jc w:val="right"/>
              <w:rPr>
                <w:rFonts w:ascii="Calibri" w:hAnsi="Calibri" w:cs="Calibri"/>
              </w:rPr>
            </w:pPr>
          </w:p>
        </w:tc>
      </w:tr>
      <w:tr w:rsidR="00C70A94" w:rsidRPr="00404724" w14:paraId="75282AB1" w14:textId="77777777" w:rsidTr="00CE054C">
        <w:trPr>
          <w:trHeight w:val="330"/>
        </w:trPr>
        <w:tc>
          <w:tcPr>
            <w:tcW w:w="3818" w:type="dxa"/>
            <w:tcBorders>
              <w:top w:val="nil"/>
              <w:left w:val="nil"/>
              <w:bottom w:val="nil"/>
              <w:right w:val="nil"/>
            </w:tcBorders>
            <w:shd w:val="clear" w:color="000000" w:fill="140034"/>
            <w:noWrap/>
            <w:hideMark/>
          </w:tcPr>
          <w:p w14:paraId="04790DBD" w14:textId="77777777" w:rsidR="00C70A94" w:rsidRPr="00404724" w:rsidRDefault="00C70A94" w:rsidP="00C70A94">
            <w:pPr>
              <w:spacing w:before="0" w:after="0"/>
              <w:rPr>
                <w:rFonts w:ascii="Calibri" w:hAnsi="Calibri" w:cs="Calibri"/>
                <w:color w:val="auto"/>
              </w:rPr>
            </w:pPr>
            <w:r w:rsidRPr="00404724">
              <w:rPr>
                <w:rFonts w:ascii="Calibri" w:hAnsi="Calibri" w:cs="Calibri"/>
                <w:color w:val="auto"/>
              </w:rPr>
              <w:t>Overall results</w:t>
            </w:r>
          </w:p>
        </w:tc>
        <w:tc>
          <w:tcPr>
            <w:tcW w:w="1819" w:type="dxa"/>
            <w:tcBorders>
              <w:top w:val="nil"/>
              <w:left w:val="single" w:sz="8" w:space="0" w:color="auto"/>
              <w:bottom w:val="nil"/>
              <w:right w:val="nil"/>
            </w:tcBorders>
            <w:shd w:val="clear" w:color="000000" w:fill="140034"/>
          </w:tcPr>
          <w:p w14:paraId="3310C309" w14:textId="519ED000" w:rsidR="00C70A94" w:rsidRPr="00404724" w:rsidRDefault="00C70A94" w:rsidP="000A13C5">
            <w:pPr>
              <w:spacing w:before="0" w:after="0"/>
              <w:jc w:val="right"/>
              <w:rPr>
                <w:rFonts w:ascii="Calibri" w:hAnsi="Calibri" w:cs="Calibri"/>
              </w:rPr>
            </w:pPr>
            <w:r w:rsidRPr="00404724">
              <w:rPr>
                <w:rFonts w:cstheme="minorHAnsi"/>
                <w:color w:val="FFFFFF" w:themeColor="background1"/>
              </w:rPr>
              <w:t>($m)</w:t>
            </w:r>
          </w:p>
        </w:tc>
        <w:tc>
          <w:tcPr>
            <w:tcW w:w="1819" w:type="dxa"/>
            <w:tcBorders>
              <w:top w:val="nil"/>
              <w:left w:val="single" w:sz="8" w:space="0" w:color="auto"/>
              <w:bottom w:val="nil"/>
              <w:right w:val="single" w:sz="8" w:space="0" w:color="auto"/>
            </w:tcBorders>
            <w:shd w:val="clear" w:color="000000" w:fill="140034"/>
          </w:tcPr>
          <w:p w14:paraId="2516ECAA" w14:textId="549E76BA" w:rsidR="00C70A94" w:rsidRPr="00404724" w:rsidRDefault="00C70A94" w:rsidP="000A13C5">
            <w:pPr>
              <w:spacing w:before="0" w:after="0"/>
              <w:jc w:val="right"/>
              <w:rPr>
                <w:rFonts w:ascii="Calibri" w:hAnsi="Calibri" w:cs="Calibri"/>
              </w:rPr>
            </w:pPr>
            <w:r w:rsidRPr="00404724">
              <w:rPr>
                <w:rFonts w:cstheme="minorHAnsi"/>
                <w:color w:val="FFFFFF" w:themeColor="background1"/>
              </w:rPr>
              <w:t>($m)</w:t>
            </w:r>
          </w:p>
        </w:tc>
        <w:tc>
          <w:tcPr>
            <w:tcW w:w="1819" w:type="dxa"/>
            <w:tcBorders>
              <w:top w:val="nil"/>
              <w:left w:val="single" w:sz="8" w:space="0" w:color="auto"/>
              <w:bottom w:val="nil"/>
              <w:right w:val="single" w:sz="8" w:space="0" w:color="auto"/>
            </w:tcBorders>
            <w:shd w:val="clear" w:color="000000" w:fill="140034"/>
          </w:tcPr>
          <w:p w14:paraId="7B81F8AA" w14:textId="5E3D9888" w:rsidR="00C70A94" w:rsidRPr="00404724" w:rsidRDefault="00C70A94" w:rsidP="000A13C5">
            <w:pPr>
              <w:spacing w:before="0" w:after="0"/>
              <w:jc w:val="right"/>
              <w:rPr>
                <w:rFonts w:ascii="Calibri" w:hAnsi="Calibri" w:cs="Calibri"/>
              </w:rPr>
            </w:pPr>
            <w:r w:rsidRPr="00404724">
              <w:rPr>
                <w:rFonts w:cstheme="minorHAnsi"/>
                <w:color w:val="FFFFFF" w:themeColor="background1"/>
              </w:rPr>
              <w:t>($m)</w:t>
            </w:r>
          </w:p>
        </w:tc>
        <w:tc>
          <w:tcPr>
            <w:tcW w:w="1819" w:type="dxa"/>
            <w:tcBorders>
              <w:top w:val="nil"/>
              <w:left w:val="single" w:sz="8" w:space="0" w:color="auto"/>
              <w:bottom w:val="nil"/>
              <w:right w:val="single" w:sz="8" w:space="0" w:color="auto"/>
            </w:tcBorders>
            <w:shd w:val="clear" w:color="000000" w:fill="140034"/>
          </w:tcPr>
          <w:p w14:paraId="442D99D4" w14:textId="7C1186E0" w:rsidR="00C70A94" w:rsidRPr="00404724" w:rsidRDefault="00C70A94" w:rsidP="000A13C5">
            <w:pPr>
              <w:spacing w:before="0" w:after="0"/>
              <w:jc w:val="right"/>
              <w:rPr>
                <w:rFonts w:ascii="Calibri" w:hAnsi="Calibri" w:cs="Calibri"/>
              </w:rPr>
            </w:pPr>
            <w:r w:rsidRPr="00404724">
              <w:rPr>
                <w:rFonts w:cstheme="minorHAnsi"/>
                <w:color w:val="FFFFFF" w:themeColor="background1"/>
              </w:rPr>
              <w:t>($m)</w:t>
            </w:r>
          </w:p>
        </w:tc>
        <w:tc>
          <w:tcPr>
            <w:tcW w:w="1819" w:type="dxa"/>
            <w:tcBorders>
              <w:top w:val="nil"/>
              <w:left w:val="single" w:sz="8" w:space="0" w:color="auto"/>
              <w:bottom w:val="nil"/>
              <w:right w:val="single" w:sz="8" w:space="0" w:color="auto"/>
            </w:tcBorders>
            <w:shd w:val="clear" w:color="000000" w:fill="140034"/>
          </w:tcPr>
          <w:p w14:paraId="24732E76" w14:textId="477027AD" w:rsidR="00C70A94" w:rsidRPr="00404724" w:rsidRDefault="00C70A94" w:rsidP="000A13C5">
            <w:pPr>
              <w:spacing w:before="0" w:after="0"/>
              <w:jc w:val="right"/>
              <w:rPr>
                <w:rFonts w:ascii="Calibri" w:hAnsi="Calibri" w:cs="Calibri"/>
              </w:rPr>
            </w:pPr>
            <w:r w:rsidRPr="00404724">
              <w:rPr>
                <w:rFonts w:cstheme="minorHAnsi"/>
                <w:color w:val="FFFFFF" w:themeColor="background1"/>
              </w:rPr>
              <w:t>($m)</w:t>
            </w:r>
          </w:p>
        </w:tc>
        <w:tc>
          <w:tcPr>
            <w:tcW w:w="1819" w:type="dxa"/>
            <w:tcBorders>
              <w:top w:val="nil"/>
              <w:left w:val="single" w:sz="8" w:space="0" w:color="auto"/>
              <w:bottom w:val="nil"/>
              <w:right w:val="nil"/>
            </w:tcBorders>
            <w:shd w:val="clear" w:color="000000" w:fill="140034"/>
          </w:tcPr>
          <w:p w14:paraId="71CA338A" w14:textId="34AEEBB2" w:rsidR="00C70A94" w:rsidRPr="00404724" w:rsidRDefault="00C70A94" w:rsidP="000A13C5">
            <w:pPr>
              <w:spacing w:before="0" w:after="0"/>
              <w:jc w:val="right"/>
              <w:rPr>
                <w:rFonts w:ascii="Calibri" w:hAnsi="Calibri" w:cs="Calibri"/>
              </w:rPr>
            </w:pPr>
            <w:r w:rsidRPr="00404724">
              <w:rPr>
                <w:rFonts w:cstheme="minorHAnsi"/>
                <w:color w:val="FFFFFF" w:themeColor="background1"/>
              </w:rPr>
              <w:t>($m)</w:t>
            </w:r>
          </w:p>
        </w:tc>
      </w:tr>
      <w:tr w:rsidR="00C426BA" w:rsidRPr="00404724" w14:paraId="40D7D54C" w14:textId="77777777" w:rsidTr="00CE054C">
        <w:trPr>
          <w:trHeight w:val="74"/>
        </w:trPr>
        <w:tc>
          <w:tcPr>
            <w:tcW w:w="3818" w:type="dxa"/>
            <w:tcBorders>
              <w:top w:val="nil"/>
              <w:left w:val="single" w:sz="8" w:space="0" w:color="auto"/>
              <w:bottom w:val="nil"/>
              <w:right w:val="nil"/>
            </w:tcBorders>
            <w:shd w:val="clear" w:color="000000" w:fill="F2F2F2"/>
            <w:noWrap/>
            <w:hideMark/>
          </w:tcPr>
          <w:p w14:paraId="20FAC85B" w14:textId="77777777" w:rsidR="00C426BA" w:rsidRPr="00404724" w:rsidRDefault="00C426BA" w:rsidP="00C426BA">
            <w:pPr>
              <w:spacing w:before="0" w:after="0"/>
              <w:rPr>
                <w:rFonts w:ascii="Calibri" w:hAnsi="Calibri" w:cs="Calibri"/>
              </w:rPr>
            </w:pPr>
            <w:r w:rsidRPr="00404724">
              <w:rPr>
                <w:rFonts w:ascii="Calibri" w:hAnsi="Calibri" w:cs="Calibri"/>
              </w:rPr>
              <w:t>NPV</w:t>
            </w:r>
          </w:p>
        </w:tc>
        <w:tc>
          <w:tcPr>
            <w:tcW w:w="1819" w:type="dxa"/>
            <w:tcBorders>
              <w:top w:val="nil"/>
              <w:left w:val="single" w:sz="8" w:space="0" w:color="auto"/>
              <w:bottom w:val="nil"/>
              <w:right w:val="nil"/>
            </w:tcBorders>
            <w:shd w:val="clear" w:color="000000" w:fill="F2F2F2"/>
          </w:tcPr>
          <w:p w14:paraId="4FE50EDE" w14:textId="77777777" w:rsidR="00C426BA" w:rsidRPr="00404724" w:rsidRDefault="00C426BA" w:rsidP="000A13C5">
            <w:pPr>
              <w:spacing w:before="0" w:after="0"/>
              <w:jc w:val="right"/>
              <w:rPr>
                <w:rFonts w:ascii="Calibri" w:hAnsi="Calibri" w:cs="Calibri"/>
              </w:rPr>
            </w:pPr>
            <w:r w:rsidRPr="00404724">
              <w:rPr>
                <w:rFonts w:ascii="Calibri" w:hAnsi="Calibri" w:cs="Calibri"/>
              </w:rPr>
              <w:t>$1,964.4</w:t>
            </w:r>
          </w:p>
        </w:tc>
        <w:tc>
          <w:tcPr>
            <w:tcW w:w="1819" w:type="dxa"/>
            <w:tcBorders>
              <w:top w:val="nil"/>
              <w:left w:val="single" w:sz="8" w:space="0" w:color="auto"/>
              <w:bottom w:val="nil"/>
              <w:right w:val="single" w:sz="8" w:space="0" w:color="auto"/>
            </w:tcBorders>
            <w:shd w:val="clear" w:color="000000" w:fill="F2F2F2"/>
          </w:tcPr>
          <w:p w14:paraId="21784340" w14:textId="77777777" w:rsidR="00C426BA" w:rsidRPr="00404724" w:rsidRDefault="00C426BA" w:rsidP="000A13C5">
            <w:pPr>
              <w:spacing w:before="0" w:after="0"/>
              <w:jc w:val="right"/>
              <w:rPr>
                <w:rFonts w:ascii="Calibri" w:hAnsi="Calibri" w:cs="Calibri"/>
              </w:rPr>
            </w:pPr>
            <w:r w:rsidRPr="00404724">
              <w:rPr>
                <w:rFonts w:ascii="Calibri" w:hAnsi="Calibri" w:cs="Calibri"/>
              </w:rPr>
              <w:t>$1,340.4</w:t>
            </w:r>
          </w:p>
        </w:tc>
        <w:tc>
          <w:tcPr>
            <w:tcW w:w="1819" w:type="dxa"/>
            <w:tcBorders>
              <w:top w:val="nil"/>
              <w:left w:val="single" w:sz="8" w:space="0" w:color="auto"/>
              <w:bottom w:val="nil"/>
              <w:right w:val="single" w:sz="8" w:space="0" w:color="auto"/>
            </w:tcBorders>
            <w:shd w:val="clear" w:color="000000" w:fill="F2F2F2"/>
          </w:tcPr>
          <w:p w14:paraId="1DB8B79B" w14:textId="77777777" w:rsidR="00C426BA" w:rsidRPr="00404724" w:rsidRDefault="00C426BA" w:rsidP="000A13C5">
            <w:pPr>
              <w:spacing w:before="0" w:after="0"/>
              <w:jc w:val="right"/>
              <w:rPr>
                <w:rFonts w:ascii="Calibri" w:hAnsi="Calibri" w:cs="Calibri"/>
              </w:rPr>
            </w:pPr>
            <w:r w:rsidRPr="00404724">
              <w:rPr>
                <w:rFonts w:ascii="Calibri" w:hAnsi="Calibri" w:cs="Calibri"/>
              </w:rPr>
              <w:t>$320.3</w:t>
            </w:r>
          </w:p>
        </w:tc>
        <w:tc>
          <w:tcPr>
            <w:tcW w:w="1819" w:type="dxa"/>
            <w:tcBorders>
              <w:top w:val="nil"/>
              <w:left w:val="single" w:sz="8" w:space="0" w:color="auto"/>
              <w:bottom w:val="nil"/>
              <w:right w:val="single" w:sz="8" w:space="0" w:color="auto"/>
            </w:tcBorders>
            <w:shd w:val="clear" w:color="000000" w:fill="F2F2F2"/>
          </w:tcPr>
          <w:p w14:paraId="5268887A" w14:textId="77777777" w:rsidR="00C426BA" w:rsidRPr="00404724" w:rsidRDefault="00C426BA" w:rsidP="000A13C5">
            <w:pPr>
              <w:spacing w:before="0" w:after="0"/>
              <w:jc w:val="right"/>
              <w:rPr>
                <w:rFonts w:ascii="Calibri" w:hAnsi="Calibri" w:cs="Calibri"/>
              </w:rPr>
            </w:pPr>
            <w:r w:rsidRPr="00404724">
              <w:rPr>
                <w:rFonts w:ascii="Calibri" w:hAnsi="Calibri" w:cs="Calibri"/>
              </w:rPr>
              <w:t>$3,948.6</w:t>
            </w:r>
          </w:p>
        </w:tc>
        <w:tc>
          <w:tcPr>
            <w:tcW w:w="1819" w:type="dxa"/>
            <w:tcBorders>
              <w:top w:val="nil"/>
              <w:left w:val="single" w:sz="8" w:space="0" w:color="auto"/>
              <w:bottom w:val="nil"/>
              <w:right w:val="single" w:sz="8" w:space="0" w:color="auto"/>
            </w:tcBorders>
            <w:shd w:val="clear" w:color="000000" w:fill="F2F2F2"/>
          </w:tcPr>
          <w:p w14:paraId="0F48A1FD" w14:textId="77777777" w:rsidR="00C426BA" w:rsidRPr="00404724" w:rsidRDefault="00C426BA" w:rsidP="000A13C5">
            <w:pPr>
              <w:spacing w:before="0" w:after="0"/>
              <w:jc w:val="right"/>
              <w:rPr>
                <w:rFonts w:ascii="Calibri" w:hAnsi="Calibri" w:cs="Calibri"/>
              </w:rPr>
            </w:pPr>
            <w:r w:rsidRPr="00404724">
              <w:rPr>
                <w:rFonts w:ascii="Calibri" w:hAnsi="Calibri" w:cs="Calibri"/>
              </w:rPr>
              <w:t>$2,367.5</w:t>
            </w:r>
          </w:p>
        </w:tc>
        <w:tc>
          <w:tcPr>
            <w:tcW w:w="1819" w:type="dxa"/>
            <w:tcBorders>
              <w:top w:val="nil"/>
              <w:left w:val="single" w:sz="8" w:space="0" w:color="auto"/>
              <w:bottom w:val="nil"/>
              <w:right w:val="nil"/>
            </w:tcBorders>
            <w:shd w:val="clear" w:color="000000" w:fill="F2F2F2"/>
          </w:tcPr>
          <w:p w14:paraId="707B2F70" w14:textId="77777777" w:rsidR="00C426BA" w:rsidRPr="00404724" w:rsidRDefault="00C426BA" w:rsidP="000A13C5">
            <w:pPr>
              <w:spacing w:before="0" w:after="0"/>
              <w:jc w:val="right"/>
              <w:rPr>
                <w:rFonts w:ascii="Calibri" w:hAnsi="Calibri" w:cs="Calibri"/>
              </w:rPr>
            </w:pPr>
            <w:r w:rsidRPr="00404724">
              <w:rPr>
                <w:rFonts w:ascii="Calibri" w:hAnsi="Calibri" w:cs="Calibri"/>
                <w:color w:val="950000"/>
              </w:rPr>
              <w:t>-$214.8</w:t>
            </w:r>
          </w:p>
        </w:tc>
      </w:tr>
      <w:tr w:rsidR="00C426BA" w:rsidRPr="00404724" w14:paraId="3EFF876C" w14:textId="77777777" w:rsidTr="00CE054C">
        <w:trPr>
          <w:trHeight w:val="345"/>
        </w:trPr>
        <w:tc>
          <w:tcPr>
            <w:tcW w:w="3818" w:type="dxa"/>
            <w:tcBorders>
              <w:top w:val="nil"/>
              <w:left w:val="single" w:sz="8" w:space="0" w:color="auto"/>
              <w:bottom w:val="single" w:sz="8" w:space="0" w:color="auto"/>
              <w:right w:val="nil"/>
            </w:tcBorders>
            <w:shd w:val="clear" w:color="000000" w:fill="F2F2F2"/>
            <w:noWrap/>
            <w:hideMark/>
          </w:tcPr>
          <w:p w14:paraId="331E96F5" w14:textId="77777777" w:rsidR="00C426BA" w:rsidRPr="00404724" w:rsidRDefault="00C426BA" w:rsidP="00C426BA">
            <w:pPr>
              <w:spacing w:before="0" w:after="0"/>
              <w:rPr>
                <w:rFonts w:ascii="Calibri" w:hAnsi="Calibri" w:cs="Calibri"/>
              </w:rPr>
            </w:pPr>
            <w:r w:rsidRPr="00404724">
              <w:rPr>
                <w:rFonts w:ascii="Calibri" w:hAnsi="Calibri" w:cs="Calibri"/>
              </w:rPr>
              <w:t>BCR</w:t>
            </w:r>
          </w:p>
        </w:tc>
        <w:tc>
          <w:tcPr>
            <w:tcW w:w="1819" w:type="dxa"/>
            <w:tcBorders>
              <w:top w:val="nil"/>
              <w:left w:val="single" w:sz="8" w:space="0" w:color="auto"/>
              <w:bottom w:val="single" w:sz="8" w:space="0" w:color="auto"/>
              <w:right w:val="nil"/>
            </w:tcBorders>
            <w:shd w:val="clear" w:color="000000" w:fill="F2F2F2"/>
          </w:tcPr>
          <w:p w14:paraId="37920062" w14:textId="77777777" w:rsidR="00C426BA" w:rsidRPr="00404724" w:rsidRDefault="00C426BA" w:rsidP="000A13C5">
            <w:pPr>
              <w:spacing w:before="0" w:after="0"/>
              <w:jc w:val="right"/>
              <w:rPr>
                <w:rFonts w:ascii="Calibri" w:hAnsi="Calibri" w:cs="Calibri"/>
              </w:rPr>
            </w:pPr>
            <w:r w:rsidRPr="00404724">
              <w:rPr>
                <w:rFonts w:ascii="Calibri" w:hAnsi="Calibri" w:cs="Calibri"/>
              </w:rPr>
              <w:t>5.4</w:t>
            </w:r>
          </w:p>
        </w:tc>
        <w:tc>
          <w:tcPr>
            <w:tcW w:w="1819" w:type="dxa"/>
            <w:tcBorders>
              <w:top w:val="nil"/>
              <w:left w:val="single" w:sz="8" w:space="0" w:color="auto"/>
              <w:bottom w:val="single" w:sz="8" w:space="0" w:color="auto"/>
              <w:right w:val="single" w:sz="8" w:space="0" w:color="auto"/>
            </w:tcBorders>
            <w:shd w:val="clear" w:color="000000" w:fill="F2F2F2"/>
          </w:tcPr>
          <w:p w14:paraId="77257F19" w14:textId="77777777" w:rsidR="00C426BA" w:rsidRPr="00404724" w:rsidRDefault="00C426BA" w:rsidP="000A13C5">
            <w:pPr>
              <w:spacing w:before="0" w:after="0"/>
              <w:jc w:val="right"/>
              <w:rPr>
                <w:rFonts w:ascii="Calibri" w:hAnsi="Calibri" w:cs="Calibri"/>
              </w:rPr>
            </w:pPr>
            <w:r w:rsidRPr="00404724">
              <w:rPr>
                <w:rFonts w:ascii="Calibri" w:hAnsi="Calibri" w:cs="Calibri"/>
              </w:rPr>
              <w:t>2.2</w:t>
            </w:r>
          </w:p>
        </w:tc>
        <w:tc>
          <w:tcPr>
            <w:tcW w:w="1819" w:type="dxa"/>
            <w:tcBorders>
              <w:top w:val="nil"/>
              <w:left w:val="single" w:sz="8" w:space="0" w:color="auto"/>
              <w:bottom w:val="single" w:sz="8" w:space="0" w:color="auto"/>
              <w:right w:val="single" w:sz="8" w:space="0" w:color="auto"/>
            </w:tcBorders>
            <w:shd w:val="clear" w:color="000000" w:fill="F2F2F2"/>
          </w:tcPr>
          <w:p w14:paraId="7489D791" w14:textId="77777777" w:rsidR="00C426BA" w:rsidRPr="00404724" w:rsidRDefault="00C426BA" w:rsidP="000A13C5">
            <w:pPr>
              <w:spacing w:before="0" w:after="0"/>
              <w:jc w:val="right"/>
              <w:rPr>
                <w:rFonts w:ascii="Calibri" w:hAnsi="Calibri" w:cs="Calibri"/>
              </w:rPr>
            </w:pPr>
            <w:r w:rsidRPr="00404724">
              <w:rPr>
                <w:rFonts w:ascii="Calibri" w:hAnsi="Calibri" w:cs="Calibri"/>
              </w:rPr>
              <w:t>1.1</w:t>
            </w:r>
          </w:p>
        </w:tc>
        <w:tc>
          <w:tcPr>
            <w:tcW w:w="1819" w:type="dxa"/>
            <w:tcBorders>
              <w:top w:val="nil"/>
              <w:left w:val="single" w:sz="8" w:space="0" w:color="auto"/>
              <w:bottom w:val="single" w:sz="8" w:space="0" w:color="auto"/>
              <w:right w:val="single" w:sz="8" w:space="0" w:color="auto"/>
            </w:tcBorders>
            <w:shd w:val="clear" w:color="000000" w:fill="F2F2F2"/>
          </w:tcPr>
          <w:p w14:paraId="671FCEAF" w14:textId="77777777" w:rsidR="00C426BA" w:rsidRPr="00404724" w:rsidRDefault="00C426BA" w:rsidP="000A13C5">
            <w:pPr>
              <w:spacing w:before="0" w:after="0"/>
              <w:jc w:val="right"/>
              <w:rPr>
                <w:rFonts w:ascii="Calibri" w:hAnsi="Calibri" w:cs="Calibri"/>
              </w:rPr>
            </w:pPr>
            <w:r w:rsidRPr="00404724">
              <w:rPr>
                <w:rFonts w:ascii="Calibri" w:hAnsi="Calibri" w:cs="Calibri"/>
              </w:rPr>
              <w:t>4.6</w:t>
            </w:r>
          </w:p>
        </w:tc>
        <w:tc>
          <w:tcPr>
            <w:tcW w:w="1819" w:type="dxa"/>
            <w:tcBorders>
              <w:top w:val="nil"/>
              <w:left w:val="single" w:sz="8" w:space="0" w:color="auto"/>
              <w:bottom w:val="single" w:sz="8" w:space="0" w:color="auto"/>
              <w:right w:val="single" w:sz="8" w:space="0" w:color="auto"/>
            </w:tcBorders>
            <w:shd w:val="clear" w:color="000000" w:fill="F2F2F2"/>
          </w:tcPr>
          <w:p w14:paraId="4A48F6E6" w14:textId="77777777" w:rsidR="00C426BA" w:rsidRPr="00404724" w:rsidRDefault="00C426BA" w:rsidP="000A13C5">
            <w:pPr>
              <w:spacing w:before="0" w:after="0"/>
              <w:jc w:val="right"/>
              <w:rPr>
                <w:rFonts w:ascii="Calibri" w:hAnsi="Calibri" w:cs="Calibri"/>
              </w:rPr>
            </w:pPr>
            <w:r w:rsidRPr="00404724">
              <w:rPr>
                <w:rFonts w:ascii="Calibri" w:hAnsi="Calibri" w:cs="Calibri"/>
              </w:rPr>
              <w:t>1.9</w:t>
            </w:r>
          </w:p>
        </w:tc>
        <w:tc>
          <w:tcPr>
            <w:tcW w:w="1819" w:type="dxa"/>
            <w:tcBorders>
              <w:top w:val="nil"/>
              <w:left w:val="single" w:sz="8" w:space="0" w:color="auto"/>
              <w:bottom w:val="single" w:sz="8" w:space="0" w:color="auto"/>
              <w:right w:val="nil"/>
            </w:tcBorders>
            <w:shd w:val="clear" w:color="000000" w:fill="F2F2F2"/>
          </w:tcPr>
          <w:p w14:paraId="6C34C1E6" w14:textId="77777777" w:rsidR="00C426BA" w:rsidRPr="00404724" w:rsidRDefault="00C426BA" w:rsidP="000A13C5">
            <w:pPr>
              <w:spacing w:before="0" w:after="0"/>
              <w:jc w:val="right"/>
              <w:rPr>
                <w:rFonts w:ascii="Calibri" w:hAnsi="Calibri" w:cs="Calibri"/>
              </w:rPr>
            </w:pPr>
            <w:r w:rsidRPr="00404724">
              <w:rPr>
                <w:rFonts w:ascii="Calibri" w:hAnsi="Calibri" w:cs="Calibri"/>
              </w:rPr>
              <w:t>0.96</w:t>
            </w:r>
          </w:p>
        </w:tc>
      </w:tr>
    </w:tbl>
    <w:p w14:paraId="491D6664" w14:textId="24361A9E" w:rsidR="00E234E9" w:rsidRPr="00404724" w:rsidRDefault="00E234E9" w:rsidP="000C1C23"/>
    <w:p w14:paraId="4AA7DCD7" w14:textId="77777777" w:rsidR="00E234E9" w:rsidRPr="00404724" w:rsidRDefault="00E234E9">
      <w:pPr>
        <w:suppressAutoHyphens w:val="0"/>
      </w:pPr>
      <w:r w:rsidRPr="00404724">
        <w:br w:type="page"/>
      </w:r>
    </w:p>
    <w:tbl>
      <w:tblPr>
        <w:tblW w:w="14732" w:type="dxa"/>
        <w:tblLayout w:type="fixed"/>
        <w:tblLook w:val="04A0" w:firstRow="1" w:lastRow="0" w:firstColumn="1" w:lastColumn="0" w:noHBand="0" w:noVBand="1"/>
      </w:tblPr>
      <w:tblGrid>
        <w:gridCol w:w="3392"/>
        <w:gridCol w:w="1890"/>
        <w:gridCol w:w="1890"/>
        <w:gridCol w:w="1890"/>
        <w:gridCol w:w="1890"/>
        <w:gridCol w:w="1890"/>
        <w:gridCol w:w="1890"/>
      </w:tblGrid>
      <w:tr w:rsidR="00E234E9" w:rsidRPr="00404724" w14:paraId="014C3E04" w14:textId="77777777" w:rsidTr="00CE054C">
        <w:trPr>
          <w:trHeight w:val="330"/>
        </w:trPr>
        <w:tc>
          <w:tcPr>
            <w:tcW w:w="3392" w:type="dxa"/>
            <w:tcBorders>
              <w:top w:val="single" w:sz="8" w:space="0" w:color="auto"/>
              <w:left w:val="single" w:sz="8" w:space="0" w:color="auto"/>
              <w:bottom w:val="nil"/>
              <w:right w:val="nil"/>
            </w:tcBorders>
            <w:shd w:val="clear" w:color="000000" w:fill="140034"/>
            <w:noWrap/>
            <w:vAlign w:val="bottom"/>
          </w:tcPr>
          <w:p w14:paraId="1258C8AA" w14:textId="69C2E2F8" w:rsidR="00E234E9" w:rsidRPr="00404724" w:rsidRDefault="00C70A94" w:rsidP="00BB5FCD">
            <w:pPr>
              <w:spacing w:after="0"/>
              <w:rPr>
                <w:rFonts w:ascii="Calibri" w:eastAsia="Times New Roman" w:hAnsi="Calibri" w:cs="Calibri"/>
                <w:b/>
                <w:bCs/>
                <w:color w:val="FFFFFF"/>
                <w:lang w:eastAsia="en-AU"/>
              </w:rPr>
            </w:pPr>
            <w:r w:rsidRPr="00404724">
              <w:rPr>
                <w:rFonts w:ascii="Calibri" w:eastAsia="Times New Roman" w:hAnsi="Calibri" w:cs="Calibri"/>
                <w:b/>
                <w:bCs/>
                <w:color w:val="FFFFFF"/>
                <w:lang w:eastAsia="en-AU"/>
              </w:rPr>
              <w:lastRenderedPageBreak/>
              <w:t>NPVs ($m)</w:t>
            </w:r>
          </w:p>
        </w:tc>
        <w:tc>
          <w:tcPr>
            <w:tcW w:w="5670" w:type="dxa"/>
            <w:gridSpan w:val="3"/>
            <w:tcBorders>
              <w:top w:val="nil"/>
              <w:left w:val="single" w:sz="8" w:space="0" w:color="auto"/>
              <w:bottom w:val="nil"/>
              <w:right w:val="single" w:sz="8" w:space="0" w:color="auto"/>
            </w:tcBorders>
            <w:shd w:val="clear" w:color="000000" w:fill="140034"/>
          </w:tcPr>
          <w:p w14:paraId="7316D1C9" w14:textId="08AEDEA9" w:rsidR="00E234E9" w:rsidRPr="00404724" w:rsidRDefault="00E234E9" w:rsidP="00BB5FCD">
            <w:pPr>
              <w:spacing w:after="0"/>
              <w:rPr>
                <w:rFonts w:ascii="Calibri" w:eastAsia="Times New Roman" w:hAnsi="Calibri" w:cs="Calibri"/>
                <w:b/>
                <w:bCs/>
                <w:color w:val="FFFFFF"/>
                <w:lang w:eastAsia="en-AU"/>
              </w:rPr>
            </w:pPr>
            <w:r w:rsidRPr="00404724">
              <w:rPr>
                <w:rFonts w:ascii="Calibri" w:eastAsia="Times New Roman" w:hAnsi="Calibri" w:cs="Calibri"/>
                <w:b/>
                <w:bCs/>
                <w:color w:val="FFFFFF"/>
                <w:lang w:eastAsia="en-AU"/>
              </w:rPr>
              <w:t>100</w:t>
            </w:r>
            <w:r w:rsidR="00C82E00" w:rsidRPr="00404724">
              <w:rPr>
                <w:rFonts w:ascii="Calibri" w:eastAsia="Times New Roman" w:hAnsi="Calibri" w:cs="Calibri"/>
                <w:b/>
                <w:bCs/>
                <w:color w:val="FFFFFF"/>
                <w:lang w:eastAsia="en-AU"/>
              </w:rPr>
              <w:t xml:space="preserve"> km/h</w:t>
            </w:r>
            <w:r w:rsidRPr="00404724">
              <w:rPr>
                <w:rFonts w:ascii="Calibri" w:eastAsia="Times New Roman" w:hAnsi="Calibri" w:cs="Calibri"/>
                <w:b/>
                <w:bCs/>
                <w:color w:val="FFFFFF"/>
                <w:lang w:eastAsia="en-AU"/>
              </w:rPr>
              <w:t xml:space="preserve"> to 80</w:t>
            </w:r>
            <w:r w:rsidR="00C82E00" w:rsidRPr="00404724">
              <w:rPr>
                <w:rFonts w:ascii="Calibri" w:eastAsia="Times New Roman" w:hAnsi="Calibri" w:cs="Calibri"/>
                <w:b/>
                <w:bCs/>
                <w:color w:val="FFFFFF"/>
                <w:lang w:eastAsia="en-AU"/>
              </w:rPr>
              <w:t xml:space="preserve"> km/h</w:t>
            </w:r>
          </w:p>
        </w:tc>
        <w:tc>
          <w:tcPr>
            <w:tcW w:w="5670" w:type="dxa"/>
            <w:gridSpan w:val="3"/>
            <w:tcBorders>
              <w:top w:val="nil"/>
              <w:left w:val="single" w:sz="8" w:space="0" w:color="auto"/>
              <w:bottom w:val="nil"/>
              <w:right w:val="single" w:sz="8" w:space="0" w:color="auto"/>
            </w:tcBorders>
            <w:shd w:val="clear" w:color="000000" w:fill="140034"/>
          </w:tcPr>
          <w:p w14:paraId="4D7AF66B" w14:textId="4CB5DA72" w:rsidR="00E234E9" w:rsidRPr="00404724" w:rsidRDefault="00E234E9" w:rsidP="00BB5FCD">
            <w:pPr>
              <w:spacing w:after="0"/>
              <w:rPr>
                <w:rFonts w:ascii="Calibri" w:eastAsia="Times New Roman" w:hAnsi="Calibri" w:cs="Calibri"/>
                <w:b/>
                <w:bCs/>
                <w:color w:val="FFFFFF"/>
                <w:lang w:eastAsia="en-AU"/>
              </w:rPr>
            </w:pPr>
            <w:r w:rsidRPr="00404724">
              <w:rPr>
                <w:rFonts w:ascii="Calibri" w:eastAsia="Times New Roman" w:hAnsi="Calibri" w:cs="Calibri"/>
                <w:b/>
                <w:bCs/>
                <w:color w:val="FFFFFF"/>
                <w:lang w:eastAsia="en-AU"/>
              </w:rPr>
              <w:t>100</w:t>
            </w:r>
            <w:r w:rsidR="00C82E00" w:rsidRPr="00404724">
              <w:rPr>
                <w:rFonts w:ascii="Calibri" w:eastAsia="Times New Roman" w:hAnsi="Calibri" w:cs="Calibri"/>
                <w:b/>
                <w:bCs/>
                <w:color w:val="FFFFFF"/>
                <w:lang w:eastAsia="en-AU"/>
              </w:rPr>
              <w:t xml:space="preserve"> km/h</w:t>
            </w:r>
            <w:r w:rsidRPr="00404724">
              <w:rPr>
                <w:rFonts w:ascii="Calibri" w:eastAsia="Times New Roman" w:hAnsi="Calibri" w:cs="Calibri"/>
                <w:b/>
                <w:bCs/>
                <w:color w:val="FFFFFF"/>
                <w:lang w:eastAsia="en-AU"/>
              </w:rPr>
              <w:t xml:space="preserve"> to 70</w:t>
            </w:r>
            <w:r w:rsidR="00C82E00" w:rsidRPr="00404724">
              <w:rPr>
                <w:rFonts w:ascii="Calibri" w:eastAsia="Times New Roman" w:hAnsi="Calibri" w:cs="Calibri"/>
                <w:b/>
                <w:bCs/>
                <w:color w:val="FFFFFF"/>
                <w:lang w:eastAsia="en-AU"/>
              </w:rPr>
              <w:t xml:space="preserve"> km/h</w:t>
            </w:r>
          </w:p>
        </w:tc>
      </w:tr>
      <w:tr w:rsidR="00CE054C" w:rsidRPr="00404724" w14:paraId="7D906A29" w14:textId="77777777" w:rsidTr="00CE054C">
        <w:trPr>
          <w:trHeight w:val="330"/>
        </w:trPr>
        <w:tc>
          <w:tcPr>
            <w:tcW w:w="3392" w:type="dxa"/>
            <w:tcBorders>
              <w:top w:val="single" w:sz="8" w:space="0" w:color="auto"/>
              <w:left w:val="single" w:sz="8" w:space="0" w:color="auto"/>
              <w:bottom w:val="nil"/>
              <w:right w:val="nil"/>
            </w:tcBorders>
            <w:shd w:val="clear" w:color="000000" w:fill="140034"/>
            <w:noWrap/>
            <w:vAlign w:val="bottom"/>
            <w:hideMark/>
          </w:tcPr>
          <w:p w14:paraId="64F3DC71" w14:textId="77777777" w:rsidR="00CE054C" w:rsidRPr="00404724" w:rsidRDefault="00CE054C" w:rsidP="00CE054C">
            <w:pPr>
              <w:spacing w:after="0"/>
              <w:rPr>
                <w:rFonts w:ascii="Calibri" w:eastAsia="Times New Roman" w:hAnsi="Calibri" w:cs="Calibri"/>
                <w:b/>
                <w:bCs/>
                <w:color w:val="FFFFFF" w:themeColor="background1"/>
                <w:lang w:eastAsia="en-AU"/>
              </w:rPr>
            </w:pPr>
          </w:p>
        </w:tc>
        <w:tc>
          <w:tcPr>
            <w:tcW w:w="1890" w:type="dxa"/>
            <w:tcBorders>
              <w:top w:val="nil"/>
              <w:left w:val="single" w:sz="8" w:space="0" w:color="auto"/>
              <w:bottom w:val="nil"/>
              <w:right w:val="nil"/>
            </w:tcBorders>
            <w:shd w:val="clear" w:color="000000" w:fill="140034"/>
          </w:tcPr>
          <w:p w14:paraId="7A5CD5B5" w14:textId="57EDEAAC" w:rsidR="00CE054C" w:rsidRPr="00404724" w:rsidRDefault="00CE054C" w:rsidP="000A13C5">
            <w:pPr>
              <w:spacing w:after="0"/>
              <w:jc w:val="right"/>
              <w:rPr>
                <w:rFonts w:ascii="Calibri" w:eastAsia="Times New Roman" w:hAnsi="Calibri" w:cs="Calibri"/>
                <w:b/>
                <w:bCs/>
                <w:color w:val="FFFFFF" w:themeColor="background1"/>
                <w:lang w:eastAsia="en-AU"/>
              </w:rPr>
            </w:pPr>
            <w:r w:rsidRPr="00404724">
              <w:rPr>
                <w:b/>
                <w:bCs/>
                <w:color w:val="FFFFFF" w:themeColor="background1"/>
              </w:rPr>
              <w:t>Low VKT bound</w:t>
            </w:r>
          </w:p>
        </w:tc>
        <w:tc>
          <w:tcPr>
            <w:tcW w:w="1890" w:type="dxa"/>
            <w:tcBorders>
              <w:top w:val="nil"/>
              <w:left w:val="single" w:sz="8" w:space="0" w:color="auto"/>
              <w:bottom w:val="nil"/>
              <w:right w:val="single" w:sz="8" w:space="0" w:color="auto"/>
            </w:tcBorders>
            <w:shd w:val="clear" w:color="000000" w:fill="140034"/>
          </w:tcPr>
          <w:p w14:paraId="567F7351" w14:textId="7A02B53A" w:rsidR="00CE054C" w:rsidRPr="00404724" w:rsidRDefault="00CE054C" w:rsidP="000A13C5">
            <w:pPr>
              <w:spacing w:after="0"/>
              <w:jc w:val="right"/>
              <w:rPr>
                <w:rFonts w:ascii="Calibri" w:eastAsia="Times New Roman" w:hAnsi="Calibri" w:cs="Calibri"/>
                <w:b/>
                <w:bCs/>
                <w:color w:val="FFFFFF" w:themeColor="background1"/>
                <w:lang w:eastAsia="en-AU"/>
              </w:rPr>
            </w:pPr>
            <w:r w:rsidRPr="00404724">
              <w:rPr>
                <w:b/>
                <w:bCs/>
                <w:color w:val="FFFFFF" w:themeColor="background1"/>
              </w:rPr>
              <w:t>Middle VKT</w:t>
            </w:r>
          </w:p>
        </w:tc>
        <w:tc>
          <w:tcPr>
            <w:tcW w:w="1890" w:type="dxa"/>
            <w:tcBorders>
              <w:top w:val="nil"/>
              <w:left w:val="single" w:sz="8" w:space="0" w:color="auto"/>
              <w:bottom w:val="nil"/>
              <w:right w:val="single" w:sz="8" w:space="0" w:color="auto"/>
            </w:tcBorders>
            <w:shd w:val="clear" w:color="000000" w:fill="140034"/>
          </w:tcPr>
          <w:p w14:paraId="7277E049" w14:textId="7E2E398F" w:rsidR="00CE054C" w:rsidRPr="00404724" w:rsidRDefault="00CE054C" w:rsidP="000A13C5">
            <w:pPr>
              <w:spacing w:after="0"/>
              <w:jc w:val="right"/>
              <w:rPr>
                <w:rFonts w:ascii="Calibri" w:eastAsia="Times New Roman" w:hAnsi="Calibri" w:cs="Calibri"/>
                <w:b/>
                <w:bCs/>
                <w:color w:val="FFFFFF" w:themeColor="background1"/>
                <w:lang w:eastAsia="en-AU"/>
              </w:rPr>
            </w:pPr>
            <w:r w:rsidRPr="00404724">
              <w:rPr>
                <w:b/>
                <w:bCs/>
                <w:color w:val="FFFFFF" w:themeColor="background1"/>
              </w:rPr>
              <w:t>Upper VKT bound</w:t>
            </w:r>
          </w:p>
        </w:tc>
        <w:tc>
          <w:tcPr>
            <w:tcW w:w="1890" w:type="dxa"/>
            <w:tcBorders>
              <w:top w:val="nil"/>
              <w:left w:val="single" w:sz="8" w:space="0" w:color="auto"/>
              <w:bottom w:val="nil"/>
              <w:right w:val="single" w:sz="8" w:space="0" w:color="auto"/>
            </w:tcBorders>
            <w:shd w:val="clear" w:color="000000" w:fill="140034"/>
          </w:tcPr>
          <w:p w14:paraId="7BE44601" w14:textId="59AC52F5" w:rsidR="00CE054C" w:rsidRPr="00404724" w:rsidRDefault="00CE054C" w:rsidP="000A13C5">
            <w:pPr>
              <w:spacing w:after="0"/>
              <w:jc w:val="right"/>
              <w:rPr>
                <w:rFonts w:ascii="Calibri" w:eastAsia="Times New Roman" w:hAnsi="Calibri" w:cs="Calibri"/>
                <w:b/>
                <w:bCs/>
                <w:color w:val="FFFFFF" w:themeColor="background1"/>
                <w:lang w:eastAsia="en-AU"/>
              </w:rPr>
            </w:pPr>
            <w:r w:rsidRPr="00404724">
              <w:rPr>
                <w:b/>
                <w:bCs/>
                <w:color w:val="FFFFFF" w:themeColor="background1"/>
              </w:rPr>
              <w:t>Low VKT bound</w:t>
            </w:r>
          </w:p>
        </w:tc>
        <w:tc>
          <w:tcPr>
            <w:tcW w:w="1890" w:type="dxa"/>
            <w:tcBorders>
              <w:top w:val="nil"/>
              <w:left w:val="single" w:sz="8" w:space="0" w:color="auto"/>
              <w:bottom w:val="nil"/>
              <w:right w:val="single" w:sz="8" w:space="0" w:color="auto"/>
            </w:tcBorders>
            <w:shd w:val="clear" w:color="000000" w:fill="140034"/>
          </w:tcPr>
          <w:p w14:paraId="7F5E8D5E" w14:textId="2B10AC58" w:rsidR="00CE054C" w:rsidRPr="00404724" w:rsidRDefault="00CE054C" w:rsidP="000A13C5">
            <w:pPr>
              <w:spacing w:after="0"/>
              <w:jc w:val="right"/>
              <w:rPr>
                <w:rFonts w:ascii="Calibri" w:eastAsia="Times New Roman" w:hAnsi="Calibri" w:cs="Calibri"/>
                <w:b/>
                <w:bCs/>
                <w:color w:val="FFFFFF" w:themeColor="background1"/>
                <w:lang w:eastAsia="en-AU"/>
              </w:rPr>
            </w:pPr>
            <w:r w:rsidRPr="00404724">
              <w:rPr>
                <w:b/>
                <w:bCs/>
                <w:color w:val="FFFFFF" w:themeColor="background1"/>
              </w:rPr>
              <w:t>Middle VKT</w:t>
            </w:r>
          </w:p>
        </w:tc>
        <w:tc>
          <w:tcPr>
            <w:tcW w:w="1890" w:type="dxa"/>
            <w:tcBorders>
              <w:top w:val="nil"/>
              <w:left w:val="single" w:sz="8" w:space="0" w:color="auto"/>
              <w:bottom w:val="nil"/>
              <w:right w:val="nil"/>
            </w:tcBorders>
            <w:shd w:val="clear" w:color="000000" w:fill="140034"/>
          </w:tcPr>
          <w:p w14:paraId="69625CD6" w14:textId="4005162C" w:rsidR="00CE054C" w:rsidRPr="00404724" w:rsidRDefault="00CE054C" w:rsidP="000A13C5">
            <w:pPr>
              <w:spacing w:after="0"/>
              <w:jc w:val="right"/>
              <w:rPr>
                <w:rFonts w:ascii="Calibri" w:eastAsia="Times New Roman" w:hAnsi="Calibri" w:cs="Calibri"/>
                <w:b/>
                <w:bCs/>
                <w:color w:val="FFFFFF" w:themeColor="background1"/>
                <w:lang w:eastAsia="en-AU"/>
              </w:rPr>
            </w:pPr>
            <w:r w:rsidRPr="00404724">
              <w:rPr>
                <w:b/>
                <w:bCs/>
                <w:color w:val="FFFFFF" w:themeColor="background1"/>
              </w:rPr>
              <w:t>Upper VKT bound</w:t>
            </w:r>
          </w:p>
        </w:tc>
      </w:tr>
      <w:tr w:rsidR="00E234E9" w:rsidRPr="00404724" w14:paraId="40F8FF81" w14:textId="77777777" w:rsidTr="00CE054C">
        <w:trPr>
          <w:trHeight w:val="330"/>
        </w:trPr>
        <w:tc>
          <w:tcPr>
            <w:tcW w:w="3392" w:type="dxa"/>
            <w:tcBorders>
              <w:top w:val="nil"/>
              <w:left w:val="single" w:sz="8" w:space="0" w:color="auto"/>
              <w:bottom w:val="nil"/>
              <w:right w:val="nil"/>
            </w:tcBorders>
            <w:shd w:val="clear" w:color="auto" w:fill="E3F5FC" w:themeFill="accent3" w:themeFillTint="33"/>
            <w:noWrap/>
          </w:tcPr>
          <w:p w14:paraId="2845A0BB" w14:textId="77777777" w:rsidR="00E234E9" w:rsidRPr="00404724" w:rsidRDefault="00E234E9" w:rsidP="00BB5FCD">
            <w:pPr>
              <w:spacing w:after="0"/>
              <w:rPr>
                <w:rFonts w:ascii="Calibri" w:eastAsia="Times New Roman" w:hAnsi="Calibri" w:cs="Calibri"/>
                <w:i/>
                <w:iCs/>
                <w:color w:val="000000"/>
                <w:lang w:eastAsia="en-AU"/>
              </w:rPr>
            </w:pPr>
            <w:r w:rsidRPr="00404724">
              <w:rPr>
                <w:rFonts w:ascii="Calibri" w:eastAsia="Times New Roman" w:hAnsi="Calibri" w:cs="Calibri"/>
                <w:i/>
                <w:iCs/>
                <w:color w:val="000000"/>
                <w:lang w:eastAsia="en-AU"/>
              </w:rPr>
              <w:t>Central case</w:t>
            </w:r>
          </w:p>
        </w:tc>
        <w:tc>
          <w:tcPr>
            <w:tcW w:w="1890" w:type="dxa"/>
            <w:tcBorders>
              <w:top w:val="nil"/>
              <w:left w:val="single" w:sz="8" w:space="0" w:color="auto"/>
              <w:bottom w:val="nil"/>
              <w:right w:val="nil"/>
            </w:tcBorders>
            <w:shd w:val="clear" w:color="auto" w:fill="E3F5FC" w:themeFill="accent3" w:themeFillTint="33"/>
          </w:tcPr>
          <w:p w14:paraId="1233E6E6" w14:textId="77777777" w:rsidR="00E234E9" w:rsidRPr="00404724" w:rsidRDefault="00E234E9" w:rsidP="000A13C5">
            <w:pPr>
              <w:spacing w:after="0"/>
              <w:jc w:val="right"/>
              <w:rPr>
                <w:rFonts w:ascii="Calibri" w:eastAsia="Times New Roman" w:hAnsi="Calibri" w:cs="Calibri"/>
                <w:color w:val="000000"/>
                <w:lang w:eastAsia="en-AU"/>
              </w:rPr>
            </w:pPr>
            <w:r w:rsidRPr="00404724">
              <w:t>$1,964.4</w:t>
            </w:r>
          </w:p>
        </w:tc>
        <w:tc>
          <w:tcPr>
            <w:tcW w:w="1890" w:type="dxa"/>
            <w:tcBorders>
              <w:top w:val="nil"/>
              <w:left w:val="single" w:sz="8" w:space="0" w:color="auto"/>
              <w:bottom w:val="nil"/>
              <w:right w:val="single" w:sz="8" w:space="0" w:color="auto"/>
            </w:tcBorders>
            <w:shd w:val="clear" w:color="auto" w:fill="E3F5FC" w:themeFill="accent3" w:themeFillTint="33"/>
          </w:tcPr>
          <w:p w14:paraId="6C2DCB89" w14:textId="77777777" w:rsidR="00E234E9" w:rsidRPr="00404724" w:rsidRDefault="00E234E9" w:rsidP="000A13C5">
            <w:pPr>
              <w:spacing w:after="0"/>
              <w:jc w:val="right"/>
              <w:rPr>
                <w:rFonts w:ascii="Calibri" w:eastAsia="Times New Roman" w:hAnsi="Calibri" w:cs="Calibri"/>
                <w:color w:val="000000"/>
                <w:lang w:eastAsia="en-AU"/>
              </w:rPr>
            </w:pPr>
            <w:r w:rsidRPr="00404724">
              <w:t>$1,340.4</w:t>
            </w:r>
          </w:p>
        </w:tc>
        <w:tc>
          <w:tcPr>
            <w:tcW w:w="1890" w:type="dxa"/>
            <w:tcBorders>
              <w:top w:val="nil"/>
              <w:left w:val="single" w:sz="8" w:space="0" w:color="auto"/>
              <w:bottom w:val="nil"/>
              <w:right w:val="single" w:sz="8" w:space="0" w:color="auto"/>
            </w:tcBorders>
            <w:shd w:val="clear" w:color="auto" w:fill="E3F5FC" w:themeFill="accent3" w:themeFillTint="33"/>
          </w:tcPr>
          <w:p w14:paraId="33E639A3" w14:textId="77777777" w:rsidR="00E234E9" w:rsidRPr="00404724" w:rsidRDefault="00E234E9" w:rsidP="000A13C5">
            <w:pPr>
              <w:spacing w:after="0"/>
              <w:jc w:val="right"/>
              <w:rPr>
                <w:rFonts w:ascii="Calibri" w:eastAsia="Times New Roman" w:hAnsi="Calibri" w:cs="Calibri"/>
                <w:color w:val="000000"/>
                <w:lang w:eastAsia="en-AU"/>
              </w:rPr>
            </w:pPr>
            <w:r w:rsidRPr="00404724">
              <w:t>$320.3</w:t>
            </w:r>
          </w:p>
        </w:tc>
        <w:tc>
          <w:tcPr>
            <w:tcW w:w="1890" w:type="dxa"/>
            <w:tcBorders>
              <w:top w:val="nil"/>
              <w:left w:val="single" w:sz="8" w:space="0" w:color="auto"/>
              <w:bottom w:val="nil"/>
              <w:right w:val="single" w:sz="8" w:space="0" w:color="auto"/>
            </w:tcBorders>
            <w:shd w:val="clear" w:color="auto" w:fill="E3F5FC" w:themeFill="accent3" w:themeFillTint="33"/>
          </w:tcPr>
          <w:p w14:paraId="223DE73A" w14:textId="77777777" w:rsidR="00E234E9" w:rsidRPr="00404724" w:rsidRDefault="00E234E9" w:rsidP="000A13C5">
            <w:pPr>
              <w:spacing w:after="0"/>
              <w:jc w:val="right"/>
              <w:rPr>
                <w:rFonts w:ascii="Calibri" w:eastAsia="Times New Roman" w:hAnsi="Calibri" w:cs="Calibri"/>
                <w:color w:val="000000"/>
                <w:lang w:eastAsia="en-AU"/>
              </w:rPr>
            </w:pPr>
            <w:r w:rsidRPr="00404724">
              <w:t>$3,948.6</w:t>
            </w:r>
          </w:p>
        </w:tc>
        <w:tc>
          <w:tcPr>
            <w:tcW w:w="1890" w:type="dxa"/>
            <w:tcBorders>
              <w:top w:val="nil"/>
              <w:left w:val="single" w:sz="8" w:space="0" w:color="auto"/>
              <w:bottom w:val="nil"/>
              <w:right w:val="single" w:sz="8" w:space="0" w:color="auto"/>
            </w:tcBorders>
            <w:shd w:val="clear" w:color="auto" w:fill="E3F5FC" w:themeFill="accent3" w:themeFillTint="33"/>
          </w:tcPr>
          <w:p w14:paraId="3BDC5AB6" w14:textId="77777777" w:rsidR="00E234E9" w:rsidRPr="00404724" w:rsidRDefault="00E234E9" w:rsidP="000A13C5">
            <w:pPr>
              <w:spacing w:after="0"/>
              <w:jc w:val="right"/>
              <w:rPr>
                <w:rFonts w:ascii="Calibri" w:eastAsia="Times New Roman" w:hAnsi="Calibri" w:cs="Calibri"/>
                <w:color w:val="000000"/>
                <w:lang w:eastAsia="en-AU"/>
              </w:rPr>
            </w:pPr>
            <w:r w:rsidRPr="00404724">
              <w:t>$2,367.5</w:t>
            </w:r>
          </w:p>
        </w:tc>
        <w:tc>
          <w:tcPr>
            <w:tcW w:w="1890" w:type="dxa"/>
            <w:tcBorders>
              <w:top w:val="nil"/>
              <w:left w:val="single" w:sz="8" w:space="0" w:color="auto"/>
              <w:bottom w:val="nil"/>
              <w:right w:val="nil"/>
            </w:tcBorders>
            <w:shd w:val="clear" w:color="auto" w:fill="E3F5FC" w:themeFill="accent3" w:themeFillTint="33"/>
          </w:tcPr>
          <w:p w14:paraId="0F90CC44" w14:textId="77777777" w:rsidR="00E234E9" w:rsidRPr="00404724" w:rsidRDefault="00E234E9" w:rsidP="000A13C5">
            <w:pPr>
              <w:spacing w:after="0"/>
              <w:jc w:val="right"/>
              <w:rPr>
                <w:rFonts w:ascii="Calibri" w:eastAsia="Times New Roman" w:hAnsi="Calibri" w:cs="Calibri"/>
                <w:color w:val="000000"/>
                <w:lang w:eastAsia="en-AU"/>
              </w:rPr>
            </w:pPr>
            <w:r w:rsidRPr="00404724">
              <w:rPr>
                <w:color w:val="950000"/>
              </w:rPr>
              <w:t>-$214.8</w:t>
            </w:r>
          </w:p>
        </w:tc>
      </w:tr>
      <w:tr w:rsidR="00E234E9" w:rsidRPr="00404724" w14:paraId="29849D2D" w14:textId="77777777" w:rsidTr="00CE054C">
        <w:trPr>
          <w:trHeight w:val="330"/>
        </w:trPr>
        <w:tc>
          <w:tcPr>
            <w:tcW w:w="3392" w:type="dxa"/>
            <w:tcBorders>
              <w:top w:val="nil"/>
              <w:left w:val="single" w:sz="8" w:space="0" w:color="auto"/>
              <w:bottom w:val="nil"/>
              <w:right w:val="nil"/>
            </w:tcBorders>
            <w:shd w:val="clear" w:color="000000" w:fill="E4E4E4"/>
            <w:noWrap/>
          </w:tcPr>
          <w:p w14:paraId="2B6ED78C" w14:textId="77777777" w:rsidR="00E234E9" w:rsidRPr="00404724" w:rsidRDefault="00E234E9" w:rsidP="00BB5FCD">
            <w:pPr>
              <w:spacing w:after="0"/>
              <w:rPr>
                <w:rFonts w:ascii="Calibri" w:eastAsia="Times New Roman" w:hAnsi="Calibri" w:cs="Calibri"/>
                <w:i/>
                <w:iCs/>
                <w:color w:val="000000"/>
                <w:lang w:eastAsia="en-AU"/>
              </w:rPr>
            </w:pPr>
            <w:r w:rsidRPr="00404724">
              <w:rPr>
                <w:rFonts w:ascii="Calibri" w:eastAsia="Times New Roman" w:hAnsi="Calibri" w:cs="Calibri"/>
                <w:i/>
                <w:iCs/>
                <w:color w:val="000000"/>
                <w:lang w:eastAsia="en-AU"/>
              </w:rPr>
              <w:t>Discount rate</w:t>
            </w:r>
          </w:p>
        </w:tc>
        <w:tc>
          <w:tcPr>
            <w:tcW w:w="1890" w:type="dxa"/>
            <w:tcBorders>
              <w:top w:val="nil"/>
              <w:left w:val="single" w:sz="8" w:space="0" w:color="auto"/>
              <w:bottom w:val="nil"/>
              <w:right w:val="nil"/>
            </w:tcBorders>
            <w:shd w:val="clear" w:color="000000" w:fill="E4E4E4"/>
          </w:tcPr>
          <w:p w14:paraId="564FEDF9" w14:textId="77777777" w:rsidR="00E234E9" w:rsidRPr="00404724" w:rsidRDefault="00E234E9" w:rsidP="000A13C5">
            <w:pPr>
              <w:spacing w:after="0"/>
              <w:jc w:val="right"/>
              <w:rPr>
                <w:rFonts w:ascii="Calibri" w:eastAsia="Times New Roman" w:hAnsi="Calibri" w:cs="Calibri"/>
                <w:color w:val="000000"/>
                <w:lang w:eastAsia="en-AU"/>
              </w:rPr>
            </w:pPr>
          </w:p>
        </w:tc>
        <w:tc>
          <w:tcPr>
            <w:tcW w:w="1890" w:type="dxa"/>
            <w:tcBorders>
              <w:top w:val="nil"/>
              <w:left w:val="single" w:sz="8" w:space="0" w:color="auto"/>
              <w:bottom w:val="nil"/>
              <w:right w:val="single" w:sz="8" w:space="0" w:color="auto"/>
            </w:tcBorders>
            <w:shd w:val="clear" w:color="000000" w:fill="E4E4E4"/>
          </w:tcPr>
          <w:p w14:paraId="53695AAC" w14:textId="77777777" w:rsidR="00E234E9" w:rsidRPr="00404724" w:rsidRDefault="00E234E9" w:rsidP="000A13C5">
            <w:pPr>
              <w:spacing w:after="0"/>
              <w:jc w:val="right"/>
              <w:rPr>
                <w:rFonts w:ascii="Calibri" w:eastAsia="Times New Roman" w:hAnsi="Calibri" w:cs="Calibri"/>
                <w:color w:val="000000"/>
                <w:lang w:eastAsia="en-AU"/>
              </w:rPr>
            </w:pPr>
          </w:p>
        </w:tc>
        <w:tc>
          <w:tcPr>
            <w:tcW w:w="1890" w:type="dxa"/>
            <w:tcBorders>
              <w:top w:val="nil"/>
              <w:left w:val="single" w:sz="8" w:space="0" w:color="auto"/>
              <w:bottom w:val="nil"/>
              <w:right w:val="single" w:sz="8" w:space="0" w:color="auto"/>
            </w:tcBorders>
            <w:shd w:val="clear" w:color="000000" w:fill="E4E4E4"/>
          </w:tcPr>
          <w:p w14:paraId="0BC863EF" w14:textId="77777777" w:rsidR="00E234E9" w:rsidRPr="00404724" w:rsidRDefault="00E234E9" w:rsidP="000A13C5">
            <w:pPr>
              <w:spacing w:after="0"/>
              <w:jc w:val="right"/>
              <w:rPr>
                <w:rFonts w:ascii="Calibri" w:eastAsia="Times New Roman" w:hAnsi="Calibri" w:cs="Calibri"/>
                <w:color w:val="000000"/>
                <w:lang w:eastAsia="en-AU"/>
              </w:rPr>
            </w:pPr>
          </w:p>
        </w:tc>
        <w:tc>
          <w:tcPr>
            <w:tcW w:w="1890" w:type="dxa"/>
            <w:tcBorders>
              <w:top w:val="nil"/>
              <w:left w:val="single" w:sz="8" w:space="0" w:color="auto"/>
              <w:bottom w:val="nil"/>
              <w:right w:val="single" w:sz="8" w:space="0" w:color="auto"/>
            </w:tcBorders>
            <w:shd w:val="clear" w:color="000000" w:fill="E4E4E4"/>
          </w:tcPr>
          <w:p w14:paraId="21AE8D6F" w14:textId="77777777" w:rsidR="00E234E9" w:rsidRPr="00404724" w:rsidRDefault="00E234E9" w:rsidP="000A13C5">
            <w:pPr>
              <w:spacing w:after="0"/>
              <w:jc w:val="right"/>
              <w:rPr>
                <w:rFonts w:ascii="Calibri" w:eastAsia="Times New Roman" w:hAnsi="Calibri" w:cs="Calibri"/>
                <w:color w:val="000000"/>
                <w:lang w:eastAsia="en-AU"/>
              </w:rPr>
            </w:pPr>
          </w:p>
        </w:tc>
        <w:tc>
          <w:tcPr>
            <w:tcW w:w="1890" w:type="dxa"/>
            <w:tcBorders>
              <w:top w:val="nil"/>
              <w:left w:val="single" w:sz="8" w:space="0" w:color="auto"/>
              <w:bottom w:val="nil"/>
              <w:right w:val="single" w:sz="8" w:space="0" w:color="auto"/>
            </w:tcBorders>
            <w:shd w:val="clear" w:color="000000" w:fill="E4E4E4"/>
          </w:tcPr>
          <w:p w14:paraId="4074AB59" w14:textId="77777777" w:rsidR="00E234E9" w:rsidRPr="00404724" w:rsidRDefault="00E234E9" w:rsidP="000A13C5">
            <w:pPr>
              <w:spacing w:after="0"/>
              <w:jc w:val="right"/>
              <w:rPr>
                <w:rFonts w:ascii="Calibri" w:eastAsia="Times New Roman" w:hAnsi="Calibri" w:cs="Calibri"/>
                <w:color w:val="000000"/>
                <w:lang w:eastAsia="en-AU"/>
              </w:rPr>
            </w:pPr>
          </w:p>
        </w:tc>
        <w:tc>
          <w:tcPr>
            <w:tcW w:w="1890" w:type="dxa"/>
            <w:tcBorders>
              <w:top w:val="nil"/>
              <w:left w:val="single" w:sz="8" w:space="0" w:color="auto"/>
              <w:bottom w:val="nil"/>
              <w:right w:val="nil"/>
            </w:tcBorders>
            <w:shd w:val="clear" w:color="000000" w:fill="E4E4E4"/>
          </w:tcPr>
          <w:p w14:paraId="56DE4EDF" w14:textId="77777777" w:rsidR="00E234E9" w:rsidRPr="00404724" w:rsidRDefault="00E234E9" w:rsidP="000A13C5">
            <w:pPr>
              <w:spacing w:after="0"/>
              <w:jc w:val="right"/>
              <w:rPr>
                <w:rFonts w:ascii="Calibri" w:eastAsia="Times New Roman" w:hAnsi="Calibri" w:cs="Calibri"/>
                <w:color w:val="000000"/>
                <w:lang w:eastAsia="en-AU"/>
              </w:rPr>
            </w:pPr>
          </w:p>
        </w:tc>
      </w:tr>
      <w:tr w:rsidR="00E234E9" w:rsidRPr="00404724" w14:paraId="260F12E8" w14:textId="77777777" w:rsidTr="00CE054C">
        <w:trPr>
          <w:trHeight w:val="330"/>
        </w:trPr>
        <w:tc>
          <w:tcPr>
            <w:tcW w:w="3392" w:type="dxa"/>
            <w:tcBorders>
              <w:top w:val="nil"/>
              <w:left w:val="single" w:sz="8" w:space="0" w:color="auto"/>
              <w:bottom w:val="nil"/>
              <w:right w:val="nil"/>
            </w:tcBorders>
            <w:shd w:val="clear" w:color="000000" w:fill="FFFFFF"/>
            <w:noWrap/>
          </w:tcPr>
          <w:p w14:paraId="5F8E8ADB" w14:textId="77777777" w:rsidR="00E234E9" w:rsidRPr="00404724" w:rsidRDefault="00E234E9" w:rsidP="00BB5FCD">
            <w:pPr>
              <w:spacing w:after="0"/>
              <w:ind w:firstLineChars="100" w:firstLine="220"/>
              <w:rPr>
                <w:rFonts w:ascii="Calibri" w:eastAsia="Times New Roman" w:hAnsi="Calibri" w:cs="Calibri"/>
                <w:color w:val="000000"/>
                <w:lang w:eastAsia="en-AU"/>
              </w:rPr>
            </w:pPr>
            <w:r w:rsidRPr="00404724">
              <w:rPr>
                <w:rFonts w:ascii="Calibri" w:eastAsia="Times New Roman" w:hAnsi="Calibri" w:cs="Calibri"/>
                <w:color w:val="000000"/>
                <w:lang w:eastAsia="en-AU"/>
              </w:rPr>
              <w:t>3%</w:t>
            </w:r>
          </w:p>
        </w:tc>
        <w:tc>
          <w:tcPr>
            <w:tcW w:w="1890" w:type="dxa"/>
            <w:tcBorders>
              <w:top w:val="nil"/>
              <w:left w:val="single" w:sz="8" w:space="0" w:color="auto"/>
              <w:bottom w:val="nil"/>
              <w:right w:val="nil"/>
            </w:tcBorders>
            <w:shd w:val="clear" w:color="000000" w:fill="FFFFFF"/>
          </w:tcPr>
          <w:p w14:paraId="7A71E6A5" w14:textId="77777777" w:rsidR="00E234E9" w:rsidRPr="00404724" w:rsidRDefault="00E234E9" w:rsidP="000A13C5">
            <w:pPr>
              <w:spacing w:after="0"/>
              <w:jc w:val="right"/>
              <w:rPr>
                <w:rFonts w:ascii="Calibri" w:hAnsi="Calibri" w:cs="Calibri"/>
              </w:rPr>
            </w:pPr>
            <w:r w:rsidRPr="00404724">
              <w:rPr>
                <w:rFonts w:ascii="Calibri" w:hAnsi="Calibri" w:cs="Calibri"/>
              </w:rPr>
              <w:t>$2,469.8</w:t>
            </w:r>
          </w:p>
        </w:tc>
        <w:tc>
          <w:tcPr>
            <w:tcW w:w="1890" w:type="dxa"/>
            <w:tcBorders>
              <w:top w:val="nil"/>
              <w:left w:val="single" w:sz="8" w:space="0" w:color="auto"/>
              <w:bottom w:val="nil"/>
              <w:right w:val="single" w:sz="8" w:space="0" w:color="auto"/>
            </w:tcBorders>
            <w:shd w:val="clear" w:color="000000" w:fill="FFFFFF"/>
          </w:tcPr>
          <w:p w14:paraId="7EAA4824" w14:textId="77777777" w:rsidR="00E234E9" w:rsidRPr="00404724" w:rsidRDefault="00E234E9" w:rsidP="000A13C5">
            <w:pPr>
              <w:spacing w:after="0"/>
              <w:jc w:val="right"/>
              <w:rPr>
                <w:rFonts w:ascii="Calibri" w:hAnsi="Calibri" w:cs="Calibri"/>
              </w:rPr>
            </w:pPr>
            <w:r w:rsidRPr="00404724">
              <w:rPr>
                <w:rFonts w:ascii="Calibri" w:hAnsi="Calibri" w:cs="Calibri"/>
              </w:rPr>
              <w:t>$1,696.7</w:t>
            </w:r>
          </w:p>
        </w:tc>
        <w:tc>
          <w:tcPr>
            <w:tcW w:w="1890" w:type="dxa"/>
            <w:tcBorders>
              <w:top w:val="nil"/>
              <w:left w:val="single" w:sz="8" w:space="0" w:color="auto"/>
              <w:bottom w:val="nil"/>
              <w:right w:val="single" w:sz="8" w:space="0" w:color="auto"/>
            </w:tcBorders>
            <w:shd w:val="clear" w:color="000000" w:fill="FFFFFF"/>
          </w:tcPr>
          <w:p w14:paraId="659E8530" w14:textId="77777777" w:rsidR="00E234E9" w:rsidRPr="00404724" w:rsidRDefault="00E234E9" w:rsidP="000A13C5">
            <w:pPr>
              <w:spacing w:after="0"/>
              <w:jc w:val="right"/>
              <w:rPr>
                <w:rFonts w:ascii="Calibri" w:hAnsi="Calibri" w:cs="Calibri"/>
              </w:rPr>
            </w:pPr>
            <w:r w:rsidRPr="00404724">
              <w:rPr>
                <w:rFonts w:ascii="Calibri" w:hAnsi="Calibri" w:cs="Calibri"/>
              </w:rPr>
              <w:t>$432.8</w:t>
            </w:r>
          </w:p>
        </w:tc>
        <w:tc>
          <w:tcPr>
            <w:tcW w:w="1890" w:type="dxa"/>
            <w:tcBorders>
              <w:top w:val="nil"/>
              <w:left w:val="single" w:sz="8" w:space="0" w:color="auto"/>
              <w:bottom w:val="nil"/>
              <w:right w:val="single" w:sz="8" w:space="0" w:color="auto"/>
            </w:tcBorders>
            <w:shd w:val="clear" w:color="000000" w:fill="FFFFFF"/>
          </w:tcPr>
          <w:p w14:paraId="0D6862E0" w14:textId="77777777" w:rsidR="00E234E9" w:rsidRPr="00404724" w:rsidRDefault="00E234E9" w:rsidP="000A13C5">
            <w:pPr>
              <w:spacing w:after="0"/>
              <w:jc w:val="right"/>
              <w:rPr>
                <w:rFonts w:ascii="Calibri" w:hAnsi="Calibri" w:cs="Calibri"/>
              </w:rPr>
            </w:pPr>
            <w:r w:rsidRPr="00404724">
              <w:rPr>
                <w:rFonts w:ascii="Calibri" w:hAnsi="Calibri" w:cs="Calibri"/>
              </w:rPr>
              <w:t>$4,965.7</w:t>
            </w:r>
          </w:p>
        </w:tc>
        <w:tc>
          <w:tcPr>
            <w:tcW w:w="1890" w:type="dxa"/>
            <w:tcBorders>
              <w:top w:val="nil"/>
              <w:left w:val="single" w:sz="8" w:space="0" w:color="auto"/>
              <w:bottom w:val="nil"/>
              <w:right w:val="single" w:sz="8" w:space="0" w:color="auto"/>
            </w:tcBorders>
            <w:shd w:val="clear" w:color="000000" w:fill="FFFFFF"/>
          </w:tcPr>
          <w:p w14:paraId="78A5D615" w14:textId="77777777" w:rsidR="00E234E9" w:rsidRPr="00404724" w:rsidRDefault="00E234E9" w:rsidP="000A13C5">
            <w:pPr>
              <w:spacing w:after="0"/>
              <w:jc w:val="right"/>
              <w:rPr>
                <w:rFonts w:ascii="Calibri" w:hAnsi="Calibri" w:cs="Calibri"/>
              </w:rPr>
            </w:pPr>
            <w:r w:rsidRPr="00404724">
              <w:rPr>
                <w:rFonts w:ascii="Calibri" w:hAnsi="Calibri" w:cs="Calibri"/>
              </w:rPr>
              <w:t>$3,006.7</w:t>
            </w:r>
          </w:p>
        </w:tc>
        <w:tc>
          <w:tcPr>
            <w:tcW w:w="1890" w:type="dxa"/>
            <w:tcBorders>
              <w:top w:val="nil"/>
              <w:left w:val="single" w:sz="8" w:space="0" w:color="auto"/>
              <w:bottom w:val="nil"/>
              <w:right w:val="nil"/>
            </w:tcBorders>
            <w:shd w:val="clear" w:color="000000" w:fill="FFFFFF"/>
          </w:tcPr>
          <w:p w14:paraId="0D12D200" w14:textId="77777777" w:rsidR="00E234E9" w:rsidRPr="00404724" w:rsidRDefault="00E234E9" w:rsidP="000A13C5">
            <w:pPr>
              <w:spacing w:after="0"/>
              <w:jc w:val="right"/>
              <w:rPr>
                <w:rFonts w:ascii="Calibri" w:hAnsi="Calibri" w:cs="Calibri"/>
                <w:color w:val="EE0000"/>
              </w:rPr>
            </w:pPr>
            <w:r w:rsidRPr="00404724">
              <w:rPr>
                <w:rFonts w:ascii="Calibri" w:hAnsi="Calibri" w:cs="Calibri"/>
                <w:color w:val="EE0000"/>
              </w:rPr>
              <w:t>-$192.8</w:t>
            </w:r>
          </w:p>
        </w:tc>
      </w:tr>
      <w:tr w:rsidR="00E234E9" w:rsidRPr="00404724" w14:paraId="0A585ADA" w14:textId="77777777" w:rsidTr="00CE054C">
        <w:trPr>
          <w:trHeight w:val="330"/>
        </w:trPr>
        <w:tc>
          <w:tcPr>
            <w:tcW w:w="3392" w:type="dxa"/>
            <w:tcBorders>
              <w:top w:val="nil"/>
              <w:left w:val="single" w:sz="8" w:space="0" w:color="auto"/>
              <w:bottom w:val="nil"/>
              <w:right w:val="nil"/>
            </w:tcBorders>
            <w:shd w:val="clear" w:color="000000" w:fill="FFFFFF"/>
            <w:noWrap/>
          </w:tcPr>
          <w:p w14:paraId="2B551E02" w14:textId="77777777" w:rsidR="00E234E9" w:rsidRPr="00404724" w:rsidRDefault="00E234E9" w:rsidP="00BB5FCD">
            <w:pPr>
              <w:spacing w:after="0"/>
              <w:ind w:firstLineChars="100" w:firstLine="220"/>
              <w:rPr>
                <w:rFonts w:ascii="Calibri" w:eastAsia="Times New Roman" w:hAnsi="Calibri" w:cs="Calibri"/>
                <w:color w:val="000000"/>
                <w:lang w:eastAsia="en-AU"/>
              </w:rPr>
            </w:pPr>
            <w:r w:rsidRPr="00404724">
              <w:rPr>
                <w:rFonts w:ascii="Calibri" w:eastAsia="Times New Roman" w:hAnsi="Calibri" w:cs="Calibri"/>
                <w:color w:val="000000"/>
                <w:lang w:eastAsia="en-AU"/>
              </w:rPr>
              <w:t>10%</w:t>
            </w:r>
          </w:p>
        </w:tc>
        <w:tc>
          <w:tcPr>
            <w:tcW w:w="1890" w:type="dxa"/>
            <w:tcBorders>
              <w:top w:val="nil"/>
              <w:left w:val="single" w:sz="8" w:space="0" w:color="auto"/>
              <w:bottom w:val="nil"/>
              <w:right w:val="nil"/>
            </w:tcBorders>
            <w:shd w:val="clear" w:color="000000" w:fill="FFFFFF"/>
          </w:tcPr>
          <w:p w14:paraId="7B6CF064" w14:textId="77777777" w:rsidR="00E234E9" w:rsidRPr="00404724" w:rsidRDefault="00E234E9" w:rsidP="000A13C5">
            <w:pPr>
              <w:spacing w:after="0"/>
              <w:jc w:val="right"/>
              <w:rPr>
                <w:rFonts w:ascii="Calibri" w:hAnsi="Calibri" w:cs="Calibri"/>
              </w:rPr>
            </w:pPr>
            <w:r w:rsidRPr="00404724">
              <w:rPr>
                <w:rFonts w:ascii="Calibri" w:hAnsi="Calibri" w:cs="Calibri"/>
              </w:rPr>
              <w:t>$1,678.6</w:t>
            </w:r>
          </w:p>
        </w:tc>
        <w:tc>
          <w:tcPr>
            <w:tcW w:w="1890" w:type="dxa"/>
            <w:tcBorders>
              <w:top w:val="nil"/>
              <w:left w:val="single" w:sz="8" w:space="0" w:color="auto"/>
              <w:bottom w:val="nil"/>
              <w:right w:val="single" w:sz="8" w:space="0" w:color="auto"/>
            </w:tcBorders>
            <w:shd w:val="clear" w:color="000000" w:fill="FFFFFF"/>
          </w:tcPr>
          <w:p w14:paraId="1D4F18FA" w14:textId="77777777" w:rsidR="00E234E9" w:rsidRPr="00404724" w:rsidRDefault="00E234E9" w:rsidP="000A13C5">
            <w:pPr>
              <w:spacing w:after="0"/>
              <w:jc w:val="right"/>
              <w:rPr>
                <w:rFonts w:ascii="Calibri" w:hAnsi="Calibri" w:cs="Calibri"/>
              </w:rPr>
            </w:pPr>
            <w:r w:rsidRPr="00404724">
              <w:rPr>
                <w:rFonts w:ascii="Calibri" w:hAnsi="Calibri" w:cs="Calibri"/>
              </w:rPr>
              <w:t>$1,139.8</w:t>
            </w:r>
          </w:p>
        </w:tc>
        <w:tc>
          <w:tcPr>
            <w:tcW w:w="1890" w:type="dxa"/>
            <w:tcBorders>
              <w:top w:val="nil"/>
              <w:left w:val="single" w:sz="8" w:space="0" w:color="auto"/>
              <w:bottom w:val="nil"/>
              <w:right w:val="single" w:sz="8" w:space="0" w:color="auto"/>
            </w:tcBorders>
            <w:shd w:val="clear" w:color="000000" w:fill="FFFFFF"/>
          </w:tcPr>
          <w:p w14:paraId="7E7DF0FA" w14:textId="77777777" w:rsidR="00E234E9" w:rsidRPr="00404724" w:rsidRDefault="00E234E9" w:rsidP="000A13C5">
            <w:pPr>
              <w:spacing w:after="0"/>
              <w:jc w:val="right"/>
              <w:rPr>
                <w:rFonts w:ascii="Calibri" w:hAnsi="Calibri" w:cs="Calibri"/>
              </w:rPr>
            </w:pPr>
            <w:r w:rsidRPr="00404724">
              <w:rPr>
                <w:rFonts w:ascii="Calibri" w:hAnsi="Calibri" w:cs="Calibri"/>
              </w:rPr>
              <w:t>$258.8</w:t>
            </w:r>
          </w:p>
        </w:tc>
        <w:tc>
          <w:tcPr>
            <w:tcW w:w="1890" w:type="dxa"/>
            <w:tcBorders>
              <w:top w:val="nil"/>
              <w:left w:val="single" w:sz="8" w:space="0" w:color="auto"/>
              <w:bottom w:val="nil"/>
              <w:right w:val="single" w:sz="8" w:space="0" w:color="auto"/>
            </w:tcBorders>
            <w:shd w:val="clear" w:color="000000" w:fill="FFFFFF"/>
          </w:tcPr>
          <w:p w14:paraId="4092B5EF" w14:textId="77777777" w:rsidR="00E234E9" w:rsidRPr="00404724" w:rsidRDefault="00E234E9" w:rsidP="000A13C5">
            <w:pPr>
              <w:spacing w:after="0"/>
              <w:jc w:val="right"/>
              <w:rPr>
                <w:rFonts w:ascii="Calibri" w:hAnsi="Calibri" w:cs="Calibri"/>
              </w:rPr>
            </w:pPr>
            <w:r w:rsidRPr="00404724">
              <w:rPr>
                <w:rFonts w:ascii="Calibri" w:hAnsi="Calibri" w:cs="Calibri"/>
              </w:rPr>
              <w:t>$3,373.8</w:t>
            </w:r>
          </w:p>
        </w:tc>
        <w:tc>
          <w:tcPr>
            <w:tcW w:w="1890" w:type="dxa"/>
            <w:tcBorders>
              <w:top w:val="nil"/>
              <w:left w:val="single" w:sz="8" w:space="0" w:color="auto"/>
              <w:bottom w:val="nil"/>
              <w:right w:val="single" w:sz="8" w:space="0" w:color="auto"/>
            </w:tcBorders>
            <w:shd w:val="clear" w:color="000000" w:fill="FFFFFF"/>
          </w:tcPr>
          <w:p w14:paraId="575A6944" w14:textId="77777777" w:rsidR="00E234E9" w:rsidRPr="00404724" w:rsidRDefault="00E234E9" w:rsidP="000A13C5">
            <w:pPr>
              <w:spacing w:after="0"/>
              <w:jc w:val="right"/>
              <w:rPr>
                <w:rFonts w:ascii="Calibri" w:hAnsi="Calibri" w:cs="Calibri"/>
              </w:rPr>
            </w:pPr>
            <w:r w:rsidRPr="00404724">
              <w:rPr>
                <w:rFonts w:ascii="Calibri" w:hAnsi="Calibri" w:cs="Calibri"/>
              </w:rPr>
              <w:t>$2,008.3</w:t>
            </w:r>
          </w:p>
        </w:tc>
        <w:tc>
          <w:tcPr>
            <w:tcW w:w="1890" w:type="dxa"/>
            <w:tcBorders>
              <w:top w:val="nil"/>
              <w:left w:val="single" w:sz="8" w:space="0" w:color="auto"/>
              <w:bottom w:val="nil"/>
              <w:right w:val="nil"/>
            </w:tcBorders>
            <w:shd w:val="clear" w:color="000000" w:fill="FFFFFF"/>
          </w:tcPr>
          <w:p w14:paraId="42852E91" w14:textId="77777777" w:rsidR="00E234E9" w:rsidRPr="00404724" w:rsidRDefault="00E234E9" w:rsidP="000A13C5">
            <w:pPr>
              <w:spacing w:after="0"/>
              <w:jc w:val="right"/>
              <w:rPr>
                <w:rFonts w:ascii="Calibri" w:hAnsi="Calibri" w:cs="Calibri"/>
                <w:color w:val="EE0000"/>
              </w:rPr>
            </w:pPr>
            <w:r w:rsidRPr="00404724">
              <w:rPr>
                <w:rFonts w:ascii="Calibri" w:hAnsi="Calibri" w:cs="Calibri"/>
                <w:color w:val="EE0000"/>
              </w:rPr>
              <w:t>-$221.8</w:t>
            </w:r>
          </w:p>
        </w:tc>
      </w:tr>
      <w:tr w:rsidR="00E234E9" w:rsidRPr="00404724" w14:paraId="606F94AD" w14:textId="77777777" w:rsidTr="00CE054C">
        <w:trPr>
          <w:trHeight w:val="330"/>
        </w:trPr>
        <w:tc>
          <w:tcPr>
            <w:tcW w:w="3392" w:type="dxa"/>
            <w:tcBorders>
              <w:top w:val="nil"/>
              <w:left w:val="single" w:sz="8" w:space="0" w:color="auto"/>
              <w:bottom w:val="nil"/>
              <w:right w:val="nil"/>
            </w:tcBorders>
            <w:shd w:val="clear" w:color="000000" w:fill="FFFFFF"/>
            <w:noWrap/>
          </w:tcPr>
          <w:p w14:paraId="7AA21F6E" w14:textId="77777777" w:rsidR="00E234E9" w:rsidRPr="00404724" w:rsidRDefault="00E234E9" w:rsidP="00BB5FCD">
            <w:pPr>
              <w:spacing w:after="0"/>
              <w:rPr>
                <w:rFonts w:ascii="Calibri" w:eastAsia="Times New Roman" w:hAnsi="Calibri" w:cs="Calibri"/>
                <w:color w:val="000000"/>
                <w:lang w:eastAsia="en-AU"/>
              </w:rPr>
            </w:pPr>
            <w:r w:rsidRPr="00404724">
              <w:rPr>
                <w:rFonts w:ascii="Calibri" w:eastAsia="Times New Roman" w:hAnsi="Calibri" w:cs="Calibri"/>
                <w:color w:val="000000"/>
                <w:lang w:eastAsia="en-AU"/>
              </w:rPr>
              <w:t> </w:t>
            </w:r>
          </w:p>
        </w:tc>
        <w:tc>
          <w:tcPr>
            <w:tcW w:w="1890" w:type="dxa"/>
            <w:tcBorders>
              <w:top w:val="nil"/>
              <w:left w:val="single" w:sz="8" w:space="0" w:color="auto"/>
              <w:bottom w:val="nil"/>
              <w:right w:val="nil"/>
            </w:tcBorders>
            <w:shd w:val="clear" w:color="000000" w:fill="FFFFFF"/>
          </w:tcPr>
          <w:p w14:paraId="389CAEAE" w14:textId="77777777" w:rsidR="00E234E9" w:rsidRPr="00404724" w:rsidRDefault="00E234E9" w:rsidP="000A13C5">
            <w:pPr>
              <w:spacing w:after="0"/>
              <w:jc w:val="right"/>
              <w:rPr>
                <w:rFonts w:ascii="Calibri" w:eastAsia="Times New Roman" w:hAnsi="Calibri" w:cs="Calibri"/>
                <w:color w:val="000000"/>
                <w:lang w:eastAsia="en-AU"/>
              </w:rPr>
            </w:pPr>
          </w:p>
        </w:tc>
        <w:tc>
          <w:tcPr>
            <w:tcW w:w="1890" w:type="dxa"/>
            <w:tcBorders>
              <w:top w:val="nil"/>
              <w:left w:val="single" w:sz="8" w:space="0" w:color="auto"/>
              <w:bottom w:val="nil"/>
              <w:right w:val="single" w:sz="8" w:space="0" w:color="auto"/>
            </w:tcBorders>
            <w:shd w:val="clear" w:color="000000" w:fill="FFFFFF"/>
          </w:tcPr>
          <w:p w14:paraId="6DE61C74" w14:textId="77777777" w:rsidR="00E234E9" w:rsidRPr="00404724" w:rsidRDefault="00E234E9" w:rsidP="000A13C5">
            <w:pPr>
              <w:spacing w:after="0"/>
              <w:jc w:val="right"/>
              <w:rPr>
                <w:rFonts w:ascii="Calibri" w:eastAsia="Times New Roman" w:hAnsi="Calibri" w:cs="Calibri"/>
                <w:color w:val="000000"/>
                <w:lang w:eastAsia="en-AU"/>
              </w:rPr>
            </w:pPr>
          </w:p>
        </w:tc>
        <w:tc>
          <w:tcPr>
            <w:tcW w:w="1890" w:type="dxa"/>
            <w:tcBorders>
              <w:top w:val="nil"/>
              <w:left w:val="single" w:sz="8" w:space="0" w:color="auto"/>
              <w:bottom w:val="nil"/>
              <w:right w:val="single" w:sz="8" w:space="0" w:color="auto"/>
            </w:tcBorders>
            <w:shd w:val="clear" w:color="000000" w:fill="FFFFFF"/>
          </w:tcPr>
          <w:p w14:paraId="2FDE86C7" w14:textId="77777777" w:rsidR="00E234E9" w:rsidRPr="00404724" w:rsidRDefault="00E234E9" w:rsidP="000A13C5">
            <w:pPr>
              <w:spacing w:after="0"/>
              <w:jc w:val="right"/>
              <w:rPr>
                <w:rFonts w:ascii="Calibri" w:eastAsia="Times New Roman" w:hAnsi="Calibri" w:cs="Calibri"/>
                <w:color w:val="000000"/>
                <w:lang w:eastAsia="en-AU"/>
              </w:rPr>
            </w:pPr>
          </w:p>
        </w:tc>
        <w:tc>
          <w:tcPr>
            <w:tcW w:w="1890" w:type="dxa"/>
            <w:tcBorders>
              <w:top w:val="nil"/>
              <w:left w:val="single" w:sz="8" w:space="0" w:color="auto"/>
              <w:bottom w:val="nil"/>
              <w:right w:val="single" w:sz="8" w:space="0" w:color="auto"/>
            </w:tcBorders>
            <w:shd w:val="clear" w:color="000000" w:fill="FFFFFF"/>
          </w:tcPr>
          <w:p w14:paraId="06E544DB" w14:textId="77777777" w:rsidR="00E234E9" w:rsidRPr="00404724" w:rsidRDefault="00E234E9" w:rsidP="000A13C5">
            <w:pPr>
              <w:spacing w:after="0"/>
              <w:jc w:val="right"/>
              <w:rPr>
                <w:rFonts w:ascii="Calibri" w:eastAsia="Times New Roman" w:hAnsi="Calibri" w:cs="Calibri"/>
                <w:color w:val="000000"/>
                <w:lang w:eastAsia="en-AU"/>
              </w:rPr>
            </w:pPr>
          </w:p>
        </w:tc>
        <w:tc>
          <w:tcPr>
            <w:tcW w:w="1890" w:type="dxa"/>
            <w:tcBorders>
              <w:top w:val="nil"/>
              <w:left w:val="single" w:sz="8" w:space="0" w:color="auto"/>
              <w:bottom w:val="nil"/>
              <w:right w:val="single" w:sz="8" w:space="0" w:color="auto"/>
            </w:tcBorders>
            <w:shd w:val="clear" w:color="000000" w:fill="FFFFFF"/>
          </w:tcPr>
          <w:p w14:paraId="248F40C1" w14:textId="77777777" w:rsidR="00E234E9" w:rsidRPr="00404724" w:rsidRDefault="00E234E9" w:rsidP="000A13C5">
            <w:pPr>
              <w:spacing w:after="0"/>
              <w:jc w:val="right"/>
              <w:rPr>
                <w:rFonts w:ascii="Calibri" w:eastAsia="Times New Roman" w:hAnsi="Calibri" w:cs="Calibri"/>
                <w:color w:val="000000"/>
                <w:lang w:eastAsia="en-AU"/>
              </w:rPr>
            </w:pPr>
          </w:p>
        </w:tc>
        <w:tc>
          <w:tcPr>
            <w:tcW w:w="1890" w:type="dxa"/>
            <w:tcBorders>
              <w:top w:val="nil"/>
              <w:left w:val="single" w:sz="8" w:space="0" w:color="auto"/>
              <w:bottom w:val="nil"/>
              <w:right w:val="nil"/>
            </w:tcBorders>
            <w:shd w:val="clear" w:color="000000" w:fill="FFFFFF"/>
          </w:tcPr>
          <w:p w14:paraId="26B3F29F" w14:textId="77777777" w:rsidR="00E234E9" w:rsidRPr="00404724" w:rsidRDefault="00E234E9" w:rsidP="000A13C5">
            <w:pPr>
              <w:spacing w:after="0"/>
              <w:jc w:val="right"/>
              <w:rPr>
                <w:rFonts w:ascii="Calibri" w:eastAsia="Times New Roman" w:hAnsi="Calibri" w:cs="Calibri"/>
                <w:color w:val="000000"/>
                <w:lang w:eastAsia="en-AU"/>
              </w:rPr>
            </w:pPr>
          </w:p>
        </w:tc>
      </w:tr>
      <w:tr w:rsidR="00E234E9" w:rsidRPr="00404724" w14:paraId="4ECC7433" w14:textId="77777777" w:rsidTr="00CE054C">
        <w:trPr>
          <w:trHeight w:val="330"/>
        </w:trPr>
        <w:tc>
          <w:tcPr>
            <w:tcW w:w="3392" w:type="dxa"/>
            <w:tcBorders>
              <w:top w:val="nil"/>
              <w:left w:val="single" w:sz="8" w:space="0" w:color="auto"/>
              <w:bottom w:val="nil"/>
              <w:right w:val="nil"/>
            </w:tcBorders>
            <w:shd w:val="clear" w:color="000000" w:fill="E4E4E4"/>
            <w:noWrap/>
          </w:tcPr>
          <w:p w14:paraId="33A7A5A9" w14:textId="77777777" w:rsidR="00E234E9" w:rsidRPr="00404724" w:rsidRDefault="00E234E9" w:rsidP="00BB5FCD">
            <w:pPr>
              <w:spacing w:after="0"/>
              <w:rPr>
                <w:rFonts w:ascii="Calibri" w:eastAsia="Times New Roman" w:hAnsi="Calibri" w:cs="Calibri"/>
                <w:i/>
                <w:iCs/>
                <w:color w:val="000000"/>
                <w:lang w:eastAsia="en-AU"/>
              </w:rPr>
            </w:pPr>
            <w:r w:rsidRPr="00404724">
              <w:rPr>
                <w:rFonts w:ascii="Calibri" w:eastAsia="Times New Roman" w:hAnsi="Calibri" w:cs="Calibri"/>
                <w:i/>
                <w:iCs/>
                <w:color w:val="000000"/>
                <w:lang w:eastAsia="en-AU"/>
              </w:rPr>
              <w:t>Value of statistical life</w:t>
            </w:r>
          </w:p>
        </w:tc>
        <w:tc>
          <w:tcPr>
            <w:tcW w:w="1890" w:type="dxa"/>
            <w:tcBorders>
              <w:top w:val="nil"/>
              <w:left w:val="single" w:sz="8" w:space="0" w:color="auto"/>
              <w:bottom w:val="nil"/>
              <w:right w:val="nil"/>
            </w:tcBorders>
            <w:shd w:val="clear" w:color="000000" w:fill="E4E4E4"/>
          </w:tcPr>
          <w:p w14:paraId="418B250D" w14:textId="77777777" w:rsidR="00E234E9" w:rsidRPr="00404724" w:rsidRDefault="00E234E9" w:rsidP="000A13C5">
            <w:pPr>
              <w:spacing w:after="0"/>
              <w:jc w:val="right"/>
              <w:rPr>
                <w:rFonts w:ascii="Calibri" w:eastAsia="Times New Roman" w:hAnsi="Calibri" w:cs="Calibri"/>
                <w:color w:val="000000"/>
                <w:lang w:eastAsia="en-AU"/>
              </w:rPr>
            </w:pPr>
          </w:p>
        </w:tc>
        <w:tc>
          <w:tcPr>
            <w:tcW w:w="1890" w:type="dxa"/>
            <w:tcBorders>
              <w:top w:val="nil"/>
              <w:left w:val="single" w:sz="8" w:space="0" w:color="auto"/>
              <w:bottom w:val="nil"/>
              <w:right w:val="single" w:sz="8" w:space="0" w:color="auto"/>
            </w:tcBorders>
            <w:shd w:val="clear" w:color="000000" w:fill="E4E4E4"/>
          </w:tcPr>
          <w:p w14:paraId="121949B4" w14:textId="77777777" w:rsidR="00E234E9" w:rsidRPr="00404724" w:rsidRDefault="00E234E9" w:rsidP="000A13C5">
            <w:pPr>
              <w:spacing w:after="0"/>
              <w:jc w:val="right"/>
              <w:rPr>
                <w:rFonts w:ascii="Calibri" w:eastAsia="Times New Roman" w:hAnsi="Calibri" w:cs="Calibri"/>
                <w:color w:val="000000"/>
                <w:lang w:eastAsia="en-AU"/>
              </w:rPr>
            </w:pPr>
          </w:p>
        </w:tc>
        <w:tc>
          <w:tcPr>
            <w:tcW w:w="1890" w:type="dxa"/>
            <w:tcBorders>
              <w:top w:val="nil"/>
              <w:left w:val="single" w:sz="8" w:space="0" w:color="auto"/>
              <w:bottom w:val="nil"/>
              <w:right w:val="single" w:sz="8" w:space="0" w:color="auto"/>
            </w:tcBorders>
            <w:shd w:val="clear" w:color="000000" w:fill="E4E4E4"/>
          </w:tcPr>
          <w:p w14:paraId="6F2D3A08" w14:textId="77777777" w:rsidR="00E234E9" w:rsidRPr="00404724" w:rsidRDefault="00E234E9" w:rsidP="000A13C5">
            <w:pPr>
              <w:spacing w:after="0"/>
              <w:jc w:val="right"/>
              <w:rPr>
                <w:rFonts w:ascii="Calibri" w:eastAsia="Times New Roman" w:hAnsi="Calibri" w:cs="Calibri"/>
                <w:color w:val="000000"/>
                <w:lang w:eastAsia="en-AU"/>
              </w:rPr>
            </w:pPr>
          </w:p>
        </w:tc>
        <w:tc>
          <w:tcPr>
            <w:tcW w:w="1890" w:type="dxa"/>
            <w:tcBorders>
              <w:top w:val="nil"/>
              <w:left w:val="single" w:sz="8" w:space="0" w:color="auto"/>
              <w:bottom w:val="nil"/>
              <w:right w:val="single" w:sz="8" w:space="0" w:color="auto"/>
            </w:tcBorders>
            <w:shd w:val="clear" w:color="000000" w:fill="E4E4E4"/>
          </w:tcPr>
          <w:p w14:paraId="3518353A" w14:textId="77777777" w:rsidR="00E234E9" w:rsidRPr="00404724" w:rsidRDefault="00E234E9" w:rsidP="000A13C5">
            <w:pPr>
              <w:spacing w:after="0"/>
              <w:jc w:val="right"/>
              <w:rPr>
                <w:rFonts w:ascii="Calibri" w:eastAsia="Times New Roman" w:hAnsi="Calibri" w:cs="Calibri"/>
                <w:color w:val="000000"/>
                <w:lang w:eastAsia="en-AU"/>
              </w:rPr>
            </w:pPr>
          </w:p>
        </w:tc>
        <w:tc>
          <w:tcPr>
            <w:tcW w:w="1890" w:type="dxa"/>
            <w:tcBorders>
              <w:top w:val="nil"/>
              <w:left w:val="single" w:sz="8" w:space="0" w:color="auto"/>
              <w:bottom w:val="nil"/>
              <w:right w:val="single" w:sz="8" w:space="0" w:color="auto"/>
            </w:tcBorders>
            <w:shd w:val="clear" w:color="000000" w:fill="E4E4E4"/>
          </w:tcPr>
          <w:p w14:paraId="7CBEB055" w14:textId="77777777" w:rsidR="00E234E9" w:rsidRPr="00404724" w:rsidRDefault="00E234E9" w:rsidP="000A13C5">
            <w:pPr>
              <w:spacing w:after="0"/>
              <w:jc w:val="right"/>
              <w:rPr>
                <w:rFonts w:ascii="Calibri" w:eastAsia="Times New Roman" w:hAnsi="Calibri" w:cs="Calibri"/>
                <w:color w:val="000000"/>
                <w:lang w:eastAsia="en-AU"/>
              </w:rPr>
            </w:pPr>
          </w:p>
        </w:tc>
        <w:tc>
          <w:tcPr>
            <w:tcW w:w="1890" w:type="dxa"/>
            <w:tcBorders>
              <w:top w:val="nil"/>
              <w:left w:val="single" w:sz="8" w:space="0" w:color="auto"/>
              <w:bottom w:val="nil"/>
              <w:right w:val="nil"/>
            </w:tcBorders>
            <w:shd w:val="clear" w:color="000000" w:fill="E4E4E4"/>
          </w:tcPr>
          <w:p w14:paraId="3A7FAAE9" w14:textId="77777777" w:rsidR="00E234E9" w:rsidRPr="00404724" w:rsidRDefault="00E234E9" w:rsidP="000A13C5">
            <w:pPr>
              <w:spacing w:after="0"/>
              <w:jc w:val="right"/>
              <w:rPr>
                <w:rFonts w:ascii="Calibri" w:eastAsia="Times New Roman" w:hAnsi="Calibri" w:cs="Calibri"/>
                <w:color w:val="000000"/>
                <w:lang w:eastAsia="en-AU"/>
              </w:rPr>
            </w:pPr>
          </w:p>
        </w:tc>
      </w:tr>
      <w:tr w:rsidR="00E234E9" w:rsidRPr="00404724" w14:paraId="1AB4F1BE" w14:textId="77777777" w:rsidTr="00CE054C">
        <w:trPr>
          <w:trHeight w:val="330"/>
        </w:trPr>
        <w:tc>
          <w:tcPr>
            <w:tcW w:w="3392" w:type="dxa"/>
            <w:tcBorders>
              <w:top w:val="nil"/>
              <w:left w:val="single" w:sz="8" w:space="0" w:color="auto"/>
              <w:bottom w:val="nil"/>
              <w:right w:val="nil"/>
            </w:tcBorders>
            <w:shd w:val="clear" w:color="000000" w:fill="FFFFFF"/>
            <w:noWrap/>
          </w:tcPr>
          <w:p w14:paraId="1492B447" w14:textId="77777777" w:rsidR="00E234E9" w:rsidRPr="00404724" w:rsidRDefault="00E234E9" w:rsidP="00BB5FCD">
            <w:pPr>
              <w:spacing w:after="0"/>
              <w:ind w:firstLineChars="100" w:firstLine="220"/>
              <w:rPr>
                <w:rFonts w:ascii="Calibri" w:eastAsia="Times New Roman" w:hAnsi="Calibri" w:cs="Calibri"/>
                <w:color w:val="000000"/>
                <w:lang w:eastAsia="en-AU"/>
              </w:rPr>
            </w:pPr>
            <w:r w:rsidRPr="00404724">
              <w:rPr>
                <w:rFonts w:ascii="Calibri" w:eastAsia="Times New Roman" w:hAnsi="Calibri" w:cs="Calibri"/>
                <w:color w:val="000000"/>
                <w:lang w:eastAsia="en-AU"/>
              </w:rPr>
              <w:t>$3,056,003</w:t>
            </w:r>
          </w:p>
        </w:tc>
        <w:tc>
          <w:tcPr>
            <w:tcW w:w="1890" w:type="dxa"/>
            <w:tcBorders>
              <w:top w:val="nil"/>
              <w:left w:val="single" w:sz="8" w:space="0" w:color="auto"/>
              <w:bottom w:val="nil"/>
              <w:right w:val="nil"/>
            </w:tcBorders>
            <w:shd w:val="clear" w:color="000000" w:fill="FFFFFF"/>
          </w:tcPr>
          <w:p w14:paraId="5B1AC2E9" w14:textId="77777777" w:rsidR="00E234E9" w:rsidRPr="00404724" w:rsidRDefault="00E234E9" w:rsidP="000A13C5">
            <w:pPr>
              <w:spacing w:after="0"/>
              <w:jc w:val="right"/>
              <w:rPr>
                <w:rFonts w:ascii="Calibri" w:hAnsi="Calibri" w:cs="Calibri"/>
              </w:rPr>
            </w:pPr>
            <w:r w:rsidRPr="00404724">
              <w:rPr>
                <w:rFonts w:ascii="Calibri" w:hAnsi="Calibri" w:cs="Calibri"/>
              </w:rPr>
              <w:t>$1,737.6</w:t>
            </w:r>
          </w:p>
        </w:tc>
        <w:tc>
          <w:tcPr>
            <w:tcW w:w="1890" w:type="dxa"/>
            <w:tcBorders>
              <w:top w:val="nil"/>
              <w:left w:val="single" w:sz="8" w:space="0" w:color="auto"/>
              <w:bottom w:val="nil"/>
              <w:right w:val="single" w:sz="8" w:space="0" w:color="auto"/>
            </w:tcBorders>
            <w:shd w:val="clear" w:color="000000" w:fill="FFFFFF"/>
          </w:tcPr>
          <w:p w14:paraId="2CB44A8C" w14:textId="77777777" w:rsidR="00E234E9" w:rsidRPr="00404724" w:rsidRDefault="00E234E9" w:rsidP="000A13C5">
            <w:pPr>
              <w:spacing w:after="0"/>
              <w:jc w:val="right"/>
              <w:rPr>
                <w:rFonts w:ascii="Calibri" w:hAnsi="Calibri" w:cs="Calibri"/>
              </w:rPr>
            </w:pPr>
            <w:r w:rsidRPr="00404724">
              <w:rPr>
                <w:rFonts w:ascii="Calibri" w:hAnsi="Calibri" w:cs="Calibri"/>
              </w:rPr>
              <w:t>$1,113.7</w:t>
            </w:r>
          </w:p>
        </w:tc>
        <w:tc>
          <w:tcPr>
            <w:tcW w:w="1890" w:type="dxa"/>
            <w:tcBorders>
              <w:top w:val="nil"/>
              <w:left w:val="single" w:sz="8" w:space="0" w:color="auto"/>
              <w:bottom w:val="nil"/>
              <w:right w:val="single" w:sz="8" w:space="0" w:color="auto"/>
            </w:tcBorders>
            <w:shd w:val="clear" w:color="000000" w:fill="FFFFFF"/>
          </w:tcPr>
          <w:p w14:paraId="1B9CB7E6" w14:textId="77777777" w:rsidR="00E234E9" w:rsidRPr="00404724" w:rsidRDefault="00E234E9" w:rsidP="000A13C5">
            <w:pPr>
              <w:spacing w:after="0"/>
              <w:jc w:val="right"/>
              <w:rPr>
                <w:rFonts w:ascii="Calibri" w:hAnsi="Calibri" w:cs="Calibri"/>
              </w:rPr>
            </w:pPr>
            <w:r w:rsidRPr="00404724">
              <w:rPr>
                <w:rFonts w:ascii="Calibri" w:hAnsi="Calibri" w:cs="Calibri"/>
              </w:rPr>
              <w:t>$93.6</w:t>
            </w:r>
          </w:p>
        </w:tc>
        <w:tc>
          <w:tcPr>
            <w:tcW w:w="1890" w:type="dxa"/>
            <w:tcBorders>
              <w:top w:val="nil"/>
              <w:left w:val="single" w:sz="8" w:space="0" w:color="auto"/>
              <w:bottom w:val="nil"/>
              <w:right w:val="single" w:sz="8" w:space="0" w:color="auto"/>
            </w:tcBorders>
            <w:shd w:val="clear" w:color="000000" w:fill="FFFFFF"/>
          </w:tcPr>
          <w:p w14:paraId="6647C0A1" w14:textId="77777777" w:rsidR="00E234E9" w:rsidRPr="00404724" w:rsidRDefault="00E234E9" w:rsidP="000A13C5">
            <w:pPr>
              <w:spacing w:after="0"/>
              <w:jc w:val="right"/>
              <w:rPr>
                <w:rFonts w:ascii="Calibri" w:hAnsi="Calibri" w:cs="Calibri"/>
              </w:rPr>
            </w:pPr>
            <w:r w:rsidRPr="00404724">
              <w:rPr>
                <w:rFonts w:ascii="Calibri" w:hAnsi="Calibri" w:cs="Calibri"/>
              </w:rPr>
              <w:t>$3,491.1</w:t>
            </w:r>
          </w:p>
        </w:tc>
        <w:tc>
          <w:tcPr>
            <w:tcW w:w="1890" w:type="dxa"/>
            <w:tcBorders>
              <w:top w:val="nil"/>
              <w:left w:val="single" w:sz="8" w:space="0" w:color="auto"/>
              <w:bottom w:val="nil"/>
              <w:right w:val="single" w:sz="8" w:space="0" w:color="auto"/>
            </w:tcBorders>
            <w:shd w:val="clear" w:color="000000" w:fill="FFFFFF"/>
          </w:tcPr>
          <w:p w14:paraId="69B5C4AA" w14:textId="77777777" w:rsidR="00E234E9" w:rsidRPr="00404724" w:rsidRDefault="00E234E9" w:rsidP="000A13C5">
            <w:pPr>
              <w:spacing w:after="0"/>
              <w:jc w:val="right"/>
              <w:rPr>
                <w:rFonts w:ascii="Calibri" w:hAnsi="Calibri" w:cs="Calibri"/>
              </w:rPr>
            </w:pPr>
            <w:r w:rsidRPr="00404724">
              <w:rPr>
                <w:rFonts w:ascii="Calibri" w:hAnsi="Calibri" w:cs="Calibri"/>
              </w:rPr>
              <w:t>$1,910.1</w:t>
            </w:r>
          </w:p>
        </w:tc>
        <w:tc>
          <w:tcPr>
            <w:tcW w:w="1890" w:type="dxa"/>
            <w:tcBorders>
              <w:top w:val="nil"/>
              <w:left w:val="single" w:sz="8" w:space="0" w:color="auto"/>
              <w:bottom w:val="nil"/>
              <w:right w:val="nil"/>
            </w:tcBorders>
            <w:shd w:val="clear" w:color="000000" w:fill="FFFFFF"/>
          </w:tcPr>
          <w:p w14:paraId="7D46A856" w14:textId="77777777" w:rsidR="00E234E9" w:rsidRPr="00404724" w:rsidRDefault="00E234E9" w:rsidP="000A13C5">
            <w:pPr>
              <w:spacing w:after="0"/>
              <w:jc w:val="right"/>
              <w:rPr>
                <w:rFonts w:ascii="Calibri" w:hAnsi="Calibri" w:cs="Calibri"/>
              </w:rPr>
            </w:pPr>
            <w:r w:rsidRPr="00404724">
              <w:rPr>
                <w:rFonts w:ascii="Calibri" w:hAnsi="Calibri" w:cs="Calibri"/>
                <w:color w:val="EE0000"/>
              </w:rPr>
              <w:t>-$672.3</w:t>
            </w:r>
          </w:p>
        </w:tc>
      </w:tr>
      <w:tr w:rsidR="00E234E9" w:rsidRPr="00404724" w14:paraId="5948F26E" w14:textId="77777777" w:rsidTr="00CE054C">
        <w:trPr>
          <w:trHeight w:val="330"/>
        </w:trPr>
        <w:tc>
          <w:tcPr>
            <w:tcW w:w="3392" w:type="dxa"/>
            <w:tcBorders>
              <w:top w:val="nil"/>
              <w:left w:val="single" w:sz="8" w:space="0" w:color="auto"/>
              <w:bottom w:val="nil"/>
              <w:right w:val="nil"/>
            </w:tcBorders>
            <w:shd w:val="clear" w:color="000000" w:fill="FFFFFF"/>
            <w:noWrap/>
          </w:tcPr>
          <w:p w14:paraId="2AAABB4D" w14:textId="77777777" w:rsidR="00E234E9" w:rsidRPr="00404724" w:rsidRDefault="00E234E9" w:rsidP="00BB5FCD">
            <w:pPr>
              <w:spacing w:after="0"/>
              <w:ind w:firstLineChars="100" w:firstLine="220"/>
              <w:rPr>
                <w:rFonts w:ascii="Calibri" w:eastAsia="Times New Roman" w:hAnsi="Calibri" w:cs="Calibri"/>
                <w:color w:val="000000"/>
                <w:lang w:eastAsia="en-AU"/>
              </w:rPr>
            </w:pPr>
          </w:p>
        </w:tc>
        <w:tc>
          <w:tcPr>
            <w:tcW w:w="1890" w:type="dxa"/>
            <w:tcBorders>
              <w:top w:val="nil"/>
              <w:left w:val="single" w:sz="8" w:space="0" w:color="auto"/>
              <w:bottom w:val="nil"/>
              <w:right w:val="nil"/>
            </w:tcBorders>
            <w:shd w:val="clear" w:color="000000" w:fill="FFFFFF"/>
          </w:tcPr>
          <w:p w14:paraId="72E03211" w14:textId="77777777" w:rsidR="00E234E9" w:rsidRPr="00404724" w:rsidRDefault="00E234E9" w:rsidP="000A13C5">
            <w:pPr>
              <w:spacing w:after="0"/>
              <w:jc w:val="right"/>
              <w:rPr>
                <w:rFonts w:ascii="Calibri" w:hAnsi="Calibri" w:cs="Calibri"/>
              </w:rPr>
            </w:pPr>
          </w:p>
        </w:tc>
        <w:tc>
          <w:tcPr>
            <w:tcW w:w="1890" w:type="dxa"/>
            <w:tcBorders>
              <w:top w:val="nil"/>
              <w:left w:val="single" w:sz="8" w:space="0" w:color="auto"/>
              <w:bottom w:val="nil"/>
              <w:right w:val="single" w:sz="8" w:space="0" w:color="auto"/>
            </w:tcBorders>
            <w:shd w:val="clear" w:color="000000" w:fill="FFFFFF"/>
          </w:tcPr>
          <w:p w14:paraId="1DED9FC1" w14:textId="77777777" w:rsidR="00E234E9" w:rsidRPr="00404724" w:rsidRDefault="00E234E9" w:rsidP="000A13C5">
            <w:pPr>
              <w:spacing w:after="0"/>
              <w:jc w:val="right"/>
              <w:rPr>
                <w:rFonts w:ascii="Calibri" w:hAnsi="Calibri" w:cs="Calibri"/>
              </w:rPr>
            </w:pPr>
          </w:p>
        </w:tc>
        <w:tc>
          <w:tcPr>
            <w:tcW w:w="1890" w:type="dxa"/>
            <w:tcBorders>
              <w:top w:val="nil"/>
              <w:left w:val="single" w:sz="8" w:space="0" w:color="auto"/>
              <w:bottom w:val="nil"/>
              <w:right w:val="single" w:sz="8" w:space="0" w:color="auto"/>
            </w:tcBorders>
            <w:shd w:val="clear" w:color="000000" w:fill="FFFFFF"/>
          </w:tcPr>
          <w:p w14:paraId="4016600B" w14:textId="77777777" w:rsidR="00E234E9" w:rsidRPr="00404724" w:rsidRDefault="00E234E9" w:rsidP="000A13C5">
            <w:pPr>
              <w:spacing w:after="0"/>
              <w:jc w:val="right"/>
              <w:rPr>
                <w:rFonts w:ascii="Calibri" w:hAnsi="Calibri" w:cs="Calibri"/>
              </w:rPr>
            </w:pPr>
          </w:p>
        </w:tc>
        <w:tc>
          <w:tcPr>
            <w:tcW w:w="1890" w:type="dxa"/>
            <w:tcBorders>
              <w:top w:val="nil"/>
              <w:left w:val="single" w:sz="8" w:space="0" w:color="auto"/>
              <w:bottom w:val="nil"/>
              <w:right w:val="single" w:sz="8" w:space="0" w:color="auto"/>
            </w:tcBorders>
            <w:shd w:val="clear" w:color="000000" w:fill="FFFFFF"/>
          </w:tcPr>
          <w:p w14:paraId="356F50ED" w14:textId="77777777" w:rsidR="00E234E9" w:rsidRPr="00404724" w:rsidRDefault="00E234E9" w:rsidP="000A13C5">
            <w:pPr>
              <w:spacing w:after="0"/>
              <w:jc w:val="right"/>
              <w:rPr>
                <w:rFonts w:ascii="Calibri" w:hAnsi="Calibri" w:cs="Calibri"/>
              </w:rPr>
            </w:pPr>
          </w:p>
        </w:tc>
        <w:tc>
          <w:tcPr>
            <w:tcW w:w="1890" w:type="dxa"/>
            <w:tcBorders>
              <w:top w:val="nil"/>
              <w:left w:val="single" w:sz="8" w:space="0" w:color="auto"/>
              <w:bottom w:val="nil"/>
              <w:right w:val="single" w:sz="8" w:space="0" w:color="auto"/>
            </w:tcBorders>
            <w:shd w:val="clear" w:color="000000" w:fill="FFFFFF"/>
          </w:tcPr>
          <w:p w14:paraId="0A806027" w14:textId="77777777" w:rsidR="00E234E9" w:rsidRPr="00404724" w:rsidRDefault="00E234E9" w:rsidP="000A13C5">
            <w:pPr>
              <w:spacing w:after="0"/>
              <w:jc w:val="right"/>
              <w:rPr>
                <w:rFonts w:ascii="Calibri" w:hAnsi="Calibri" w:cs="Calibri"/>
              </w:rPr>
            </w:pPr>
          </w:p>
        </w:tc>
        <w:tc>
          <w:tcPr>
            <w:tcW w:w="1890" w:type="dxa"/>
            <w:tcBorders>
              <w:top w:val="nil"/>
              <w:left w:val="single" w:sz="8" w:space="0" w:color="auto"/>
              <w:bottom w:val="nil"/>
              <w:right w:val="nil"/>
            </w:tcBorders>
            <w:shd w:val="clear" w:color="000000" w:fill="FFFFFF"/>
          </w:tcPr>
          <w:p w14:paraId="79F579A7" w14:textId="77777777" w:rsidR="00E234E9" w:rsidRPr="00404724" w:rsidRDefault="00E234E9" w:rsidP="000A13C5">
            <w:pPr>
              <w:spacing w:after="0"/>
              <w:jc w:val="right"/>
              <w:rPr>
                <w:rFonts w:ascii="Calibri" w:hAnsi="Calibri" w:cs="Calibri"/>
              </w:rPr>
            </w:pPr>
          </w:p>
        </w:tc>
      </w:tr>
      <w:tr w:rsidR="00E234E9" w:rsidRPr="00404724" w14:paraId="7D31F082" w14:textId="77777777" w:rsidTr="00CE054C">
        <w:trPr>
          <w:trHeight w:val="330"/>
        </w:trPr>
        <w:tc>
          <w:tcPr>
            <w:tcW w:w="3392" w:type="dxa"/>
            <w:tcBorders>
              <w:top w:val="nil"/>
              <w:left w:val="single" w:sz="8" w:space="0" w:color="auto"/>
              <w:bottom w:val="nil"/>
              <w:right w:val="nil"/>
            </w:tcBorders>
            <w:shd w:val="clear" w:color="auto" w:fill="D9D9D9" w:themeFill="background1" w:themeFillShade="D9"/>
            <w:noWrap/>
          </w:tcPr>
          <w:p w14:paraId="5E893C0D" w14:textId="77777777" w:rsidR="00E234E9" w:rsidRPr="00404724" w:rsidRDefault="00E234E9" w:rsidP="00BB5FCD">
            <w:pPr>
              <w:spacing w:after="0"/>
              <w:rPr>
                <w:rFonts w:ascii="Calibri" w:eastAsia="Times New Roman" w:hAnsi="Calibri" w:cs="Calibri"/>
                <w:color w:val="000000"/>
                <w:lang w:eastAsia="en-AU"/>
              </w:rPr>
            </w:pPr>
            <w:r w:rsidRPr="00404724">
              <w:rPr>
                <w:rFonts w:ascii="Calibri" w:eastAsia="Times New Roman" w:hAnsi="Calibri" w:cs="Calibri"/>
                <w:i/>
                <w:iCs/>
                <w:color w:val="000000"/>
                <w:lang w:eastAsia="en-AU"/>
              </w:rPr>
              <w:t>Inclusion of minor injuries</w:t>
            </w:r>
          </w:p>
        </w:tc>
        <w:tc>
          <w:tcPr>
            <w:tcW w:w="1890" w:type="dxa"/>
            <w:tcBorders>
              <w:top w:val="nil"/>
              <w:left w:val="single" w:sz="8" w:space="0" w:color="auto"/>
              <w:bottom w:val="nil"/>
              <w:right w:val="nil"/>
            </w:tcBorders>
            <w:shd w:val="clear" w:color="auto" w:fill="D9D9D9" w:themeFill="background1" w:themeFillShade="D9"/>
          </w:tcPr>
          <w:p w14:paraId="51D1B39C" w14:textId="77777777" w:rsidR="00E234E9" w:rsidRPr="00404724" w:rsidRDefault="00E234E9" w:rsidP="000A13C5">
            <w:pPr>
              <w:spacing w:after="0"/>
              <w:jc w:val="right"/>
              <w:rPr>
                <w:rFonts w:ascii="Calibri" w:hAnsi="Calibri" w:cs="Calibri"/>
              </w:rPr>
            </w:pPr>
          </w:p>
        </w:tc>
        <w:tc>
          <w:tcPr>
            <w:tcW w:w="1890" w:type="dxa"/>
            <w:tcBorders>
              <w:top w:val="nil"/>
              <w:left w:val="single" w:sz="8" w:space="0" w:color="auto"/>
              <w:bottom w:val="nil"/>
              <w:right w:val="single" w:sz="8" w:space="0" w:color="auto"/>
            </w:tcBorders>
            <w:shd w:val="clear" w:color="auto" w:fill="D9D9D9" w:themeFill="background1" w:themeFillShade="D9"/>
          </w:tcPr>
          <w:p w14:paraId="74E44F4B" w14:textId="77777777" w:rsidR="00E234E9" w:rsidRPr="00404724" w:rsidRDefault="00E234E9" w:rsidP="000A13C5">
            <w:pPr>
              <w:spacing w:after="0"/>
              <w:jc w:val="right"/>
              <w:rPr>
                <w:rFonts w:ascii="Calibri" w:hAnsi="Calibri" w:cs="Calibri"/>
              </w:rPr>
            </w:pPr>
          </w:p>
        </w:tc>
        <w:tc>
          <w:tcPr>
            <w:tcW w:w="1890" w:type="dxa"/>
            <w:tcBorders>
              <w:top w:val="nil"/>
              <w:left w:val="single" w:sz="8" w:space="0" w:color="auto"/>
              <w:bottom w:val="nil"/>
              <w:right w:val="single" w:sz="8" w:space="0" w:color="auto"/>
            </w:tcBorders>
            <w:shd w:val="clear" w:color="auto" w:fill="D9D9D9" w:themeFill="background1" w:themeFillShade="D9"/>
          </w:tcPr>
          <w:p w14:paraId="75C2F876" w14:textId="77777777" w:rsidR="00E234E9" w:rsidRPr="00404724" w:rsidRDefault="00E234E9" w:rsidP="000A13C5">
            <w:pPr>
              <w:spacing w:after="0"/>
              <w:jc w:val="right"/>
              <w:rPr>
                <w:rFonts w:ascii="Calibri" w:hAnsi="Calibri" w:cs="Calibri"/>
              </w:rPr>
            </w:pPr>
          </w:p>
        </w:tc>
        <w:tc>
          <w:tcPr>
            <w:tcW w:w="1890" w:type="dxa"/>
            <w:tcBorders>
              <w:top w:val="nil"/>
              <w:left w:val="single" w:sz="8" w:space="0" w:color="auto"/>
              <w:bottom w:val="nil"/>
              <w:right w:val="single" w:sz="8" w:space="0" w:color="auto"/>
            </w:tcBorders>
            <w:shd w:val="clear" w:color="auto" w:fill="D9D9D9" w:themeFill="background1" w:themeFillShade="D9"/>
          </w:tcPr>
          <w:p w14:paraId="53C2CFC3" w14:textId="77777777" w:rsidR="00E234E9" w:rsidRPr="00404724" w:rsidRDefault="00E234E9" w:rsidP="000A13C5">
            <w:pPr>
              <w:spacing w:after="0"/>
              <w:jc w:val="right"/>
              <w:rPr>
                <w:rFonts w:ascii="Calibri" w:hAnsi="Calibri" w:cs="Calibri"/>
              </w:rPr>
            </w:pPr>
          </w:p>
        </w:tc>
        <w:tc>
          <w:tcPr>
            <w:tcW w:w="1890" w:type="dxa"/>
            <w:tcBorders>
              <w:top w:val="nil"/>
              <w:left w:val="single" w:sz="8" w:space="0" w:color="auto"/>
              <w:bottom w:val="nil"/>
              <w:right w:val="single" w:sz="8" w:space="0" w:color="auto"/>
            </w:tcBorders>
            <w:shd w:val="clear" w:color="auto" w:fill="D9D9D9" w:themeFill="background1" w:themeFillShade="D9"/>
          </w:tcPr>
          <w:p w14:paraId="73A94048" w14:textId="77777777" w:rsidR="00E234E9" w:rsidRPr="00404724" w:rsidRDefault="00E234E9" w:rsidP="000A13C5">
            <w:pPr>
              <w:spacing w:after="0"/>
              <w:jc w:val="right"/>
              <w:rPr>
                <w:rFonts w:ascii="Calibri" w:hAnsi="Calibri" w:cs="Calibri"/>
              </w:rPr>
            </w:pPr>
          </w:p>
        </w:tc>
        <w:tc>
          <w:tcPr>
            <w:tcW w:w="1890" w:type="dxa"/>
            <w:tcBorders>
              <w:top w:val="nil"/>
              <w:left w:val="single" w:sz="8" w:space="0" w:color="auto"/>
              <w:bottom w:val="nil"/>
              <w:right w:val="nil"/>
            </w:tcBorders>
            <w:shd w:val="clear" w:color="auto" w:fill="D9D9D9" w:themeFill="background1" w:themeFillShade="D9"/>
          </w:tcPr>
          <w:p w14:paraId="3F13FF32" w14:textId="77777777" w:rsidR="00E234E9" w:rsidRPr="00404724" w:rsidRDefault="00E234E9" w:rsidP="000A13C5">
            <w:pPr>
              <w:spacing w:after="0"/>
              <w:jc w:val="right"/>
              <w:rPr>
                <w:rFonts w:ascii="Calibri" w:hAnsi="Calibri" w:cs="Calibri"/>
              </w:rPr>
            </w:pPr>
          </w:p>
        </w:tc>
      </w:tr>
      <w:tr w:rsidR="00E234E9" w:rsidRPr="00404724" w14:paraId="2AF6300E" w14:textId="77777777" w:rsidTr="00CE054C">
        <w:trPr>
          <w:trHeight w:val="330"/>
        </w:trPr>
        <w:tc>
          <w:tcPr>
            <w:tcW w:w="3392" w:type="dxa"/>
            <w:tcBorders>
              <w:top w:val="nil"/>
              <w:left w:val="single" w:sz="8" w:space="0" w:color="auto"/>
              <w:bottom w:val="nil"/>
              <w:right w:val="nil"/>
            </w:tcBorders>
            <w:shd w:val="clear" w:color="000000" w:fill="FFFFFF"/>
            <w:noWrap/>
            <w:hideMark/>
          </w:tcPr>
          <w:p w14:paraId="7FE4B923" w14:textId="77777777" w:rsidR="00E234E9" w:rsidRPr="00404724" w:rsidRDefault="00E234E9" w:rsidP="00BB5FCD">
            <w:pPr>
              <w:spacing w:after="0"/>
              <w:rPr>
                <w:rFonts w:ascii="Calibri" w:eastAsia="Times New Roman" w:hAnsi="Calibri" w:cs="Calibri"/>
                <w:color w:val="000000"/>
                <w:lang w:eastAsia="en-AU"/>
              </w:rPr>
            </w:pPr>
            <w:r w:rsidRPr="00404724">
              <w:rPr>
                <w:rFonts w:ascii="Calibri" w:eastAsia="Times New Roman" w:hAnsi="Calibri" w:cs="Calibri"/>
                <w:color w:val="000000"/>
                <w:lang w:eastAsia="en-AU"/>
              </w:rPr>
              <w:t>Including minor injuries</w:t>
            </w:r>
          </w:p>
        </w:tc>
        <w:tc>
          <w:tcPr>
            <w:tcW w:w="1890" w:type="dxa"/>
            <w:tcBorders>
              <w:top w:val="nil"/>
              <w:left w:val="single" w:sz="8" w:space="0" w:color="auto"/>
              <w:bottom w:val="nil"/>
              <w:right w:val="nil"/>
            </w:tcBorders>
            <w:shd w:val="clear" w:color="000000" w:fill="FFFFFF"/>
          </w:tcPr>
          <w:p w14:paraId="049F751F" w14:textId="77777777" w:rsidR="00E234E9" w:rsidRPr="00404724" w:rsidRDefault="00E234E9" w:rsidP="000A13C5">
            <w:pPr>
              <w:spacing w:after="0"/>
              <w:jc w:val="right"/>
              <w:rPr>
                <w:rFonts w:ascii="Calibri" w:eastAsia="Times New Roman" w:hAnsi="Calibri" w:cs="Calibri"/>
                <w:color w:val="000000"/>
                <w:lang w:eastAsia="en-AU"/>
              </w:rPr>
            </w:pPr>
            <w:r w:rsidRPr="00404724">
              <w:rPr>
                <w:rFonts w:ascii="Calibri" w:eastAsia="Times New Roman" w:hAnsi="Calibri" w:cs="Calibri"/>
                <w:color w:val="000000"/>
                <w:lang w:eastAsia="en-AU"/>
              </w:rPr>
              <w:t>$2,149.0</w:t>
            </w:r>
          </w:p>
        </w:tc>
        <w:tc>
          <w:tcPr>
            <w:tcW w:w="1890" w:type="dxa"/>
            <w:tcBorders>
              <w:top w:val="nil"/>
              <w:left w:val="single" w:sz="8" w:space="0" w:color="auto"/>
              <w:bottom w:val="nil"/>
              <w:right w:val="single" w:sz="8" w:space="0" w:color="auto"/>
            </w:tcBorders>
            <w:shd w:val="clear" w:color="000000" w:fill="FFFFFF"/>
          </w:tcPr>
          <w:p w14:paraId="745CCE0C" w14:textId="77777777" w:rsidR="00E234E9" w:rsidRPr="00404724" w:rsidRDefault="00E234E9" w:rsidP="000A13C5">
            <w:pPr>
              <w:spacing w:after="0"/>
              <w:jc w:val="right"/>
              <w:rPr>
                <w:rFonts w:ascii="Calibri" w:eastAsia="Times New Roman" w:hAnsi="Calibri" w:cs="Calibri"/>
                <w:color w:val="000000"/>
                <w:lang w:eastAsia="en-AU"/>
              </w:rPr>
            </w:pPr>
            <w:r w:rsidRPr="00404724">
              <w:rPr>
                <w:rFonts w:ascii="Calibri" w:eastAsia="Times New Roman" w:hAnsi="Calibri" w:cs="Calibri"/>
                <w:color w:val="000000"/>
                <w:lang w:eastAsia="en-AU"/>
              </w:rPr>
              <w:t>$1,525.1</w:t>
            </w:r>
          </w:p>
        </w:tc>
        <w:tc>
          <w:tcPr>
            <w:tcW w:w="1890" w:type="dxa"/>
            <w:tcBorders>
              <w:top w:val="nil"/>
              <w:left w:val="single" w:sz="8" w:space="0" w:color="auto"/>
              <w:bottom w:val="nil"/>
              <w:right w:val="single" w:sz="8" w:space="0" w:color="auto"/>
            </w:tcBorders>
            <w:shd w:val="clear" w:color="000000" w:fill="FFFFFF"/>
          </w:tcPr>
          <w:p w14:paraId="27598D82" w14:textId="77777777" w:rsidR="00E234E9" w:rsidRPr="00404724" w:rsidRDefault="00E234E9" w:rsidP="000A13C5">
            <w:pPr>
              <w:spacing w:after="0"/>
              <w:jc w:val="right"/>
              <w:rPr>
                <w:rFonts w:ascii="Calibri" w:eastAsia="Times New Roman" w:hAnsi="Calibri" w:cs="Calibri"/>
                <w:color w:val="000000"/>
                <w:lang w:eastAsia="en-AU"/>
              </w:rPr>
            </w:pPr>
            <w:r w:rsidRPr="00404724">
              <w:rPr>
                <w:rFonts w:ascii="Calibri" w:eastAsia="Times New Roman" w:hAnsi="Calibri" w:cs="Calibri"/>
                <w:color w:val="000000"/>
                <w:lang w:eastAsia="en-AU"/>
              </w:rPr>
              <w:t>$505.0</w:t>
            </w:r>
          </w:p>
        </w:tc>
        <w:tc>
          <w:tcPr>
            <w:tcW w:w="1890" w:type="dxa"/>
            <w:tcBorders>
              <w:top w:val="nil"/>
              <w:left w:val="single" w:sz="8" w:space="0" w:color="auto"/>
              <w:bottom w:val="nil"/>
              <w:right w:val="single" w:sz="8" w:space="0" w:color="auto"/>
            </w:tcBorders>
            <w:shd w:val="clear" w:color="000000" w:fill="FFFFFF"/>
          </w:tcPr>
          <w:p w14:paraId="3196847A" w14:textId="77777777" w:rsidR="00E234E9" w:rsidRPr="00404724" w:rsidRDefault="00E234E9" w:rsidP="000A13C5">
            <w:pPr>
              <w:spacing w:after="0"/>
              <w:jc w:val="right"/>
              <w:rPr>
                <w:rFonts w:ascii="Calibri" w:eastAsia="Times New Roman" w:hAnsi="Calibri" w:cs="Calibri"/>
                <w:color w:val="000000"/>
                <w:lang w:eastAsia="en-AU"/>
              </w:rPr>
            </w:pPr>
            <w:r w:rsidRPr="00404724">
              <w:rPr>
                <w:rFonts w:ascii="Calibri" w:eastAsia="Times New Roman" w:hAnsi="Calibri" w:cs="Calibri"/>
                <w:color w:val="000000"/>
                <w:lang w:eastAsia="en-AU"/>
              </w:rPr>
              <w:t>$4,339.2</w:t>
            </w:r>
          </w:p>
        </w:tc>
        <w:tc>
          <w:tcPr>
            <w:tcW w:w="1890" w:type="dxa"/>
            <w:tcBorders>
              <w:top w:val="nil"/>
              <w:left w:val="single" w:sz="8" w:space="0" w:color="auto"/>
              <w:bottom w:val="nil"/>
              <w:right w:val="single" w:sz="8" w:space="0" w:color="auto"/>
            </w:tcBorders>
            <w:shd w:val="clear" w:color="000000" w:fill="FFFFFF"/>
          </w:tcPr>
          <w:p w14:paraId="76650466" w14:textId="77777777" w:rsidR="00E234E9" w:rsidRPr="00404724" w:rsidRDefault="00E234E9" w:rsidP="000A13C5">
            <w:pPr>
              <w:spacing w:after="0"/>
              <w:jc w:val="right"/>
              <w:rPr>
                <w:rFonts w:ascii="Calibri" w:eastAsia="Times New Roman" w:hAnsi="Calibri" w:cs="Calibri"/>
                <w:color w:val="000000"/>
                <w:lang w:eastAsia="en-AU"/>
              </w:rPr>
            </w:pPr>
            <w:r w:rsidRPr="00404724">
              <w:rPr>
                <w:rFonts w:ascii="Calibri" w:eastAsia="Times New Roman" w:hAnsi="Calibri" w:cs="Calibri"/>
                <w:color w:val="000000"/>
                <w:lang w:eastAsia="en-AU"/>
              </w:rPr>
              <w:t>$2,758.1</w:t>
            </w:r>
          </w:p>
        </w:tc>
        <w:tc>
          <w:tcPr>
            <w:tcW w:w="1890" w:type="dxa"/>
            <w:tcBorders>
              <w:top w:val="nil"/>
              <w:left w:val="single" w:sz="8" w:space="0" w:color="auto"/>
              <w:bottom w:val="nil"/>
              <w:right w:val="nil"/>
            </w:tcBorders>
            <w:shd w:val="clear" w:color="000000" w:fill="FFFFFF"/>
          </w:tcPr>
          <w:p w14:paraId="1C66B338" w14:textId="77777777" w:rsidR="00E234E9" w:rsidRPr="00404724" w:rsidRDefault="00E234E9" w:rsidP="000A13C5">
            <w:pPr>
              <w:spacing w:after="0"/>
              <w:jc w:val="right"/>
              <w:rPr>
                <w:rFonts w:ascii="Calibri" w:eastAsia="Times New Roman" w:hAnsi="Calibri" w:cs="Calibri"/>
                <w:color w:val="000000"/>
                <w:lang w:eastAsia="en-AU"/>
              </w:rPr>
            </w:pPr>
            <w:r w:rsidRPr="00404724">
              <w:rPr>
                <w:rFonts w:ascii="Calibri" w:eastAsia="Times New Roman" w:hAnsi="Calibri" w:cs="Calibri"/>
                <w:color w:val="000000"/>
                <w:lang w:eastAsia="en-AU"/>
              </w:rPr>
              <w:t>$175.8</w:t>
            </w:r>
          </w:p>
        </w:tc>
      </w:tr>
      <w:tr w:rsidR="00E234E9" w:rsidRPr="00404724" w14:paraId="328F7ABC" w14:textId="77777777" w:rsidTr="00CE054C">
        <w:trPr>
          <w:trHeight w:val="330"/>
        </w:trPr>
        <w:tc>
          <w:tcPr>
            <w:tcW w:w="3392" w:type="dxa"/>
            <w:tcBorders>
              <w:top w:val="nil"/>
              <w:left w:val="single" w:sz="8" w:space="0" w:color="auto"/>
              <w:bottom w:val="nil"/>
              <w:right w:val="nil"/>
            </w:tcBorders>
            <w:shd w:val="clear" w:color="000000" w:fill="FFFFFF"/>
            <w:noWrap/>
          </w:tcPr>
          <w:p w14:paraId="419E5237" w14:textId="77777777" w:rsidR="00E234E9" w:rsidRPr="00404724" w:rsidRDefault="00E234E9" w:rsidP="00BB5FCD">
            <w:pPr>
              <w:spacing w:after="0"/>
              <w:rPr>
                <w:rFonts w:ascii="Calibri" w:eastAsia="Times New Roman" w:hAnsi="Calibri" w:cs="Calibri"/>
                <w:color w:val="000000"/>
                <w:lang w:eastAsia="en-AU"/>
              </w:rPr>
            </w:pPr>
          </w:p>
        </w:tc>
        <w:tc>
          <w:tcPr>
            <w:tcW w:w="1890" w:type="dxa"/>
            <w:tcBorders>
              <w:top w:val="nil"/>
              <w:left w:val="single" w:sz="8" w:space="0" w:color="auto"/>
              <w:bottom w:val="nil"/>
              <w:right w:val="nil"/>
            </w:tcBorders>
            <w:shd w:val="clear" w:color="000000" w:fill="FFFFFF"/>
          </w:tcPr>
          <w:p w14:paraId="71C4EC9B" w14:textId="77777777" w:rsidR="00E234E9" w:rsidRPr="00404724" w:rsidRDefault="00E234E9" w:rsidP="000A13C5">
            <w:pPr>
              <w:spacing w:after="0"/>
              <w:jc w:val="right"/>
              <w:rPr>
                <w:rFonts w:ascii="Calibri" w:eastAsia="Times New Roman" w:hAnsi="Calibri" w:cs="Calibri"/>
                <w:color w:val="000000"/>
                <w:lang w:eastAsia="en-AU"/>
              </w:rPr>
            </w:pPr>
          </w:p>
        </w:tc>
        <w:tc>
          <w:tcPr>
            <w:tcW w:w="1890" w:type="dxa"/>
            <w:tcBorders>
              <w:top w:val="nil"/>
              <w:left w:val="single" w:sz="8" w:space="0" w:color="auto"/>
              <w:bottom w:val="nil"/>
              <w:right w:val="single" w:sz="8" w:space="0" w:color="auto"/>
            </w:tcBorders>
            <w:shd w:val="clear" w:color="000000" w:fill="FFFFFF"/>
          </w:tcPr>
          <w:p w14:paraId="2AB5F457" w14:textId="77777777" w:rsidR="00E234E9" w:rsidRPr="00404724" w:rsidRDefault="00E234E9" w:rsidP="000A13C5">
            <w:pPr>
              <w:spacing w:after="0"/>
              <w:jc w:val="right"/>
              <w:rPr>
                <w:rFonts w:ascii="Calibri" w:eastAsia="Times New Roman" w:hAnsi="Calibri" w:cs="Calibri"/>
                <w:color w:val="000000"/>
                <w:lang w:eastAsia="en-AU"/>
              </w:rPr>
            </w:pPr>
          </w:p>
        </w:tc>
        <w:tc>
          <w:tcPr>
            <w:tcW w:w="1890" w:type="dxa"/>
            <w:tcBorders>
              <w:top w:val="nil"/>
              <w:left w:val="single" w:sz="8" w:space="0" w:color="auto"/>
              <w:bottom w:val="nil"/>
              <w:right w:val="single" w:sz="8" w:space="0" w:color="auto"/>
            </w:tcBorders>
            <w:shd w:val="clear" w:color="000000" w:fill="FFFFFF"/>
          </w:tcPr>
          <w:p w14:paraId="216B752A" w14:textId="77777777" w:rsidR="00E234E9" w:rsidRPr="00404724" w:rsidRDefault="00E234E9" w:rsidP="000A13C5">
            <w:pPr>
              <w:spacing w:after="0"/>
              <w:jc w:val="right"/>
              <w:rPr>
                <w:rFonts w:ascii="Calibri" w:hAnsi="Calibri" w:cs="Calibri"/>
              </w:rPr>
            </w:pPr>
          </w:p>
        </w:tc>
        <w:tc>
          <w:tcPr>
            <w:tcW w:w="1890" w:type="dxa"/>
            <w:tcBorders>
              <w:top w:val="nil"/>
              <w:left w:val="single" w:sz="8" w:space="0" w:color="auto"/>
              <w:bottom w:val="nil"/>
              <w:right w:val="single" w:sz="8" w:space="0" w:color="auto"/>
            </w:tcBorders>
            <w:shd w:val="clear" w:color="000000" w:fill="FFFFFF"/>
          </w:tcPr>
          <w:p w14:paraId="327A91A4" w14:textId="77777777" w:rsidR="00E234E9" w:rsidRPr="00404724" w:rsidRDefault="00E234E9" w:rsidP="000A13C5">
            <w:pPr>
              <w:spacing w:after="0"/>
              <w:jc w:val="right"/>
              <w:rPr>
                <w:rFonts w:ascii="Calibri" w:hAnsi="Calibri" w:cs="Calibri"/>
              </w:rPr>
            </w:pPr>
          </w:p>
        </w:tc>
        <w:tc>
          <w:tcPr>
            <w:tcW w:w="1890" w:type="dxa"/>
            <w:tcBorders>
              <w:top w:val="nil"/>
              <w:left w:val="single" w:sz="8" w:space="0" w:color="auto"/>
              <w:bottom w:val="nil"/>
              <w:right w:val="single" w:sz="8" w:space="0" w:color="auto"/>
            </w:tcBorders>
            <w:shd w:val="clear" w:color="000000" w:fill="FFFFFF"/>
          </w:tcPr>
          <w:p w14:paraId="23322210" w14:textId="77777777" w:rsidR="00E234E9" w:rsidRPr="00404724" w:rsidRDefault="00E234E9" w:rsidP="000A13C5">
            <w:pPr>
              <w:spacing w:after="0"/>
              <w:jc w:val="right"/>
              <w:rPr>
                <w:rFonts w:ascii="Calibri" w:hAnsi="Calibri" w:cs="Calibri"/>
              </w:rPr>
            </w:pPr>
          </w:p>
        </w:tc>
        <w:tc>
          <w:tcPr>
            <w:tcW w:w="1890" w:type="dxa"/>
            <w:tcBorders>
              <w:top w:val="nil"/>
              <w:left w:val="single" w:sz="8" w:space="0" w:color="auto"/>
              <w:bottom w:val="nil"/>
              <w:right w:val="nil"/>
            </w:tcBorders>
            <w:shd w:val="clear" w:color="000000" w:fill="FFFFFF"/>
          </w:tcPr>
          <w:p w14:paraId="55517F5A" w14:textId="77777777" w:rsidR="00E234E9" w:rsidRPr="00404724" w:rsidRDefault="00E234E9" w:rsidP="000A13C5">
            <w:pPr>
              <w:spacing w:after="0"/>
              <w:jc w:val="right"/>
              <w:rPr>
                <w:rFonts w:ascii="Calibri" w:hAnsi="Calibri" w:cs="Calibri"/>
              </w:rPr>
            </w:pPr>
          </w:p>
        </w:tc>
      </w:tr>
      <w:tr w:rsidR="00E234E9" w:rsidRPr="00404724" w14:paraId="26440839" w14:textId="77777777" w:rsidTr="00CE054C">
        <w:trPr>
          <w:trHeight w:val="330"/>
        </w:trPr>
        <w:tc>
          <w:tcPr>
            <w:tcW w:w="3392" w:type="dxa"/>
            <w:tcBorders>
              <w:top w:val="nil"/>
              <w:left w:val="single" w:sz="8" w:space="0" w:color="auto"/>
              <w:bottom w:val="nil"/>
              <w:right w:val="nil"/>
            </w:tcBorders>
            <w:shd w:val="clear" w:color="auto" w:fill="D9D9D9" w:themeFill="background1" w:themeFillShade="D9"/>
            <w:noWrap/>
          </w:tcPr>
          <w:p w14:paraId="45644C5F" w14:textId="77777777" w:rsidR="00E234E9" w:rsidRPr="00404724" w:rsidRDefault="00E234E9" w:rsidP="00BB5FCD">
            <w:pPr>
              <w:spacing w:after="0"/>
              <w:rPr>
                <w:rFonts w:ascii="Calibri" w:eastAsia="Times New Roman" w:hAnsi="Calibri" w:cs="Calibri"/>
                <w:color w:val="000000"/>
                <w:lang w:eastAsia="en-AU"/>
              </w:rPr>
            </w:pPr>
            <w:r w:rsidRPr="00404724">
              <w:rPr>
                <w:rFonts w:ascii="Calibri" w:eastAsia="Times New Roman" w:hAnsi="Calibri" w:cs="Calibri"/>
                <w:i/>
                <w:iCs/>
                <w:color w:val="000000"/>
                <w:lang w:eastAsia="en-AU"/>
              </w:rPr>
              <w:t>Increased travel costs</w:t>
            </w:r>
          </w:p>
        </w:tc>
        <w:tc>
          <w:tcPr>
            <w:tcW w:w="1890" w:type="dxa"/>
            <w:tcBorders>
              <w:top w:val="nil"/>
              <w:left w:val="single" w:sz="8" w:space="0" w:color="auto"/>
              <w:bottom w:val="nil"/>
              <w:right w:val="nil"/>
            </w:tcBorders>
            <w:shd w:val="clear" w:color="auto" w:fill="D9D9D9" w:themeFill="background1" w:themeFillShade="D9"/>
          </w:tcPr>
          <w:p w14:paraId="33D2BCB1" w14:textId="77777777" w:rsidR="00E234E9" w:rsidRPr="00404724" w:rsidRDefault="00E234E9" w:rsidP="000A13C5">
            <w:pPr>
              <w:spacing w:after="0"/>
              <w:jc w:val="right"/>
              <w:rPr>
                <w:rFonts w:ascii="Calibri" w:eastAsia="Times New Roman" w:hAnsi="Calibri" w:cs="Calibri"/>
                <w:color w:val="000000"/>
                <w:lang w:eastAsia="en-AU"/>
              </w:rPr>
            </w:pPr>
          </w:p>
        </w:tc>
        <w:tc>
          <w:tcPr>
            <w:tcW w:w="1890" w:type="dxa"/>
            <w:tcBorders>
              <w:top w:val="nil"/>
              <w:left w:val="single" w:sz="8" w:space="0" w:color="auto"/>
              <w:bottom w:val="nil"/>
              <w:right w:val="single" w:sz="8" w:space="0" w:color="auto"/>
            </w:tcBorders>
            <w:shd w:val="clear" w:color="auto" w:fill="D9D9D9" w:themeFill="background1" w:themeFillShade="D9"/>
          </w:tcPr>
          <w:p w14:paraId="369DA685" w14:textId="77777777" w:rsidR="00E234E9" w:rsidRPr="00404724" w:rsidRDefault="00E234E9" w:rsidP="000A13C5">
            <w:pPr>
              <w:spacing w:after="0"/>
              <w:jc w:val="right"/>
              <w:rPr>
                <w:rFonts w:ascii="Calibri" w:eastAsia="Times New Roman" w:hAnsi="Calibri" w:cs="Calibri"/>
                <w:color w:val="000000"/>
                <w:lang w:eastAsia="en-AU"/>
              </w:rPr>
            </w:pPr>
          </w:p>
        </w:tc>
        <w:tc>
          <w:tcPr>
            <w:tcW w:w="1890" w:type="dxa"/>
            <w:tcBorders>
              <w:top w:val="nil"/>
              <w:left w:val="single" w:sz="8" w:space="0" w:color="auto"/>
              <w:bottom w:val="nil"/>
              <w:right w:val="single" w:sz="8" w:space="0" w:color="auto"/>
            </w:tcBorders>
            <w:shd w:val="clear" w:color="auto" w:fill="D9D9D9" w:themeFill="background1" w:themeFillShade="D9"/>
          </w:tcPr>
          <w:p w14:paraId="590A1C73" w14:textId="77777777" w:rsidR="00E234E9" w:rsidRPr="00404724" w:rsidRDefault="00E234E9" w:rsidP="000A13C5">
            <w:pPr>
              <w:spacing w:after="0"/>
              <w:jc w:val="right"/>
              <w:rPr>
                <w:rFonts w:ascii="Calibri" w:hAnsi="Calibri" w:cs="Calibri"/>
              </w:rPr>
            </w:pPr>
          </w:p>
        </w:tc>
        <w:tc>
          <w:tcPr>
            <w:tcW w:w="1890" w:type="dxa"/>
            <w:tcBorders>
              <w:top w:val="nil"/>
              <w:left w:val="single" w:sz="8" w:space="0" w:color="auto"/>
              <w:bottom w:val="nil"/>
              <w:right w:val="single" w:sz="8" w:space="0" w:color="auto"/>
            </w:tcBorders>
            <w:shd w:val="clear" w:color="auto" w:fill="D9D9D9" w:themeFill="background1" w:themeFillShade="D9"/>
          </w:tcPr>
          <w:p w14:paraId="73F24356" w14:textId="77777777" w:rsidR="00E234E9" w:rsidRPr="00404724" w:rsidRDefault="00E234E9" w:rsidP="000A13C5">
            <w:pPr>
              <w:spacing w:after="0"/>
              <w:jc w:val="right"/>
              <w:rPr>
                <w:rFonts w:ascii="Calibri" w:hAnsi="Calibri" w:cs="Calibri"/>
              </w:rPr>
            </w:pPr>
          </w:p>
        </w:tc>
        <w:tc>
          <w:tcPr>
            <w:tcW w:w="1890" w:type="dxa"/>
            <w:tcBorders>
              <w:top w:val="nil"/>
              <w:left w:val="single" w:sz="8" w:space="0" w:color="auto"/>
              <w:bottom w:val="nil"/>
              <w:right w:val="single" w:sz="8" w:space="0" w:color="auto"/>
            </w:tcBorders>
            <w:shd w:val="clear" w:color="auto" w:fill="D9D9D9" w:themeFill="background1" w:themeFillShade="D9"/>
          </w:tcPr>
          <w:p w14:paraId="300E3919" w14:textId="77777777" w:rsidR="00E234E9" w:rsidRPr="00404724" w:rsidRDefault="00E234E9" w:rsidP="000A13C5">
            <w:pPr>
              <w:spacing w:after="0"/>
              <w:jc w:val="right"/>
              <w:rPr>
                <w:rFonts w:ascii="Calibri" w:hAnsi="Calibri" w:cs="Calibri"/>
              </w:rPr>
            </w:pPr>
          </w:p>
        </w:tc>
        <w:tc>
          <w:tcPr>
            <w:tcW w:w="1890" w:type="dxa"/>
            <w:tcBorders>
              <w:top w:val="nil"/>
              <w:left w:val="single" w:sz="8" w:space="0" w:color="auto"/>
              <w:bottom w:val="nil"/>
              <w:right w:val="nil"/>
            </w:tcBorders>
            <w:shd w:val="clear" w:color="auto" w:fill="D9D9D9" w:themeFill="background1" w:themeFillShade="D9"/>
          </w:tcPr>
          <w:p w14:paraId="2CB13B7D" w14:textId="77777777" w:rsidR="00E234E9" w:rsidRPr="00404724" w:rsidRDefault="00E234E9" w:rsidP="000A13C5">
            <w:pPr>
              <w:spacing w:after="0"/>
              <w:jc w:val="right"/>
              <w:rPr>
                <w:rFonts w:ascii="Calibri" w:hAnsi="Calibri" w:cs="Calibri"/>
              </w:rPr>
            </w:pPr>
          </w:p>
        </w:tc>
      </w:tr>
      <w:tr w:rsidR="00E234E9" w:rsidRPr="00404724" w14:paraId="27E303F6" w14:textId="77777777" w:rsidTr="00CE054C">
        <w:trPr>
          <w:trHeight w:val="330"/>
        </w:trPr>
        <w:tc>
          <w:tcPr>
            <w:tcW w:w="3392" w:type="dxa"/>
            <w:tcBorders>
              <w:top w:val="nil"/>
              <w:left w:val="single" w:sz="8" w:space="0" w:color="auto"/>
              <w:bottom w:val="nil"/>
              <w:right w:val="nil"/>
            </w:tcBorders>
            <w:shd w:val="clear" w:color="000000" w:fill="FFFFFF"/>
            <w:noWrap/>
          </w:tcPr>
          <w:p w14:paraId="1AFC3612" w14:textId="77777777" w:rsidR="00E234E9" w:rsidRPr="00404724" w:rsidRDefault="00E234E9" w:rsidP="00BB5FCD">
            <w:pPr>
              <w:spacing w:after="0"/>
              <w:rPr>
                <w:rFonts w:ascii="Calibri" w:eastAsia="Times New Roman" w:hAnsi="Calibri" w:cs="Calibri"/>
                <w:i/>
                <w:iCs/>
                <w:color w:val="000000"/>
                <w:lang w:eastAsia="en-AU"/>
              </w:rPr>
            </w:pPr>
            <w:r w:rsidRPr="00404724">
              <w:rPr>
                <w:rFonts w:ascii="Calibri" w:eastAsia="Times New Roman" w:hAnsi="Calibri" w:cs="Calibri"/>
                <w:color w:val="000000"/>
                <w:lang w:eastAsia="en-AU"/>
              </w:rPr>
              <w:t>Increase costs by 10%</w:t>
            </w:r>
          </w:p>
        </w:tc>
        <w:tc>
          <w:tcPr>
            <w:tcW w:w="1890" w:type="dxa"/>
            <w:tcBorders>
              <w:top w:val="nil"/>
              <w:left w:val="single" w:sz="8" w:space="0" w:color="auto"/>
              <w:bottom w:val="nil"/>
              <w:right w:val="nil"/>
            </w:tcBorders>
            <w:shd w:val="clear" w:color="000000" w:fill="FFFFFF"/>
          </w:tcPr>
          <w:p w14:paraId="58B30F54" w14:textId="77777777" w:rsidR="00E234E9" w:rsidRPr="00404724" w:rsidRDefault="00E234E9" w:rsidP="000A13C5">
            <w:pPr>
              <w:spacing w:after="0"/>
              <w:jc w:val="right"/>
              <w:rPr>
                <w:rFonts w:ascii="Calibri" w:eastAsia="Times New Roman" w:hAnsi="Calibri" w:cs="Calibri"/>
                <w:color w:val="000000"/>
                <w:lang w:eastAsia="en-AU"/>
              </w:rPr>
            </w:pPr>
            <w:r w:rsidRPr="00404724">
              <w:rPr>
                <w:rFonts w:ascii="Calibri" w:eastAsia="Times New Roman" w:hAnsi="Calibri" w:cs="Calibri"/>
                <w:color w:val="000000"/>
                <w:lang w:eastAsia="en-AU"/>
              </w:rPr>
              <w:t>$1,921.2</w:t>
            </w:r>
          </w:p>
        </w:tc>
        <w:tc>
          <w:tcPr>
            <w:tcW w:w="1890" w:type="dxa"/>
            <w:tcBorders>
              <w:top w:val="nil"/>
              <w:left w:val="single" w:sz="8" w:space="0" w:color="auto"/>
              <w:bottom w:val="nil"/>
              <w:right w:val="single" w:sz="8" w:space="0" w:color="auto"/>
            </w:tcBorders>
            <w:shd w:val="clear" w:color="000000" w:fill="FFFFFF"/>
          </w:tcPr>
          <w:p w14:paraId="685FEB98" w14:textId="77777777" w:rsidR="00E234E9" w:rsidRPr="00404724" w:rsidRDefault="00E234E9" w:rsidP="000A13C5">
            <w:pPr>
              <w:spacing w:after="0"/>
              <w:jc w:val="right"/>
              <w:rPr>
                <w:rFonts w:ascii="Calibri" w:eastAsia="Times New Roman" w:hAnsi="Calibri" w:cs="Calibri"/>
                <w:color w:val="000000"/>
                <w:lang w:eastAsia="en-AU"/>
              </w:rPr>
            </w:pPr>
            <w:r w:rsidRPr="00404724">
              <w:rPr>
                <w:rFonts w:ascii="Calibri" w:eastAsia="Times New Roman" w:hAnsi="Calibri" w:cs="Calibri"/>
                <w:color w:val="000000"/>
                <w:lang w:eastAsia="en-AU"/>
              </w:rPr>
              <w:t>$1,231.4</w:t>
            </w:r>
          </w:p>
        </w:tc>
        <w:tc>
          <w:tcPr>
            <w:tcW w:w="1890" w:type="dxa"/>
            <w:tcBorders>
              <w:top w:val="nil"/>
              <w:left w:val="single" w:sz="8" w:space="0" w:color="auto"/>
              <w:bottom w:val="nil"/>
              <w:right w:val="single" w:sz="8" w:space="0" w:color="auto"/>
            </w:tcBorders>
            <w:shd w:val="clear" w:color="000000" w:fill="FFFFFF"/>
          </w:tcPr>
          <w:p w14:paraId="42DE1D81" w14:textId="77777777" w:rsidR="00E234E9" w:rsidRPr="00404724" w:rsidRDefault="00E234E9" w:rsidP="000A13C5">
            <w:pPr>
              <w:spacing w:after="0"/>
              <w:jc w:val="right"/>
              <w:rPr>
                <w:rFonts w:ascii="Calibri" w:hAnsi="Calibri" w:cs="Calibri"/>
              </w:rPr>
            </w:pPr>
            <w:r w:rsidRPr="00404724">
              <w:rPr>
                <w:rFonts w:ascii="Calibri" w:hAnsi="Calibri" w:cs="Calibri"/>
              </w:rPr>
              <w:t>$104.4</w:t>
            </w:r>
          </w:p>
        </w:tc>
        <w:tc>
          <w:tcPr>
            <w:tcW w:w="1890" w:type="dxa"/>
            <w:tcBorders>
              <w:top w:val="nil"/>
              <w:left w:val="single" w:sz="8" w:space="0" w:color="auto"/>
              <w:bottom w:val="nil"/>
              <w:right w:val="single" w:sz="8" w:space="0" w:color="auto"/>
            </w:tcBorders>
            <w:shd w:val="clear" w:color="000000" w:fill="FFFFFF"/>
          </w:tcPr>
          <w:p w14:paraId="5E1EBE4B" w14:textId="77777777" w:rsidR="00E234E9" w:rsidRPr="00404724" w:rsidRDefault="00E234E9" w:rsidP="000A13C5">
            <w:pPr>
              <w:spacing w:after="0"/>
              <w:jc w:val="right"/>
              <w:rPr>
                <w:rFonts w:ascii="Calibri" w:hAnsi="Calibri" w:cs="Calibri"/>
              </w:rPr>
            </w:pPr>
            <w:r w:rsidRPr="00404724">
              <w:rPr>
                <w:rFonts w:ascii="Calibri" w:hAnsi="Calibri" w:cs="Calibri"/>
              </w:rPr>
              <w:t>$3,840.3</w:t>
            </w:r>
          </w:p>
        </w:tc>
        <w:tc>
          <w:tcPr>
            <w:tcW w:w="1890" w:type="dxa"/>
            <w:tcBorders>
              <w:top w:val="nil"/>
              <w:left w:val="single" w:sz="8" w:space="0" w:color="auto"/>
              <w:bottom w:val="nil"/>
              <w:right w:val="single" w:sz="8" w:space="0" w:color="auto"/>
            </w:tcBorders>
            <w:shd w:val="clear" w:color="000000" w:fill="FFFFFF"/>
          </w:tcPr>
          <w:p w14:paraId="5C773AAE" w14:textId="77777777" w:rsidR="00E234E9" w:rsidRPr="00404724" w:rsidRDefault="00E234E9" w:rsidP="000A13C5">
            <w:pPr>
              <w:spacing w:after="0"/>
              <w:jc w:val="right"/>
              <w:rPr>
                <w:rFonts w:ascii="Calibri" w:hAnsi="Calibri" w:cs="Calibri"/>
              </w:rPr>
            </w:pPr>
            <w:r w:rsidRPr="00404724">
              <w:rPr>
                <w:rFonts w:ascii="Calibri" w:hAnsi="Calibri" w:cs="Calibri"/>
              </w:rPr>
              <w:t>$2,094.2</w:t>
            </w:r>
          </w:p>
        </w:tc>
        <w:tc>
          <w:tcPr>
            <w:tcW w:w="1890" w:type="dxa"/>
            <w:tcBorders>
              <w:top w:val="nil"/>
              <w:left w:val="single" w:sz="8" w:space="0" w:color="auto"/>
              <w:bottom w:val="nil"/>
              <w:right w:val="nil"/>
            </w:tcBorders>
            <w:shd w:val="clear" w:color="000000" w:fill="FFFFFF"/>
          </w:tcPr>
          <w:p w14:paraId="65131394" w14:textId="77777777" w:rsidR="00E234E9" w:rsidRPr="00404724" w:rsidRDefault="00E234E9" w:rsidP="000A13C5">
            <w:pPr>
              <w:spacing w:after="0"/>
              <w:jc w:val="right"/>
              <w:rPr>
                <w:rFonts w:ascii="Calibri" w:hAnsi="Calibri" w:cs="Calibri"/>
              </w:rPr>
            </w:pPr>
            <w:r w:rsidRPr="00404724">
              <w:rPr>
                <w:rFonts w:ascii="Calibri" w:hAnsi="Calibri" w:cs="Calibri"/>
                <w:color w:val="EE0000"/>
              </w:rPr>
              <w:t>-$756.1</w:t>
            </w:r>
          </w:p>
        </w:tc>
      </w:tr>
    </w:tbl>
    <w:p w14:paraId="08775E98" w14:textId="77777777" w:rsidR="00C426BA" w:rsidRPr="00404724" w:rsidRDefault="00C426BA" w:rsidP="000C1C23">
      <w:pPr>
        <w:sectPr w:rsidR="00C426BA" w:rsidRPr="00404724" w:rsidSect="00C426BA">
          <w:pgSz w:w="16838" w:h="11906" w:orient="landscape" w:code="9"/>
          <w:pgMar w:top="1021" w:right="1021" w:bottom="1021" w:left="1021" w:header="340" w:footer="397" w:gutter="0"/>
          <w:cols w:space="708"/>
          <w:docGrid w:linePitch="360"/>
        </w:sectPr>
      </w:pPr>
    </w:p>
    <w:p w14:paraId="2276FD4F" w14:textId="7F4145F1" w:rsidR="00C0090B" w:rsidRPr="00404724" w:rsidRDefault="00C4433C" w:rsidP="000A3828">
      <w:pPr>
        <w:pStyle w:val="Heading2"/>
      </w:pPr>
      <w:bookmarkStart w:id="500" w:name="_Toc210040326"/>
      <w:bookmarkStart w:id="501" w:name="_Toc210042580"/>
      <w:bookmarkStart w:id="502" w:name="_Toc210049222"/>
      <w:bookmarkStart w:id="503" w:name="_Toc210051662"/>
      <w:bookmarkStart w:id="504" w:name="_Toc210051743"/>
      <w:r>
        <w:lastRenderedPageBreak/>
        <w:t>6</w:t>
      </w:r>
      <w:r w:rsidR="000A3828">
        <w:t>.</w:t>
      </w:r>
      <w:r w:rsidR="000A3828">
        <w:tab/>
      </w:r>
      <w:bookmarkStart w:id="505" w:name="_Ref208495925"/>
      <w:bookmarkStart w:id="506" w:name="_Ref209705864"/>
      <w:r w:rsidR="00B327A1" w:rsidRPr="00404724">
        <w:t>Other impacts</w:t>
      </w:r>
      <w:bookmarkEnd w:id="505"/>
      <w:bookmarkEnd w:id="506"/>
      <w:bookmarkEnd w:id="500"/>
      <w:bookmarkEnd w:id="501"/>
      <w:bookmarkEnd w:id="502"/>
      <w:bookmarkEnd w:id="503"/>
      <w:bookmarkEnd w:id="504"/>
    </w:p>
    <w:p w14:paraId="744F14E9" w14:textId="689C28BF" w:rsidR="00B327A1" w:rsidRPr="00404724" w:rsidRDefault="00C4433C" w:rsidP="000A3828">
      <w:pPr>
        <w:pStyle w:val="Heading3"/>
      </w:pPr>
      <w:bookmarkStart w:id="507" w:name="_Toc210040327"/>
      <w:bookmarkStart w:id="508" w:name="_Toc210042581"/>
      <w:bookmarkStart w:id="509" w:name="_Toc210049223"/>
      <w:bookmarkStart w:id="510" w:name="_Toc210051663"/>
      <w:bookmarkStart w:id="511" w:name="_Toc210051744"/>
      <w:r>
        <w:t>6</w:t>
      </w:r>
      <w:r w:rsidR="000A3828">
        <w:t>.1</w:t>
      </w:r>
      <w:r w:rsidR="000A3828">
        <w:tab/>
      </w:r>
      <w:r w:rsidR="00B327A1" w:rsidRPr="00404724">
        <w:t>Regulatory burden</w:t>
      </w:r>
      <w:bookmarkEnd w:id="507"/>
      <w:bookmarkEnd w:id="508"/>
      <w:bookmarkEnd w:id="509"/>
      <w:bookmarkEnd w:id="510"/>
      <w:bookmarkEnd w:id="511"/>
    </w:p>
    <w:p w14:paraId="732A2B62" w14:textId="5AEA9EF9" w:rsidR="008057AF" w:rsidRPr="00404724" w:rsidRDefault="008057AF" w:rsidP="00C4433C">
      <w:pPr>
        <w:spacing w:after="240"/>
      </w:pPr>
      <w:r w:rsidRPr="00404724">
        <w:t xml:space="preserve">When considering the burden additional regulations place on businesses, individuals and community organisations, OIA recommends using its </w:t>
      </w:r>
      <w:hyperlink r:id="rId43" w:history="1">
        <w:r w:rsidRPr="00404724">
          <w:rPr>
            <w:rStyle w:val="Hyperlink"/>
          </w:rPr>
          <w:t>Regulatory Burden Measurement Framework</w:t>
        </w:r>
      </w:hyperlink>
      <w:r w:rsidRPr="00404724">
        <w:t xml:space="preserve"> (RBMF), which defines </w:t>
      </w:r>
      <w:r w:rsidR="00EE76F3" w:rsidRPr="00404724">
        <w:t xml:space="preserve">2 </w:t>
      </w:r>
      <w:r w:rsidRPr="00404724">
        <w:t>types of costs compliance and delay costs (</w:t>
      </w:r>
      <w:r w:rsidRPr="00404724">
        <w:fldChar w:fldCharType="begin"/>
      </w:r>
      <w:r w:rsidRPr="00404724">
        <w:instrText xml:space="preserve"> REF _Ref208307961 \h </w:instrText>
      </w:r>
      <w:r w:rsidRPr="00404724">
        <w:fldChar w:fldCharType="separate"/>
      </w:r>
      <w:r w:rsidR="00BF489D" w:rsidRPr="00404724">
        <w:t xml:space="preserve">Table </w:t>
      </w:r>
      <w:r w:rsidR="00BF489D">
        <w:rPr>
          <w:noProof/>
        </w:rPr>
        <w:t>44</w:t>
      </w:r>
      <w:r w:rsidRPr="00404724">
        <w:fldChar w:fldCharType="end"/>
      </w:r>
      <w:r w:rsidRPr="00404724">
        <w:t>), which are discussed below.</w:t>
      </w:r>
    </w:p>
    <w:p w14:paraId="6D2097A8" w14:textId="101EBCA7" w:rsidR="008057AF" w:rsidRPr="00404724" w:rsidRDefault="008057AF" w:rsidP="003979C3">
      <w:pPr>
        <w:pStyle w:val="Tablefigureheading"/>
      </w:pPr>
      <w:bookmarkStart w:id="512" w:name="_Ref208307961"/>
      <w:bookmarkStart w:id="513" w:name="_Toc210040390"/>
      <w:bookmarkStart w:id="514" w:name="_Toc210051926"/>
      <w:r w:rsidRPr="00404724">
        <w:t xml:space="preserve">Table </w:t>
      </w:r>
      <w:r w:rsidR="00EC39D5">
        <w:fldChar w:fldCharType="begin"/>
      </w:r>
      <w:r w:rsidR="00EC39D5">
        <w:instrText xml:space="preserve"> SEQ Table \* ARABIC </w:instrText>
      </w:r>
      <w:r w:rsidR="00EC39D5">
        <w:fldChar w:fldCharType="separate"/>
      </w:r>
      <w:r w:rsidR="00BF489D">
        <w:rPr>
          <w:noProof/>
        </w:rPr>
        <w:t>44</w:t>
      </w:r>
      <w:r w:rsidR="00EC39D5">
        <w:rPr>
          <w:noProof/>
        </w:rPr>
        <w:fldChar w:fldCharType="end"/>
      </w:r>
      <w:bookmarkEnd w:id="512"/>
      <w:r w:rsidRPr="00404724">
        <w:tab/>
        <w:t>Regulatory Burden measurement Framework</w:t>
      </w:r>
      <w:bookmarkEnd w:id="513"/>
      <w:bookmarkEnd w:id="514"/>
    </w:p>
    <w:tbl>
      <w:tblPr>
        <w:tblStyle w:val="TableGrid"/>
        <w:tblW w:w="0" w:type="auto"/>
        <w:tblLook w:val="04A0" w:firstRow="1" w:lastRow="0" w:firstColumn="1" w:lastColumn="0" w:noHBand="0" w:noVBand="1"/>
        <w:tblCaption w:val="Table 44 Regulatory Burden measurement Framework"/>
        <w:tblDescription w:val="Table 44 Regulatory Burden measurement Framework"/>
      </w:tblPr>
      <w:tblGrid>
        <w:gridCol w:w="3114"/>
        <w:gridCol w:w="6740"/>
      </w:tblGrid>
      <w:tr w:rsidR="008057AF" w:rsidRPr="00404724" w14:paraId="363DB8E2" w14:textId="77777777" w:rsidTr="000A3828">
        <w:trPr>
          <w:cantSplit/>
        </w:trPr>
        <w:tc>
          <w:tcPr>
            <w:tcW w:w="9854" w:type="dxa"/>
            <w:gridSpan w:val="2"/>
            <w:shd w:val="clear" w:color="auto" w:fill="77D1F4" w:themeFill="accent3"/>
          </w:tcPr>
          <w:p w14:paraId="43267AB1" w14:textId="4C36B6A2" w:rsidR="008057AF" w:rsidRPr="00681B56" w:rsidRDefault="008057AF" w:rsidP="008057AF">
            <w:pPr>
              <w:jc w:val="center"/>
              <w:rPr>
                <w:b/>
                <w:bCs/>
              </w:rPr>
            </w:pPr>
            <w:r w:rsidRPr="00681B56">
              <w:rPr>
                <w:b/>
                <w:bCs/>
              </w:rPr>
              <w:t>Compliance costs</w:t>
            </w:r>
          </w:p>
        </w:tc>
      </w:tr>
      <w:tr w:rsidR="008057AF" w:rsidRPr="00404724" w14:paraId="450E08A1" w14:textId="77777777" w:rsidTr="000A3828">
        <w:trPr>
          <w:cantSplit/>
        </w:trPr>
        <w:tc>
          <w:tcPr>
            <w:tcW w:w="3114" w:type="dxa"/>
            <w:shd w:val="clear" w:color="auto" w:fill="E3F5FC" w:themeFill="accent3" w:themeFillTint="33"/>
          </w:tcPr>
          <w:p w14:paraId="78EA951C" w14:textId="067C692E" w:rsidR="008057AF" w:rsidRPr="00404724" w:rsidRDefault="008057AF" w:rsidP="008057AF">
            <w:r w:rsidRPr="00404724">
              <w:t>Administrative costs</w:t>
            </w:r>
          </w:p>
        </w:tc>
        <w:tc>
          <w:tcPr>
            <w:tcW w:w="6740" w:type="dxa"/>
          </w:tcPr>
          <w:p w14:paraId="5A67394C" w14:textId="36281AF6" w:rsidR="008057AF" w:rsidRPr="00404724" w:rsidRDefault="008057AF" w:rsidP="008057AF">
            <w:r w:rsidRPr="00404724">
              <w:t>Costs incurred by regulated entities primarily to demonstrate compliance with the policy (usually record keeping and reporting costs)</w:t>
            </w:r>
          </w:p>
        </w:tc>
      </w:tr>
      <w:tr w:rsidR="008057AF" w:rsidRPr="00404724" w14:paraId="1DE28BDE" w14:textId="77777777" w:rsidTr="000A3828">
        <w:trPr>
          <w:cantSplit/>
        </w:trPr>
        <w:tc>
          <w:tcPr>
            <w:tcW w:w="3114" w:type="dxa"/>
            <w:shd w:val="clear" w:color="auto" w:fill="E3F5FC" w:themeFill="accent3" w:themeFillTint="33"/>
          </w:tcPr>
          <w:p w14:paraId="466DD12B" w14:textId="0A5F6132" w:rsidR="008057AF" w:rsidRPr="00404724" w:rsidRDefault="008057AF" w:rsidP="008057AF">
            <w:r w:rsidRPr="00404724">
              <w:t>Substantive compliance costs</w:t>
            </w:r>
          </w:p>
        </w:tc>
        <w:tc>
          <w:tcPr>
            <w:tcW w:w="6740" w:type="dxa"/>
          </w:tcPr>
          <w:p w14:paraId="7DFE3FCD" w14:textId="1A0D1620" w:rsidR="008057AF" w:rsidRPr="00404724" w:rsidRDefault="008057AF" w:rsidP="008057AF">
            <w:r w:rsidRPr="00404724">
              <w:t>Costs incurred to deliver the outcomes being sought (usually purchase and maintenance costs)</w:t>
            </w:r>
          </w:p>
        </w:tc>
      </w:tr>
      <w:tr w:rsidR="008057AF" w:rsidRPr="00404724" w14:paraId="2565D356" w14:textId="77777777" w:rsidTr="000A3828">
        <w:trPr>
          <w:cantSplit/>
        </w:trPr>
        <w:tc>
          <w:tcPr>
            <w:tcW w:w="9854" w:type="dxa"/>
            <w:gridSpan w:val="2"/>
            <w:shd w:val="clear" w:color="auto" w:fill="C0D48F" w:themeFill="accent5"/>
          </w:tcPr>
          <w:p w14:paraId="38D02D47" w14:textId="0F3C24FF" w:rsidR="008057AF" w:rsidRPr="00681B56" w:rsidRDefault="008057AF" w:rsidP="008057AF">
            <w:pPr>
              <w:jc w:val="center"/>
              <w:rPr>
                <w:b/>
                <w:bCs/>
              </w:rPr>
            </w:pPr>
            <w:r w:rsidRPr="00681B56">
              <w:rPr>
                <w:b/>
                <w:bCs/>
              </w:rPr>
              <w:t>Delay costs</w:t>
            </w:r>
          </w:p>
        </w:tc>
      </w:tr>
      <w:tr w:rsidR="008057AF" w:rsidRPr="00404724" w14:paraId="28EA5332" w14:textId="77777777" w:rsidTr="000A3828">
        <w:trPr>
          <w:cantSplit/>
        </w:trPr>
        <w:tc>
          <w:tcPr>
            <w:tcW w:w="3114" w:type="dxa"/>
            <w:shd w:val="clear" w:color="auto" w:fill="F2F6E8" w:themeFill="accent5" w:themeFillTint="33"/>
          </w:tcPr>
          <w:p w14:paraId="171C88CF" w14:textId="10E860F5" w:rsidR="008057AF" w:rsidRPr="00404724" w:rsidRDefault="008057AF" w:rsidP="008057AF">
            <w:r w:rsidRPr="00404724">
              <w:t>Application / Approval delay</w:t>
            </w:r>
          </w:p>
        </w:tc>
        <w:tc>
          <w:tcPr>
            <w:tcW w:w="6740" w:type="dxa"/>
          </w:tcPr>
          <w:p w14:paraId="3CB939C7" w14:textId="2211A34B" w:rsidR="008057AF" w:rsidRPr="00404724" w:rsidRDefault="008057AF" w:rsidP="008057AF">
            <w:r w:rsidRPr="00404724">
              <w:t>Expenses and loss of income through application or approval delay</w:t>
            </w:r>
          </w:p>
        </w:tc>
      </w:tr>
    </w:tbl>
    <w:p w14:paraId="75C9FB10" w14:textId="66C59A5E" w:rsidR="008057AF" w:rsidRPr="00404724" w:rsidRDefault="00C4433C" w:rsidP="000A3828">
      <w:pPr>
        <w:pStyle w:val="Heading4"/>
      </w:pPr>
      <w:bookmarkStart w:id="515" w:name="_Toc210042582"/>
      <w:bookmarkStart w:id="516" w:name="_Toc210049224"/>
      <w:bookmarkStart w:id="517" w:name="_Toc210051664"/>
      <w:bookmarkStart w:id="518" w:name="_Toc210051745"/>
      <w:r>
        <w:t>6</w:t>
      </w:r>
      <w:r w:rsidR="000A3828">
        <w:t>.1.1</w:t>
      </w:r>
      <w:r w:rsidR="000A3828">
        <w:tab/>
      </w:r>
      <w:r w:rsidR="008057AF" w:rsidRPr="00404724">
        <w:t>Compliance costs</w:t>
      </w:r>
      <w:bookmarkEnd w:id="515"/>
      <w:bookmarkEnd w:id="516"/>
      <w:bookmarkEnd w:id="517"/>
      <w:bookmarkEnd w:id="518"/>
    </w:p>
    <w:p w14:paraId="078C4163" w14:textId="0D7526F3" w:rsidR="008057AF" w:rsidRPr="00404724" w:rsidRDefault="008057AF" w:rsidP="008057AF">
      <w:r w:rsidRPr="00404724">
        <w:t xml:space="preserve">Administrative costs refer to activities conducted by individuals or organisations to </w:t>
      </w:r>
      <w:r w:rsidRPr="00404724">
        <w:rPr>
          <w:i/>
          <w:iCs/>
        </w:rPr>
        <w:t>demonstrate</w:t>
      </w:r>
      <w:r w:rsidRPr="00404724">
        <w:t xml:space="preserve"> compliance, including keeping records, conducting tests and more. Given the nature of default speed limits, there are no administrative costs associated with compliance.</w:t>
      </w:r>
    </w:p>
    <w:p w14:paraId="231193A8" w14:textId="7C53CEE7" w:rsidR="008057AF" w:rsidRPr="00404724" w:rsidRDefault="008057AF" w:rsidP="008057AF">
      <w:r w:rsidRPr="00404724">
        <w:t>Substantive compliance costs refer to those costs incurred to deliver the outcomes being sought. The RBMF provides some examples of these types of costs</w:t>
      </w:r>
      <w:r w:rsidR="00EE76F3" w:rsidRPr="00404724">
        <w:t>:</w:t>
      </w:r>
      <w:r w:rsidRPr="00404724">
        <w:t xml:space="preserve"> </w:t>
      </w:r>
    </w:p>
    <w:p w14:paraId="36A49C65" w14:textId="77777777" w:rsidR="008057AF" w:rsidRPr="00404724" w:rsidRDefault="008057AF" w:rsidP="00485648">
      <w:pPr>
        <w:pStyle w:val="Listparagraphbullets"/>
      </w:pPr>
      <w:r w:rsidRPr="00404724">
        <w:t xml:space="preserve">costs of providing training to employees to meet regulatory requirements </w:t>
      </w:r>
    </w:p>
    <w:p w14:paraId="623B2DE5" w14:textId="77777777" w:rsidR="008057AF" w:rsidRPr="00404724" w:rsidRDefault="008057AF" w:rsidP="00485648">
      <w:pPr>
        <w:pStyle w:val="Listparagraphbullets"/>
      </w:pPr>
      <w:r w:rsidRPr="00404724">
        <w:t xml:space="preserve">costs of purchasing and maintaining plant and equipment </w:t>
      </w:r>
    </w:p>
    <w:p w14:paraId="38CF6CD1" w14:textId="77777777" w:rsidR="008057AF" w:rsidRPr="00404724" w:rsidRDefault="008057AF" w:rsidP="00485648">
      <w:pPr>
        <w:pStyle w:val="Listparagraphbullets"/>
      </w:pPr>
      <w:r w:rsidRPr="00404724">
        <w:t xml:space="preserve">costs of providing information for third parties, such as providing financial statements to consumers </w:t>
      </w:r>
    </w:p>
    <w:p w14:paraId="1E48497F" w14:textId="63CC89CD" w:rsidR="008057AF" w:rsidRPr="00404724" w:rsidRDefault="008057AF" w:rsidP="00485648">
      <w:pPr>
        <w:pStyle w:val="Listparagraphbullets"/>
      </w:pPr>
      <w:r w:rsidRPr="00404724">
        <w:t xml:space="preserve">costs of operation (for example, energy costs) </w:t>
      </w:r>
    </w:p>
    <w:p w14:paraId="097786FB" w14:textId="77777777" w:rsidR="008057AF" w:rsidRPr="00404724" w:rsidRDefault="008057AF" w:rsidP="00485648">
      <w:pPr>
        <w:pStyle w:val="Listparagraphbullets"/>
      </w:pPr>
      <w:r w:rsidRPr="00404724">
        <w:t xml:space="preserve">costs of professional services needed to meet regulatory requirements (for example legal, tax and accounting advice) </w:t>
      </w:r>
    </w:p>
    <w:p w14:paraId="028C6382" w14:textId="49E76751" w:rsidR="008057AF" w:rsidRPr="00404724" w:rsidRDefault="008057AF" w:rsidP="00485648">
      <w:pPr>
        <w:pStyle w:val="Listparagraphbullets"/>
      </w:pPr>
      <w:r w:rsidRPr="00404724">
        <w:t>costs incurred in purchasing permits through non-government market mechanisms in order to meet a particular outcome.</w:t>
      </w:r>
      <w:r w:rsidRPr="00404724">
        <w:rPr>
          <w:rStyle w:val="FootnoteReference"/>
        </w:rPr>
        <w:footnoteReference w:id="129"/>
      </w:r>
    </w:p>
    <w:p w14:paraId="432444BC" w14:textId="6FF9BB9D" w:rsidR="006811C7" w:rsidRPr="00404724" w:rsidRDefault="000C25A5" w:rsidP="00C4433C">
      <w:pPr>
        <w:spacing w:after="240"/>
      </w:pPr>
      <w:r w:rsidRPr="00404724">
        <w:t>These</w:t>
      </w:r>
      <w:r w:rsidR="008057AF" w:rsidRPr="00404724">
        <w:t xml:space="preserve"> are captured in the quantified time costs described in Chapter</w:t>
      </w:r>
      <w:r w:rsidRPr="00404724">
        <w:t xml:space="preserve"> </w:t>
      </w:r>
      <w:r w:rsidRPr="00404724">
        <w:rPr>
          <w:highlight w:val="yellow"/>
        </w:rPr>
        <w:fldChar w:fldCharType="begin"/>
      </w:r>
      <w:r w:rsidRPr="00404724">
        <w:instrText xml:space="preserve"> REF _Ref208494915 \r \h </w:instrText>
      </w:r>
      <w:r w:rsidRPr="00404724">
        <w:rPr>
          <w:highlight w:val="yellow"/>
        </w:rPr>
      </w:r>
      <w:r w:rsidRPr="00404724">
        <w:rPr>
          <w:highlight w:val="yellow"/>
        </w:rPr>
        <w:fldChar w:fldCharType="separate"/>
      </w:r>
      <w:r w:rsidR="00BF489D">
        <w:t>5</w:t>
      </w:r>
      <w:r w:rsidRPr="00404724">
        <w:rPr>
          <w:highlight w:val="yellow"/>
        </w:rPr>
        <w:fldChar w:fldCharType="end"/>
      </w:r>
      <w:r w:rsidR="008057AF" w:rsidRPr="00404724">
        <w:t xml:space="preserve">. </w:t>
      </w:r>
      <w:r w:rsidRPr="00404724">
        <w:t xml:space="preserve">In line with the RBMF, these </w:t>
      </w:r>
      <w:r w:rsidR="006321DB" w:rsidRPr="00404724">
        <w:t xml:space="preserve">are presented </w:t>
      </w:r>
      <w:r w:rsidRPr="00404724">
        <w:t xml:space="preserve">as a 10-year undiscounted total regulatory burden on individuals, businesses and community organisations. Based on the data available, community organisations </w:t>
      </w:r>
      <w:r w:rsidR="006321DB" w:rsidRPr="00404724">
        <w:t xml:space="preserve">and </w:t>
      </w:r>
      <w:r w:rsidRPr="00404724">
        <w:t>businesses</w:t>
      </w:r>
      <w:r w:rsidR="006321DB" w:rsidRPr="00404724">
        <w:t xml:space="preserve"> are not able to be separated out</w:t>
      </w:r>
      <w:r w:rsidRPr="00404724">
        <w:t xml:space="preserve">, but </w:t>
      </w:r>
      <w:r w:rsidR="006321DB" w:rsidRPr="00404724">
        <w:t xml:space="preserve">separate </w:t>
      </w:r>
      <w:r w:rsidRPr="00404724">
        <w:t>freight and business travel</w:t>
      </w:r>
      <w:r w:rsidR="006321DB" w:rsidRPr="00404724">
        <w:t xml:space="preserve"> has been identified</w:t>
      </w:r>
      <w:r w:rsidRPr="00404724">
        <w:t xml:space="preserve"> (see </w:t>
      </w:r>
      <w:r w:rsidRPr="00404724">
        <w:fldChar w:fldCharType="begin"/>
      </w:r>
      <w:r w:rsidRPr="00404724">
        <w:instrText xml:space="preserve"> REF _Ref208495003 \h </w:instrText>
      </w:r>
      <w:r w:rsidRPr="00404724">
        <w:fldChar w:fldCharType="separate"/>
      </w:r>
      <w:r w:rsidR="00BF489D" w:rsidRPr="00404724">
        <w:t xml:space="preserve">Table </w:t>
      </w:r>
      <w:r w:rsidR="00BF489D">
        <w:rPr>
          <w:noProof/>
        </w:rPr>
        <w:t>45</w:t>
      </w:r>
      <w:r w:rsidRPr="00404724">
        <w:fldChar w:fldCharType="end"/>
      </w:r>
      <w:r w:rsidRPr="00404724">
        <w:t xml:space="preserve">, </w:t>
      </w:r>
      <w:r w:rsidRPr="00404724">
        <w:fldChar w:fldCharType="begin"/>
      </w:r>
      <w:r w:rsidRPr="00404724">
        <w:instrText xml:space="preserve"> REF _Ref208495006 \h </w:instrText>
      </w:r>
      <w:r w:rsidRPr="00404724">
        <w:fldChar w:fldCharType="separate"/>
      </w:r>
      <w:r w:rsidR="00BF489D" w:rsidRPr="00404724">
        <w:t xml:space="preserve">Table </w:t>
      </w:r>
      <w:r w:rsidR="00BF489D">
        <w:rPr>
          <w:noProof/>
        </w:rPr>
        <w:t>46</w:t>
      </w:r>
      <w:r w:rsidRPr="00404724">
        <w:fldChar w:fldCharType="end"/>
      </w:r>
      <w:r w:rsidRPr="00404724">
        <w:t>)</w:t>
      </w:r>
      <w:r w:rsidR="00EE76F3" w:rsidRPr="00404724">
        <w:t>.</w:t>
      </w:r>
    </w:p>
    <w:p w14:paraId="2E73DC0D" w14:textId="0DD98C1A" w:rsidR="00AC072A" w:rsidRPr="00404724" w:rsidRDefault="00AC072A" w:rsidP="00C4433C">
      <w:pPr>
        <w:pStyle w:val="Tablefigureheading"/>
        <w:ind w:left="993" w:hanging="993"/>
      </w:pPr>
      <w:bookmarkStart w:id="519" w:name="_Ref208495003"/>
      <w:bookmarkStart w:id="520" w:name="_Toc210040391"/>
      <w:bookmarkStart w:id="521" w:name="_Toc210051927"/>
      <w:r w:rsidRPr="00404724">
        <w:t xml:space="preserve">Table </w:t>
      </w:r>
      <w:r w:rsidR="00EC39D5">
        <w:fldChar w:fldCharType="begin"/>
      </w:r>
      <w:r w:rsidR="00EC39D5">
        <w:instrText xml:space="preserve"> SEQ Table \* ARABIC </w:instrText>
      </w:r>
      <w:r w:rsidR="00EC39D5">
        <w:fldChar w:fldCharType="separate"/>
      </w:r>
      <w:r w:rsidR="00BF489D">
        <w:rPr>
          <w:noProof/>
        </w:rPr>
        <w:t>45</w:t>
      </w:r>
      <w:r w:rsidR="00EC39D5">
        <w:rPr>
          <w:noProof/>
        </w:rPr>
        <w:fldChar w:fldCharType="end"/>
      </w:r>
      <w:bookmarkEnd w:id="519"/>
      <w:r w:rsidRPr="00404724">
        <w:tab/>
        <w:t xml:space="preserve">10-year regulatory burden </w:t>
      </w:r>
      <w:r w:rsidR="000C25A5" w:rsidRPr="00404724">
        <w:t xml:space="preserve">on sealed roads </w:t>
      </w:r>
      <w:r w:rsidRPr="00404724">
        <w:t>($ million)</w:t>
      </w:r>
      <w:bookmarkEnd w:id="520"/>
      <w:bookmarkEnd w:id="521"/>
      <w:r w:rsidRPr="00404724">
        <w:t xml:space="preserve"> </w:t>
      </w:r>
    </w:p>
    <w:tbl>
      <w:tblPr>
        <w:tblStyle w:val="ListTable4-Accent1"/>
        <w:tblW w:w="0" w:type="auto"/>
        <w:tblLook w:val="06A0" w:firstRow="1" w:lastRow="0" w:firstColumn="1" w:lastColumn="0" w:noHBand="1" w:noVBand="1"/>
        <w:tblCaption w:val="Table 45 10-year regulatory burden on sealed roads ($ million) "/>
        <w:tblDescription w:val="Table 45 10-year regulatory burden on sealed roads ($ million) "/>
      </w:tblPr>
      <w:tblGrid>
        <w:gridCol w:w="1683"/>
        <w:gridCol w:w="1608"/>
        <w:gridCol w:w="3225"/>
        <w:gridCol w:w="1843"/>
        <w:gridCol w:w="1495"/>
      </w:tblGrid>
      <w:tr w:rsidR="00AC072A" w:rsidRPr="00404724" w14:paraId="20FDC6A0" w14:textId="77777777" w:rsidTr="000A382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dxa"/>
          </w:tcPr>
          <w:p w14:paraId="57789516" w14:textId="627B4778" w:rsidR="00AC072A" w:rsidRPr="00404724" w:rsidRDefault="00AC072A" w:rsidP="000C25A5">
            <w:pPr>
              <w:keepNext/>
              <w:keepLines/>
            </w:pPr>
          </w:p>
        </w:tc>
        <w:tc>
          <w:tcPr>
            <w:tcW w:w="0" w:type="dxa"/>
          </w:tcPr>
          <w:p w14:paraId="0E1118B9" w14:textId="0ACBC542" w:rsidR="00AC072A" w:rsidRPr="00404724" w:rsidRDefault="00AC072A" w:rsidP="00681B56">
            <w:pPr>
              <w:keepNext/>
              <w:keepLines/>
              <w:jc w:val="center"/>
              <w:cnfStyle w:val="100000000000" w:firstRow="1" w:lastRow="0" w:firstColumn="0" w:lastColumn="0" w:oddVBand="0" w:evenVBand="0" w:oddHBand="0" w:evenHBand="0" w:firstRowFirstColumn="0" w:firstRowLastColumn="0" w:lastRowFirstColumn="0" w:lastRowLastColumn="0"/>
            </w:pPr>
            <w:r w:rsidRPr="00404724">
              <w:t>Business (freight)</w:t>
            </w:r>
          </w:p>
        </w:tc>
        <w:tc>
          <w:tcPr>
            <w:tcW w:w="0" w:type="dxa"/>
          </w:tcPr>
          <w:p w14:paraId="37E500A2" w14:textId="0CC3667E" w:rsidR="00AC072A" w:rsidRPr="00404724" w:rsidRDefault="00AC072A" w:rsidP="00681B56">
            <w:pPr>
              <w:keepNext/>
              <w:keepLines/>
              <w:jc w:val="center"/>
              <w:cnfStyle w:val="100000000000" w:firstRow="1" w:lastRow="0" w:firstColumn="0" w:lastColumn="0" w:oddVBand="0" w:evenVBand="0" w:oddHBand="0" w:evenHBand="0" w:firstRowFirstColumn="0" w:firstRowLastColumn="0" w:lastRowFirstColumn="0" w:lastRowLastColumn="0"/>
            </w:pPr>
            <w:r w:rsidRPr="00404724">
              <w:t>Business / community organisations</w:t>
            </w:r>
            <w:r w:rsidR="000C25A5" w:rsidRPr="00404724">
              <w:t xml:space="preserve"> (business travel)</w:t>
            </w:r>
          </w:p>
        </w:tc>
        <w:tc>
          <w:tcPr>
            <w:tcW w:w="0" w:type="dxa"/>
          </w:tcPr>
          <w:p w14:paraId="6756173F" w14:textId="4756A33C" w:rsidR="00AC072A" w:rsidRPr="00404724" w:rsidRDefault="00AC072A" w:rsidP="00681B56">
            <w:pPr>
              <w:keepNext/>
              <w:keepLines/>
              <w:jc w:val="center"/>
              <w:cnfStyle w:val="100000000000" w:firstRow="1" w:lastRow="0" w:firstColumn="0" w:lastColumn="0" w:oddVBand="0" w:evenVBand="0" w:oddHBand="0" w:evenHBand="0" w:firstRowFirstColumn="0" w:firstRowLastColumn="0" w:lastRowFirstColumn="0" w:lastRowLastColumn="0"/>
            </w:pPr>
            <w:r w:rsidRPr="00404724">
              <w:t>Individuals</w:t>
            </w:r>
            <w:r w:rsidR="000C25A5" w:rsidRPr="00404724">
              <w:t xml:space="preserve"> (personal travel)</w:t>
            </w:r>
          </w:p>
        </w:tc>
        <w:tc>
          <w:tcPr>
            <w:tcW w:w="0" w:type="dxa"/>
          </w:tcPr>
          <w:p w14:paraId="6CC6C844" w14:textId="799E89F7" w:rsidR="00AC072A" w:rsidRPr="00404724" w:rsidRDefault="00AC072A" w:rsidP="00681B56">
            <w:pPr>
              <w:keepNext/>
              <w:keepLines/>
              <w:jc w:val="center"/>
              <w:cnfStyle w:val="100000000000" w:firstRow="1" w:lastRow="0" w:firstColumn="0" w:lastColumn="0" w:oddVBand="0" w:evenVBand="0" w:oddHBand="0" w:evenHBand="0" w:firstRowFirstColumn="0" w:firstRowLastColumn="0" w:lastRowFirstColumn="0" w:lastRowLastColumn="0"/>
            </w:pPr>
            <w:r w:rsidRPr="00404724">
              <w:t>Total cost change</w:t>
            </w:r>
          </w:p>
        </w:tc>
      </w:tr>
      <w:tr w:rsidR="000C25A5" w:rsidRPr="00404724" w14:paraId="5524F32F" w14:textId="77777777" w:rsidTr="000A3828">
        <w:trPr>
          <w:cantSplit/>
        </w:trPr>
        <w:tc>
          <w:tcPr>
            <w:cnfStyle w:val="001000000000" w:firstRow="0" w:lastRow="0" w:firstColumn="1" w:lastColumn="0" w:oddVBand="0" w:evenVBand="0" w:oddHBand="0" w:evenHBand="0" w:firstRowFirstColumn="0" w:firstRowLastColumn="0" w:lastRowFirstColumn="0" w:lastRowLastColumn="0"/>
            <w:tcW w:w="1683" w:type="dxa"/>
            <w:shd w:val="clear" w:color="auto" w:fill="C8ECFA" w:themeFill="accent3" w:themeFillTint="66"/>
          </w:tcPr>
          <w:p w14:paraId="37245352" w14:textId="02DF1B52" w:rsidR="000C25A5" w:rsidRPr="00404724" w:rsidRDefault="000C25A5" w:rsidP="000C25A5">
            <w:pPr>
              <w:keepNext/>
              <w:keepLines/>
            </w:pPr>
          </w:p>
        </w:tc>
        <w:tc>
          <w:tcPr>
            <w:tcW w:w="1608" w:type="dxa"/>
            <w:shd w:val="clear" w:color="auto" w:fill="C8ECFA" w:themeFill="accent3" w:themeFillTint="66"/>
          </w:tcPr>
          <w:p w14:paraId="079D5054" w14:textId="77777777" w:rsidR="000C25A5" w:rsidRPr="00404724" w:rsidRDefault="000C25A5" w:rsidP="000C25A5">
            <w:pPr>
              <w:keepNext/>
              <w:keepLines/>
              <w:cnfStyle w:val="000000000000" w:firstRow="0" w:lastRow="0" w:firstColumn="0" w:lastColumn="0" w:oddVBand="0" w:evenVBand="0" w:oddHBand="0" w:evenHBand="0" w:firstRowFirstColumn="0" w:firstRowLastColumn="0" w:lastRowFirstColumn="0" w:lastRowLastColumn="0"/>
            </w:pPr>
          </w:p>
        </w:tc>
        <w:tc>
          <w:tcPr>
            <w:tcW w:w="3225" w:type="dxa"/>
            <w:shd w:val="clear" w:color="auto" w:fill="C8ECFA" w:themeFill="accent3" w:themeFillTint="66"/>
          </w:tcPr>
          <w:p w14:paraId="391F4A55" w14:textId="511DB1D3" w:rsidR="000C25A5" w:rsidRPr="00404724" w:rsidRDefault="000C25A5" w:rsidP="000C25A5">
            <w:pPr>
              <w:keepNext/>
              <w:keepLines/>
              <w:jc w:val="center"/>
              <w:cnfStyle w:val="000000000000" w:firstRow="0" w:lastRow="0" w:firstColumn="0" w:lastColumn="0" w:oddVBand="0" w:evenVBand="0" w:oddHBand="0" w:evenHBand="0" w:firstRowFirstColumn="0" w:firstRowLastColumn="0" w:lastRowFirstColumn="0" w:lastRowLastColumn="0"/>
              <w:rPr>
                <w:b/>
                <w:bCs/>
              </w:rPr>
            </w:pPr>
            <w:r w:rsidRPr="00404724">
              <w:rPr>
                <w:b/>
                <w:bCs/>
              </w:rPr>
              <w:t>Lower bound</w:t>
            </w:r>
          </w:p>
        </w:tc>
        <w:tc>
          <w:tcPr>
            <w:tcW w:w="1843" w:type="dxa"/>
            <w:shd w:val="clear" w:color="auto" w:fill="C8ECFA" w:themeFill="accent3" w:themeFillTint="66"/>
          </w:tcPr>
          <w:p w14:paraId="007371FB" w14:textId="77777777" w:rsidR="000C25A5" w:rsidRPr="00404724" w:rsidRDefault="000C25A5" w:rsidP="000C25A5">
            <w:pPr>
              <w:keepNext/>
              <w:keepLines/>
              <w:cnfStyle w:val="000000000000" w:firstRow="0" w:lastRow="0" w:firstColumn="0" w:lastColumn="0" w:oddVBand="0" w:evenVBand="0" w:oddHBand="0" w:evenHBand="0" w:firstRowFirstColumn="0" w:firstRowLastColumn="0" w:lastRowFirstColumn="0" w:lastRowLastColumn="0"/>
            </w:pPr>
          </w:p>
        </w:tc>
        <w:tc>
          <w:tcPr>
            <w:tcW w:w="1495" w:type="dxa"/>
            <w:shd w:val="clear" w:color="auto" w:fill="C8ECFA" w:themeFill="accent3" w:themeFillTint="66"/>
          </w:tcPr>
          <w:p w14:paraId="67E84827" w14:textId="77777777" w:rsidR="000C25A5" w:rsidRPr="00404724" w:rsidRDefault="000C25A5" w:rsidP="000C25A5">
            <w:pPr>
              <w:keepNext/>
              <w:keepLines/>
              <w:cnfStyle w:val="000000000000" w:firstRow="0" w:lastRow="0" w:firstColumn="0" w:lastColumn="0" w:oddVBand="0" w:evenVBand="0" w:oddHBand="0" w:evenHBand="0" w:firstRowFirstColumn="0" w:firstRowLastColumn="0" w:lastRowFirstColumn="0" w:lastRowLastColumn="0"/>
            </w:pPr>
          </w:p>
        </w:tc>
      </w:tr>
      <w:tr w:rsidR="000C25A5" w:rsidRPr="00404724" w14:paraId="2E00D41F" w14:textId="77777777" w:rsidTr="000A3828">
        <w:trPr>
          <w:cantSplit/>
        </w:trPr>
        <w:tc>
          <w:tcPr>
            <w:cnfStyle w:val="001000000000" w:firstRow="0" w:lastRow="0" w:firstColumn="1" w:lastColumn="0" w:oddVBand="0" w:evenVBand="0" w:oddHBand="0" w:evenHBand="0" w:firstRowFirstColumn="0" w:firstRowLastColumn="0" w:lastRowFirstColumn="0" w:lastRowLastColumn="0"/>
            <w:tcW w:w="1683" w:type="dxa"/>
          </w:tcPr>
          <w:p w14:paraId="42B9AD95" w14:textId="076A2077" w:rsidR="000C25A5" w:rsidRPr="00404724" w:rsidRDefault="000C25A5" w:rsidP="000C25A5">
            <w:r w:rsidRPr="00404724">
              <w:t>90</w:t>
            </w:r>
            <w:r w:rsidR="00C82E00" w:rsidRPr="00404724">
              <w:t xml:space="preserve"> km/h</w:t>
            </w:r>
            <w:r w:rsidRPr="00404724">
              <w:t>, sealed</w:t>
            </w:r>
          </w:p>
        </w:tc>
        <w:tc>
          <w:tcPr>
            <w:tcW w:w="1608" w:type="dxa"/>
          </w:tcPr>
          <w:p w14:paraId="0D9461A2" w14:textId="3F4DC1DC"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$378.5</w:t>
            </w:r>
          </w:p>
        </w:tc>
        <w:tc>
          <w:tcPr>
            <w:tcW w:w="3225" w:type="dxa"/>
          </w:tcPr>
          <w:p w14:paraId="3D59B08C" w14:textId="61788ADB"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$291.2</w:t>
            </w:r>
          </w:p>
        </w:tc>
        <w:tc>
          <w:tcPr>
            <w:tcW w:w="1843" w:type="dxa"/>
          </w:tcPr>
          <w:p w14:paraId="34D6C646" w14:textId="40F42D30"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$28.2</w:t>
            </w:r>
          </w:p>
        </w:tc>
        <w:tc>
          <w:tcPr>
            <w:tcW w:w="1495" w:type="dxa"/>
          </w:tcPr>
          <w:p w14:paraId="2E8135FC" w14:textId="42CF4B04"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$697.9</w:t>
            </w:r>
          </w:p>
        </w:tc>
      </w:tr>
      <w:tr w:rsidR="000C25A5" w:rsidRPr="00404724" w14:paraId="7F388CD8" w14:textId="77777777" w:rsidTr="000A3828">
        <w:trPr>
          <w:cantSplit/>
        </w:trPr>
        <w:tc>
          <w:tcPr>
            <w:cnfStyle w:val="001000000000" w:firstRow="0" w:lastRow="0" w:firstColumn="1" w:lastColumn="0" w:oddVBand="0" w:evenVBand="0" w:oddHBand="0" w:evenHBand="0" w:firstRowFirstColumn="0" w:firstRowLastColumn="0" w:lastRowFirstColumn="0" w:lastRowLastColumn="0"/>
            <w:tcW w:w="1683" w:type="dxa"/>
          </w:tcPr>
          <w:p w14:paraId="02CE2686" w14:textId="07F289FC" w:rsidR="000C25A5" w:rsidRPr="00404724" w:rsidRDefault="000C25A5" w:rsidP="000C25A5">
            <w:r w:rsidRPr="00404724">
              <w:t>80</w:t>
            </w:r>
            <w:r w:rsidR="00C82E00" w:rsidRPr="00404724">
              <w:t xml:space="preserve"> km/h</w:t>
            </w:r>
            <w:r w:rsidRPr="00404724">
              <w:t>, sealed</w:t>
            </w:r>
          </w:p>
        </w:tc>
        <w:tc>
          <w:tcPr>
            <w:tcW w:w="1608" w:type="dxa"/>
          </w:tcPr>
          <w:p w14:paraId="39A8A4FE" w14:textId="63CBA64B"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$342.7</w:t>
            </w:r>
          </w:p>
        </w:tc>
        <w:tc>
          <w:tcPr>
            <w:tcW w:w="3225" w:type="dxa"/>
          </w:tcPr>
          <w:p w14:paraId="15CE749A" w14:textId="17AA6C44"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$263.7</w:t>
            </w:r>
          </w:p>
        </w:tc>
        <w:tc>
          <w:tcPr>
            <w:tcW w:w="1843" w:type="dxa"/>
          </w:tcPr>
          <w:p w14:paraId="2C5BF7A3" w14:textId="5528BAF7"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$31.9</w:t>
            </w:r>
          </w:p>
        </w:tc>
        <w:tc>
          <w:tcPr>
            <w:tcW w:w="1495" w:type="dxa"/>
          </w:tcPr>
          <w:p w14:paraId="5F37EAD3" w14:textId="18964520"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$638.3</w:t>
            </w:r>
          </w:p>
        </w:tc>
      </w:tr>
      <w:tr w:rsidR="000C25A5" w:rsidRPr="00404724" w14:paraId="752E23B7" w14:textId="77777777" w:rsidTr="000A3828">
        <w:trPr>
          <w:cantSplit/>
        </w:trPr>
        <w:tc>
          <w:tcPr>
            <w:cnfStyle w:val="001000000000" w:firstRow="0" w:lastRow="0" w:firstColumn="1" w:lastColumn="0" w:oddVBand="0" w:evenVBand="0" w:oddHBand="0" w:evenHBand="0" w:firstRowFirstColumn="0" w:firstRowLastColumn="0" w:lastRowFirstColumn="0" w:lastRowLastColumn="0"/>
            <w:tcW w:w="1683" w:type="dxa"/>
          </w:tcPr>
          <w:p w14:paraId="597575AF" w14:textId="7C1E552E" w:rsidR="000C25A5" w:rsidRPr="00404724" w:rsidRDefault="000C25A5" w:rsidP="000C25A5">
            <w:r w:rsidRPr="00404724">
              <w:t>70</w:t>
            </w:r>
            <w:r w:rsidR="00C82E00" w:rsidRPr="00404724">
              <w:t xml:space="preserve"> km/h</w:t>
            </w:r>
            <w:r w:rsidRPr="00404724">
              <w:t>, sealed</w:t>
            </w:r>
          </w:p>
        </w:tc>
        <w:tc>
          <w:tcPr>
            <w:tcW w:w="1608" w:type="dxa"/>
          </w:tcPr>
          <w:p w14:paraId="0A309C6F" w14:textId="448637DB"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$925.3</w:t>
            </w:r>
          </w:p>
        </w:tc>
        <w:tc>
          <w:tcPr>
            <w:tcW w:w="3225" w:type="dxa"/>
          </w:tcPr>
          <w:p w14:paraId="05EE0A58" w14:textId="30DD5409"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$711.9</w:t>
            </w:r>
          </w:p>
        </w:tc>
        <w:tc>
          <w:tcPr>
            <w:tcW w:w="1843" w:type="dxa"/>
          </w:tcPr>
          <w:p w14:paraId="180F9867" w14:textId="7A770BC6"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$68.9</w:t>
            </w:r>
          </w:p>
        </w:tc>
        <w:tc>
          <w:tcPr>
            <w:tcW w:w="1495" w:type="dxa"/>
          </w:tcPr>
          <w:p w14:paraId="2956775E" w14:textId="0D245AF3"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$1,706.1</w:t>
            </w:r>
          </w:p>
        </w:tc>
      </w:tr>
      <w:tr w:rsidR="000C25A5" w:rsidRPr="00404724" w14:paraId="088E7DEB" w14:textId="77777777" w:rsidTr="000A3828">
        <w:trPr>
          <w:cantSplit/>
        </w:trPr>
        <w:tc>
          <w:tcPr>
            <w:cnfStyle w:val="001000000000" w:firstRow="0" w:lastRow="0" w:firstColumn="1" w:lastColumn="0" w:oddVBand="0" w:evenVBand="0" w:oddHBand="0" w:evenHBand="0" w:firstRowFirstColumn="0" w:firstRowLastColumn="0" w:lastRowFirstColumn="0" w:lastRowLastColumn="0"/>
            <w:tcW w:w="1683" w:type="dxa"/>
            <w:shd w:val="clear" w:color="auto" w:fill="C8ECFA" w:themeFill="accent3" w:themeFillTint="66"/>
          </w:tcPr>
          <w:p w14:paraId="5801C492" w14:textId="77777777" w:rsidR="000C25A5" w:rsidRPr="00404724" w:rsidRDefault="000C25A5" w:rsidP="00EE76F3">
            <w:pPr>
              <w:keepNext/>
              <w:keepLines/>
              <w:jc w:val="center"/>
            </w:pPr>
          </w:p>
        </w:tc>
        <w:tc>
          <w:tcPr>
            <w:tcW w:w="1608" w:type="dxa"/>
            <w:shd w:val="clear" w:color="auto" w:fill="C8ECFA" w:themeFill="accent3" w:themeFillTint="66"/>
          </w:tcPr>
          <w:p w14:paraId="56DEEE94" w14:textId="77777777" w:rsidR="000C25A5" w:rsidRPr="00404724" w:rsidRDefault="000C25A5" w:rsidP="00EE76F3">
            <w:pPr>
              <w:keepNext/>
              <w:keepLines/>
              <w:jc w:val="center"/>
              <w:cnfStyle w:val="000000000000" w:firstRow="0" w:lastRow="0" w:firstColumn="0" w:lastColumn="0" w:oddVBand="0" w:evenVBand="0" w:oddHBand="0" w:evenHBand="0" w:firstRowFirstColumn="0" w:firstRowLastColumn="0" w:lastRowFirstColumn="0" w:lastRowLastColumn="0"/>
            </w:pPr>
          </w:p>
        </w:tc>
        <w:tc>
          <w:tcPr>
            <w:tcW w:w="3225" w:type="dxa"/>
            <w:shd w:val="clear" w:color="auto" w:fill="C8ECFA" w:themeFill="accent3" w:themeFillTint="66"/>
          </w:tcPr>
          <w:p w14:paraId="41737FED" w14:textId="3900C3EA" w:rsidR="000C25A5" w:rsidRPr="00404724" w:rsidRDefault="000C25A5" w:rsidP="00EE76F3">
            <w:pPr>
              <w:keepNext/>
              <w:keepLines/>
              <w:jc w:val="center"/>
              <w:cnfStyle w:val="000000000000" w:firstRow="0" w:lastRow="0" w:firstColumn="0" w:lastColumn="0" w:oddVBand="0" w:evenVBand="0" w:oddHBand="0" w:evenHBand="0" w:firstRowFirstColumn="0" w:firstRowLastColumn="0" w:lastRowFirstColumn="0" w:lastRowLastColumn="0"/>
              <w:rPr>
                <w:b/>
                <w:bCs/>
              </w:rPr>
            </w:pPr>
            <w:r w:rsidRPr="00404724">
              <w:rPr>
                <w:b/>
                <w:bCs/>
              </w:rPr>
              <w:t>Middle bound</w:t>
            </w:r>
          </w:p>
        </w:tc>
        <w:tc>
          <w:tcPr>
            <w:tcW w:w="1843" w:type="dxa"/>
            <w:shd w:val="clear" w:color="auto" w:fill="C8ECFA" w:themeFill="accent3" w:themeFillTint="66"/>
          </w:tcPr>
          <w:p w14:paraId="06FF90FA" w14:textId="77777777" w:rsidR="000C25A5" w:rsidRPr="00404724" w:rsidRDefault="000C25A5" w:rsidP="00EE76F3">
            <w:pPr>
              <w:keepNext/>
              <w:keepLines/>
              <w:jc w:val="center"/>
              <w:cnfStyle w:val="000000000000" w:firstRow="0" w:lastRow="0" w:firstColumn="0" w:lastColumn="0" w:oddVBand="0" w:evenVBand="0" w:oddHBand="0" w:evenHBand="0" w:firstRowFirstColumn="0" w:firstRowLastColumn="0" w:lastRowFirstColumn="0" w:lastRowLastColumn="0"/>
            </w:pPr>
          </w:p>
        </w:tc>
        <w:tc>
          <w:tcPr>
            <w:tcW w:w="1495" w:type="dxa"/>
            <w:shd w:val="clear" w:color="auto" w:fill="C8ECFA" w:themeFill="accent3" w:themeFillTint="66"/>
          </w:tcPr>
          <w:p w14:paraId="15696D30" w14:textId="77777777" w:rsidR="000C25A5" w:rsidRPr="00404724" w:rsidRDefault="000C25A5" w:rsidP="00EE76F3">
            <w:pPr>
              <w:keepNext/>
              <w:keepLines/>
              <w:jc w:val="center"/>
              <w:cnfStyle w:val="000000000000" w:firstRow="0" w:lastRow="0" w:firstColumn="0" w:lastColumn="0" w:oddVBand="0" w:evenVBand="0" w:oddHBand="0" w:evenHBand="0" w:firstRowFirstColumn="0" w:firstRowLastColumn="0" w:lastRowFirstColumn="0" w:lastRowLastColumn="0"/>
            </w:pPr>
          </w:p>
        </w:tc>
      </w:tr>
      <w:tr w:rsidR="000C25A5" w:rsidRPr="00404724" w14:paraId="566EE499" w14:textId="77777777" w:rsidTr="000A3828">
        <w:trPr>
          <w:cantSplit/>
        </w:trPr>
        <w:tc>
          <w:tcPr>
            <w:cnfStyle w:val="001000000000" w:firstRow="0" w:lastRow="0" w:firstColumn="1" w:lastColumn="0" w:oddVBand="0" w:evenVBand="0" w:oddHBand="0" w:evenHBand="0" w:firstRowFirstColumn="0" w:firstRowLastColumn="0" w:lastRowFirstColumn="0" w:lastRowLastColumn="0"/>
            <w:tcW w:w="1683" w:type="dxa"/>
          </w:tcPr>
          <w:p w14:paraId="3812D66F" w14:textId="25471CA0" w:rsidR="000C25A5" w:rsidRPr="00404724" w:rsidRDefault="000C25A5" w:rsidP="000C25A5">
            <w:r w:rsidRPr="00404724">
              <w:t>90</w:t>
            </w:r>
            <w:r w:rsidR="00C82E00" w:rsidRPr="00404724">
              <w:t xml:space="preserve"> km/h</w:t>
            </w:r>
            <w:r w:rsidRPr="00404724">
              <w:t>, sealed</w:t>
            </w:r>
          </w:p>
        </w:tc>
        <w:tc>
          <w:tcPr>
            <w:tcW w:w="1608" w:type="dxa"/>
          </w:tcPr>
          <w:p w14:paraId="45B922EF" w14:textId="65F2DE3C"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$757.1</w:t>
            </w:r>
          </w:p>
        </w:tc>
        <w:tc>
          <w:tcPr>
            <w:tcW w:w="3225" w:type="dxa"/>
          </w:tcPr>
          <w:p w14:paraId="6A7E1705" w14:textId="30CA6BE1"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$582.5</w:t>
            </w:r>
          </w:p>
        </w:tc>
        <w:tc>
          <w:tcPr>
            <w:tcW w:w="1843" w:type="dxa"/>
          </w:tcPr>
          <w:p w14:paraId="0245FFC0" w14:textId="7A5565DD"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$70.4</w:t>
            </w:r>
          </w:p>
        </w:tc>
        <w:tc>
          <w:tcPr>
            <w:tcW w:w="1495" w:type="dxa"/>
          </w:tcPr>
          <w:p w14:paraId="52710F90" w14:textId="472B3D92"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$1,410.0</w:t>
            </w:r>
          </w:p>
        </w:tc>
      </w:tr>
      <w:tr w:rsidR="000C25A5" w:rsidRPr="00404724" w14:paraId="72D64707" w14:textId="77777777" w:rsidTr="000A3828">
        <w:trPr>
          <w:cantSplit/>
        </w:trPr>
        <w:tc>
          <w:tcPr>
            <w:cnfStyle w:val="001000000000" w:firstRow="0" w:lastRow="0" w:firstColumn="1" w:lastColumn="0" w:oddVBand="0" w:evenVBand="0" w:oddHBand="0" w:evenHBand="0" w:firstRowFirstColumn="0" w:firstRowLastColumn="0" w:lastRowFirstColumn="0" w:lastRowLastColumn="0"/>
            <w:tcW w:w="1683" w:type="dxa"/>
          </w:tcPr>
          <w:p w14:paraId="41B1E6B1" w14:textId="124F52FD" w:rsidR="000C25A5" w:rsidRPr="00404724" w:rsidRDefault="000C25A5" w:rsidP="000C25A5">
            <w:r w:rsidRPr="00404724">
              <w:t>80</w:t>
            </w:r>
            <w:r w:rsidR="00C82E00" w:rsidRPr="00404724">
              <w:t xml:space="preserve"> km/h</w:t>
            </w:r>
            <w:r w:rsidRPr="00404724">
              <w:t>, sealed</w:t>
            </w:r>
          </w:p>
        </w:tc>
        <w:tc>
          <w:tcPr>
            <w:tcW w:w="1608" w:type="dxa"/>
          </w:tcPr>
          <w:p w14:paraId="60EBFB53" w14:textId="6E839EFC"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$856.8</w:t>
            </w:r>
          </w:p>
        </w:tc>
        <w:tc>
          <w:tcPr>
            <w:tcW w:w="3225" w:type="dxa"/>
          </w:tcPr>
          <w:p w14:paraId="581595FD" w14:textId="576CE939"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$659.2</w:t>
            </w:r>
          </w:p>
        </w:tc>
        <w:tc>
          <w:tcPr>
            <w:tcW w:w="1843" w:type="dxa"/>
          </w:tcPr>
          <w:p w14:paraId="4F27E7E5" w14:textId="05DC0848"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$95.6</w:t>
            </w:r>
          </w:p>
        </w:tc>
        <w:tc>
          <w:tcPr>
            <w:tcW w:w="1495" w:type="dxa"/>
          </w:tcPr>
          <w:p w14:paraId="48F825FD" w14:textId="714ABC04"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$1,611.6</w:t>
            </w:r>
          </w:p>
        </w:tc>
      </w:tr>
      <w:tr w:rsidR="000C25A5" w:rsidRPr="00404724" w14:paraId="30133675" w14:textId="77777777" w:rsidTr="000A3828">
        <w:trPr>
          <w:cantSplit/>
        </w:trPr>
        <w:tc>
          <w:tcPr>
            <w:cnfStyle w:val="001000000000" w:firstRow="0" w:lastRow="0" w:firstColumn="1" w:lastColumn="0" w:oddVBand="0" w:evenVBand="0" w:oddHBand="0" w:evenHBand="0" w:firstRowFirstColumn="0" w:firstRowLastColumn="0" w:lastRowFirstColumn="0" w:lastRowLastColumn="0"/>
            <w:tcW w:w="1683" w:type="dxa"/>
          </w:tcPr>
          <w:p w14:paraId="70987133" w14:textId="215B4793" w:rsidR="000C25A5" w:rsidRPr="00404724" w:rsidRDefault="000C25A5" w:rsidP="000C25A5">
            <w:r w:rsidRPr="00404724">
              <w:lastRenderedPageBreak/>
              <w:t>70</w:t>
            </w:r>
            <w:r w:rsidR="00C82E00" w:rsidRPr="00404724">
              <w:t xml:space="preserve"> km/h</w:t>
            </w:r>
            <w:r w:rsidRPr="00404724">
              <w:t>, sealed</w:t>
            </w:r>
          </w:p>
        </w:tc>
        <w:tc>
          <w:tcPr>
            <w:tcW w:w="1608" w:type="dxa"/>
          </w:tcPr>
          <w:p w14:paraId="233BADD6" w14:textId="5488FAEB"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$1,850.6</w:t>
            </w:r>
          </w:p>
        </w:tc>
        <w:tc>
          <w:tcPr>
            <w:tcW w:w="3225" w:type="dxa"/>
          </w:tcPr>
          <w:p w14:paraId="4388AB68" w14:textId="24E47825"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$1,423.8</w:t>
            </w:r>
          </w:p>
        </w:tc>
        <w:tc>
          <w:tcPr>
            <w:tcW w:w="1843" w:type="dxa"/>
          </w:tcPr>
          <w:p w14:paraId="6D248540" w14:textId="5343986E"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$172.1</w:t>
            </w:r>
          </w:p>
        </w:tc>
        <w:tc>
          <w:tcPr>
            <w:tcW w:w="1495" w:type="dxa"/>
          </w:tcPr>
          <w:p w14:paraId="2D18EB9A" w14:textId="7DE14CF8"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$3,446.6</w:t>
            </w:r>
          </w:p>
        </w:tc>
      </w:tr>
      <w:tr w:rsidR="000C25A5" w:rsidRPr="00404724" w14:paraId="011D5C4C" w14:textId="77777777" w:rsidTr="000A3828">
        <w:trPr>
          <w:cantSplit/>
        </w:trPr>
        <w:tc>
          <w:tcPr>
            <w:cnfStyle w:val="001000000000" w:firstRow="0" w:lastRow="0" w:firstColumn="1" w:lastColumn="0" w:oddVBand="0" w:evenVBand="0" w:oddHBand="0" w:evenHBand="0" w:firstRowFirstColumn="0" w:firstRowLastColumn="0" w:lastRowFirstColumn="0" w:lastRowLastColumn="0"/>
            <w:tcW w:w="1683" w:type="dxa"/>
            <w:shd w:val="clear" w:color="auto" w:fill="C8ECFA" w:themeFill="accent3" w:themeFillTint="66"/>
          </w:tcPr>
          <w:p w14:paraId="5320CCFF" w14:textId="77777777" w:rsidR="000C25A5" w:rsidRPr="00404724" w:rsidRDefault="000C25A5" w:rsidP="000C25A5">
            <w:pPr>
              <w:jc w:val="center"/>
            </w:pPr>
          </w:p>
        </w:tc>
        <w:tc>
          <w:tcPr>
            <w:tcW w:w="1608" w:type="dxa"/>
            <w:shd w:val="clear" w:color="auto" w:fill="C8ECFA" w:themeFill="accent3" w:themeFillTint="66"/>
          </w:tcPr>
          <w:p w14:paraId="2C654714" w14:textId="77777777" w:rsidR="000C25A5" w:rsidRPr="00404724" w:rsidRDefault="000C25A5" w:rsidP="000C25A5">
            <w:pPr>
              <w:jc w:val="center"/>
              <w:cnfStyle w:val="000000000000" w:firstRow="0" w:lastRow="0" w:firstColumn="0" w:lastColumn="0" w:oddVBand="0" w:evenVBand="0" w:oddHBand="0" w:evenHBand="0" w:firstRowFirstColumn="0" w:firstRowLastColumn="0" w:lastRowFirstColumn="0" w:lastRowLastColumn="0"/>
            </w:pPr>
          </w:p>
        </w:tc>
        <w:tc>
          <w:tcPr>
            <w:tcW w:w="3225" w:type="dxa"/>
            <w:shd w:val="clear" w:color="auto" w:fill="C8ECFA" w:themeFill="accent3" w:themeFillTint="66"/>
          </w:tcPr>
          <w:p w14:paraId="44648815" w14:textId="17FDDF70" w:rsidR="000C25A5" w:rsidRPr="00404724" w:rsidRDefault="000C25A5" w:rsidP="000C25A5">
            <w:pPr>
              <w:jc w:val="center"/>
              <w:cnfStyle w:val="000000000000" w:firstRow="0" w:lastRow="0" w:firstColumn="0" w:lastColumn="0" w:oddVBand="0" w:evenVBand="0" w:oddHBand="0" w:evenHBand="0" w:firstRowFirstColumn="0" w:firstRowLastColumn="0" w:lastRowFirstColumn="0" w:lastRowLastColumn="0"/>
              <w:rPr>
                <w:b/>
                <w:bCs/>
              </w:rPr>
            </w:pPr>
            <w:r w:rsidRPr="00404724">
              <w:rPr>
                <w:b/>
                <w:bCs/>
              </w:rPr>
              <w:t>Upper bound</w:t>
            </w:r>
          </w:p>
        </w:tc>
        <w:tc>
          <w:tcPr>
            <w:tcW w:w="1843" w:type="dxa"/>
            <w:shd w:val="clear" w:color="auto" w:fill="C8ECFA" w:themeFill="accent3" w:themeFillTint="66"/>
          </w:tcPr>
          <w:p w14:paraId="5FC561D9" w14:textId="77777777" w:rsidR="000C25A5" w:rsidRPr="00404724" w:rsidRDefault="000C25A5" w:rsidP="000C25A5">
            <w:pPr>
              <w:jc w:val="center"/>
              <w:cnfStyle w:val="000000000000" w:firstRow="0" w:lastRow="0" w:firstColumn="0" w:lastColumn="0" w:oddVBand="0" w:evenVBand="0" w:oddHBand="0" w:evenHBand="0" w:firstRowFirstColumn="0" w:firstRowLastColumn="0" w:lastRowFirstColumn="0" w:lastRowLastColumn="0"/>
            </w:pPr>
          </w:p>
        </w:tc>
        <w:tc>
          <w:tcPr>
            <w:tcW w:w="1495" w:type="dxa"/>
            <w:shd w:val="clear" w:color="auto" w:fill="C8ECFA" w:themeFill="accent3" w:themeFillTint="66"/>
          </w:tcPr>
          <w:p w14:paraId="3247A1F7" w14:textId="77777777" w:rsidR="000C25A5" w:rsidRPr="00404724" w:rsidRDefault="000C25A5" w:rsidP="000C25A5">
            <w:pPr>
              <w:jc w:val="center"/>
              <w:cnfStyle w:val="000000000000" w:firstRow="0" w:lastRow="0" w:firstColumn="0" w:lastColumn="0" w:oddVBand="0" w:evenVBand="0" w:oddHBand="0" w:evenHBand="0" w:firstRowFirstColumn="0" w:firstRowLastColumn="0" w:lastRowFirstColumn="0" w:lastRowLastColumn="0"/>
            </w:pPr>
          </w:p>
        </w:tc>
      </w:tr>
      <w:tr w:rsidR="000C25A5" w:rsidRPr="00404724" w14:paraId="0E9AB315" w14:textId="77777777" w:rsidTr="000A3828">
        <w:trPr>
          <w:cantSplit/>
        </w:trPr>
        <w:tc>
          <w:tcPr>
            <w:cnfStyle w:val="001000000000" w:firstRow="0" w:lastRow="0" w:firstColumn="1" w:lastColumn="0" w:oddVBand="0" w:evenVBand="0" w:oddHBand="0" w:evenHBand="0" w:firstRowFirstColumn="0" w:firstRowLastColumn="0" w:lastRowFirstColumn="0" w:lastRowLastColumn="0"/>
            <w:tcW w:w="1683" w:type="dxa"/>
          </w:tcPr>
          <w:p w14:paraId="5E6A81BC" w14:textId="2CBCEC0E" w:rsidR="000C25A5" w:rsidRPr="00404724" w:rsidRDefault="000C25A5" w:rsidP="000C25A5">
            <w:r w:rsidRPr="00404724">
              <w:t>90</w:t>
            </w:r>
            <w:r w:rsidR="00C82E00" w:rsidRPr="00404724">
              <w:t xml:space="preserve"> km/h</w:t>
            </w:r>
            <w:r w:rsidRPr="00404724">
              <w:t>, sealed</w:t>
            </w:r>
          </w:p>
        </w:tc>
        <w:tc>
          <w:tcPr>
            <w:tcW w:w="1608" w:type="dxa"/>
          </w:tcPr>
          <w:p w14:paraId="36FFF6FE" w14:textId="7C7B4528"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$2,271.2</w:t>
            </w:r>
          </w:p>
        </w:tc>
        <w:tc>
          <w:tcPr>
            <w:tcW w:w="3225" w:type="dxa"/>
          </w:tcPr>
          <w:p w14:paraId="14B35095" w14:textId="7B106CEE"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$1,747.4</w:t>
            </w:r>
          </w:p>
        </w:tc>
        <w:tc>
          <w:tcPr>
            <w:tcW w:w="1843" w:type="dxa"/>
          </w:tcPr>
          <w:p w14:paraId="3E272398" w14:textId="066953B0"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$140.8</w:t>
            </w:r>
          </w:p>
        </w:tc>
        <w:tc>
          <w:tcPr>
            <w:tcW w:w="1495" w:type="dxa"/>
          </w:tcPr>
          <w:p w14:paraId="7E8D5249" w14:textId="7BEBF3C1"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$4,159.5</w:t>
            </w:r>
          </w:p>
        </w:tc>
      </w:tr>
      <w:tr w:rsidR="000C25A5" w:rsidRPr="00404724" w14:paraId="7CE44776" w14:textId="77777777" w:rsidTr="000A3828">
        <w:trPr>
          <w:cantSplit/>
        </w:trPr>
        <w:tc>
          <w:tcPr>
            <w:cnfStyle w:val="001000000000" w:firstRow="0" w:lastRow="0" w:firstColumn="1" w:lastColumn="0" w:oddVBand="0" w:evenVBand="0" w:oddHBand="0" w:evenHBand="0" w:firstRowFirstColumn="0" w:firstRowLastColumn="0" w:lastRowFirstColumn="0" w:lastRowLastColumn="0"/>
            <w:tcW w:w="1683" w:type="dxa"/>
          </w:tcPr>
          <w:p w14:paraId="5FD4EA25" w14:textId="567A6780" w:rsidR="000C25A5" w:rsidRPr="00404724" w:rsidRDefault="000C25A5" w:rsidP="000C25A5">
            <w:r w:rsidRPr="00404724">
              <w:t>80</w:t>
            </w:r>
            <w:r w:rsidR="00C82E00" w:rsidRPr="00404724">
              <w:t xml:space="preserve"> km/h</w:t>
            </w:r>
            <w:r w:rsidRPr="00404724">
              <w:t>, sealed</w:t>
            </w:r>
          </w:p>
        </w:tc>
        <w:tc>
          <w:tcPr>
            <w:tcW w:w="1608" w:type="dxa"/>
          </w:tcPr>
          <w:p w14:paraId="06276C28" w14:textId="7F8E4A60"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$1,713.6</w:t>
            </w:r>
          </w:p>
        </w:tc>
        <w:tc>
          <w:tcPr>
            <w:tcW w:w="3225" w:type="dxa"/>
          </w:tcPr>
          <w:p w14:paraId="316CDE6C" w14:textId="6F9E701C"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$1,318.4</w:t>
            </w:r>
          </w:p>
        </w:tc>
        <w:tc>
          <w:tcPr>
            <w:tcW w:w="1843" w:type="dxa"/>
          </w:tcPr>
          <w:p w14:paraId="389DAF4D" w14:textId="2686951C"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$159.4</w:t>
            </w:r>
          </w:p>
        </w:tc>
        <w:tc>
          <w:tcPr>
            <w:tcW w:w="1495" w:type="dxa"/>
          </w:tcPr>
          <w:p w14:paraId="145ADD30" w14:textId="3A6B6F09"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$3,191.4</w:t>
            </w:r>
          </w:p>
        </w:tc>
      </w:tr>
      <w:tr w:rsidR="000C25A5" w:rsidRPr="00404724" w14:paraId="0F407024" w14:textId="77777777" w:rsidTr="000A3828">
        <w:trPr>
          <w:cantSplit/>
        </w:trPr>
        <w:tc>
          <w:tcPr>
            <w:cnfStyle w:val="001000000000" w:firstRow="0" w:lastRow="0" w:firstColumn="1" w:lastColumn="0" w:oddVBand="0" w:evenVBand="0" w:oddHBand="0" w:evenHBand="0" w:firstRowFirstColumn="0" w:firstRowLastColumn="0" w:lastRowFirstColumn="0" w:lastRowLastColumn="0"/>
            <w:tcW w:w="1683" w:type="dxa"/>
          </w:tcPr>
          <w:p w14:paraId="5C966F94" w14:textId="569F24EB" w:rsidR="000C25A5" w:rsidRPr="00404724" w:rsidRDefault="000C25A5" w:rsidP="000C25A5">
            <w:r w:rsidRPr="00404724">
              <w:t>70</w:t>
            </w:r>
            <w:r w:rsidR="00C82E00" w:rsidRPr="00404724">
              <w:t xml:space="preserve"> km/h</w:t>
            </w:r>
            <w:r w:rsidRPr="00404724">
              <w:t>, sealed</w:t>
            </w:r>
          </w:p>
        </w:tc>
        <w:tc>
          <w:tcPr>
            <w:tcW w:w="1608" w:type="dxa"/>
          </w:tcPr>
          <w:p w14:paraId="12436865" w14:textId="0A9D1769"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$5,551.9</w:t>
            </w:r>
          </w:p>
        </w:tc>
        <w:tc>
          <w:tcPr>
            <w:tcW w:w="3225" w:type="dxa"/>
          </w:tcPr>
          <w:p w14:paraId="3F08A62F" w14:textId="2303416E"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$4,271.5</w:t>
            </w:r>
          </w:p>
        </w:tc>
        <w:tc>
          <w:tcPr>
            <w:tcW w:w="1843" w:type="dxa"/>
          </w:tcPr>
          <w:p w14:paraId="49DC3B74" w14:textId="30926FF3"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$344.3</w:t>
            </w:r>
          </w:p>
        </w:tc>
        <w:tc>
          <w:tcPr>
            <w:tcW w:w="1495" w:type="dxa"/>
          </w:tcPr>
          <w:p w14:paraId="20E1BDF0" w14:textId="5C76C602"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$10,167.7</w:t>
            </w:r>
          </w:p>
        </w:tc>
      </w:tr>
    </w:tbl>
    <w:p w14:paraId="1BBD1D0B" w14:textId="44E2C536" w:rsidR="000C25A5" w:rsidRPr="00404724" w:rsidRDefault="000C25A5" w:rsidP="003979C3">
      <w:pPr>
        <w:pStyle w:val="Tablefigureheading"/>
      </w:pPr>
      <w:bookmarkStart w:id="522" w:name="_Ref208495006"/>
      <w:bookmarkStart w:id="523" w:name="_Toc210040392"/>
      <w:bookmarkStart w:id="524" w:name="_Toc210051928"/>
      <w:r w:rsidRPr="00404724">
        <w:t xml:space="preserve">Table </w:t>
      </w:r>
      <w:r w:rsidR="00EC39D5">
        <w:fldChar w:fldCharType="begin"/>
      </w:r>
      <w:r w:rsidR="00EC39D5">
        <w:instrText xml:space="preserve"> SEQ Table \* ARABIC </w:instrText>
      </w:r>
      <w:r w:rsidR="00EC39D5">
        <w:fldChar w:fldCharType="separate"/>
      </w:r>
      <w:r w:rsidR="00BF489D">
        <w:rPr>
          <w:noProof/>
        </w:rPr>
        <w:t>46</w:t>
      </w:r>
      <w:r w:rsidR="00EC39D5">
        <w:rPr>
          <w:noProof/>
        </w:rPr>
        <w:fldChar w:fldCharType="end"/>
      </w:r>
      <w:bookmarkEnd w:id="522"/>
      <w:r w:rsidRPr="00404724">
        <w:tab/>
        <w:t>10-year regulatory burden on unsealed roads ($ million)</w:t>
      </w:r>
      <w:bookmarkEnd w:id="523"/>
      <w:bookmarkEnd w:id="524"/>
      <w:r w:rsidRPr="00404724">
        <w:t xml:space="preserve"> </w:t>
      </w:r>
    </w:p>
    <w:tbl>
      <w:tblPr>
        <w:tblStyle w:val="GridTable4-Accent1"/>
        <w:tblW w:w="0" w:type="auto"/>
        <w:tblLook w:val="06A0" w:firstRow="1" w:lastRow="0" w:firstColumn="1" w:lastColumn="0" w:noHBand="1" w:noVBand="1"/>
        <w:tblCaption w:val="Table 46 10-year regulatory burden on unsealed roads ($ million) "/>
        <w:tblDescription w:val="Table 46 10-year regulatory burden on unsealed roads ($ million) &#10; &#10;"/>
      </w:tblPr>
      <w:tblGrid>
        <w:gridCol w:w="1980"/>
        <w:gridCol w:w="1311"/>
        <w:gridCol w:w="3225"/>
        <w:gridCol w:w="1843"/>
        <w:gridCol w:w="1495"/>
      </w:tblGrid>
      <w:tr w:rsidR="000C25A5" w:rsidRPr="00404724" w14:paraId="1A78A8E8" w14:textId="77777777" w:rsidTr="000A382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Pr>
          <w:p w14:paraId="410FF774" w14:textId="77777777" w:rsidR="000C25A5" w:rsidRPr="00404724" w:rsidRDefault="000C25A5" w:rsidP="00BB5FCD"/>
        </w:tc>
        <w:tc>
          <w:tcPr>
            <w:tcW w:w="1311" w:type="dxa"/>
          </w:tcPr>
          <w:p w14:paraId="1C94E96C" w14:textId="77777777" w:rsidR="000C25A5" w:rsidRPr="00404724" w:rsidRDefault="000C25A5" w:rsidP="00681B56">
            <w:pPr>
              <w:jc w:val="center"/>
              <w:cnfStyle w:val="100000000000" w:firstRow="1" w:lastRow="0" w:firstColumn="0" w:lastColumn="0" w:oddVBand="0" w:evenVBand="0" w:oddHBand="0" w:evenHBand="0" w:firstRowFirstColumn="0" w:firstRowLastColumn="0" w:lastRowFirstColumn="0" w:lastRowLastColumn="0"/>
            </w:pPr>
            <w:r w:rsidRPr="00404724">
              <w:t>Business (freight)</w:t>
            </w:r>
          </w:p>
        </w:tc>
        <w:tc>
          <w:tcPr>
            <w:tcW w:w="3225" w:type="dxa"/>
          </w:tcPr>
          <w:p w14:paraId="17CB8444" w14:textId="77777777" w:rsidR="000C25A5" w:rsidRPr="00404724" w:rsidRDefault="000C25A5" w:rsidP="00681B56">
            <w:pPr>
              <w:jc w:val="center"/>
              <w:cnfStyle w:val="100000000000" w:firstRow="1" w:lastRow="0" w:firstColumn="0" w:lastColumn="0" w:oddVBand="0" w:evenVBand="0" w:oddHBand="0" w:evenHBand="0" w:firstRowFirstColumn="0" w:firstRowLastColumn="0" w:lastRowFirstColumn="0" w:lastRowLastColumn="0"/>
            </w:pPr>
            <w:r w:rsidRPr="00404724">
              <w:t>Business / community organisations (business travel)</w:t>
            </w:r>
          </w:p>
        </w:tc>
        <w:tc>
          <w:tcPr>
            <w:tcW w:w="1843" w:type="dxa"/>
          </w:tcPr>
          <w:p w14:paraId="759DE8BC" w14:textId="77777777" w:rsidR="000C25A5" w:rsidRPr="00404724" w:rsidRDefault="000C25A5" w:rsidP="00681B56">
            <w:pPr>
              <w:jc w:val="center"/>
              <w:cnfStyle w:val="100000000000" w:firstRow="1" w:lastRow="0" w:firstColumn="0" w:lastColumn="0" w:oddVBand="0" w:evenVBand="0" w:oddHBand="0" w:evenHBand="0" w:firstRowFirstColumn="0" w:firstRowLastColumn="0" w:lastRowFirstColumn="0" w:lastRowLastColumn="0"/>
            </w:pPr>
            <w:r w:rsidRPr="00404724">
              <w:t>Individuals (personal travel)</w:t>
            </w:r>
          </w:p>
        </w:tc>
        <w:tc>
          <w:tcPr>
            <w:tcW w:w="1495" w:type="dxa"/>
          </w:tcPr>
          <w:p w14:paraId="45F671CD" w14:textId="77777777" w:rsidR="000C25A5" w:rsidRPr="00404724" w:rsidRDefault="000C25A5" w:rsidP="00681B56">
            <w:pPr>
              <w:jc w:val="center"/>
              <w:cnfStyle w:val="100000000000" w:firstRow="1" w:lastRow="0" w:firstColumn="0" w:lastColumn="0" w:oddVBand="0" w:evenVBand="0" w:oddHBand="0" w:evenHBand="0" w:firstRowFirstColumn="0" w:firstRowLastColumn="0" w:lastRowFirstColumn="0" w:lastRowLastColumn="0"/>
            </w:pPr>
            <w:r w:rsidRPr="00404724">
              <w:t>Total cost change</w:t>
            </w:r>
          </w:p>
        </w:tc>
      </w:tr>
      <w:tr w:rsidR="000C25A5" w:rsidRPr="00404724" w14:paraId="51FBAAD4" w14:textId="77777777" w:rsidTr="000A3828">
        <w:trPr>
          <w:cantSplit/>
        </w:trPr>
        <w:tc>
          <w:tcPr>
            <w:cnfStyle w:val="001000000000" w:firstRow="0" w:lastRow="0" w:firstColumn="1" w:lastColumn="0" w:oddVBand="0" w:evenVBand="0" w:oddHBand="0" w:evenHBand="0" w:firstRowFirstColumn="0" w:firstRowLastColumn="0" w:lastRowFirstColumn="0" w:lastRowLastColumn="0"/>
            <w:tcW w:w="1980" w:type="dxa"/>
            <w:shd w:val="clear" w:color="auto" w:fill="C8ECFA" w:themeFill="accent3" w:themeFillTint="66"/>
          </w:tcPr>
          <w:p w14:paraId="21F4812F" w14:textId="77777777" w:rsidR="000C25A5" w:rsidRPr="00404724" w:rsidRDefault="000C25A5" w:rsidP="00BB5FCD"/>
        </w:tc>
        <w:tc>
          <w:tcPr>
            <w:tcW w:w="1311" w:type="dxa"/>
            <w:shd w:val="clear" w:color="auto" w:fill="C8ECFA" w:themeFill="accent3" w:themeFillTint="66"/>
          </w:tcPr>
          <w:p w14:paraId="3C0CA4B1" w14:textId="77777777" w:rsidR="000C25A5" w:rsidRPr="00404724" w:rsidRDefault="000C25A5" w:rsidP="00BB5FCD">
            <w:pPr>
              <w:cnfStyle w:val="000000000000" w:firstRow="0" w:lastRow="0" w:firstColumn="0" w:lastColumn="0" w:oddVBand="0" w:evenVBand="0" w:oddHBand="0" w:evenHBand="0" w:firstRowFirstColumn="0" w:firstRowLastColumn="0" w:lastRowFirstColumn="0" w:lastRowLastColumn="0"/>
            </w:pPr>
          </w:p>
        </w:tc>
        <w:tc>
          <w:tcPr>
            <w:tcW w:w="3225" w:type="dxa"/>
            <w:shd w:val="clear" w:color="auto" w:fill="C8ECFA" w:themeFill="accent3" w:themeFillTint="66"/>
          </w:tcPr>
          <w:p w14:paraId="4C16F21E" w14:textId="77777777" w:rsidR="000C25A5" w:rsidRPr="00404724" w:rsidRDefault="000C25A5" w:rsidP="00BB5FCD">
            <w:pPr>
              <w:jc w:val="center"/>
              <w:cnfStyle w:val="000000000000" w:firstRow="0" w:lastRow="0" w:firstColumn="0" w:lastColumn="0" w:oddVBand="0" w:evenVBand="0" w:oddHBand="0" w:evenHBand="0" w:firstRowFirstColumn="0" w:firstRowLastColumn="0" w:lastRowFirstColumn="0" w:lastRowLastColumn="0"/>
              <w:rPr>
                <w:b/>
                <w:bCs/>
              </w:rPr>
            </w:pPr>
            <w:r w:rsidRPr="00404724">
              <w:rPr>
                <w:b/>
                <w:bCs/>
              </w:rPr>
              <w:t>Lower bound</w:t>
            </w:r>
          </w:p>
        </w:tc>
        <w:tc>
          <w:tcPr>
            <w:tcW w:w="1843" w:type="dxa"/>
            <w:shd w:val="clear" w:color="auto" w:fill="C8ECFA" w:themeFill="accent3" w:themeFillTint="66"/>
          </w:tcPr>
          <w:p w14:paraId="27533E3E" w14:textId="77777777" w:rsidR="000C25A5" w:rsidRPr="00404724" w:rsidRDefault="000C25A5" w:rsidP="00BB5FCD">
            <w:pPr>
              <w:cnfStyle w:val="000000000000" w:firstRow="0" w:lastRow="0" w:firstColumn="0" w:lastColumn="0" w:oddVBand="0" w:evenVBand="0" w:oddHBand="0" w:evenHBand="0" w:firstRowFirstColumn="0" w:firstRowLastColumn="0" w:lastRowFirstColumn="0" w:lastRowLastColumn="0"/>
            </w:pPr>
          </w:p>
        </w:tc>
        <w:tc>
          <w:tcPr>
            <w:tcW w:w="1495" w:type="dxa"/>
            <w:shd w:val="clear" w:color="auto" w:fill="C8ECFA" w:themeFill="accent3" w:themeFillTint="66"/>
          </w:tcPr>
          <w:p w14:paraId="3F87A618" w14:textId="77777777" w:rsidR="000C25A5" w:rsidRPr="00404724" w:rsidRDefault="000C25A5" w:rsidP="00BB5FCD">
            <w:pPr>
              <w:cnfStyle w:val="000000000000" w:firstRow="0" w:lastRow="0" w:firstColumn="0" w:lastColumn="0" w:oddVBand="0" w:evenVBand="0" w:oddHBand="0" w:evenHBand="0" w:firstRowFirstColumn="0" w:firstRowLastColumn="0" w:lastRowFirstColumn="0" w:lastRowLastColumn="0"/>
            </w:pPr>
          </w:p>
        </w:tc>
      </w:tr>
      <w:tr w:rsidR="000C25A5" w:rsidRPr="00404724" w14:paraId="42B268E1" w14:textId="77777777" w:rsidTr="000A3828">
        <w:trPr>
          <w:cantSplit/>
        </w:trPr>
        <w:tc>
          <w:tcPr>
            <w:cnfStyle w:val="001000000000" w:firstRow="0" w:lastRow="0" w:firstColumn="1" w:lastColumn="0" w:oddVBand="0" w:evenVBand="0" w:oddHBand="0" w:evenHBand="0" w:firstRowFirstColumn="0" w:firstRowLastColumn="0" w:lastRowFirstColumn="0" w:lastRowLastColumn="0"/>
            <w:tcW w:w="1980" w:type="dxa"/>
          </w:tcPr>
          <w:p w14:paraId="3CC91128" w14:textId="7E109253" w:rsidR="000C25A5" w:rsidRPr="00404724" w:rsidRDefault="000C25A5" w:rsidP="00BB5FCD">
            <w:r w:rsidRPr="00404724">
              <w:t>80</w:t>
            </w:r>
            <w:r w:rsidR="00C82E00" w:rsidRPr="00404724">
              <w:t xml:space="preserve"> km/h</w:t>
            </w:r>
            <w:r w:rsidRPr="00404724">
              <w:t>, unsealed</w:t>
            </w:r>
          </w:p>
        </w:tc>
        <w:tc>
          <w:tcPr>
            <w:tcW w:w="1311" w:type="dxa"/>
          </w:tcPr>
          <w:p w14:paraId="08A411E3" w14:textId="77777777"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$1,526.8</w:t>
            </w:r>
          </w:p>
        </w:tc>
        <w:tc>
          <w:tcPr>
            <w:tcW w:w="3225" w:type="dxa"/>
          </w:tcPr>
          <w:p w14:paraId="194EE997" w14:textId="77777777"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$1,174.7</w:t>
            </w:r>
          </w:p>
        </w:tc>
        <w:tc>
          <w:tcPr>
            <w:tcW w:w="1843" w:type="dxa"/>
          </w:tcPr>
          <w:p w14:paraId="0363FB35" w14:textId="77777777"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$113.6</w:t>
            </w:r>
          </w:p>
        </w:tc>
        <w:tc>
          <w:tcPr>
            <w:tcW w:w="1495" w:type="dxa"/>
          </w:tcPr>
          <w:p w14:paraId="2DA8E052" w14:textId="77777777"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$2,815.1</w:t>
            </w:r>
          </w:p>
        </w:tc>
      </w:tr>
      <w:tr w:rsidR="000C25A5" w:rsidRPr="00404724" w14:paraId="44E9BBD4" w14:textId="77777777" w:rsidTr="000A3828">
        <w:trPr>
          <w:cantSplit/>
        </w:trPr>
        <w:tc>
          <w:tcPr>
            <w:cnfStyle w:val="001000000000" w:firstRow="0" w:lastRow="0" w:firstColumn="1" w:lastColumn="0" w:oddVBand="0" w:evenVBand="0" w:oddHBand="0" w:evenHBand="0" w:firstRowFirstColumn="0" w:firstRowLastColumn="0" w:lastRowFirstColumn="0" w:lastRowLastColumn="0"/>
            <w:tcW w:w="1980" w:type="dxa"/>
          </w:tcPr>
          <w:p w14:paraId="516E5754" w14:textId="5D96F475" w:rsidR="000C25A5" w:rsidRPr="00404724" w:rsidRDefault="000C25A5" w:rsidP="00BB5FCD">
            <w:r w:rsidRPr="00404724">
              <w:t>70</w:t>
            </w:r>
            <w:r w:rsidR="00C82E00" w:rsidRPr="00404724">
              <w:t xml:space="preserve"> km/h</w:t>
            </w:r>
            <w:r w:rsidRPr="00404724">
              <w:t>, unsealed</w:t>
            </w:r>
          </w:p>
        </w:tc>
        <w:tc>
          <w:tcPr>
            <w:tcW w:w="1311" w:type="dxa"/>
          </w:tcPr>
          <w:p w14:paraId="11191852" w14:textId="77777777"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$858.9</w:t>
            </w:r>
          </w:p>
        </w:tc>
        <w:tc>
          <w:tcPr>
            <w:tcW w:w="3225" w:type="dxa"/>
          </w:tcPr>
          <w:p w14:paraId="0AC6BD5C" w14:textId="77777777"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$660.8</w:t>
            </w:r>
          </w:p>
        </w:tc>
        <w:tc>
          <w:tcPr>
            <w:tcW w:w="1843" w:type="dxa"/>
          </w:tcPr>
          <w:p w14:paraId="055B3569" w14:textId="77777777"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$79.9</w:t>
            </w:r>
          </w:p>
        </w:tc>
        <w:tc>
          <w:tcPr>
            <w:tcW w:w="1495" w:type="dxa"/>
          </w:tcPr>
          <w:p w14:paraId="171CBF75" w14:textId="77777777"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$1,599.6</w:t>
            </w:r>
          </w:p>
        </w:tc>
      </w:tr>
      <w:tr w:rsidR="000C25A5" w:rsidRPr="00404724" w14:paraId="6E6B7A39" w14:textId="77777777" w:rsidTr="000A3828">
        <w:trPr>
          <w:cantSplit/>
        </w:trPr>
        <w:tc>
          <w:tcPr>
            <w:cnfStyle w:val="001000000000" w:firstRow="0" w:lastRow="0" w:firstColumn="1" w:lastColumn="0" w:oddVBand="0" w:evenVBand="0" w:oddHBand="0" w:evenHBand="0" w:firstRowFirstColumn="0" w:firstRowLastColumn="0" w:lastRowFirstColumn="0" w:lastRowLastColumn="0"/>
            <w:tcW w:w="1980" w:type="dxa"/>
            <w:shd w:val="clear" w:color="auto" w:fill="C8ECFA" w:themeFill="accent3" w:themeFillTint="66"/>
          </w:tcPr>
          <w:p w14:paraId="55D78310" w14:textId="77777777" w:rsidR="000C25A5" w:rsidRPr="00404724" w:rsidRDefault="000C25A5" w:rsidP="00BB5FCD">
            <w:pPr>
              <w:jc w:val="center"/>
            </w:pPr>
          </w:p>
        </w:tc>
        <w:tc>
          <w:tcPr>
            <w:tcW w:w="1311" w:type="dxa"/>
            <w:shd w:val="clear" w:color="auto" w:fill="C8ECFA" w:themeFill="accent3" w:themeFillTint="66"/>
          </w:tcPr>
          <w:p w14:paraId="47CBEEDA" w14:textId="77777777" w:rsidR="000C25A5" w:rsidRPr="00404724" w:rsidRDefault="000C25A5" w:rsidP="00BB5FCD">
            <w:pPr>
              <w:jc w:val="center"/>
              <w:cnfStyle w:val="000000000000" w:firstRow="0" w:lastRow="0" w:firstColumn="0" w:lastColumn="0" w:oddVBand="0" w:evenVBand="0" w:oddHBand="0" w:evenHBand="0" w:firstRowFirstColumn="0" w:firstRowLastColumn="0" w:lastRowFirstColumn="0" w:lastRowLastColumn="0"/>
              <w:rPr>
                <w:b/>
                <w:bCs/>
              </w:rPr>
            </w:pPr>
          </w:p>
        </w:tc>
        <w:tc>
          <w:tcPr>
            <w:tcW w:w="3225" w:type="dxa"/>
            <w:shd w:val="clear" w:color="auto" w:fill="C8ECFA" w:themeFill="accent3" w:themeFillTint="66"/>
          </w:tcPr>
          <w:p w14:paraId="75970C91" w14:textId="77777777" w:rsidR="000C25A5" w:rsidRPr="00404724" w:rsidRDefault="000C25A5" w:rsidP="00BB5FCD">
            <w:pPr>
              <w:jc w:val="center"/>
              <w:cnfStyle w:val="000000000000" w:firstRow="0" w:lastRow="0" w:firstColumn="0" w:lastColumn="0" w:oddVBand="0" w:evenVBand="0" w:oddHBand="0" w:evenHBand="0" w:firstRowFirstColumn="0" w:firstRowLastColumn="0" w:lastRowFirstColumn="0" w:lastRowLastColumn="0"/>
              <w:rPr>
                <w:b/>
                <w:bCs/>
              </w:rPr>
            </w:pPr>
            <w:r w:rsidRPr="00404724">
              <w:rPr>
                <w:b/>
                <w:bCs/>
              </w:rPr>
              <w:t>Middle bound</w:t>
            </w:r>
          </w:p>
        </w:tc>
        <w:tc>
          <w:tcPr>
            <w:tcW w:w="1843" w:type="dxa"/>
            <w:shd w:val="clear" w:color="auto" w:fill="C8ECFA" w:themeFill="accent3" w:themeFillTint="66"/>
          </w:tcPr>
          <w:p w14:paraId="3EC9FBAE" w14:textId="77777777" w:rsidR="000C25A5" w:rsidRPr="00404724" w:rsidRDefault="000C25A5" w:rsidP="00BB5FCD">
            <w:pPr>
              <w:jc w:val="center"/>
              <w:cnfStyle w:val="000000000000" w:firstRow="0" w:lastRow="0" w:firstColumn="0" w:lastColumn="0" w:oddVBand="0" w:evenVBand="0" w:oddHBand="0" w:evenHBand="0" w:firstRowFirstColumn="0" w:firstRowLastColumn="0" w:lastRowFirstColumn="0" w:lastRowLastColumn="0"/>
              <w:rPr>
                <w:b/>
                <w:bCs/>
              </w:rPr>
            </w:pPr>
          </w:p>
        </w:tc>
        <w:tc>
          <w:tcPr>
            <w:tcW w:w="1495" w:type="dxa"/>
            <w:shd w:val="clear" w:color="auto" w:fill="C8ECFA" w:themeFill="accent3" w:themeFillTint="66"/>
          </w:tcPr>
          <w:p w14:paraId="65C9165A" w14:textId="77777777" w:rsidR="000C25A5" w:rsidRPr="00404724" w:rsidRDefault="000C25A5" w:rsidP="00BB5FCD">
            <w:pPr>
              <w:jc w:val="center"/>
              <w:cnfStyle w:val="000000000000" w:firstRow="0" w:lastRow="0" w:firstColumn="0" w:lastColumn="0" w:oddVBand="0" w:evenVBand="0" w:oddHBand="0" w:evenHBand="0" w:firstRowFirstColumn="0" w:firstRowLastColumn="0" w:lastRowFirstColumn="0" w:lastRowLastColumn="0"/>
              <w:rPr>
                <w:b/>
                <w:bCs/>
              </w:rPr>
            </w:pPr>
          </w:p>
        </w:tc>
      </w:tr>
      <w:tr w:rsidR="000C25A5" w:rsidRPr="00404724" w14:paraId="2CA48C6C" w14:textId="77777777" w:rsidTr="000A3828">
        <w:trPr>
          <w:cantSplit/>
        </w:trPr>
        <w:tc>
          <w:tcPr>
            <w:cnfStyle w:val="001000000000" w:firstRow="0" w:lastRow="0" w:firstColumn="1" w:lastColumn="0" w:oddVBand="0" w:evenVBand="0" w:oddHBand="0" w:evenHBand="0" w:firstRowFirstColumn="0" w:firstRowLastColumn="0" w:lastRowFirstColumn="0" w:lastRowLastColumn="0"/>
            <w:tcW w:w="1980" w:type="dxa"/>
          </w:tcPr>
          <w:p w14:paraId="5DD1F43F" w14:textId="74F9A5DE" w:rsidR="000C25A5" w:rsidRPr="00404724" w:rsidRDefault="000C25A5" w:rsidP="00BB5FCD">
            <w:r w:rsidRPr="00404724">
              <w:t>80</w:t>
            </w:r>
            <w:r w:rsidR="00C82E00" w:rsidRPr="00404724">
              <w:t xml:space="preserve"> km/h</w:t>
            </w:r>
            <w:r w:rsidRPr="00404724">
              <w:t>, unsealed</w:t>
            </w:r>
          </w:p>
        </w:tc>
        <w:tc>
          <w:tcPr>
            <w:tcW w:w="1311" w:type="dxa"/>
          </w:tcPr>
          <w:p w14:paraId="5A93EBA7" w14:textId="77777777"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$3,053.6</w:t>
            </w:r>
          </w:p>
        </w:tc>
        <w:tc>
          <w:tcPr>
            <w:tcW w:w="3225" w:type="dxa"/>
          </w:tcPr>
          <w:p w14:paraId="77C44C8B" w14:textId="77777777"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$2,349.3</w:t>
            </w:r>
          </w:p>
        </w:tc>
        <w:tc>
          <w:tcPr>
            <w:tcW w:w="1843" w:type="dxa"/>
          </w:tcPr>
          <w:p w14:paraId="40B95965" w14:textId="77777777"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$284.0</w:t>
            </w:r>
          </w:p>
        </w:tc>
        <w:tc>
          <w:tcPr>
            <w:tcW w:w="1495" w:type="dxa"/>
          </w:tcPr>
          <w:p w14:paraId="21A75CEC" w14:textId="77777777"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$5,686.9</w:t>
            </w:r>
          </w:p>
        </w:tc>
      </w:tr>
      <w:tr w:rsidR="000C25A5" w:rsidRPr="00404724" w14:paraId="5C2181DF" w14:textId="77777777" w:rsidTr="000A3828">
        <w:trPr>
          <w:cantSplit/>
        </w:trPr>
        <w:tc>
          <w:tcPr>
            <w:cnfStyle w:val="001000000000" w:firstRow="0" w:lastRow="0" w:firstColumn="1" w:lastColumn="0" w:oddVBand="0" w:evenVBand="0" w:oddHBand="0" w:evenHBand="0" w:firstRowFirstColumn="0" w:firstRowLastColumn="0" w:lastRowFirstColumn="0" w:lastRowLastColumn="0"/>
            <w:tcW w:w="1980" w:type="dxa"/>
          </w:tcPr>
          <w:p w14:paraId="3FABD809" w14:textId="16D463E5" w:rsidR="000C25A5" w:rsidRPr="00404724" w:rsidRDefault="000C25A5" w:rsidP="00BB5FCD">
            <w:r w:rsidRPr="00404724">
              <w:t>70</w:t>
            </w:r>
            <w:r w:rsidR="00C82E00" w:rsidRPr="00404724">
              <w:t xml:space="preserve"> km/h</w:t>
            </w:r>
            <w:r w:rsidRPr="00404724">
              <w:t>, unsealed</w:t>
            </w:r>
          </w:p>
        </w:tc>
        <w:tc>
          <w:tcPr>
            <w:tcW w:w="1311" w:type="dxa"/>
          </w:tcPr>
          <w:p w14:paraId="3E8BB214" w14:textId="77777777"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$2,147.3</w:t>
            </w:r>
          </w:p>
        </w:tc>
        <w:tc>
          <w:tcPr>
            <w:tcW w:w="3225" w:type="dxa"/>
          </w:tcPr>
          <w:p w14:paraId="103B76D2" w14:textId="77777777"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$1,652.1</w:t>
            </w:r>
          </w:p>
        </w:tc>
        <w:tc>
          <w:tcPr>
            <w:tcW w:w="1843" w:type="dxa"/>
          </w:tcPr>
          <w:p w14:paraId="544A09B0" w14:textId="77777777"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$239.7</w:t>
            </w:r>
          </w:p>
        </w:tc>
        <w:tc>
          <w:tcPr>
            <w:tcW w:w="1495" w:type="dxa"/>
          </w:tcPr>
          <w:p w14:paraId="37629601" w14:textId="77777777"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$4,039.0</w:t>
            </w:r>
          </w:p>
        </w:tc>
      </w:tr>
      <w:tr w:rsidR="000C25A5" w:rsidRPr="00404724" w14:paraId="719F62E4" w14:textId="77777777" w:rsidTr="000A3828">
        <w:trPr>
          <w:cantSplit/>
        </w:trPr>
        <w:tc>
          <w:tcPr>
            <w:cnfStyle w:val="001000000000" w:firstRow="0" w:lastRow="0" w:firstColumn="1" w:lastColumn="0" w:oddVBand="0" w:evenVBand="0" w:oddHBand="0" w:evenHBand="0" w:firstRowFirstColumn="0" w:firstRowLastColumn="0" w:lastRowFirstColumn="0" w:lastRowLastColumn="0"/>
            <w:tcW w:w="1980" w:type="dxa"/>
            <w:shd w:val="clear" w:color="auto" w:fill="C8ECFA" w:themeFill="accent3" w:themeFillTint="66"/>
          </w:tcPr>
          <w:p w14:paraId="0C803C3B" w14:textId="77777777" w:rsidR="000C25A5" w:rsidRPr="00404724" w:rsidRDefault="000C25A5" w:rsidP="00BB5FCD">
            <w:pPr>
              <w:jc w:val="center"/>
            </w:pPr>
          </w:p>
        </w:tc>
        <w:tc>
          <w:tcPr>
            <w:tcW w:w="1311" w:type="dxa"/>
            <w:shd w:val="clear" w:color="auto" w:fill="C8ECFA" w:themeFill="accent3" w:themeFillTint="66"/>
          </w:tcPr>
          <w:p w14:paraId="2E934C59" w14:textId="77777777" w:rsidR="000C25A5" w:rsidRPr="00404724" w:rsidRDefault="000C25A5" w:rsidP="00BB5FCD">
            <w:pPr>
              <w:jc w:val="center"/>
              <w:cnfStyle w:val="000000000000" w:firstRow="0" w:lastRow="0" w:firstColumn="0" w:lastColumn="0" w:oddVBand="0" w:evenVBand="0" w:oddHBand="0" w:evenHBand="0" w:firstRowFirstColumn="0" w:firstRowLastColumn="0" w:lastRowFirstColumn="0" w:lastRowLastColumn="0"/>
            </w:pPr>
          </w:p>
        </w:tc>
        <w:tc>
          <w:tcPr>
            <w:tcW w:w="3225" w:type="dxa"/>
            <w:shd w:val="clear" w:color="auto" w:fill="C8ECFA" w:themeFill="accent3" w:themeFillTint="66"/>
          </w:tcPr>
          <w:p w14:paraId="63E4AC8D" w14:textId="77777777" w:rsidR="000C25A5" w:rsidRPr="00404724" w:rsidRDefault="000C25A5" w:rsidP="00BB5FCD">
            <w:pPr>
              <w:jc w:val="center"/>
              <w:cnfStyle w:val="000000000000" w:firstRow="0" w:lastRow="0" w:firstColumn="0" w:lastColumn="0" w:oddVBand="0" w:evenVBand="0" w:oddHBand="0" w:evenHBand="0" w:firstRowFirstColumn="0" w:firstRowLastColumn="0" w:lastRowFirstColumn="0" w:lastRowLastColumn="0"/>
              <w:rPr>
                <w:b/>
                <w:bCs/>
              </w:rPr>
            </w:pPr>
            <w:r w:rsidRPr="00404724">
              <w:rPr>
                <w:b/>
                <w:bCs/>
              </w:rPr>
              <w:t>Upper bound</w:t>
            </w:r>
          </w:p>
        </w:tc>
        <w:tc>
          <w:tcPr>
            <w:tcW w:w="1843" w:type="dxa"/>
            <w:shd w:val="clear" w:color="auto" w:fill="C8ECFA" w:themeFill="accent3" w:themeFillTint="66"/>
          </w:tcPr>
          <w:p w14:paraId="56BC7C3B" w14:textId="77777777" w:rsidR="000C25A5" w:rsidRPr="00404724" w:rsidRDefault="000C25A5" w:rsidP="00BB5FCD">
            <w:pPr>
              <w:jc w:val="center"/>
              <w:cnfStyle w:val="000000000000" w:firstRow="0" w:lastRow="0" w:firstColumn="0" w:lastColumn="0" w:oddVBand="0" w:evenVBand="0" w:oddHBand="0" w:evenHBand="0" w:firstRowFirstColumn="0" w:firstRowLastColumn="0" w:lastRowFirstColumn="0" w:lastRowLastColumn="0"/>
            </w:pPr>
          </w:p>
        </w:tc>
        <w:tc>
          <w:tcPr>
            <w:tcW w:w="1495" w:type="dxa"/>
            <w:shd w:val="clear" w:color="auto" w:fill="C8ECFA" w:themeFill="accent3" w:themeFillTint="66"/>
          </w:tcPr>
          <w:p w14:paraId="17F6C990" w14:textId="77777777" w:rsidR="000C25A5" w:rsidRPr="00404724" w:rsidRDefault="000C25A5" w:rsidP="00BB5FCD">
            <w:pPr>
              <w:jc w:val="center"/>
              <w:cnfStyle w:val="000000000000" w:firstRow="0" w:lastRow="0" w:firstColumn="0" w:lastColumn="0" w:oddVBand="0" w:evenVBand="0" w:oddHBand="0" w:evenHBand="0" w:firstRowFirstColumn="0" w:firstRowLastColumn="0" w:lastRowFirstColumn="0" w:lastRowLastColumn="0"/>
            </w:pPr>
          </w:p>
        </w:tc>
      </w:tr>
      <w:tr w:rsidR="000C25A5" w:rsidRPr="00404724" w14:paraId="1FCFECC8" w14:textId="77777777" w:rsidTr="000A3828">
        <w:trPr>
          <w:cantSplit/>
        </w:trPr>
        <w:tc>
          <w:tcPr>
            <w:cnfStyle w:val="001000000000" w:firstRow="0" w:lastRow="0" w:firstColumn="1" w:lastColumn="0" w:oddVBand="0" w:evenVBand="0" w:oddHBand="0" w:evenHBand="0" w:firstRowFirstColumn="0" w:firstRowLastColumn="0" w:lastRowFirstColumn="0" w:lastRowLastColumn="0"/>
            <w:tcW w:w="1980" w:type="dxa"/>
          </w:tcPr>
          <w:p w14:paraId="54F4A223" w14:textId="0C414595" w:rsidR="000C25A5" w:rsidRPr="00404724" w:rsidRDefault="000C25A5" w:rsidP="00BB5FCD">
            <w:r w:rsidRPr="00404724">
              <w:t>80</w:t>
            </w:r>
            <w:r w:rsidR="00C82E00" w:rsidRPr="00404724">
              <w:t xml:space="preserve"> km/h</w:t>
            </w:r>
            <w:r w:rsidRPr="00404724">
              <w:t>, unsealed</w:t>
            </w:r>
          </w:p>
        </w:tc>
        <w:tc>
          <w:tcPr>
            <w:tcW w:w="1311" w:type="dxa"/>
          </w:tcPr>
          <w:p w14:paraId="47FCF879" w14:textId="77777777"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$9,160.7</w:t>
            </w:r>
          </w:p>
        </w:tc>
        <w:tc>
          <w:tcPr>
            <w:tcW w:w="3225" w:type="dxa"/>
          </w:tcPr>
          <w:p w14:paraId="4ED5190A" w14:textId="77777777"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$7,048.0</w:t>
            </w:r>
          </w:p>
        </w:tc>
        <w:tc>
          <w:tcPr>
            <w:tcW w:w="1843" w:type="dxa"/>
          </w:tcPr>
          <w:p w14:paraId="602E81BA" w14:textId="77777777"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$568.0</w:t>
            </w:r>
          </w:p>
        </w:tc>
        <w:tc>
          <w:tcPr>
            <w:tcW w:w="1495" w:type="dxa"/>
          </w:tcPr>
          <w:p w14:paraId="7333A864" w14:textId="77777777"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$16,776.8</w:t>
            </w:r>
          </w:p>
        </w:tc>
      </w:tr>
      <w:tr w:rsidR="000C25A5" w:rsidRPr="00404724" w14:paraId="2D948E61" w14:textId="77777777" w:rsidTr="000A3828">
        <w:trPr>
          <w:cantSplit/>
        </w:trPr>
        <w:tc>
          <w:tcPr>
            <w:cnfStyle w:val="001000000000" w:firstRow="0" w:lastRow="0" w:firstColumn="1" w:lastColumn="0" w:oddVBand="0" w:evenVBand="0" w:oddHBand="0" w:evenHBand="0" w:firstRowFirstColumn="0" w:firstRowLastColumn="0" w:lastRowFirstColumn="0" w:lastRowLastColumn="0"/>
            <w:tcW w:w="1980" w:type="dxa"/>
          </w:tcPr>
          <w:p w14:paraId="06BB703A" w14:textId="73E4064E" w:rsidR="000C25A5" w:rsidRPr="00404724" w:rsidRDefault="000C25A5" w:rsidP="00BB5FCD">
            <w:r w:rsidRPr="00404724">
              <w:t>70</w:t>
            </w:r>
            <w:r w:rsidR="00C82E00" w:rsidRPr="00404724">
              <w:t xml:space="preserve"> km/h</w:t>
            </w:r>
            <w:r w:rsidRPr="00404724">
              <w:t>, unsealed</w:t>
            </w:r>
          </w:p>
        </w:tc>
        <w:tc>
          <w:tcPr>
            <w:tcW w:w="1311" w:type="dxa"/>
          </w:tcPr>
          <w:p w14:paraId="5FCD240E" w14:textId="77777777"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$4,294.6</w:t>
            </w:r>
          </w:p>
        </w:tc>
        <w:tc>
          <w:tcPr>
            <w:tcW w:w="3225" w:type="dxa"/>
          </w:tcPr>
          <w:p w14:paraId="5BED15C2" w14:textId="77777777"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$3,304.2</w:t>
            </w:r>
          </w:p>
        </w:tc>
        <w:tc>
          <w:tcPr>
            <w:tcW w:w="1843" w:type="dxa"/>
          </w:tcPr>
          <w:p w14:paraId="3168AA2A" w14:textId="77777777"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$399.4</w:t>
            </w:r>
          </w:p>
        </w:tc>
        <w:tc>
          <w:tcPr>
            <w:tcW w:w="1495" w:type="dxa"/>
          </w:tcPr>
          <w:p w14:paraId="1754DC4F" w14:textId="77777777" w:rsidR="000C25A5" w:rsidRPr="00404724" w:rsidRDefault="000C25A5" w:rsidP="008C2A07">
            <w:pPr>
              <w:jc w:val="right"/>
              <w:cnfStyle w:val="000000000000" w:firstRow="0" w:lastRow="0" w:firstColumn="0" w:lastColumn="0" w:oddVBand="0" w:evenVBand="0" w:oddHBand="0" w:evenHBand="0" w:firstRowFirstColumn="0" w:firstRowLastColumn="0" w:lastRowFirstColumn="0" w:lastRowLastColumn="0"/>
            </w:pPr>
            <w:r w:rsidRPr="00404724">
              <w:t>$7,998.2</w:t>
            </w:r>
          </w:p>
        </w:tc>
      </w:tr>
    </w:tbl>
    <w:p w14:paraId="07A4F8EE" w14:textId="663DA67F" w:rsidR="008057AF" w:rsidRPr="00404724" w:rsidRDefault="000E62D9" w:rsidP="008057AF">
      <w:r w:rsidRPr="00404724">
        <w:t xml:space="preserve">There may be some small costs as drivers are informed as to the new limit, but otherwise </w:t>
      </w:r>
      <w:r w:rsidR="00C84858" w:rsidRPr="00404724">
        <w:t>it is</w:t>
      </w:r>
      <w:r w:rsidR="006811C7" w:rsidRPr="00404724">
        <w:t xml:space="preserve"> not expect</w:t>
      </w:r>
      <w:r w:rsidR="00C84858" w:rsidRPr="00404724">
        <w:t>ed</w:t>
      </w:r>
      <w:r w:rsidR="006811C7" w:rsidRPr="00404724">
        <w:t xml:space="preserve"> </w:t>
      </w:r>
      <w:r w:rsidR="00C84858" w:rsidRPr="00404724">
        <w:t xml:space="preserve">that </w:t>
      </w:r>
      <w:r w:rsidR="006811C7" w:rsidRPr="00404724">
        <w:t xml:space="preserve">there </w:t>
      </w:r>
      <w:r w:rsidR="00C84858" w:rsidRPr="00404724">
        <w:t>will</w:t>
      </w:r>
      <w:r w:rsidR="006811C7" w:rsidRPr="00404724">
        <w:t xml:space="preserve"> be any new equipment, reporting, professional services or permits required.</w:t>
      </w:r>
    </w:p>
    <w:p w14:paraId="2DB5E992" w14:textId="4969BAF8" w:rsidR="008057AF" w:rsidRPr="00404724" w:rsidRDefault="00C4433C" w:rsidP="000A3828">
      <w:pPr>
        <w:pStyle w:val="Heading4"/>
      </w:pPr>
      <w:bookmarkStart w:id="525" w:name="_Toc210042583"/>
      <w:bookmarkStart w:id="526" w:name="_Toc210049225"/>
      <w:bookmarkStart w:id="527" w:name="_Toc210051665"/>
      <w:bookmarkStart w:id="528" w:name="_Toc210051746"/>
      <w:r>
        <w:t>6</w:t>
      </w:r>
      <w:r w:rsidR="000A3828">
        <w:t>.1.2</w:t>
      </w:r>
      <w:r w:rsidR="000A3828">
        <w:tab/>
      </w:r>
      <w:r w:rsidR="008057AF" w:rsidRPr="00404724">
        <w:t>Delay costs</w:t>
      </w:r>
      <w:bookmarkEnd w:id="525"/>
      <w:bookmarkEnd w:id="526"/>
      <w:bookmarkEnd w:id="527"/>
      <w:bookmarkEnd w:id="528"/>
    </w:p>
    <w:p w14:paraId="2CB30D25" w14:textId="56D747D5" w:rsidR="008057AF" w:rsidRPr="00404724" w:rsidRDefault="004B46C5" w:rsidP="008057AF">
      <w:r w:rsidRPr="00404724">
        <w:t xml:space="preserve">Delay costs refer to the expenses and loss of income incurred by an individual or organisation as a result of the time taken to complete and approve a regulatory application. As there are no applications or approvals required as a result of the default speed limits, </w:t>
      </w:r>
      <w:r w:rsidR="00C84858" w:rsidRPr="00404724">
        <w:t xml:space="preserve">there are no </w:t>
      </w:r>
      <w:r w:rsidRPr="00404724">
        <w:t>expect</w:t>
      </w:r>
      <w:r w:rsidR="00C84858" w:rsidRPr="00404724">
        <w:t>ed</w:t>
      </w:r>
      <w:r w:rsidRPr="00404724">
        <w:t xml:space="preserve"> delay costs. </w:t>
      </w:r>
    </w:p>
    <w:p w14:paraId="20106066" w14:textId="432D314C" w:rsidR="00330C83" w:rsidRPr="00404724" w:rsidRDefault="00C4433C" w:rsidP="000A3828">
      <w:pPr>
        <w:pStyle w:val="Heading3"/>
      </w:pPr>
      <w:bookmarkStart w:id="529" w:name="_Toc210040328"/>
      <w:bookmarkStart w:id="530" w:name="_Toc210042584"/>
      <w:bookmarkStart w:id="531" w:name="_Toc210049226"/>
      <w:bookmarkStart w:id="532" w:name="_Toc210051666"/>
      <w:bookmarkStart w:id="533" w:name="_Toc210051747"/>
      <w:r>
        <w:t>6</w:t>
      </w:r>
      <w:r w:rsidR="000A3828">
        <w:t>.2</w:t>
      </w:r>
      <w:r w:rsidR="000A3828">
        <w:tab/>
      </w:r>
      <w:r w:rsidR="00330C83" w:rsidRPr="00404724">
        <w:t>Effects on competition</w:t>
      </w:r>
      <w:bookmarkEnd w:id="529"/>
      <w:bookmarkEnd w:id="530"/>
      <w:bookmarkEnd w:id="531"/>
      <w:bookmarkEnd w:id="532"/>
      <w:bookmarkEnd w:id="533"/>
    </w:p>
    <w:p w14:paraId="4E82E7F5" w14:textId="59234A83" w:rsidR="00151F05" w:rsidRPr="00404724" w:rsidRDefault="000E62D9" w:rsidP="004B46C5">
      <w:r w:rsidRPr="00404724">
        <w:t xml:space="preserve">On an economy-wide basis, any effects on competition </w:t>
      </w:r>
      <w:r w:rsidR="00C84858" w:rsidRPr="00404724">
        <w:t xml:space="preserve">are expected to </w:t>
      </w:r>
      <w:r w:rsidRPr="00404724">
        <w:t>be minimal. It could be argued that b</w:t>
      </w:r>
      <w:r w:rsidR="00B91A30" w:rsidRPr="00404724">
        <w:t xml:space="preserve">y limiting the speeds available on some roads, businesses that rely on such roads may be at a disadvantage compared to those that do not. For example, businesses that are only accessible by default roads may take longer to access by customers or freight than those that are accessible by other methods or do not require travel. While the primary impact of that is captured in the time costs described in </w:t>
      </w:r>
      <w:r w:rsidR="00D47A15" w:rsidRPr="00404724">
        <w:t xml:space="preserve">Section </w:t>
      </w:r>
      <w:r w:rsidR="000A13C5" w:rsidRPr="00404724">
        <w:fldChar w:fldCharType="begin"/>
      </w:r>
      <w:r w:rsidR="000A13C5" w:rsidRPr="00404724">
        <w:instrText xml:space="preserve"> REF _Ref208573869 \r \h </w:instrText>
      </w:r>
      <w:r w:rsidR="000A13C5" w:rsidRPr="00404724">
        <w:fldChar w:fldCharType="separate"/>
      </w:r>
      <w:r w:rsidR="00BF489D">
        <w:t>4.3.9</w:t>
      </w:r>
      <w:r w:rsidR="000A13C5" w:rsidRPr="00404724">
        <w:fldChar w:fldCharType="end"/>
      </w:r>
      <w:r w:rsidR="00B91A30" w:rsidRPr="00404724">
        <w:t xml:space="preserve">, there may be additional equilibrium effects as businesses re-orient away from areas only accessible by default roads. </w:t>
      </w:r>
      <w:r w:rsidR="00151F05" w:rsidRPr="00404724">
        <w:t xml:space="preserve">Given the additional time that would actually be spent on these roads, the costs </w:t>
      </w:r>
      <w:r w:rsidR="00C84858" w:rsidRPr="00404724">
        <w:t xml:space="preserve">are expected </w:t>
      </w:r>
      <w:r w:rsidR="00151F05" w:rsidRPr="00404724">
        <w:t>to be small.</w:t>
      </w:r>
    </w:p>
    <w:p w14:paraId="5224A13C" w14:textId="435CB13B" w:rsidR="004B46C5" w:rsidRDefault="000E62D9" w:rsidP="004B46C5">
      <w:r w:rsidRPr="00404724">
        <w:t>Further, t</w:t>
      </w:r>
      <w:r w:rsidR="00B91A30" w:rsidRPr="00404724">
        <w:t xml:space="preserve">here are some natural limits to the extent to which this can harm competition: </w:t>
      </w:r>
      <w:r w:rsidR="00886822" w:rsidRPr="00404724">
        <w:t xml:space="preserve">local- </w:t>
      </w:r>
      <w:r w:rsidR="00B91A30" w:rsidRPr="00404724">
        <w:t xml:space="preserve">and state governments have the ability to sign roads up to a higher limit, restoring access back to those businesses. While this depends on </w:t>
      </w:r>
      <w:r w:rsidR="00151F05" w:rsidRPr="00404724">
        <w:t>councils or road authorities actually making such changes, they nevertheless provide an opportunity to rectify meaningful competition impacts.</w:t>
      </w:r>
    </w:p>
    <w:p w14:paraId="234ACD96" w14:textId="2F563FDB" w:rsidR="00AD75AE" w:rsidRPr="00404724" w:rsidRDefault="00C4433C" w:rsidP="000A3828">
      <w:pPr>
        <w:pStyle w:val="Heading3"/>
      </w:pPr>
      <w:bookmarkStart w:id="534" w:name="_Toc210040329"/>
      <w:bookmarkStart w:id="535" w:name="_Toc210042585"/>
      <w:bookmarkStart w:id="536" w:name="_Toc210049227"/>
      <w:bookmarkStart w:id="537" w:name="_Toc210051667"/>
      <w:bookmarkStart w:id="538" w:name="_Toc210051748"/>
      <w:r>
        <w:t>6</w:t>
      </w:r>
      <w:r w:rsidR="000A3828">
        <w:t>.</w:t>
      </w:r>
      <w:r w:rsidR="001C12F9">
        <w:t>3</w:t>
      </w:r>
      <w:r w:rsidR="000A3828">
        <w:tab/>
      </w:r>
      <w:r w:rsidR="00537732" w:rsidRPr="00404724">
        <w:t>Questions for stakeholders</w:t>
      </w:r>
      <w:bookmarkEnd w:id="534"/>
      <w:bookmarkEnd w:id="535"/>
      <w:bookmarkEnd w:id="536"/>
      <w:bookmarkEnd w:id="537"/>
      <w:bookmarkEnd w:id="538"/>
    </w:p>
    <w:p w14:paraId="4551211D" w14:textId="07958088" w:rsidR="00537732" w:rsidRPr="00404724" w:rsidRDefault="00537732" w:rsidP="00832A33">
      <w:pPr>
        <w:pStyle w:val="Listparagraphbullets"/>
      </w:pPr>
      <w:r w:rsidRPr="00404724">
        <w:t>Are there any additional regulatory burdens that have not been considered?</w:t>
      </w:r>
    </w:p>
    <w:p w14:paraId="6BD19B91" w14:textId="6CDC9329" w:rsidR="00404724" w:rsidRPr="00404724" w:rsidRDefault="00537732" w:rsidP="00832A33">
      <w:pPr>
        <w:pStyle w:val="Listparagraphbullets"/>
      </w:pPr>
      <w:r w:rsidRPr="00404724">
        <w:t>Are there any additional impacts on competition that have not been considered?</w:t>
      </w:r>
    </w:p>
    <w:p w14:paraId="0352084A" w14:textId="2CE86E06" w:rsidR="00B327A1" w:rsidRPr="00404724" w:rsidRDefault="00B327A1" w:rsidP="004F2C7A">
      <w:pPr>
        <w:pStyle w:val="ListNumbered1"/>
        <w:numPr>
          <w:ilvl w:val="0"/>
          <w:numId w:val="47"/>
        </w:numPr>
        <w:rPr>
          <w:lang w:val="en-AU"/>
        </w:rPr>
      </w:pPr>
      <w:r w:rsidRPr="00404724">
        <w:rPr>
          <w:lang w:val="en-AU"/>
        </w:rPr>
        <w:br w:type="page"/>
      </w:r>
    </w:p>
    <w:p w14:paraId="129F6A71" w14:textId="2C0F9122" w:rsidR="00ED405B" w:rsidRPr="00404724" w:rsidRDefault="00C4433C" w:rsidP="00F6352A">
      <w:pPr>
        <w:pStyle w:val="Heading2"/>
      </w:pPr>
      <w:bookmarkStart w:id="539" w:name="_Toc210040330"/>
      <w:bookmarkStart w:id="540" w:name="_Toc210042586"/>
      <w:bookmarkStart w:id="541" w:name="_Toc210049228"/>
      <w:bookmarkStart w:id="542" w:name="_Toc210051668"/>
      <w:bookmarkStart w:id="543" w:name="_Toc210051749"/>
      <w:r>
        <w:lastRenderedPageBreak/>
        <w:t>7</w:t>
      </w:r>
      <w:r w:rsidR="00F6352A">
        <w:t>.</w:t>
      </w:r>
      <w:r w:rsidR="00F6352A">
        <w:tab/>
      </w:r>
      <w:bookmarkStart w:id="544" w:name="_Ref208495813"/>
      <w:r w:rsidR="00ED405B" w:rsidRPr="00404724">
        <w:t>Implementation</w:t>
      </w:r>
      <w:r w:rsidR="00330C83" w:rsidRPr="00404724">
        <w:t xml:space="preserve"> and </w:t>
      </w:r>
      <w:r w:rsidR="00ED405B" w:rsidRPr="00404724">
        <w:t>review</w:t>
      </w:r>
      <w:bookmarkEnd w:id="544"/>
      <w:bookmarkEnd w:id="539"/>
      <w:bookmarkEnd w:id="540"/>
      <w:bookmarkEnd w:id="541"/>
      <w:bookmarkEnd w:id="542"/>
      <w:bookmarkEnd w:id="543"/>
      <w:r w:rsidR="00ED405B" w:rsidRPr="00404724">
        <w:t xml:space="preserve"> </w:t>
      </w:r>
    </w:p>
    <w:p w14:paraId="08C335C4" w14:textId="77777777" w:rsidR="00ED405B" w:rsidRPr="00404724" w:rsidRDefault="00ED405B" w:rsidP="00ED405B">
      <w:pPr>
        <w:pStyle w:val="Introduction"/>
        <w:rPr>
          <w:lang w:val="en-AU"/>
        </w:rPr>
      </w:pPr>
      <w:r w:rsidRPr="00404724">
        <w:rPr>
          <w:lang w:val="en-AU"/>
        </w:rPr>
        <w:t>How will you implement and evaluate your chosen option?</w:t>
      </w:r>
    </w:p>
    <w:p w14:paraId="6402E32F" w14:textId="39919C13" w:rsidR="00306C4B" w:rsidRPr="00404724" w:rsidRDefault="00306C4B" w:rsidP="00306C4B">
      <w:r w:rsidRPr="00404724">
        <w:t xml:space="preserve">The Australian Road Rules (ARR) is a model law that is adopted by states and territories to ensure </w:t>
      </w:r>
      <w:r w:rsidR="007F46D9" w:rsidRPr="00404724">
        <w:t>nationally consistent</w:t>
      </w:r>
      <w:r w:rsidRPr="00404724">
        <w:t xml:space="preserve"> road rules. As model a law, the ARR does not have legal effect until adopted by individual jurisdictions. The National Transport Commission (NTC) is responsible for maintaining and reviewing the ARR.</w:t>
      </w:r>
      <w:r w:rsidRPr="00404724">
        <w:rPr>
          <w:rStyle w:val="FootnoteReference"/>
        </w:rPr>
        <w:footnoteReference w:id="130"/>
      </w:r>
    </w:p>
    <w:p w14:paraId="6AC0CA4E" w14:textId="021E01AB" w:rsidR="00306C4B" w:rsidRPr="00404724" w:rsidRDefault="00C4433C" w:rsidP="00F6352A">
      <w:pPr>
        <w:pStyle w:val="Heading3"/>
      </w:pPr>
      <w:bookmarkStart w:id="545" w:name="_Toc210040331"/>
      <w:bookmarkStart w:id="546" w:name="_Toc210042587"/>
      <w:bookmarkStart w:id="547" w:name="_Toc210049229"/>
      <w:bookmarkStart w:id="548" w:name="_Toc210051669"/>
      <w:bookmarkStart w:id="549" w:name="_Toc210051750"/>
      <w:r>
        <w:t>7</w:t>
      </w:r>
      <w:r w:rsidR="00F6352A">
        <w:t>.1</w:t>
      </w:r>
      <w:r w:rsidR="00F6352A">
        <w:tab/>
      </w:r>
      <w:r w:rsidR="00537732" w:rsidRPr="00404724">
        <w:t>I</w:t>
      </w:r>
      <w:r w:rsidR="00306C4B" w:rsidRPr="00404724">
        <w:t>mplementation and Consultation</w:t>
      </w:r>
      <w:bookmarkEnd w:id="545"/>
      <w:bookmarkEnd w:id="546"/>
      <w:bookmarkEnd w:id="547"/>
      <w:bookmarkEnd w:id="548"/>
      <w:bookmarkEnd w:id="549"/>
    </w:p>
    <w:p w14:paraId="011E0D5F" w14:textId="785135CC" w:rsidR="00306C4B" w:rsidRPr="00404724" w:rsidRDefault="00306C4B" w:rsidP="00306C4B">
      <w:r w:rsidRPr="00404724">
        <w:t>Once relevant Ministers have agreed to the policy, the NTC works with Parliamentary Counsel to prepare legally robust amendments. Draft amendments are then released for public consultation, allowing stakeholders to provide feedback to inform any necessary refinements.</w:t>
      </w:r>
    </w:p>
    <w:p w14:paraId="381C72C6" w14:textId="277CDB0E" w:rsidR="00306C4B" w:rsidRPr="00404724" w:rsidRDefault="00C4433C" w:rsidP="00F6352A">
      <w:pPr>
        <w:pStyle w:val="Heading3"/>
      </w:pPr>
      <w:bookmarkStart w:id="550" w:name="_Toc210040332"/>
      <w:bookmarkStart w:id="551" w:name="_Toc210042588"/>
      <w:bookmarkStart w:id="552" w:name="_Toc210049230"/>
      <w:bookmarkStart w:id="553" w:name="_Toc210051670"/>
      <w:bookmarkStart w:id="554" w:name="_Toc210051751"/>
      <w:r>
        <w:t>7</w:t>
      </w:r>
      <w:r w:rsidR="00F6352A">
        <w:t>.2</w:t>
      </w:r>
      <w:r w:rsidR="00F6352A">
        <w:tab/>
      </w:r>
      <w:r w:rsidR="00306C4B" w:rsidRPr="00404724">
        <w:t>Approval and Adoption</w:t>
      </w:r>
      <w:bookmarkEnd w:id="550"/>
      <w:bookmarkEnd w:id="551"/>
      <w:bookmarkEnd w:id="552"/>
      <w:bookmarkEnd w:id="553"/>
      <w:bookmarkEnd w:id="554"/>
    </w:p>
    <w:p w14:paraId="366BD5D8" w14:textId="77777777" w:rsidR="00306C4B" w:rsidRPr="00404724" w:rsidRDefault="00306C4B" w:rsidP="00306C4B">
      <w:r w:rsidRPr="00404724">
        <w:t>Following consultation, amendments are finalised and submitted to the Infrastructure and Transport Ministers’ Meeting for approval. Jurisdictions then adopt the amendments according to their legislative processes. Jurisdictions may adopt the amendments as drafted or with variations to suit local requirements.</w:t>
      </w:r>
    </w:p>
    <w:p w14:paraId="72682161" w14:textId="54C53B49" w:rsidR="00306C4B" w:rsidRPr="00404724" w:rsidRDefault="00C4433C" w:rsidP="00F6352A">
      <w:pPr>
        <w:pStyle w:val="Heading3"/>
      </w:pPr>
      <w:bookmarkStart w:id="555" w:name="_Toc210040333"/>
      <w:bookmarkStart w:id="556" w:name="_Toc210042589"/>
      <w:bookmarkStart w:id="557" w:name="_Toc210049231"/>
      <w:bookmarkStart w:id="558" w:name="_Toc210051671"/>
      <w:bookmarkStart w:id="559" w:name="_Toc210051752"/>
      <w:r>
        <w:t>7</w:t>
      </w:r>
      <w:r w:rsidR="00F6352A">
        <w:t>.3</w:t>
      </w:r>
      <w:r w:rsidR="00F6352A">
        <w:tab/>
      </w:r>
      <w:r w:rsidR="00306C4B" w:rsidRPr="00404724">
        <w:t>Risks and Considerations</w:t>
      </w:r>
      <w:bookmarkEnd w:id="555"/>
      <w:bookmarkEnd w:id="556"/>
      <w:bookmarkEnd w:id="557"/>
      <w:bookmarkEnd w:id="558"/>
      <w:bookmarkEnd w:id="559"/>
    </w:p>
    <w:p w14:paraId="1FD56C4B" w14:textId="77777777" w:rsidR="00306C4B" w:rsidRPr="00404724" w:rsidRDefault="00306C4B" w:rsidP="00306C4B">
      <w:r w:rsidRPr="00404724">
        <w:t>Key considerations include drafting complexity, inter-jurisdictional coordination, and alignment with other policies. Public consultation may identify practical challenges or stakeholder concerns that require adjustments before final approval.</w:t>
      </w:r>
    </w:p>
    <w:p w14:paraId="2612EC80" w14:textId="19641A33" w:rsidR="00306C4B" w:rsidRPr="00404724" w:rsidRDefault="00C4433C" w:rsidP="00F6352A">
      <w:pPr>
        <w:pStyle w:val="Heading3"/>
      </w:pPr>
      <w:bookmarkStart w:id="560" w:name="_Toc210040334"/>
      <w:bookmarkStart w:id="561" w:name="_Toc210042590"/>
      <w:bookmarkStart w:id="562" w:name="_Toc210049232"/>
      <w:bookmarkStart w:id="563" w:name="_Toc210051672"/>
      <w:bookmarkStart w:id="564" w:name="_Toc210051753"/>
      <w:r>
        <w:t>7</w:t>
      </w:r>
      <w:r w:rsidR="00F6352A">
        <w:t>.4</w:t>
      </w:r>
      <w:r w:rsidR="00F6352A">
        <w:tab/>
      </w:r>
      <w:r w:rsidR="00306C4B" w:rsidRPr="00404724">
        <w:t xml:space="preserve">Timeframe </w:t>
      </w:r>
      <w:r w:rsidR="002C79EC" w:rsidRPr="00404724">
        <w:t>and evaluation</w:t>
      </w:r>
      <w:bookmarkEnd w:id="560"/>
      <w:bookmarkEnd w:id="561"/>
      <w:bookmarkEnd w:id="562"/>
      <w:bookmarkEnd w:id="563"/>
      <w:bookmarkEnd w:id="564"/>
    </w:p>
    <w:p w14:paraId="17CD5A15" w14:textId="3F07A0D3" w:rsidR="00306C4B" w:rsidRPr="00404724" w:rsidRDefault="00306C4B" w:rsidP="00306C4B">
      <w:r w:rsidRPr="00404724">
        <w:t>The process including drafting, consultation and approval typically takes about 18 months. Actual timing may vary depending on the complexity of the amendments, the volume of consultation feedback, and jurisdictional legislative schedules.</w:t>
      </w:r>
    </w:p>
    <w:p w14:paraId="1CCD31DF" w14:textId="50A9FFDC" w:rsidR="00ED405B" w:rsidRPr="00404724" w:rsidRDefault="002C79EC" w:rsidP="00ED405B">
      <w:r w:rsidRPr="00404724">
        <w:t>The ARRs is a model law. States and territories may choose conduct evaluations of any amendments incorporated into jurisdictional road rules</w:t>
      </w:r>
    </w:p>
    <w:p w14:paraId="64FB2FBD" w14:textId="7933E258" w:rsidR="00DA042E" w:rsidRPr="00404724" w:rsidRDefault="00DA042E" w:rsidP="000C1C23">
      <w:r w:rsidRPr="00404724">
        <w:br w:type="page"/>
      </w:r>
    </w:p>
    <w:p w14:paraId="567F4D78" w14:textId="48A7B6FC" w:rsidR="00426C98" w:rsidRPr="00404724" w:rsidRDefault="00C4433C" w:rsidP="00F6352A">
      <w:pPr>
        <w:pStyle w:val="Heading2"/>
      </w:pPr>
      <w:bookmarkStart w:id="565" w:name="_Toc210040335"/>
      <w:bookmarkStart w:id="566" w:name="_Toc210042591"/>
      <w:bookmarkStart w:id="567" w:name="_Toc210049233"/>
      <w:bookmarkStart w:id="568" w:name="_Toc210051673"/>
      <w:bookmarkStart w:id="569" w:name="_Toc210051754"/>
      <w:r>
        <w:lastRenderedPageBreak/>
        <w:t>8</w:t>
      </w:r>
      <w:r w:rsidR="00F6352A">
        <w:t>.</w:t>
      </w:r>
      <w:r w:rsidR="00F6352A">
        <w:tab/>
      </w:r>
      <w:bookmarkStart w:id="570" w:name="_Ref208495807"/>
      <w:bookmarkStart w:id="571" w:name="_Ref208495937"/>
      <w:r w:rsidR="00DA042E" w:rsidRPr="00404724">
        <w:t>Conclusion</w:t>
      </w:r>
      <w:bookmarkEnd w:id="570"/>
      <w:bookmarkEnd w:id="571"/>
      <w:bookmarkEnd w:id="565"/>
      <w:bookmarkEnd w:id="566"/>
      <w:bookmarkEnd w:id="567"/>
      <w:bookmarkEnd w:id="568"/>
      <w:bookmarkEnd w:id="569"/>
    </w:p>
    <w:p w14:paraId="6A251852" w14:textId="4115DB4E" w:rsidR="00BD567F" w:rsidRPr="00404724" w:rsidRDefault="00BD567F" w:rsidP="00EA690B">
      <w:r w:rsidRPr="00404724">
        <w:t xml:space="preserve">The impacts of reducing default speed limits on </w:t>
      </w:r>
      <w:r w:rsidR="005E4B70" w:rsidRPr="00404724">
        <w:t xml:space="preserve">default </w:t>
      </w:r>
      <w:r w:rsidRPr="00404724">
        <w:t xml:space="preserve">roads </w:t>
      </w:r>
      <w:r w:rsidR="007843DB" w:rsidRPr="00404724">
        <w:t xml:space="preserve">outside of </w:t>
      </w:r>
      <w:r w:rsidR="00C94374" w:rsidRPr="00404724">
        <w:t>built-up</w:t>
      </w:r>
      <w:r w:rsidR="007843DB" w:rsidRPr="00404724">
        <w:t xml:space="preserve"> areas </w:t>
      </w:r>
      <w:r w:rsidRPr="00404724">
        <w:t xml:space="preserve">are complex to assess due to limitations in existing </w:t>
      </w:r>
      <w:r w:rsidR="002F2178" w:rsidRPr="00404724">
        <w:t xml:space="preserve">road safety </w:t>
      </w:r>
      <w:r w:rsidRPr="00404724">
        <w:t xml:space="preserve">datasets. In particular, there is no comprehensive data on vehicle-kilometres travelled or the proportion of fatal and serious injury crashes that occur on roads </w:t>
      </w:r>
      <w:r w:rsidR="002F2178" w:rsidRPr="00404724">
        <w:t xml:space="preserve">outside of built-up areas </w:t>
      </w:r>
      <w:r w:rsidRPr="00404724">
        <w:t>with default speed limits. Recognising this uncertainty, a scenario-based modelling approach was adopted for the analysis, supported by the best available evidence. While this scenario analysis provides a structured way of understanding the potential impacts of the proposed policy options on the Australian economy, it does not provide a definitive conclusion about its overall impacts.</w:t>
      </w:r>
    </w:p>
    <w:p w14:paraId="2C22E85E" w14:textId="0B35C1A8" w:rsidR="00BD567F" w:rsidRPr="00404724" w:rsidRDefault="00B05D9E" w:rsidP="00EA690B">
      <w:r w:rsidRPr="00404724">
        <w:fldChar w:fldCharType="begin"/>
      </w:r>
      <w:r w:rsidRPr="00404724">
        <w:instrText xml:space="preserve"> REF _Ref208741405 \h </w:instrText>
      </w:r>
      <w:r w:rsidR="00EA690B" w:rsidRPr="00404724">
        <w:instrText xml:space="preserve"> \* MERGEFORMAT </w:instrText>
      </w:r>
      <w:r w:rsidRPr="00404724">
        <w:fldChar w:fldCharType="separate"/>
      </w:r>
      <w:r w:rsidR="00BF489D" w:rsidRPr="00404724">
        <w:t xml:space="preserve">Figure </w:t>
      </w:r>
      <w:r w:rsidR="00BF489D">
        <w:rPr>
          <w:noProof/>
        </w:rPr>
        <w:t>15</w:t>
      </w:r>
      <w:r w:rsidRPr="00404724">
        <w:fldChar w:fldCharType="end"/>
      </w:r>
      <w:r w:rsidRPr="00404724">
        <w:t xml:space="preserve"> </w:t>
      </w:r>
      <w:r w:rsidR="00BD567F" w:rsidRPr="00404724">
        <w:t>summarises the estimated NPVs and BCRs of the range of scenarios considered to be the most likely (the central case scenarios)</w:t>
      </w:r>
      <w:r w:rsidR="00BD567F" w:rsidRPr="00404724">
        <w:rPr>
          <w:rStyle w:val="FootnoteReference"/>
        </w:rPr>
        <w:footnoteReference w:id="131"/>
      </w:r>
      <w:r w:rsidR="00BD567F" w:rsidRPr="00404724">
        <w:t xml:space="preserve">. Overall, the modelling indicates that reductions in default speed limits are likely to deliver a net societal benefit under all central case scenarios examined. This conclusion holds across both sealed and unsealed roads, though the scale of benefits </w:t>
      </w:r>
      <w:r w:rsidR="007F46D9" w:rsidRPr="00404724">
        <w:t>varies</w:t>
      </w:r>
      <w:r w:rsidR="00BD567F" w:rsidRPr="00404724">
        <w:t xml:space="preserve"> depending on the extent of the reduction.</w:t>
      </w:r>
    </w:p>
    <w:p w14:paraId="52392B2D" w14:textId="2E3DC0E3" w:rsidR="00BD567F" w:rsidRPr="00404724" w:rsidRDefault="00BD567F" w:rsidP="00EA690B">
      <w:r w:rsidRPr="00404724">
        <w:t xml:space="preserve">Typically, the decision rule to identify a preferred policy option in regulatory analysis is to select the option with the highest net benefit to society (see </w:t>
      </w:r>
      <w:r w:rsidR="00B05D9E" w:rsidRPr="00404724">
        <w:t>the box below</w:t>
      </w:r>
      <w:r w:rsidRPr="00404724">
        <w:t xml:space="preserve"> for details on the OIA’s recommended decision rule to identify the best policy option in a</w:t>
      </w:r>
      <w:r w:rsidR="00B05D9E" w:rsidRPr="00404724">
        <w:t>n</w:t>
      </w:r>
      <w:r w:rsidRPr="00404724">
        <w:t xml:space="preserve"> RIA). However, given the uncertainty associated with the NPVs in</w:t>
      </w:r>
      <w:r w:rsidR="00B05D9E" w:rsidRPr="00404724">
        <w:t xml:space="preserve"> </w:t>
      </w:r>
      <w:r w:rsidR="00B05D9E" w:rsidRPr="00404724">
        <w:fldChar w:fldCharType="begin"/>
      </w:r>
      <w:r w:rsidR="00B05D9E" w:rsidRPr="00404724">
        <w:instrText xml:space="preserve"> REF _Ref208741405 \h </w:instrText>
      </w:r>
      <w:r w:rsidR="00EA690B" w:rsidRPr="00404724">
        <w:instrText xml:space="preserve"> \* MERGEFORMAT </w:instrText>
      </w:r>
      <w:r w:rsidR="00B05D9E" w:rsidRPr="00404724">
        <w:fldChar w:fldCharType="separate"/>
      </w:r>
      <w:r w:rsidR="00BF489D" w:rsidRPr="00404724">
        <w:t xml:space="preserve">Figure </w:t>
      </w:r>
      <w:r w:rsidR="00BF489D">
        <w:rPr>
          <w:noProof/>
        </w:rPr>
        <w:t>15</w:t>
      </w:r>
      <w:r w:rsidR="00B05D9E" w:rsidRPr="00404724">
        <w:fldChar w:fldCharType="end"/>
      </w:r>
      <w:r w:rsidRPr="00404724">
        <w:t>, it is reasonable to also consider the efficiency with which outcomes would be achieved under each option.</w:t>
      </w:r>
    </w:p>
    <w:p w14:paraId="763A2CB2" w14:textId="640089A7" w:rsidR="00BD567F" w:rsidRPr="00404724" w:rsidRDefault="00BD567F" w:rsidP="00485648">
      <w:pPr>
        <w:pStyle w:val="Listparagraphbullets"/>
      </w:pPr>
      <w:r w:rsidRPr="00404724">
        <w:t xml:space="preserve">A </w:t>
      </w:r>
      <w:r w:rsidRPr="00404724">
        <w:rPr>
          <w:b/>
          <w:bCs/>
        </w:rPr>
        <w:t>reduction to 70</w:t>
      </w:r>
      <w:r w:rsidR="00C82E00" w:rsidRPr="00404724">
        <w:rPr>
          <w:b/>
          <w:bCs/>
        </w:rPr>
        <w:t xml:space="preserve"> km/h</w:t>
      </w:r>
      <w:r w:rsidRPr="00404724">
        <w:t xml:space="preserve"> generates the largest net benefits in absolute terms under the central assumptions. However, marginal costs rise more steeply than marginal benefits. For example, on sealed roads, compared to a reduction to 80</w:t>
      </w:r>
      <w:r w:rsidR="00C82E00" w:rsidRPr="00404724">
        <w:t xml:space="preserve"> km/h</w:t>
      </w:r>
      <w:r w:rsidRPr="00404724">
        <w:t>r, decreasing the speed limit to 70</w:t>
      </w:r>
      <w:r w:rsidR="00C82E00" w:rsidRPr="00404724">
        <w:t xml:space="preserve"> km/h</w:t>
      </w:r>
      <w:r w:rsidRPr="00404724">
        <w:t>r doubles the estimated benefits but triples the estimated costs.</w:t>
      </w:r>
    </w:p>
    <w:p w14:paraId="30D19037" w14:textId="47D36126" w:rsidR="00BD567F" w:rsidRPr="00404724" w:rsidRDefault="00BD567F" w:rsidP="00485648">
      <w:pPr>
        <w:pStyle w:val="Listparagraphbullets"/>
      </w:pPr>
      <w:r w:rsidRPr="00404724">
        <w:t xml:space="preserve">A </w:t>
      </w:r>
      <w:r w:rsidRPr="00404724">
        <w:rPr>
          <w:b/>
          <w:bCs/>
        </w:rPr>
        <w:t>reduction to 80</w:t>
      </w:r>
      <w:r w:rsidR="00C82E00" w:rsidRPr="00404724">
        <w:rPr>
          <w:b/>
          <w:bCs/>
        </w:rPr>
        <w:t xml:space="preserve"> km/h</w:t>
      </w:r>
      <w:r w:rsidRPr="00404724">
        <w:t xml:space="preserve"> provides a more efficient outcome. Each dollar of cost is associated with an estimated $2.20 in benefits, compared with $1.50 under the 70</w:t>
      </w:r>
      <w:r w:rsidR="00C82E00" w:rsidRPr="00404724">
        <w:t xml:space="preserve"> km/h</w:t>
      </w:r>
      <w:r w:rsidRPr="00404724">
        <w:t xml:space="preserve"> scenario</w:t>
      </w:r>
      <w:r w:rsidR="00B05D9E" w:rsidRPr="00404724">
        <w:t xml:space="preserve"> (on sealed roads)</w:t>
      </w:r>
      <w:r w:rsidRPr="00404724">
        <w:t>. The scale of benefits is lower, but they are achieved at proportionately lower cost.</w:t>
      </w:r>
    </w:p>
    <w:p w14:paraId="4D835283" w14:textId="61950FEE" w:rsidR="00C94374" w:rsidRPr="00404724" w:rsidRDefault="00C94374" w:rsidP="00485648">
      <w:pPr>
        <w:pStyle w:val="Listparagraphbullets"/>
      </w:pPr>
      <w:r w:rsidRPr="00404724">
        <w:t>This highlights a trade-off between maximising absolute benefits (with 70 km/h) and achieving a more efficient balance of benefits and costs (with 80 km/h).</w:t>
      </w:r>
    </w:p>
    <w:p w14:paraId="7CDDC487" w14:textId="49E70D0E" w:rsidR="00BD567F" w:rsidRPr="00404724" w:rsidRDefault="00BD567F" w:rsidP="003979C3">
      <w:pPr>
        <w:pStyle w:val="Tablefigureheading"/>
      </w:pPr>
      <w:bookmarkStart w:id="572" w:name="_Ref208741405"/>
      <w:bookmarkStart w:id="573" w:name="_Toc210040393"/>
      <w:bookmarkStart w:id="574" w:name="_Toc210051929"/>
      <w:r w:rsidRPr="00404724">
        <w:t xml:space="preserve">Figure </w:t>
      </w:r>
      <w:r w:rsidR="00EC39D5">
        <w:fldChar w:fldCharType="begin"/>
      </w:r>
      <w:r w:rsidR="00EC39D5">
        <w:instrText xml:space="preserve"> SEQ Figure \* ARABIC </w:instrText>
      </w:r>
      <w:r w:rsidR="00EC39D5">
        <w:fldChar w:fldCharType="separate"/>
      </w:r>
      <w:r w:rsidR="00BF489D">
        <w:rPr>
          <w:noProof/>
        </w:rPr>
        <w:t>15</w:t>
      </w:r>
      <w:r w:rsidR="00EC39D5">
        <w:rPr>
          <w:noProof/>
        </w:rPr>
        <w:fldChar w:fldCharType="end"/>
      </w:r>
      <w:bookmarkEnd w:id="572"/>
      <w:r w:rsidRPr="00404724">
        <w:tab/>
        <w:t>Potential impact of the proposed policy options under different scenarios</w:t>
      </w:r>
      <w:bookmarkEnd w:id="573"/>
      <w:bookmarkEnd w:id="574"/>
    </w:p>
    <w:tbl>
      <w:tblPr>
        <w:tblStyle w:val="aacTablenolines"/>
        <w:tblW w:w="5000" w:type="pct"/>
        <w:tblLayout w:type="fixed"/>
        <w:tblLook w:val="04A0" w:firstRow="1" w:lastRow="0" w:firstColumn="1" w:lastColumn="0" w:noHBand="0" w:noVBand="1"/>
      </w:tblPr>
      <w:tblGrid>
        <w:gridCol w:w="5648"/>
        <w:gridCol w:w="4216"/>
      </w:tblGrid>
      <w:tr w:rsidR="00BD567F" w:rsidRPr="00404724" w14:paraId="049F5FE7" w14:textId="77777777" w:rsidTr="00BD567F">
        <w:trPr>
          <w:cantSplit/>
        </w:trPr>
        <w:tc>
          <w:tcPr>
            <w:tcW w:w="5648" w:type="dxa"/>
          </w:tcPr>
          <w:p w14:paraId="10779F85" w14:textId="77777777" w:rsidR="00BD567F" w:rsidRPr="00404724" w:rsidRDefault="00BD567F" w:rsidP="00B05D9E">
            <w:pPr>
              <w:pStyle w:val="Figure"/>
              <w:keepNext w:val="0"/>
              <w:jc w:val="center"/>
              <w:rPr>
                <w:b/>
                <w:bCs/>
                <w:noProof/>
              </w:rPr>
            </w:pPr>
            <w:r w:rsidRPr="00404724">
              <w:rPr>
                <w:b/>
                <w:bCs/>
                <w:noProof/>
              </w:rPr>
              <w:t>Sealed roads</w:t>
            </w:r>
          </w:p>
          <w:p w14:paraId="582F7E0B" w14:textId="7157DF70" w:rsidR="00BD567F" w:rsidRPr="00404724" w:rsidRDefault="00EC0891" w:rsidP="00B05D9E">
            <w:pPr>
              <w:pStyle w:val="Figure"/>
              <w:keepNext w:val="0"/>
              <w:jc w:val="center"/>
            </w:pPr>
            <w:r w:rsidRPr="00404724">
              <w:rPr>
                <w:noProof/>
              </w:rPr>
              <w:drawing>
                <wp:inline distT="0" distB="0" distL="0" distR="0" wp14:anchorId="5323B629" wp14:editId="5D558988">
                  <wp:extent cx="3586480" cy="2254250"/>
                  <wp:effectExtent l="0" t="0" r="0" b="0"/>
                  <wp:docPr id="765867720" name="Picture 2" descr="This chart shows a 3x3 matrix/grid showing the Net Present Value and Benefit-Cost Ratio Analysis by Speed Reduction scenario and Road Scaling Assumptions for sealed roads. &#10;High assumptions row: NPV ranges from $678.7m (90km/h) to $1,859.6m (70km/h); BCR ranges from 2.4 to 1.7&#10;Middle assumptions row (highlighted with dashed border): NPV ranges from $1,348.7m (90km/h) to $3,210.3m (70km/h); BCR ranges from 2.2 to 1.5&#10;Low assumptions row: NPV ranges from $1,759.7m (90km/h) to $3,505.5m (70km/h); BCR ranges from 1.9 t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67720" name="Picture 2" descr="This chart shows a 3x3 matrix/grid showing the Net Present Value and Benefit-Cost Ratio Analysis by Speed Reduction scenario and Road Scaling Assumptions for sealed roads. &#10;High assumptions row: NPV ranges from $678.7m (90km/h) to $1,859.6m (70km/h); BCR ranges from 2.4 to 1.7&#10;Middle assumptions row (highlighted with dashed border): NPV ranges from $1,348.7m (90km/h) to $3,210.3m (70km/h); BCR ranges from 2.2 to 1.5&#10;Low assumptions row: NPV ranges from $1,759.7m (90km/h) to $3,505.5m (70km/h); BCR ranges from 1.9 to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86480" cy="2254250"/>
                          </a:xfrm>
                          <a:prstGeom prst="rect">
                            <a:avLst/>
                          </a:prstGeom>
                        </pic:spPr>
                      </pic:pic>
                    </a:graphicData>
                  </a:graphic>
                </wp:inline>
              </w:drawing>
            </w:r>
          </w:p>
        </w:tc>
        <w:tc>
          <w:tcPr>
            <w:tcW w:w="4216" w:type="dxa"/>
          </w:tcPr>
          <w:p w14:paraId="310345D6" w14:textId="77777777" w:rsidR="00BD567F" w:rsidRPr="00404724" w:rsidRDefault="00BD567F" w:rsidP="00B05D9E">
            <w:pPr>
              <w:pStyle w:val="Figure"/>
              <w:keepNext w:val="0"/>
              <w:jc w:val="center"/>
              <w:rPr>
                <w:b/>
                <w:bCs/>
                <w:noProof/>
              </w:rPr>
            </w:pPr>
            <w:r w:rsidRPr="00404724">
              <w:rPr>
                <w:b/>
                <w:bCs/>
                <w:noProof/>
              </w:rPr>
              <w:t>Unsealed roads</w:t>
            </w:r>
          </w:p>
          <w:p w14:paraId="659AF469" w14:textId="0D1EC03C" w:rsidR="00BD567F" w:rsidRPr="00404724" w:rsidRDefault="00EC0891" w:rsidP="00B05D9E">
            <w:pPr>
              <w:pStyle w:val="Figure"/>
              <w:keepNext w:val="0"/>
              <w:jc w:val="center"/>
            </w:pPr>
            <w:r w:rsidRPr="00404724">
              <w:rPr>
                <w:noProof/>
              </w:rPr>
              <w:drawing>
                <wp:inline distT="0" distB="0" distL="0" distR="0" wp14:anchorId="6FC184D4" wp14:editId="31DBEE66">
                  <wp:extent cx="2677160" cy="2211705"/>
                  <wp:effectExtent l="0" t="0" r="0" b="0"/>
                  <wp:docPr id="1008219943" name="Picture 3" descr="This chart shows a 3x2 matrix/grid showing the Net Present Value and Benefit-Cost Ratio Analysis by Speed Reduction scenario and Road Scaling Assumptions for unsealed roads. &#10;Upper assumptions row: $320.3m NPV/1.1 BCR (80km/h), -$214.8m NPV/0.96 BCR (70km/h)&#10;Middle assumptions row (highlighted with dashed border): $1,340.4m NPV/2.2 BCR (80km/h), $2,367.5m NPV/1.9 BCR (70km/h)&#10;Lower assumptions row: $1,964.4m NPV/5.4 BCR (80km/h), $3,948.6m NPV/4.6 BCR (70k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19943" name="Picture 3" descr="This chart shows a 3x2 matrix/grid showing the Net Present Value and Benefit-Cost Ratio Analysis by Speed Reduction scenario and Road Scaling Assumptions for unsealed roads. &#10;Upper assumptions row: $320.3m NPV/1.1 BCR (80km/h), -$214.8m NPV/0.96 BCR (70km/h)&#10;Middle assumptions row (highlighted with dashed border): $1,340.4m NPV/2.2 BCR (80km/h), $2,367.5m NPV/1.9 BCR (70km/h)&#10;Lower assumptions row: $1,964.4m NPV/5.4 BCR (80km/h), $3,948.6m NPV/4.6 BCR (70km/h)"/>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7160" cy="2211705"/>
                          </a:xfrm>
                          <a:prstGeom prst="rect">
                            <a:avLst/>
                          </a:prstGeom>
                        </pic:spPr>
                      </pic:pic>
                    </a:graphicData>
                  </a:graphic>
                </wp:inline>
              </w:drawing>
            </w:r>
          </w:p>
        </w:tc>
      </w:tr>
    </w:tbl>
    <w:p w14:paraId="0782718A" w14:textId="15C134DA" w:rsidR="00BD567F" w:rsidRPr="00404724" w:rsidRDefault="00BD567F" w:rsidP="00EA690B">
      <w:r w:rsidRPr="00404724">
        <w:t>Notably, there are other considerations that are important when making a decision about the proposed speed limit reductions, including:</w:t>
      </w:r>
    </w:p>
    <w:p w14:paraId="324A629F" w14:textId="7D9DA56C" w:rsidR="00BD567F" w:rsidRPr="00404724" w:rsidRDefault="00BD567F" w:rsidP="00485648">
      <w:pPr>
        <w:pStyle w:val="Listparagraphbullets"/>
      </w:pPr>
      <w:r w:rsidRPr="00404724">
        <w:t>Compliance and behavioural responses – evidence suggests that not all drivers comply fully with default speed limits or adjust their speed proportionally to speed limit changes. This reduces the certainty of achieving modelled outcomes, particularly under larger reductions</w:t>
      </w:r>
      <w:r w:rsidR="00124101" w:rsidRPr="00404724">
        <w:t xml:space="preserve"> (to address this, we have used relatively conservative assumptions on speed change)</w:t>
      </w:r>
      <w:r w:rsidRPr="00404724">
        <w:t>.</w:t>
      </w:r>
    </w:p>
    <w:p w14:paraId="6AB63D09" w14:textId="64A5DEAD" w:rsidR="00BD567F" w:rsidRPr="00404724" w:rsidRDefault="00BD567F" w:rsidP="00485648">
      <w:pPr>
        <w:pStyle w:val="Listparagraphbullets"/>
      </w:pPr>
      <w:r w:rsidRPr="00404724">
        <w:lastRenderedPageBreak/>
        <w:t>Stakeholder views – larger reductions are likely to face stronger community resistance. A large reduction to 70</w:t>
      </w:r>
      <w:r w:rsidR="00C82E00" w:rsidRPr="00404724">
        <w:t xml:space="preserve"> km/h</w:t>
      </w:r>
      <w:r w:rsidRPr="00404724">
        <w:t xml:space="preserve"> has few precedents.</w:t>
      </w:r>
    </w:p>
    <w:p w14:paraId="6C5062DA" w14:textId="77777777" w:rsidR="00BD567F" w:rsidRPr="00404724" w:rsidRDefault="00BD567F" w:rsidP="00485648">
      <w:pPr>
        <w:pStyle w:val="Listparagraphbullets"/>
      </w:pPr>
      <w:r w:rsidRPr="00404724">
        <w:t>Implementation risks – lower speed limits impose additional travel time costs and may generate equity concerns for regional and remote communities with fewer transport alternatives.</w:t>
      </w:r>
    </w:p>
    <w:p w14:paraId="62ED2434" w14:textId="58D075F1" w:rsidR="00BD567F" w:rsidRPr="00404724" w:rsidRDefault="00BD567F" w:rsidP="00485648">
      <w:pPr>
        <w:pStyle w:val="Listparagraphbullets"/>
      </w:pPr>
      <w:r w:rsidRPr="00404724">
        <w:t>Staged implementation – introducing an initial reduction to 80</w:t>
      </w:r>
      <w:r w:rsidR="00C82E00" w:rsidRPr="00404724">
        <w:t xml:space="preserve"> km/h</w:t>
      </w:r>
      <w:r w:rsidRPr="00404724">
        <w:t xml:space="preserve"> provides an opportunity to assess impacts and compliance before considering further reductions.</w:t>
      </w:r>
    </w:p>
    <w:p w14:paraId="3E92C505" w14:textId="374846F2" w:rsidR="00BD567F" w:rsidRPr="00404724" w:rsidRDefault="00C94374" w:rsidP="00485648">
      <w:pPr>
        <w:pStyle w:val="Listparagraphbullets"/>
      </w:pPr>
      <w:r w:rsidRPr="00404724">
        <w:t xml:space="preserve">The analysis above shows that there is a trade-off in considering a preferred option. </w:t>
      </w:r>
      <w:r w:rsidR="00405420" w:rsidRPr="00404724">
        <w:t>Ultimately, d</w:t>
      </w:r>
      <w:r w:rsidR="00BD567F" w:rsidRPr="00404724">
        <w:t>ecision-makers are best placed to weigh these factors</w:t>
      </w:r>
      <w:r w:rsidR="00405420" w:rsidRPr="00404724">
        <w:t>, considering their potential impacts on different communities.</w:t>
      </w:r>
    </w:p>
    <w:p w14:paraId="78E47564" w14:textId="3B12F110" w:rsidR="00405420" w:rsidRPr="00404724" w:rsidRDefault="002824BD" w:rsidP="00405420">
      <w:pPr>
        <w:pStyle w:val="BodyText"/>
      </w:pPr>
      <w:r w:rsidRPr="00404724">
        <w:t>Following consultation, the Decision RIA will recommend a preferred option to amend the Australian Road Rules. State and territory governments may consider alternate options that will deliver net benefits, as well as other jurisdictional considerations, when amending their road rules</w:t>
      </w:r>
      <w:r w:rsidR="00405420" w:rsidRPr="00404724">
        <w:t>.</w:t>
      </w:r>
    </w:p>
    <w:p w14:paraId="76772AC7" w14:textId="31D66678" w:rsidR="00BD567F" w:rsidRPr="00404724" w:rsidRDefault="00BD567F" w:rsidP="00BD567F">
      <w:pPr>
        <w:pStyle w:val="BodyText"/>
      </w:pPr>
      <w:r w:rsidRPr="00404724">
        <w:t xml:space="preserve">The figures in this report are estimates based on the best information available at the time of the analysis, and assumptions have been used where data was not available. The purpose of this Consultation RIA is to seek stakeholder feedback on a number of important questions to inform </w:t>
      </w:r>
      <w:r w:rsidR="00860E03" w:rsidRPr="00404724">
        <w:t>a future review of default speed limits outside of built-up areas in the Australian Road Rules</w:t>
      </w:r>
      <w:r w:rsidRPr="00404724">
        <w:t>. Some of these questions seek to gain more information that could be used in the Decision RIA to improve the estimates provided above.</w:t>
      </w:r>
    </w:p>
    <w:p w14:paraId="01D85577" w14:textId="598D7465" w:rsidR="00BD567F" w:rsidRPr="00404724" w:rsidRDefault="00BD567F" w:rsidP="00BD567F">
      <w:pPr>
        <w:pStyle w:val="Box2Heading"/>
        <w:rPr>
          <w:lang w:val="en-AU"/>
        </w:rPr>
      </w:pPr>
      <w:r w:rsidRPr="00404724">
        <w:rPr>
          <w:lang w:val="en-AU"/>
        </w:rPr>
        <w:t>What is the best option from those considered?</w:t>
      </w:r>
    </w:p>
    <w:p w14:paraId="10AC093C" w14:textId="77777777" w:rsidR="00BD567F" w:rsidRPr="00404724" w:rsidRDefault="00BD567F" w:rsidP="00BD567F">
      <w:pPr>
        <w:pStyle w:val="Box2Text"/>
        <w:rPr>
          <w:lang w:val="en-AU"/>
        </w:rPr>
      </w:pPr>
      <w:r w:rsidRPr="00404724">
        <w:rPr>
          <w:lang w:val="en-AU"/>
        </w:rPr>
        <w:t>A RIA must recommend a preferred option from among those presented and analysed. Typically, the decision rule to identify the preferred policy option is to select the option with the highest net benefit to society as a whole. However, there are some circumstances where an option, other than the one with the highest net benefit, could be recommended. The circumstances where a ‘second best’ option could be recommended include:</w:t>
      </w:r>
    </w:p>
    <w:p w14:paraId="32EB0E53" w14:textId="77777777" w:rsidR="00BD567F" w:rsidRPr="00404724" w:rsidRDefault="00BD567F" w:rsidP="00BD567F">
      <w:pPr>
        <w:pStyle w:val="Box2Text"/>
        <w:rPr>
          <w:lang w:val="en-AU"/>
        </w:rPr>
      </w:pPr>
      <w:r w:rsidRPr="00404724">
        <w:rPr>
          <w:lang w:val="en-AU"/>
        </w:rPr>
        <w:t>When the option would deliver significant benefits that cannot be monetised. The OIA’s CBA guidance notes that ‘if a proposal is advocated despite monetised benefits falling significantly short of monetised costs, the RIA should explain clearly why non-monetised benefits would tip the balance and the nature of the inherent uncertainties in the size of the benefits’</w:t>
      </w:r>
      <w:r w:rsidRPr="00404724">
        <w:rPr>
          <w:rStyle w:val="FootnoteReference"/>
          <w:lang w:val="en-AU"/>
        </w:rPr>
        <w:footnoteReference w:id="132"/>
      </w:r>
      <w:r w:rsidRPr="00404724">
        <w:rPr>
          <w:lang w:val="en-AU"/>
        </w:rPr>
        <w:t>.</w:t>
      </w:r>
    </w:p>
    <w:p w14:paraId="7E916396" w14:textId="77777777" w:rsidR="00BD567F" w:rsidRPr="00404724" w:rsidRDefault="00BD567F" w:rsidP="00BD567F">
      <w:pPr>
        <w:pStyle w:val="Box2Text"/>
        <w:rPr>
          <w:lang w:val="en-AU"/>
        </w:rPr>
      </w:pPr>
      <w:r w:rsidRPr="00404724">
        <w:rPr>
          <w:lang w:val="en-AU"/>
        </w:rPr>
        <w:t>When the option would provide higher resilience in the face of uncertainty. As noted by the OIA, an option can be recommended that has a lower expected value of net benefits, but with a smaller chance of imposing a significant net cost on the community (lower ‘downside risks’).</w:t>
      </w:r>
      <w:r w:rsidRPr="00404724">
        <w:rPr>
          <w:rStyle w:val="FootnoteReference"/>
          <w:lang w:val="en-AU"/>
        </w:rPr>
        <w:footnoteReference w:id="133"/>
      </w:r>
    </w:p>
    <w:p w14:paraId="451F0645" w14:textId="3E1B9406" w:rsidR="00BD567F" w:rsidRPr="00404724" w:rsidRDefault="00BD567F" w:rsidP="00BD567F">
      <w:pPr>
        <w:pStyle w:val="Box2Text"/>
        <w:rPr>
          <w:lang w:val="en-AU"/>
        </w:rPr>
      </w:pPr>
      <w:r w:rsidRPr="00404724">
        <w:rPr>
          <w:lang w:val="en-AU"/>
        </w:rPr>
        <w:t>Where the option with the highest net benefit disproportionately impacts a vulnerable sector of the community. Indeed, the OIA’s CBA guidance indicates that decision makers ‘may decide to reject an option with the largest NPV if it has significant adverse equity impacts.’</w:t>
      </w:r>
      <w:r w:rsidRPr="00404724">
        <w:rPr>
          <w:rStyle w:val="FootnoteReference"/>
          <w:lang w:val="en-AU"/>
        </w:rPr>
        <w:footnoteReference w:id="134"/>
      </w:r>
    </w:p>
    <w:p w14:paraId="2413F51D" w14:textId="02FC1D07" w:rsidR="00BB3FB3" w:rsidRPr="00404724" w:rsidRDefault="00BB3FB3">
      <w:pPr>
        <w:suppressAutoHyphens w:val="0"/>
      </w:pPr>
      <w:r w:rsidRPr="00404724">
        <w:br w:type="page"/>
      </w:r>
    </w:p>
    <w:p w14:paraId="1CF24580" w14:textId="77777777" w:rsidR="00D37408" w:rsidRPr="00404724" w:rsidRDefault="00D37408" w:rsidP="002B3569">
      <w:pPr>
        <w:sectPr w:rsidR="00D37408" w:rsidRPr="00404724" w:rsidSect="00701000">
          <w:pgSz w:w="11906" w:h="16838" w:code="9"/>
          <w:pgMar w:top="1021" w:right="1021" w:bottom="1021" w:left="1021" w:header="340" w:footer="397" w:gutter="0"/>
          <w:cols w:space="708"/>
          <w:docGrid w:linePitch="360"/>
        </w:sectPr>
      </w:pPr>
    </w:p>
    <w:p w14:paraId="4BD6AD0B" w14:textId="36F11B19" w:rsidR="00BB3AAC" w:rsidRPr="00404724" w:rsidRDefault="00F6352A" w:rsidP="00F6352A">
      <w:pPr>
        <w:pStyle w:val="Heading2"/>
      </w:pPr>
      <w:bookmarkStart w:id="575" w:name="_Ref208569041"/>
      <w:bookmarkStart w:id="576" w:name="_Toc210040336"/>
      <w:bookmarkStart w:id="577" w:name="_Toc210042592"/>
      <w:bookmarkStart w:id="578" w:name="_Toc210049234"/>
      <w:bookmarkStart w:id="579" w:name="_Toc210051674"/>
      <w:bookmarkStart w:id="580" w:name="_Toc210051755"/>
      <w:bookmarkEnd w:id="5"/>
      <w:bookmarkEnd w:id="6"/>
      <w:r>
        <w:lastRenderedPageBreak/>
        <w:t>Appendix A—</w:t>
      </w:r>
      <w:r w:rsidR="0088161A" w:rsidRPr="00404724">
        <w:t>Stakeholder consultation overview</w:t>
      </w:r>
      <w:bookmarkEnd w:id="575"/>
      <w:bookmarkEnd w:id="576"/>
      <w:bookmarkEnd w:id="577"/>
      <w:bookmarkEnd w:id="578"/>
      <w:bookmarkEnd w:id="579"/>
      <w:bookmarkEnd w:id="580"/>
    </w:p>
    <w:p w14:paraId="1EA8F60C" w14:textId="44861538" w:rsidR="000A13C5" w:rsidRPr="00404724" w:rsidRDefault="000A13C5" w:rsidP="003979C3">
      <w:pPr>
        <w:pStyle w:val="Tablefigureheading"/>
      </w:pPr>
      <w:bookmarkStart w:id="581" w:name="_Toc210040394"/>
      <w:bookmarkStart w:id="582" w:name="_Toc210051930"/>
      <w:r w:rsidRPr="00404724">
        <w:t xml:space="preserve">Table </w:t>
      </w:r>
      <w:r w:rsidR="00EC39D5">
        <w:fldChar w:fldCharType="begin"/>
      </w:r>
      <w:r w:rsidR="00EC39D5">
        <w:instrText xml:space="preserve"> SEQ Table \* ARABIC </w:instrText>
      </w:r>
      <w:r w:rsidR="00EC39D5">
        <w:fldChar w:fldCharType="separate"/>
      </w:r>
      <w:r w:rsidR="00BF489D">
        <w:rPr>
          <w:noProof/>
        </w:rPr>
        <w:t>47</w:t>
      </w:r>
      <w:r w:rsidR="00EC39D5">
        <w:rPr>
          <w:noProof/>
        </w:rPr>
        <w:fldChar w:fldCharType="end"/>
      </w:r>
      <w:r w:rsidR="00BD0A4C">
        <w:tab/>
      </w:r>
      <w:r w:rsidRPr="00404724">
        <w:t>Stakeholder groups</w:t>
      </w:r>
      <w:bookmarkEnd w:id="581"/>
      <w:bookmarkEnd w:id="582"/>
    </w:p>
    <w:tbl>
      <w:tblPr>
        <w:tblStyle w:val="ListTable4-Accent1"/>
        <w:tblW w:w="0" w:type="auto"/>
        <w:tblLook w:val="06A0" w:firstRow="1" w:lastRow="0" w:firstColumn="1" w:lastColumn="0" w:noHBand="1" w:noVBand="1"/>
        <w:tblCaption w:val="Table 47 – Stakeholder groups"/>
        <w:tblDescription w:val="Table 47 – Stakeholder groups"/>
      </w:tblPr>
      <w:tblGrid>
        <w:gridCol w:w="3397"/>
        <w:gridCol w:w="6457"/>
      </w:tblGrid>
      <w:tr w:rsidR="0088161A" w:rsidRPr="00404724" w14:paraId="5A16B0C6" w14:textId="77777777" w:rsidTr="00F6352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dxa"/>
          </w:tcPr>
          <w:p w14:paraId="139097EA" w14:textId="4CF5B27E" w:rsidR="0088161A" w:rsidRPr="00404724" w:rsidRDefault="0088161A" w:rsidP="003E34D3">
            <w:pPr>
              <w:pStyle w:val="BodyText"/>
            </w:pPr>
            <w:r w:rsidRPr="00404724">
              <w:t>Stakeholder group</w:t>
            </w:r>
          </w:p>
        </w:tc>
        <w:tc>
          <w:tcPr>
            <w:tcW w:w="0" w:type="dxa"/>
          </w:tcPr>
          <w:p w14:paraId="2D20B042" w14:textId="0F5751E3" w:rsidR="0088161A" w:rsidRPr="00404724" w:rsidRDefault="0088161A" w:rsidP="003E34D3">
            <w:pPr>
              <w:pStyle w:val="BodyText"/>
              <w:cnfStyle w:val="100000000000" w:firstRow="1" w:lastRow="0" w:firstColumn="0" w:lastColumn="0" w:oddVBand="0" w:evenVBand="0" w:oddHBand="0" w:evenHBand="0" w:firstRowFirstColumn="0" w:firstRowLastColumn="0" w:lastRowFirstColumn="0" w:lastRowLastColumn="0"/>
            </w:pPr>
            <w:r w:rsidRPr="00404724">
              <w:t>Invitees</w:t>
            </w:r>
          </w:p>
        </w:tc>
      </w:tr>
      <w:tr w:rsidR="0088161A" w:rsidRPr="00404724" w14:paraId="6E10A730" w14:textId="77777777" w:rsidTr="00F6352A">
        <w:trPr>
          <w:cantSplit/>
        </w:trPr>
        <w:tc>
          <w:tcPr>
            <w:cnfStyle w:val="001000000000" w:firstRow="0" w:lastRow="0" w:firstColumn="1" w:lastColumn="0" w:oddVBand="0" w:evenVBand="0" w:oddHBand="0" w:evenHBand="0" w:firstRowFirstColumn="0" w:firstRowLastColumn="0" w:lastRowFirstColumn="0" w:lastRowLastColumn="0"/>
            <w:tcW w:w="3397" w:type="dxa"/>
          </w:tcPr>
          <w:p w14:paraId="562BDE3F" w14:textId="093FEABB" w:rsidR="0088161A" w:rsidRPr="00404724" w:rsidRDefault="00DC5096" w:rsidP="003E34D3">
            <w:pPr>
              <w:pStyle w:val="BodyText"/>
            </w:pPr>
            <w:r w:rsidRPr="00404724">
              <w:t>Jurisdictional r</w:t>
            </w:r>
            <w:r w:rsidR="005D7FA7" w:rsidRPr="00404724">
              <w:t xml:space="preserve">oad authorities and local government </w:t>
            </w:r>
          </w:p>
        </w:tc>
        <w:tc>
          <w:tcPr>
            <w:tcW w:w="6457" w:type="dxa"/>
          </w:tcPr>
          <w:p w14:paraId="74FA43F4" w14:textId="77777777" w:rsidR="00664A31"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ACT City and Environment Directorate</w:t>
            </w:r>
          </w:p>
          <w:p w14:paraId="400DEC44" w14:textId="77777777" w:rsidR="00664A31"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Transport for NSW</w:t>
            </w:r>
          </w:p>
          <w:p w14:paraId="712DB3A8" w14:textId="77777777" w:rsidR="00664A31"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NT Department of Infrastructure, Planning and Logistics</w:t>
            </w:r>
          </w:p>
          <w:p w14:paraId="015234C3" w14:textId="72D0EAB4" w:rsidR="00664A31"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QLD Department of Transport and Main Roads</w:t>
            </w:r>
          </w:p>
          <w:p w14:paraId="49BED2B7" w14:textId="77777777" w:rsidR="00664A31"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SA Department for Infrastructure and Transport</w:t>
            </w:r>
          </w:p>
          <w:p w14:paraId="38A680F6" w14:textId="5963E06D" w:rsidR="00664A31"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Tas Department of State Growth</w:t>
            </w:r>
          </w:p>
          <w:p w14:paraId="66AE316F" w14:textId="2747AB22" w:rsidR="00664A31"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Vic Department of Transport and Planning</w:t>
            </w:r>
          </w:p>
          <w:p w14:paraId="43AB67E2" w14:textId="77777777" w:rsidR="00664A31"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WA Road Safety Commission</w:t>
            </w:r>
          </w:p>
          <w:p w14:paraId="6BF9ED47" w14:textId="21BD2CE9" w:rsidR="00DC5096"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Australian Local Government Association</w:t>
            </w:r>
          </w:p>
        </w:tc>
      </w:tr>
      <w:tr w:rsidR="0088161A" w:rsidRPr="00404724" w14:paraId="21F1D8C2" w14:textId="77777777" w:rsidTr="00F6352A">
        <w:trPr>
          <w:cantSplit/>
        </w:trPr>
        <w:tc>
          <w:tcPr>
            <w:cnfStyle w:val="001000000000" w:firstRow="0" w:lastRow="0" w:firstColumn="1" w:lastColumn="0" w:oddVBand="0" w:evenVBand="0" w:oddHBand="0" w:evenHBand="0" w:firstRowFirstColumn="0" w:firstRowLastColumn="0" w:lastRowFirstColumn="0" w:lastRowLastColumn="0"/>
            <w:tcW w:w="3397" w:type="dxa"/>
          </w:tcPr>
          <w:p w14:paraId="3388877E" w14:textId="74D58B6E" w:rsidR="0088161A" w:rsidRPr="00404724" w:rsidRDefault="00DC5096" w:rsidP="003E34D3">
            <w:pPr>
              <w:pStyle w:val="BodyText"/>
            </w:pPr>
            <w:r w:rsidRPr="00404724">
              <w:t>Jurisdictional police authorities</w:t>
            </w:r>
          </w:p>
        </w:tc>
        <w:tc>
          <w:tcPr>
            <w:tcW w:w="6457" w:type="dxa"/>
          </w:tcPr>
          <w:p w14:paraId="387B1EE4" w14:textId="77777777" w:rsidR="00664A31"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Victoria Police</w:t>
            </w:r>
          </w:p>
          <w:p w14:paraId="665CE45F" w14:textId="77777777" w:rsidR="00664A31"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New South Wales Police</w:t>
            </w:r>
          </w:p>
          <w:p w14:paraId="14B1FEA9" w14:textId="77777777" w:rsidR="00664A31"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Queensland Police</w:t>
            </w:r>
          </w:p>
          <w:p w14:paraId="0B834D53" w14:textId="77777777" w:rsidR="00664A31"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South Australia Police</w:t>
            </w:r>
          </w:p>
          <w:p w14:paraId="473A17E8" w14:textId="77777777" w:rsidR="00664A31"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Western Australia Police</w:t>
            </w:r>
          </w:p>
          <w:p w14:paraId="1AB4064F" w14:textId="77777777" w:rsidR="00664A31"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Tasmania Police</w:t>
            </w:r>
          </w:p>
          <w:p w14:paraId="0762D52D" w14:textId="77777777" w:rsidR="00664A31"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Australian Capital Territory Police</w:t>
            </w:r>
          </w:p>
          <w:p w14:paraId="7598D5F8" w14:textId="77777777" w:rsidR="00664A31"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Northern Territory Police</w:t>
            </w:r>
          </w:p>
          <w:p w14:paraId="17C2A99E" w14:textId="035574E6" w:rsidR="0088161A"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Australian Federal Police</w:t>
            </w:r>
          </w:p>
        </w:tc>
      </w:tr>
      <w:tr w:rsidR="0088161A" w:rsidRPr="00404724" w14:paraId="393C0C13" w14:textId="77777777" w:rsidTr="00F6352A">
        <w:trPr>
          <w:cantSplit/>
        </w:trPr>
        <w:tc>
          <w:tcPr>
            <w:cnfStyle w:val="001000000000" w:firstRow="0" w:lastRow="0" w:firstColumn="1" w:lastColumn="0" w:oddVBand="0" w:evenVBand="0" w:oddHBand="0" w:evenHBand="0" w:firstRowFirstColumn="0" w:firstRowLastColumn="0" w:lastRowFirstColumn="0" w:lastRowLastColumn="0"/>
            <w:tcW w:w="3397" w:type="dxa"/>
          </w:tcPr>
          <w:p w14:paraId="56155375" w14:textId="3783623A" w:rsidR="0088161A" w:rsidRPr="00404724" w:rsidRDefault="00DC5096" w:rsidP="003E34D3">
            <w:pPr>
              <w:pStyle w:val="BodyText"/>
            </w:pPr>
            <w:r w:rsidRPr="00404724">
              <w:t>Delivery and logistics businesses</w:t>
            </w:r>
          </w:p>
        </w:tc>
        <w:tc>
          <w:tcPr>
            <w:tcW w:w="6457" w:type="dxa"/>
          </w:tcPr>
          <w:p w14:paraId="7C41953B" w14:textId="77777777" w:rsidR="00664A31"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Australian Trucking Association</w:t>
            </w:r>
          </w:p>
          <w:p w14:paraId="7B06EF0B" w14:textId="77777777" w:rsidR="00664A31"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Australian Logistics Council</w:t>
            </w:r>
          </w:p>
          <w:p w14:paraId="540D6784" w14:textId="77777777" w:rsidR="00664A31"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NatRoad Australia</w:t>
            </w:r>
          </w:p>
          <w:p w14:paraId="214909CC" w14:textId="77777777" w:rsidR="00664A31"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National Road Freighters Association</w:t>
            </w:r>
          </w:p>
          <w:p w14:paraId="0A099E98" w14:textId="77777777" w:rsidR="00664A31"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Australian Livestock and Rural Transporters Association</w:t>
            </w:r>
          </w:p>
          <w:p w14:paraId="0B2F8633" w14:textId="5EF7B09A" w:rsidR="0088161A"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Bus Industry Confederation</w:t>
            </w:r>
          </w:p>
        </w:tc>
      </w:tr>
      <w:tr w:rsidR="0088161A" w:rsidRPr="00404724" w14:paraId="6302820B" w14:textId="77777777" w:rsidTr="00F6352A">
        <w:trPr>
          <w:cantSplit/>
        </w:trPr>
        <w:tc>
          <w:tcPr>
            <w:cnfStyle w:val="001000000000" w:firstRow="0" w:lastRow="0" w:firstColumn="1" w:lastColumn="0" w:oddVBand="0" w:evenVBand="0" w:oddHBand="0" w:evenHBand="0" w:firstRowFirstColumn="0" w:firstRowLastColumn="0" w:lastRowFirstColumn="0" w:lastRowLastColumn="0"/>
            <w:tcW w:w="3397" w:type="dxa"/>
          </w:tcPr>
          <w:p w14:paraId="4FA7FB8F" w14:textId="42291D58" w:rsidR="0088161A" w:rsidRPr="00404724" w:rsidRDefault="00DC5096" w:rsidP="003E34D3">
            <w:pPr>
              <w:pStyle w:val="BodyText"/>
            </w:pPr>
            <w:r w:rsidRPr="00404724">
              <w:t>Road safety academics</w:t>
            </w:r>
          </w:p>
        </w:tc>
        <w:tc>
          <w:tcPr>
            <w:tcW w:w="6457" w:type="dxa"/>
          </w:tcPr>
          <w:p w14:paraId="04D34AF4" w14:textId="106A8DE7" w:rsidR="00664A31"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Queensland University of Technology CARRS-Q</w:t>
            </w:r>
          </w:p>
          <w:p w14:paraId="38EF2C09" w14:textId="7B677D04" w:rsidR="00664A31"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University of NSW Transport and Road Safety (TARS) Research Centre</w:t>
            </w:r>
          </w:p>
          <w:p w14:paraId="4A79345A" w14:textId="50F4E91B" w:rsidR="00664A31"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University of Adelaide Centre for Automotive Safety Research</w:t>
            </w:r>
          </w:p>
          <w:p w14:paraId="7A6A81CD" w14:textId="26DA4DCB" w:rsidR="0088161A"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Australasian College of Road Safety</w:t>
            </w:r>
          </w:p>
        </w:tc>
      </w:tr>
      <w:tr w:rsidR="0088161A" w:rsidRPr="00404724" w14:paraId="51ECA4BE" w14:textId="77777777" w:rsidTr="00F6352A">
        <w:trPr>
          <w:cantSplit/>
        </w:trPr>
        <w:tc>
          <w:tcPr>
            <w:cnfStyle w:val="001000000000" w:firstRow="0" w:lastRow="0" w:firstColumn="1" w:lastColumn="0" w:oddVBand="0" w:evenVBand="0" w:oddHBand="0" w:evenHBand="0" w:firstRowFirstColumn="0" w:firstRowLastColumn="0" w:lastRowFirstColumn="0" w:lastRowLastColumn="0"/>
            <w:tcW w:w="3397" w:type="dxa"/>
          </w:tcPr>
          <w:p w14:paraId="7243C17A" w14:textId="1AAA40E8" w:rsidR="0088161A" w:rsidRPr="00404724" w:rsidRDefault="00DC5096" w:rsidP="003E34D3">
            <w:pPr>
              <w:pStyle w:val="BodyText"/>
            </w:pPr>
            <w:r w:rsidRPr="00404724">
              <w:t>Statutory insurers</w:t>
            </w:r>
          </w:p>
        </w:tc>
        <w:tc>
          <w:tcPr>
            <w:tcW w:w="6457" w:type="dxa"/>
          </w:tcPr>
          <w:p w14:paraId="0B7C3215" w14:textId="27736368" w:rsidR="00664A31"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AAMI</w:t>
            </w:r>
          </w:p>
          <w:p w14:paraId="369A0E58" w14:textId="4D7C09FD" w:rsidR="00664A31"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Allianz</w:t>
            </w:r>
          </w:p>
          <w:p w14:paraId="4F252115" w14:textId="65445F8B" w:rsidR="00664A31"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NRMA/IAG</w:t>
            </w:r>
          </w:p>
          <w:p w14:paraId="5E72F7AC" w14:textId="4B511EDF" w:rsidR="00664A31"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QBE</w:t>
            </w:r>
          </w:p>
          <w:p w14:paraId="7B94618A" w14:textId="4ABF36C7" w:rsidR="00664A31"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Victorian Transport Accident Commission</w:t>
            </w:r>
          </w:p>
          <w:p w14:paraId="066EE618" w14:textId="3974E660" w:rsidR="00664A31"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Tasmanian Motor Accidents Insurance Board</w:t>
            </w:r>
          </w:p>
          <w:p w14:paraId="2C624B39" w14:textId="436833A5" w:rsidR="0088161A"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Western Australian Insurance Commission of Western Australia</w:t>
            </w:r>
          </w:p>
        </w:tc>
      </w:tr>
      <w:tr w:rsidR="0088161A" w:rsidRPr="00404724" w14:paraId="60BAD0A7" w14:textId="77777777" w:rsidTr="00F6352A">
        <w:trPr>
          <w:cantSplit/>
        </w:trPr>
        <w:tc>
          <w:tcPr>
            <w:cnfStyle w:val="001000000000" w:firstRow="0" w:lastRow="0" w:firstColumn="1" w:lastColumn="0" w:oddVBand="0" w:evenVBand="0" w:oddHBand="0" w:evenHBand="0" w:firstRowFirstColumn="0" w:firstRowLastColumn="0" w:lastRowFirstColumn="0" w:lastRowLastColumn="0"/>
            <w:tcW w:w="3397" w:type="dxa"/>
          </w:tcPr>
          <w:p w14:paraId="7E790175" w14:textId="231A0674" w:rsidR="0088161A" w:rsidRPr="00404724" w:rsidRDefault="00DC5096" w:rsidP="003E34D3">
            <w:pPr>
              <w:pStyle w:val="BodyText"/>
            </w:pPr>
            <w:r w:rsidRPr="00404724">
              <w:lastRenderedPageBreak/>
              <w:t>Motorist groups</w:t>
            </w:r>
          </w:p>
        </w:tc>
        <w:tc>
          <w:tcPr>
            <w:tcW w:w="6457" w:type="dxa"/>
          </w:tcPr>
          <w:p w14:paraId="19BE4A95" w14:textId="72C254CC" w:rsidR="00664A31" w:rsidRPr="00404724" w:rsidRDefault="00664A31" w:rsidP="00F6352A">
            <w:pPr>
              <w:pStyle w:val="Listparagraphbullets"/>
              <w:spacing w:after="0"/>
              <w:cnfStyle w:val="000000000000" w:firstRow="0" w:lastRow="0" w:firstColumn="0" w:lastColumn="0" w:oddVBand="0" w:evenVBand="0" w:oddHBand="0" w:evenHBand="0" w:firstRowFirstColumn="0" w:firstRowLastColumn="0" w:lastRowFirstColumn="0" w:lastRowLastColumn="0"/>
            </w:pPr>
            <w:r w:rsidRPr="00404724">
              <w:t>Australian Automotive Association</w:t>
            </w:r>
            <w:r w:rsidR="00CB3D71" w:rsidRPr="00404724">
              <w:t>, and member bodies, including</w:t>
            </w:r>
          </w:p>
          <w:p w14:paraId="3158362D" w14:textId="673C555F" w:rsidR="00CB3D71" w:rsidRPr="00404724" w:rsidRDefault="00CB3D71" w:rsidP="00F6352A">
            <w:pPr>
              <w:pStyle w:val="Listparagraphbulletssecondlevel"/>
              <w:cnfStyle w:val="000000000000" w:firstRow="0" w:lastRow="0" w:firstColumn="0" w:lastColumn="0" w:oddVBand="0" w:evenVBand="0" w:oddHBand="0" w:evenHBand="0" w:firstRowFirstColumn="0" w:firstRowLastColumn="0" w:lastRowFirstColumn="0" w:lastRowLastColumn="0"/>
            </w:pPr>
            <w:r w:rsidRPr="00404724">
              <w:t>NRMA</w:t>
            </w:r>
          </w:p>
          <w:p w14:paraId="5C54987D" w14:textId="477BD946" w:rsidR="00CB3D71" w:rsidRPr="00404724" w:rsidRDefault="00CB3D71" w:rsidP="00F6352A">
            <w:pPr>
              <w:pStyle w:val="Listparagraphbulletssecondlevel"/>
              <w:cnfStyle w:val="000000000000" w:firstRow="0" w:lastRow="0" w:firstColumn="0" w:lastColumn="0" w:oddVBand="0" w:evenVBand="0" w:oddHBand="0" w:evenHBand="0" w:firstRowFirstColumn="0" w:firstRowLastColumn="0" w:lastRowFirstColumn="0" w:lastRowLastColumn="0"/>
            </w:pPr>
            <w:r w:rsidRPr="00404724">
              <w:t>RACV</w:t>
            </w:r>
          </w:p>
          <w:p w14:paraId="378DE687" w14:textId="526D2D1D" w:rsidR="00CB3D71" w:rsidRPr="00404724" w:rsidRDefault="00CB3D71" w:rsidP="00F6352A">
            <w:pPr>
              <w:pStyle w:val="Listparagraphbulletssecondlevel"/>
              <w:cnfStyle w:val="000000000000" w:firstRow="0" w:lastRow="0" w:firstColumn="0" w:lastColumn="0" w:oddVBand="0" w:evenVBand="0" w:oddHBand="0" w:evenHBand="0" w:firstRowFirstColumn="0" w:firstRowLastColumn="0" w:lastRowFirstColumn="0" w:lastRowLastColumn="0"/>
            </w:pPr>
            <w:r w:rsidRPr="00404724">
              <w:t>RACQ</w:t>
            </w:r>
          </w:p>
          <w:p w14:paraId="4A353347" w14:textId="338EDFC2" w:rsidR="00CB3D71" w:rsidRPr="00404724" w:rsidRDefault="00CB3D71" w:rsidP="00F6352A">
            <w:pPr>
              <w:pStyle w:val="Listparagraphbulletssecondlevel"/>
              <w:cnfStyle w:val="000000000000" w:firstRow="0" w:lastRow="0" w:firstColumn="0" w:lastColumn="0" w:oddVBand="0" w:evenVBand="0" w:oddHBand="0" w:evenHBand="0" w:firstRowFirstColumn="0" w:firstRowLastColumn="0" w:lastRowFirstColumn="0" w:lastRowLastColumn="0"/>
            </w:pPr>
            <w:r w:rsidRPr="00404724">
              <w:t>RAA (SA)</w:t>
            </w:r>
          </w:p>
          <w:p w14:paraId="1FBA91C2" w14:textId="6F4C8ABA" w:rsidR="00CB3D71" w:rsidRPr="00404724" w:rsidRDefault="00CB3D71" w:rsidP="00F6352A">
            <w:pPr>
              <w:pStyle w:val="Listparagraphbulletssecondlevel"/>
              <w:cnfStyle w:val="000000000000" w:firstRow="0" w:lastRow="0" w:firstColumn="0" w:lastColumn="0" w:oddVBand="0" w:evenVBand="0" w:oddHBand="0" w:evenHBand="0" w:firstRowFirstColumn="0" w:firstRowLastColumn="0" w:lastRowFirstColumn="0" w:lastRowLastColumn="0"/>
            </w:pPr>
            <w:r w:rsidRPr="00404724">
              <w:t>RAC (WA)</w:t>
            </w:r>
          </w:p>
          <w:p w14:paraId="52AA4400" w14:textId="333FF88C" w:rsidR="00CB3D71" w:rsidRPr="00404724" w:rsidRDefault="00CB3D71" w:rsidP="00F6352A">
            <w:pPr>
              <w:pStyle w:val="Listparagraphbulletssecondlevel"/>
              <w:cnfStyle w:val="000000000000" w:firstRow="0" w:lastRow="0" w:firstColumn="0" w:lastColumn="0" w:oddVBand="0" w:evenVBand="0" w:oddHBand="0" w:evenHBand="0" w:firstRowFirstColumn="0" w:firstRowLastColumn="0" w:lastRowFirstColumn="0" w:lastRowLastColumn="0"/>
            </w:pPr>
            <w:r w:rsidRPr="00404724">
              <w:t>RACT</w:t>
            </w:r>
          </w:p>
          <w:p w14:paraId="7C02F2CA" w14:textId="33453B13" w:rsidR="00CB3D71" w:rsidRPr="00404724" w:rsidRDefault="00CB3D71" w:rsidP="00F6352A">
            <w:pPr>
              <w:pStyle w:val="Listparagraphbulletssecondlevel"/>
              <w:cnfStyle w:val="000000000000" w:firstRow="0" w:lastRow="0" w:firstColumn="0" w:lastColumn="0" w:oddVBand="0" w:evenVBand="0" w:oddHBand="0" w:evenHBand="0" w:firstRowFirstColumn="0" w:firstRowLastColumn="0" w:lastRowFirstColumn="0" w:lastRowLastColumn="0"/>
            </w:pPr>
            <w:r w:rsidRPr="00404724">
              <w:t>AANT</w:t>
            </w:r>
          </w:p>
          <w:p w14:paraId="0339F00D" w14:textId="3440034E" w:rsidR="0088161A" w:rsidRPr="00404724" w:rsidRDefault="00664A31" w:rsidP="00485648">
            <w:pPr>
              <w:pStyle w:val="Listparagraphbullets"/>
              <w:cnfStyle w:val="000000000000" w:firstRow="0" w:lastRow="0" w:firstColumn="0" w:lastColumn="0" w:oddVBand="0" w:evenVBand="0" w:oddHBand="0" w:evenHBand="0" w:firstRowFirstColumn="0" w:firstRowLastColumn="0" w:lastRowFirstColumn="0" w:lastRowLastColumn="0"/>
            </w:pPr>
            <w:r w:rsidRPr="00404724">
              <w:t>Australian Motorcycle Council</w:t>
            </w:r>
          </w:p>
        </w:tc>
      </w:tr>
    </w:tbl>
    <w:p w14:paraId="5DBCE7AA" w14:textId="577ED409" w:rsidR="003E34D3" w:rsidRPr="00404724" w:rsidRDefault="003E34D3" w:rsidP="003E34D3">
      <w:pPr>
        <w:pStyle w:val="BodyText"/>
      </w:pPr>
    </w:p>
    <w:sectPr w:rsidR="003E34D3" w:rsidRPr="00404724" w:rsidSect="000075AC">
      <w:type w:val="continuous"/>
      <w:pgSz w:w="11906" w:h="16838" w:code="9"/>
      <w:pgMar w:top="1021" w:right="1021" w:bottom="1021" w:left="1021"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CE46DA" w14:textId="77777777" w:rsidR="00F2666A" w:rsidRDefault="00F2666A" w:rsidP="008456D5">
      <w:pPr>
        <w:spacing w:before="0" w:after="0"/>
      </w:pPr>
      <w:r>
        <w:separator/>
      </w:r>
    </w:p>
  </w:endnote>
  <w:endnote w:type="continuationSeparator" w:id="0">
    <w:p w14:paraId="48432E94" w14:textId="77777777" w:rsidR="00F2666A" w:rsidRDefault="00F2666A"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4B0D2" w14:textId="77777777" w:rsidR="00F2666A" w:rsidRDefault="00F2666A" w:rsidP="00BA24FB">
    <w:pPr>
      <w:pStyle w:val="Footer"/>
      <w:spacing w:before="360"/>
    </w:pPr>
  </w:p>
  <w:p w14:paraId="45C05922" w14:textId="77777777" w:rsidR="00F2666A" w:rsidRDefault="00F2666A" w:rsidP="00827492">
    <w:pPr>
      <w:pStyle w:val="SecurityMarker"/>
    </w:pPr>
    <w:sdt>
      <w:sdtPr>
        <w:alias w:val="Status"/>
        <w:tag w:val=""/>
        <w:id w:val="-1420637097"/>
        <w:placeholder>
          <w:docPart w:val="1E1008E4DD9B4F079B1DBA1C9007DC03"/>
        </w:placeholder>
        <w:dataBinding w:prefixMappings="xmlns:ns0='http://purl.org/dc/elements/1.1/' xmlns:ns1='http://schemas.openxmlformats.org/package/2006/metadata/core-properties' " w:xpath="/ns1:coreProperties[1]/ns1:contentStatus[1]" w:storeItemID="{6C3C8BC8-F283-45AE-878A-BAB7291924A1}"/>
        <w:text/>
      </w:sdtPr>
      <w:sdtContent>
        <w:r>
          <w:t>OFFICIAL / OFFICIAL: SENSITIVE / PROTECTEDSELECT THE CLASSIFICATION MARKER ABOVE THAT APPLIES TO YOUR DOCUMENT, THEN DELETE THE OTHERS AND THIS TEXT&gt;</w:t>
        </w:r>
      </w:sdtContent>
    </w:sdt>
    <w:r>
      <w:rPr>
        <w:noProof/>
        <w:lang w:eastAsia="en-AU"/>
      </w:rPr>
      <mc:AlternateContent>
        <mc:Choice Requires="wps">
          <w:drawing>
            <wp:inline distT="0" distB="0" distL="0" distR="0" wp14:anchorId="4B836E68" wp14:editId="11A8F9E1">
              <wp:extent cx="1007640" cy="720000"/>
              <wp:effectExtent l="0" t="0" r="0" b="0"/>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720000"/>
                      </a:xfrm>
                      <a:prstGeom prst="rect">
                        <a:avLst/>
                      </a:prstGeom>
                      <a:noFill/>
                      <a:ln w="6350">
                        <a:noFill/>
                      </a:ln>
                    </wps:spPr>
                    <wps:txbx>
                      <w:txbxContent>
                        <w:p w14:paraId="4C67D8EC" w14:textId="77777777" w:rsidR="00F2666A" w:rsidRDefault="00F2666A"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46F9A5D5" w14:textId="77777777" w:rsidR="00F2666A" w:rsidRPr="00077FE0" w:rsidRDefault="00F2666A" w:rsidP="00827492">
                          <w:pPr>
                            <w:pStyle w:val="SecurityMarker"/>
                          </w:pPr>
                        </w:p>
                      </w:txbxContent>
                    </wps:txbx>
                    <wps:bodyPr rot="0" spcFirstLastPara="0" vertOverflow="overflow" horzOverflow="overflow" vert="horz" wrap="square" lIns="0" tIns="0" rIns="648000" bIns="252000" numCol="1" spcCol="0" rtlCol="0" fromWordArt="0" anchor="b" anchorCtr="0" forceAA="0" compatLnSpc="1">
                      <a:prstTxWarp prst="textNoShape">
                        <a:avLst/>
                      </a:prstTxWarp>
                      <a:noAutofit/>
                    </wps:bodyPr>
                  </wps:wsp>
                </a:graphicData>
              </a:graphic>
            </wp:inline>
          </w:drawing>
        </mc:Choice>
        <mc:Fallback>
          <w:pict>
            <v:shapetype w14:anchorId="4B836E68" id="_x0000_t202" coordsize="21600,21600" o:spt="202" path="m,l,21600r21600,l21600,xe">
              <v:stroke joinstyle="miter"/>
              <v:path gradientshapeok="t" o:connecttype="rect"/>
            </v:shapetype>
            <v:shape id="Text Box 10" o:spid="_x0000_s1026" type="#_x0000_t202" style="width:79.35pt;height:56.7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" filled="f" stroked="f" strokeweight=".5pt">
              <v:textbox inset="0,0,18mm,7mm">
                <w:txbxContent>
                  <w:p w14:paraId="4C67D8EC" w14:textId="77777777" w:rsidR="00F2666A" w:rsidRDefault="00F2666A"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46F9A5D5" w14:textId="77777777" w:rsidR="00F2666A" w:rsidRPr="00077FE0" w:rsidRDefault="00F2666A" w:rsidP="00827492">
                    <w:pPr>
                      <w:pStyle w:val="SecurityMarker"/>
                    </w:pP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31F7D" w14:textId="77777777" w:rsidR="00F2666A" w:rsidRDefault="00F2666A" w:rsidP="00C3007A">
    <w:pPr>
      <w:framePr w:w="11907" w:h="284" w:hSpace="181" w:wrap="around" w:vAnchor="page" w:hAnchor="page" w:yAlign="bottom"/>
      <w:spacing w:before="0" w:after="0"/>
    </w:pPr>
    <w:r>
      <w:rPr>
        <w:noProof/>
        <w:lang w:eastAsia="en-AU"/>
      </w:rPr>
      <w:drawing>
        <wp:inline distT="0" distB="0" distL="0" distR="0" wp14:anchorId="47CD7299" wp14:editId="2FB23565">
          <wp:extent cx="7562850" cy="179922"/>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652BD52D" w14:textId="111BD9B2" w:rsidR="00F2666A" w:rsidRPr="00654E6E" w:rsidRDefault="00F2666A" w:rsidP="004B0117">
    <w:pPr>
      <w:pStyle w:val="Footer"/>
      <w:tabs>
        <w:tab w:val="clear" w:pos="4513"/>
        <w:tab w:val="clear" w:pos="9026"/>
        <w:tab w:val="right" w:pos="9475"/>
      </w:tabs>
      <w:spacing w:after="120"/>
      <w:rPr>
        <w:color w:val="auto"/>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E25C26">
      <w:rPr>
        <w:rFonts w:cs="Segoe UI"/>
        <w:noProof/>
        <w:szCs w:val="18"/>
      </w:rPr>
      <w:t>Consultation Regulatory Impact Analysis</w:t>
    </w:r>
    <w:r>
      <w:rPr>
        <w:rFonts w:cs="Segoe UI"/>
        <w:noProof/>
        <w:szCs w:val="18"/>
      </w:rPr>
      <w:fldChar w:fldCharType="end"/>
    </w:r>
    <w:r w:rsidRPr="00654E6E">
      <w:rPr>
        <w:color w:val="auto"/>
        <w:sz w:val="18"/>
        <w:szCs w:val="18"/>
        <w:lang w:val="en-US"/>
      </w:rPr>
      <w:tab/>
      <w:t xml:space="preserve">Page </w:t>
    </w:r>
    <w:r w:rsidRPr="00654E6E">
      <w:rPr>
        <w:color w:val="auto"/>
        <w:sz w:val="18"/>
        <w:szCs w:val="18"/>
        <w:lang w:val="en-US"/>
      </w:rPr>
      <w:fldChar w:fldCharType="begin"/>
    </w:r>
    <w:r w:rsidRPr="00654E6E">
      <w:rPr>
        <w:color w:val="auto"/>
        <w:sz w:val="18"/>
        <w:szCs w:val="18"/>
        <w:lang w:val="en-US"/>
      </w:rPr>
      <w:instrText xml:space="preserve"> PAGE   \* MERGEFORMAT </w:instrText>
    </w:r>
    <w:r w:rsidRPr="00654E6E">
      <w:rPr>
        <w:color w:val="auto"/>
        <w:sz w:val="18"/>
        <w:szCs w:val="18"/>
        <w:lang w:val="en-US"/>
      </w:rPr>
      <w:fldChar w:fldCharType="separate"/>
    </w:r>
    <w:r>
      <w:rPr>
        <w:color w:val="auto"/>
        <w:sz w:val="18"/>
        <w:szCs w:val="18"/>
        <w:lang w:val="en-US"/>
      </w:rPr>
      <w:t>2</w:t>
    </w:r>
    <w:r w:rsidRPr="00654E6E">
      <w:rPr>
        <w:noProof/>
        <w:color w:val="auto"/>
        <w:sz w:val="18"/>
        <w:szCs w:val="18"/>
        <w:lang w:val="en-US"/>
      </w:rPr>
      <w:fldChar w:fldCharType="end"/>
    </w:r>
    <w:r w:rsidRPr="00654E6E">
      <w:rPr>
        <w:noProof/>
        <w:color w:val="auto"/>
        <w:sz w:val="18"/>
        <w:szCs w:val="18"/>
        <w:lang w:val="en-US"/>
      </w:rPr>
      <w:t xml:space="preserve"> of </w:t>
    </w:r>
    <w:r w:rsidRPr="00654E6E">
      <w:rPr>
        <w:noProof/>
        <w:color w:val="auto"/>
        <w:sz w:val="18"/>
        <w:szCs w:val="18"/>
        <w:lang w:val="en-US"/>
      </w:rPr>
      <w:fldChar w:fldCharType="begin"/>
    </w:r>
    <w:r w:rsidRPr="00654E6E">
      <w:rPr>
        <w:noProof/>
        <w:color w:val="auto"/>
        <w:sz w:val="18"/>
        <w:szCs w:val="18"/>
        <w:lang w:val="en-US"/>
      </w:rPr>
      <w:instrText xml:space="preserve"> NUMPAGES   \* MERGEFORMAT </w:instrText>
    </w:r>
    <w:r w:rsidRPr="00654E6E">
      <w:rPr>
        <w:noProof/>
        <w:color w:val="auto"/>
        <w:sz w:val="18"/>
        <w:szCs w:val="18"/>
        <w:lang w:val="en-US"/>
      </w:rPr>
      <w:fldChar w:fldCharType="separate"/>
    </w:r>
    <w:r>
      <w:rPr>
        <w:noProof/>
        <w:color w:val="auto"/>
        <w:sz w:val="18"/>
        <w:szCs w:val="18"/>
        <w:lang w:val="en-US"/>
      </w:rPr>
      <w:t>12</w:t>
    </w:r>
    <w:r w:rsidRPr="00654E6E">
      <w:rPr>
        <w:noProof/>
        <w:color w:val="auto"/>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3CB46C" w14:textId="77777777" w:rsidR="00F2666A" w:rsidRPr="005912BE" w:rsidRDefault="00F2666A" w:rsidP="005912BE">
      <w:pPr>
        <w:spacing w:before="300"/>
        <w:rPr>
          <w:color w:val="008089" w:themeColor="accent2"/>
        </w:rPr>
      </w:pPr>
      <w:r w:rsidRPr="004063DE">
        <w:rPr>
          <w:color w:val="004044" w:themeColor="accent2" w:themeShade="80"/>
        </w:rPr>
        <w:t>----------</w:t>
      </w:r>
    </w:p>
  </w:footnote>
  <w:footnote w:type="continuationSeparator" w:id="0">
    <w:p w14:paraId="054263C4" w14:textId="77777777" w:rsidR="00F2666A" w:rsidRDefault="00F2666A" w:rsidP="008456D5">
      <w:pPr>
        <w:spacing w:before="0" w:after="0"/>
      </w:pPr>
      <w:r>
        <w:continuationSeparator/>
      </w:r>
    </w:p>
  </w:footnote>
  <w:footnote w:id="1">
    <w:p w14:paraId="0AC18290" w14:textId="77777777" w:rsidR="00F2666A" w:rsidRDefault="00F2666A" w:rsidP="00E3432A">
      <w:pPr>
        <w:pStyle w:val="FootnoteText"/>
      </w:pPr>
      <w:r>
        <w:rPr>
          <w:rStyle w:val="FootnoteReference"/>
        </w:rPr>
        <w:footnoteRef/>
      </w:r>
      <w:r>
        <w:t xml:space="preserve"> </w:t>
      </w:r>
      <w:r>
        <w:tab/>
        <w:t xml:space="preserve">ACIL Allen estimates, based on </w:t>
      </w:r>
      <w:r w:rsidRPr="001A7D62">
        <w:t>BITRE</w:t>
      </w:r>
      <w:r>
        <w:t>,</w:t>
      </w:r>
      <w:r w:rsidRPr="001A7D62">
        <w:t xml:space="preserve"> </w:t>
      </w:r>
      <w:r w:rsidRPr="001A7D62">
        <w:rPr>
          <w:i/>
          <w:iCs/>
        </w:rPr>
        <w:t>Australian Infrastructure and Transport Statistics Yearbook 2024, Roads</w:t>
      </w:r>
      <w:r>
        <w:t xml:space="preserve">. Tables 6.2a and 6.2c. </w:t>
      </w:r>
    </w:p>
  </w:footnote>
  <w:footnote w:id="2">
    <w:p w14:paraId="3CBA805D" w14:textId="61D27F9C" w:rsidR="00F2666A" w:rsidRDefault="00F2666A" w:rsidP="00E3432A">
      <w:pPr>
        <w:pStyle w:val="FootnoteText"/>
      </w:pPr>
      <w:r>
        <w:rPr>
          <w:rStyle w:val="FootnoteReference"/>
        </w:rPr>
        <w:footnoteRef/>
      </w:r>
      <w:r>
        <w:t xml:space="preserve"> </w:t>
      </w:r>
      <w:r>
        <w:tab/>
        <w:t xml:space="preserve">ABC News 2024, </w:t>
      </w:r>
      <w:r w:rsidRPr="003B08FD">
        <w:rPr>
          <w:i/>
          <w:iCs/>
        </w:rPr>
        <w:t>After decades of decline, road fatalities are on rise in Australia and around the world — why and what can be done?</w:t>
      </w:r>
      <w:r>
        <w:t xml:space="preserve"> Accessed 27 August 2025, </w:t>
      </w:r>
      <w:hyperlink r:id="rId1" w:history="1">
        <w:r w:rsidRPr="00D068D7">
          <w:rPr>
            <w:rStyle w:val="Hyperlink"/>
          </w:rPr>
          <w:t>https://www.abc.net.au/religion/road-fatalities-on-the-rise-australia-what-can-be-done/103532970</w:t>
        </w:r>
      </w:hyperlink>
      <w:r>
        <w:t xml:space="preserve"> </w:t>
      </w:r>
    </w:p>
  </w:footnote>
  <w:footnote w:id="3">
    <w:p w14:paraId="59DB5683" w14:textId="1D6A8D0D" w:rsidR="00F2666A" w:rsidRDefault="00F2666A" w:rsidP="00E3432A">
      <w:pPr>
        <w:pStyle w:val="FootnoteText"/>
      </w:pPr>
      <w:r>
        <w:rPr>
          <w:rStyle w:val="FootnoteReference"/>
        </w:rPr>
        <w:footnoteRef/>
      </w:r>
      <w:r>
        <w:tab/>
        <w:t xml:space="preserve"> The Guardian January 2025, </w:t>
      </w:r>
      <w:r w:rsidRPr="004D71C2">
        <w:rPr>
          <w:i/>
          <w:iCs/>
        </w:rPr>
        <w:t>Australia’s road toll hits 12-year high as pedestrian and cyclist fatalities rise</w:t>
      </w:r>
      <w:r>
        <w:t xml:space="preserve">. Accessed 25 August 2025, </w:t>
      </w:r>
      <w:hyperlink r:id="rId2" w:history="1">
        <w:r w:rsidRPr="00D068D7">
          <w:rPr>
            <w:rStyle w:val="Hyperlink"/>
          </w:rPr>
          <w:t>https://www.theguardian.com/australia-news/2025/jan/27/australia-road-toll-2024-1300-deaths-highest-in-more-than-a-decade</w:t>
        </w:r>
      </w:hyperlink>
      <w:r>
        <w:t xml:space="preserve"> </w:t>
      </w:r>
    </w:p>
  </w:footnote>
  <w:footnote w:id="4">
    <w:p w14:paraId="4E92BA8D" w14:textId="77777777" w:rsidR="00F2666A" w:rsidRPr="007B5A49" w:rsidRDefault="00F2666A" w:rsidP="00E3432A">
      <w:pPr>
        <w:pStyle w:val="FootnoteText"/>
        <w:rPr>
          <w:lang w:val="en-US"/>
        </w:rPr>
      </w:pPr>
      <w:r>
        <w:rPr>
          <w:rStyle w:val="FootnoteReference"/>
        </w:rPr>
        <w:footnoteRef/>
      </w:r>
      <w:r>
        <w:t xml:space="preserve"> </w:t>
      </w:r>
      <w:r>
        <w:tab/>
      </w:r>
      <w:r>
        <w:rPr>
          <w:lang w:val="en-US"/>
        </w:rPr>
        <w:t xml:space="preserve">ACIL Allen analysis based on </w:t>
      </w:r>
      <w:r w:rsidRPr="000E266E">
        <w:rPr>
          <w:lang w:val="en-US"/>
        </w:rPr>
        <w:t>DITRDCSA</w:t>
      </w:r>
      <w:r>
        <w:rPr>
          <w:lang w:val="en-US"/>
        </w:rPr>
        <w:t xml:space="preserve"> and BITRE </w:t>
      </w:r>
    </w:p>
  </w:footnote>
  <w:footnote w:id="5">
    <w:p w14:paraId="6E0BA0B1" w14:textId="77777777" w:rsidR="00F2666A" w:rsidRDefault="00F2666A" w:rsidP="00E3432A">
      <w:pPr>
        <w:pStyle w:val="FootnoteText"/>
      </w:pPr>
      <w:r>
        <w:rPr>
          <w:rStyle w:val="FootnoteReference"/>
        </w:rPr>
        <w:footnoteRef/>
      </w:r>
      <w:r>
        <w:t xml:space="preserve"> Western Australia and the Northern Territory </w:t>
      </w:r>
    </w:p>
  </w:footnote>
  <w:footnote w:id="6">
    <w:p w14:paraId="4F208E9A" w14:textId="77777777" w:rsidR="00F2666A" w:rsidRDefault="00F2666A" w:rsidP="000E1A11">
      <w:pPr>
        <w:pStyle w:val="FootnoteText"/>
      </w:pPr>
      <w:r>
        <w:rPr>
          <w:rStyle w:val="FootnoteReference"/>
        </w:rPr>
        <w:footnoteRef/>
      </w:r>
      <w:r>
        <w:t xml:space="preserve"> The information in this section relating to the implementation</w:t>
      </w:r>
      <w:r w:rsidRPr="00306C4B">
        <w:t>, review and evaluation of the proposed policy</w:t>
      </w:r>
      <w:r>
        <w:t xml:space="preserve"> was provided by the NTC.</w:t>
      </w:r>
    </w:p>
  </w:footnote>
  <w:footnote w:id="7">
    <w:p w14:paraId="19D2F54C" w14:textId="77777777" w:rsidR="00F2666A" w:rsidRPr="00BB1ED6" w:rsidRDefault="00F2666A" w:rsidP="00404724">
      <w:pPr>
        <w:pStyle w:val="FootnoteText"/>
      </w:pPr>
      <w:r w:rsidRPr="00BB1ED6">
        <w:rPr>
          <w:rStyle w:val="FootnoteReference"/>
        </w:rPr>
        <w:footnoteRef/>
      </w:r>
      <w:r w:rsidRPr="00BB1ED6">
        <w:t xml:space="preserve"> The impacts of the full range of scenarios analysed are included in Chapter</w:t>
      </w:r>
      <w:r>
        <w:t xml:space="preserve"> 5</w:t>
      </w:r>
      <w:r w:rsidRPr="00BB1ED6">
        <w:t>.</w:t>
      </w:r>
    </w:p>
  </w:footnote>
  <w:footnote w:id="8">
    <w:p w14:paraId="14E15D31" w14:textId="5D4FE60A" w:rsidR="00F2666A" w:rsidRPr="0038642E" w:rsidRDefault="00F2666A" w:rsidP="00482FEC">
      <w:pPr>
        <w:pStyle w:val="FootnoteText"/>
        <w:rPr>
          <w:lang w:val="en-US"/>
        </w:rPr>
      </w:pPr>
      <w:r>
        <w:rPr>
          <w:rStyle w:val="FootnoteReference"/>
        </w:rPr>
        <w:footnoteRef/>
      </w:r>
      <w:r>
        <w:t xml:space="preserve"> </w:t>
      </w:r>
      <w:r>
        <w:tab/>
        <w:t xml:space="preserve">Commonwealth of Australia, Department of the Prime Minister and Cabinet 2021, </w:t>
      </w:r>
      <w:r w:rsidRPr="0038642E">
        <w:rPr>
          <w:i/>
          <w:iCs/>
        </w:rPr>
        <w:t>Regulatory Impact Analysis Guide for Ministers’ Meetings and National Standard Setting Bodies</w:t>
      </w:r>
      <w:r>
        <w:t>, May.</w:t>
      </w:r>
    </w:p>
  </w:footnote>
  <w:footnote w:id="9">
    <w:p w14:paraId="24C0DCF8" w14:textId="6867CF20" w:rsidR="00F2666A" w:rsidRDefault="00F2666A" w:rsidP="00482FEC">
      <w:pPr>
        <w:pStyle w:val="FootnoteText"/>
      </w:pPr>
      <w:r>
        <w:rPr>
          <w:rStyle w:val="FootnoteReference"/>
        </w:rPr>
        <w:footnoteRef/>
      </w:r>
      <w:r>
        <w:t xml:space="preserve"> </w:t>
      </w:r>
      <w:r>
        <w:tab/>
        <w:t xml:space="preserve">ACIL Allen estimates, based on </w:t>
      </w:r>
      <w:r w:rsidRPr="001A7D62">
        <w:t>BITRE</w:t>
      </w:r>
      <w:r>
        <w:t>,</w:t>
      </w:r>
      <w:r w:rsidRPr="001A7D62">
        <w:t xml:space="preserve"> </w:t>
      </w:r>
      <w:r w:rsidRPr="001A7D62">
        <w:rPr>
          <w:i/>
          <w:iCs/>
        </w:rPr>
        <w:t>Australian Infrastructure and Transport Statistics Yearbook 2024, Roads</w:t>
      </w:r>
      <w:r>
        <w:t xml:space="preserve">. Tables 6.2a and 6.2c. </w:t>
      </w:r>
    </w:p>
  </w:footnote>
  <w:footnote w:id="10">
    <w:p w14:paraId="15E9EA77" w14:textId="533D5851" w:rsidR="00F2666A" w:rsidRDefault="00F2666A" w:rsidP="00482FEC">
      <w:pPr>
        <w:pStyle w:val="FootnoteText"/>
      </w:pPr>
      <w:r>
        <w:rPr>
          <w:rStyle w:val="FootnoteReference"/>
        </w:rPr>
        <w:footnoteRef/>
      </w:r>
      <w:r>
        <w:t xml:space="preserve"> </w:t>
      </w:r>
      <w:r>
        <w:tab/>
      </w:r>
      <w:r w:rsidRPr="001A7D62">
        <w:t>BITRE</w:t>
      </w:r>
      <w:r>
        <w:t xml:space="preserve"> 2025,</w:t>
      </w:r>
      <w:r w:rsidRPr="001A7D62">
        <w:t xml:space="preserve"> </w:t>
      </w:r>
      <w:r w:rsidRPr="001A7D62">
        <w:rPr>
          <w:i/>
          <w:iCs/>
        </w:rPr>
        <w:t>Australian Infrastructure and Transport Statistics Yearbook 2024, Roads</w:t>
      </w:r>
      <w:r>
        <w:rPr>
          <w:i/>
          <w:iCs/>
        </w:rPr>
        <w:t xml:space="preserve">. </w:t>
      </w:r>
      <w:r>
        <w:t>Tables 6.8.</w:t>
      </w:r>
    </w:p>
  </w:footnote>
  <w:footnote w:id="11">
    <w:p w14:paraId="49D49EF0" w14:textId="2F6B0596" w:rsidR="00F2666A" w:rsidRDefault="00F2666A" w:rsidP="00482FEC">
      <w:pPr>
        <w:pStyle w:val="FootnoteText"/>
      </w:pPr>
      <w:r>
        <w:rPr>
          <w:rStyle w:val="FootnoteReference"/>
        </w:rPr>
        <w:footnoteRef/>
      </w:r>
      <w:r>
        <w:t xml:space="preserve"> </w:t>
      </w:r>
      <w:r>
        <w:tab/>
        <w:t xml:space="preserve">ACIL Allen analysis, based on ibid and ABS 2025, </w:t>
      </w:r>
      <w:r w:rsidRPr="008F409F">
        <w:rPr>
          <w:i/>
          <w:iCs/>
        </w:rPr>
        <w:t>Release 3101.0 National, state and territory population 2024</w:t>
      </w:r>
      <w:r>
        <w:t>. Table 1.</w:t>
      </w:r>
    </w:p>
  </w:footnote>
  <w:footnote w:id="12">
    <w:p w14:paraId="7CE23081" w14:textId="490C6D47" w:rsidR="00F2666A" w:rsidRDefault="00F2666A" w:rsidP="00482FEC">
      <w:pPr>
        <w:pStyle w:val="FootnoteText"/>
      </w:pPr>
      <w:r>
        <w:rPr>
          <w:rStyle w:val="FootnoteReference"/>
        </w:rPr>
        <w:footnoteRef/>
      </w:r>
      <w:r>
        <w:t xml:space="preserve"> </w:t>
      </w:r>
      <w:r>
        <w:tab/>
      </w:r>
      <w:r w:rsidRPr="001A7D62">
        <w:t>BITRE</w:t>
      </w:r>
      <w:r>
        <w:t xml:space="preserve"> 2025,</w:t>
      </w:r>
      <w:r w:rsidRPr="001A7D62">
        <w:t xml:space="preserve"> </w:t>
      </w:r>
      <w:r w:rsidRPr="001A7D62">
        <w:rPr>
          <w:i/>
          <w:iCs/>
        </w:rPr>
        <w:t>Australian Infrastructure and Transport Statistics Yearbook 2024, Roads</w:t>
      </w:r>
      <w:r>
        <w:rPr>
          <w:i/>
          <w:iCs/>
        </w:rPr>
        <w:t xml:space="preserve">. </w:t>
      </w:r>
      <w:r>
        <w:t>Tables 6.13i.</w:t>
      </w:r>
    </w:p>
  </w:footnote>
  <w:footnote w:id="13">
    <w:p w14:paraId="0C6BC478" w14:textId="0313CCCB" w:rsidR="00F2666A" w:rsidRPr="00C42192" w:rsidRDefault="00F2666A" w:rsidP="00482FEC">
      <w:pPr>
        <w:pStyle w:val="FootnoteText"/>
        <w:rPr>
          <w:i/>
          <w:iCs/>
        </w:rPr>
      </w:pPr>
      <w:r>
        <w:rPr>
          <w:rStyle w:val="FootnoteReference"/>
        </w:rPr>
        <w:footnoteRef/>
      </w:r>
      <w:r>
        <w:t xml:space="preserve"> </w:t>
      </w:r>
      <w:r>
        <w:tab/>
        <w:t xml:space="preserve">ABS (2022), </w:t>
      </w:r>
      <w:r w:rsidRPr="00C42192">
        <w:rPr>
          <w:i/>
          <w:iCs/>
        </w:rPr>
        <w:t>Australia’s journey to work</w:t>
      </w:r>
      <w:r>
        <w:rPr>
          <w:i/>
          <w:iCs/>
        </w:rPr>
        <w:t xml:space="preserve">, </w:t>
      </w:r>
      <w:r w:rsidRPr="00B35D98">
        <w:rPr>
          <w:i/>
          <w:iCs/>
        </w:rPr>
        <w:t>How people travelled(a) to work on Tuesday 10 August 2021</w:t>
      </w:r>
    </w:p>
  </w:footnote>
  <w:footnote w:id="14">
    <w:p w14:paraId="1D5CEFF6" w14:textId="5C1AA272" w:rsidR="00F2666A" w:rsidRDefault="00F2666A" w:rsidP="00482FEC">
      <w:pPr>
        <w:pStyle w:val="FootnoteText"/>
      </w:pPr>
      <w:r>
        <w:rPr>
          <w:rStyle w:val="FootnoteReference"/>
        </w:rPr>
        <w:footnoteRef/>
      </w:r>
      <w:r>
        <w:t xml:space="preserve"> </w:t>
      </w:r>
      <w:r>
        <w:tab/>
      </w:r>
      <w:r w:rsidRPr="00E018B4">
        <w:t>A tonne-kilometre (tkm) is a unit of measurement used to quantify the volume of freight transport, representing the transport of one metric tonne of goods over a distance of one kilometre</w:t>
      </w:r>
    </w:p>
  </w:footnote>
  <w:footnote w:id="15">
    <w:p w14:paraId="116E64F8" w14:textId="78013D60" w:rsidR="00F2666A" w:rsidRPr="004D71C2" w:rsidRDefault="00F2666A" w:rsidP="00482FEC">
      <w:pPr>
        <w:pStyle w:val="FootnoteText"/>
      </w:pPr>
      <w:r>
        <w:rPr>
          <w:rStyle w:val="FootnoteReference"/>
        </w:rPr>
        <w:footnoteRef/>
      </w:r>
      <w:r>
        <w:tab/>
        <w:t xml:space="preserve"> ACIL Allen analysis, based on </w:t>
      </w:r>
      <w:r w:rsidRPr="001A7D62">
        <w:t>BITRE</w:t>
      </w:r>
      <w:r>
        <w:t xml:space="preserve"> 2025,</w:t>
      </w:r>
      <w:r w:rsidRPr="001A7D62">
        <w:t xml:space="preserve"> </w:t>
      </w:r>
      <w:r w:rsidRPr="001A7D62">
        <w:rPr>
          <w:i/>
          <w:iCs/>
        </w:rPr>
        <w:t xml:space="preserve">Australian Infrastructure and Transport Statistics Yearbook 2024, </w:t>
      </w:r>
      <w:r>
        <w:rPr>
          <w:i/>
          <w:iCs/>
        </w:rPr>
        <w:t xml:space="preserve">Freights. </w:t>
      </w:r>
      <w:r>
        <w:t>Table 4.1c.</w:t>
      </w:r>
    </w:p>
  </w:footnote>
  <w:footnote w:id="16">
    <w:p w14:paraId="53244533" w14:textId="131F5AE8" w:rsidR="00F2666A" w:rsidRDefault="00F2666A" w:rsidP="00482FEC">
      <w:pPr>
        <w:pStyle w:val="FootnoteText"/>
      </w:pPr>
      <w:r>
        <w:rPr>
          <w:rStyle w:val="FootnoteReference"/>
        </w:rPr>
        <w:footnoteRef/>
      </w:r>
      <w:r>
        <w:t xml:space="preserve"> </w:t>
      </w:r>
      <w:r>
        <w:tab/>
        <w:t xml:space="preserve">ABC News 2024, </w:t>
      </w:r>
      <w:r w:rsidRPr="003B08FD">
        <w:rPr>
          <w:i/>
          <w:iCs/>
        </w:rPr>
        <w:t>After decades of decline, road fatalities are on rise in Australia and around the world — why and what can be done?</w:t>
      </w:r>
      <w:r>
        <w:t xml:space="preserve"> Accessed 27 August 2025, </w:t>
      </w:r>
      <w:hyperlink r:id="rId3" w:history="1">
        <w:r w:rsidRPr="00D068D7">
          <w:rPr>
            <w:rStyle w:val="Hyperlink"/>
          </w:rPr>
          <w:t>https://www.abc.net.au/religion/road-fatalities-on-the-rise-australia-what-can-be-done/103532970</w:t>
        </w:r>
      </w:hyperlink>
      <w:r>
        <w:t xml:space="preserve"> </w:t>
      </w:r>
    </w:p>
  </w:footnote>
  <w:footnote w:id="17">
    <w:p w14:paraId="317F9DD4" w14:textId="779A98DD" w:rsidR="00F2666A" w:rsidRDefault="00F2666A" w:rsidP="00482FEC">
      <w:pPr>
        <w:pStyle w:val="FootnoteText"/>
      </w:pPr>
      <w:r>
        <w:rPr>
          <w:rStyle w:val="FootnoteReference"/>
        </w:rPr>
        <w:footnoteRef/>
      </w:r>
      <w:r>
        <w:tab/>
        <w:t xml:space="preserve"> The Guardian January 2025, </w:t>
      </w:r>
      <w:r w:rsidRPr="004D71C2">
        <w:rPr>
          <w:i/>
          <w:iCs/>
        </w:rPr>
        <w:t>Australia’s road toll hits 12-year high as pedestrian and cyclist fatalities rise</w:t>
      </w:r>
      <w:r>
        <w:t xml:space="preserve">. Accessed 25 August 2025, </w:t>
      </w:r>
      <w:hyperlink r:id="rId4" w:history="1">
        <w:r w:rsidRPr="00D068D7">
          <w:rPr>
            <w:rStyle w:val="Hyperlink"/>
          </w:rPr>
          <w:t>https://www.theguardian.com/australia-news/2025/jan/27/australia-road-toll-2024-1300-deaths-highest-in-more-than-a-decade</w:t>
        </w:r>
      </w:hyperlink>
    </w:p>
  </w:footnote>
  <w:footnote w:id="18">
    <w:p w14:paraId="07D6A1DD" w14:textId="32E51639" w:rsidR="00F2666A" w:rsidRDefault="00F2666A" w:rsidP="00482FEC">
      <w:pPr>
        <w:pStyle w:val="FootnoteText"/>
      </w:pPr>
      <w:r>
        <w:rPr>
          <w:rStyle w:val="FootnoteReference"/>
        </w:rPr>
        <w:footnoteRef/>
      </w:r>
      <w:r>
        <w:t xml:space="preserve"> </w:t>
      </w:r>
      <w:r>
        <w:tab/>
        <w:t>ACIL Allen analysis based on</w:t>
      </w:r>
      <w:r w:rsidRPr="008F2802">
        <w:t xml:space="preserve"> DITRDCSA</w:t>
      </w:r>
      <w:r>
        <w:t xml:space="preserve"> 2025 and ABS 2025.</w:t>
      </w:r>
    </w:p>
  </w:footnote>
  <w:footnote w:id="19">
    <w:p w14:paraId="5516B083" w14:textId="6BCA5BC2" w:rsidR="00F2666A" w:rsidRPr="007B5A49" w:rsidRDefault="00F2666A">
      <w:pPr>
        <w:pStyle w:val="FootnoteText"/>
        <w:rPr>
          <w:lang w:val="en-US"/>
        </w:rPr>
      </w:pPr>
      <w:r>
        <w:rPr>
          <w:rStyle w:val="FootnoteReference"/>
        </w:rPr>
        <w:footnoteRef/>
      </w:r>
      <w:r>
        <w:t xml:space="preserve"> </w:t>
      </w:r>
      <w:r>
        <w:tab/>
      </w:r>
      <w:r>
        <w:rPr>
          <w:lang w:val="en-US"/>
        </w:rPr>
        <w:t xml:space="preserve">ACIL Allen analysis based on </w:t>
      </w:r>
      <w:r w:rsidRPr="000E266E">
        <w:rPr>
          <w:lang w:val="en-US"/>
        </w:rPr>
        <w:t>DITRDCSA</w:t>
      </w:r>
      <w:r>
        <w:rPr>
          <w:lang w:val="en-US"/>
        </w:rPr>
        <w:t xml:space="preserve"> and BITRE </w:t>
      </w:r>
    </w:p>
  </w:footnote>
  <w:footnote w:id="20">
    <w:p w14:paraId="500C5893" w14:textId="019D1DED" w:rsidR="00F2666A" w:rsidRDefault="00F2666A" w:rsidP="00482FEC">
      <w:pPr>
        <w:pStyle w:val="FootnoteText"/>
      </w:pPr>
      <w:r>
        <w:rPr>
          <w:rStyle w:val="FootnoteReference"/>
        </w:rPr>
        <w:footnoteRef/>
      </w:r>
      <w:r>
        <w:t xml:space="preserve"> </w:t>
      </w:r>
      <w:r>
        <w:tab/>
        <w:t>ACIL Allen analysis, based on New Zealand Ministry of Transport | Te Manat</w:t>
      </w:r>
      <w:r w:rsidRPr="003770E8">
        <w:t>ū </w:t>
      </w:r>
      <w:r>
        <w:t>Waka. (2025</w:t>
      </w:r>
      <w:r w:rsidRPr="003B08FD">
        <w:rPr>
          <w:i/>
          <w:iCs/>
        </w:rPr>
        <w:t>). Safety – Road Deaths</w:t>
      </w:r>
      <w:r>
        <w:rPr>
          <w:i/>
          <w:iCs/>
        </w:rPr>
        <w:t xml:space="preserve">. </w:t>
      </w:r>
      <w:r>
        <w:t>Retrieved from:</w:t>
      </w:r>
      <w:r w:rsidRPr="007B5A49">
        <w:t xml:space="preserve"> </w:t>
      </w:r>
      <w:hyperlink r:id="rId5" w:history="1">
        <w:r w:rsidRPr="007B5A49">
          <w:rPr>
            <w:rStyle w:val="Hyperlink"/>
          </w:rPr>
          <w:t>https://www.transport.govt.nz/statistics-and-insights/safety-road-deaths/sheet/death-on-nz-roads-since-1921</w:t>
        </w:r>
      </w:hyperlink>
      <w:r w:rsidRPr="007B5A49">
        <w:t xml:space="preserve"> </w:t>
      </w:r>
      <w:r w:rsidRPr="00404828">
        <w:t xml:space="preserve"> </w:t>
      </w:r>
      <w:r>
        <w:t xml:space="preserve">and StatsNZ | Tatauranga Aotearoa, </w:t>
      </w:r>
      <w:r w:rsidRPr="007B5A49">
        <w:rPr>
          <w:i/>
          <w:iCs/>
        </w:rPr>
        <w:t>Population</w:t>
      </w:r>
      <w:r>
        <w:t xml:space="preserve">. Retrieved from: </w:t>
      </w:r>
      <w:hyperlink r:id="rId6" w:history="1">
        <w:r w:rsidR="006D5D05" w:rsidRPr="00D068D7">
          <w:rPr>
            <w:rStyle w:val="Hyperlink"/>
          </w:rPr>
          <w:t>https://www.stats.govt.nz/topics/population/</w:t>
        </w:r>
      </w:hyperlink>
    </w:p>
  </w:footnote>
  <w:footnote w:id="21">
    <w:p w14:paraId="04AEEF93" w14:textId="49228115" w:rsidR="00F2666A" w:rsidRDefault="00F2666A" w:rsidP="00482FEC">
      <w:pPr>
        <w:pStyle w:val="FootnoteText"/>
      </w:pPr>
      <w:r>
        <w:rPr>
          <w:rStyle w:val="FootnoteReference"/>
        </w:rPr>
        <w:footnoteRef/>
      </w:r>
      <w:r>
        <w:t xml:space="preserve"> </w:t>
      </w:r>
      <w:r>
        <w:tab/>
        <w:t xml:space="preserve">ACIL Allen analysis, based on United Kingdom Government (2024). </w:t>
      </w:r>
      <w:r w:rsidRPr="003B08FD">
        <w:rPr>
          <w:i/>
          <w:iCs/>
        </w:rPr>
        <w:t>Road safety statistics: data tables</w:t>
      </w:r>
      <w:r>
        <w:t xml:space="preserve">. Retrieved from: </w:t>
      </w:r>
      <w:hyperlink r:id="rId7" w:anchor="road-user-type-ras02" w:history="1">
        <w:r w:rsidRPr="00212F25">
          <w:rPr>
            <w:rStyle w:val="Hyperlink"/>
          </w:rPr>
          <w:t>https://www.gov.uk/government/statistical-data-sets/reported-road-accidents-vehicles-and-casualties-tables-for-great-britain#road-user-type-ras02</w:t>
        </w:r>
      </w:hyperlink>
      <w:r>
        <w:t xml:space="preserve">. </w:t>
      </w:r>
    </w:p>
  </w:footnote>
  <w:footnote w:id="22">
    <w:p w14:paraId="46298AA8" w14:textId="46F340DF" w:rsidR="00F2666A" w:rsidRDefault="00F2666A" w:rsidP="00482FEC">
      <w:pPr>
        <w:pStyle w:val="FootnoteText"/>
      </w:pPr>
      <w:r>
        <w:rPr>
          <w:rStyle w:val="FootnoteReference"/>
        </w:rPr>
        <w:footnoteRef/>
      </w:r>
      <w:r>
        <w:t xml:space="preserve"> </w:t>
      </w:r>
      <w:r>
        <w:tab/>
        <w:t xml:space="preserve">ACIL Allen analysis, based on U.S. Department of Transportation National Highway Traffic Safety Administration (2025). </w:t>
      </w:r>
      <w:r w:rsidRPr="003B08FD">
        <w:rPr>
          <w:i/>
          <w:iCs/>
        </w:rPr>
        <w:t>NHTSA Estimates 39,345 Traffic Fatalities in 2024.</w:t>
      </w:r>
      <w:r>
        <w:t xml:space="preserve"> Retrieved from: </w:t>
      </w:r>
      <w:hyperlink r:id="rId8" w:anchor=":~:text=The%20U,of%20fatalities%20fell%20below%2040%2C000" w:history="1">
        <w:r w:rsidRPr="00212F25">
          <w:rPr>
            <w:rStyle w:val="Hyperlink"/>
          </w:rPr>
          <w:t>https://www.nhtsa.gov/press-releases/nhtsa-2023-traffic-fatalities-2024-estimates#:~:text=The%20U,of%20fatalities%20fell%20below%2040%2C000</w:t>
        </w:r>
      </w:hyperlink>
      <w:r>
        <w:t>.</w:t>
      </w:r>
    </w:p>
  </w:footnote>
  <w:footnote w:id="23">
    <w:p w14:paraId="42B927F9" w14:textId="3733670A" w:rsidR="00F2666A" w:rsidRDefault="00F2666A" w:rsidP="00482FEC">
      <w:pPr>
        <w:pStyle w:val="FootnoteText"/>
      </w:pPr>
      <w:r>
        <w:rPr>
          <w:rStyle w:val="FootnoteReference"/>
        </w:rPr>
        <w:footnoteRef/>
      </w:r>
      <w:r>
        <w:t xml:space="preserve"> </w:t>
      </w:r>
      <w:r>
        <w:tab/>
        <w:t xml:space="preserve">ACIL Allen analysis, based on Government of Canada. (2025). </w:t>
      </w:r>
      <w:r w:rsidRPr="003B08FD">
        <w:rPr>
          <w:i/>
          <w:iCs/>
        </w:rPr>
        <w:t>Canadian Motor Vehicle Traffic Collision Statistics: 2023</w:t>
      </w:r>
      <w:r>
        <w:t xml:space="preserve">. Retrieved from: </w:t>
      </w:r>
      <w:hyperlink r:id="rId9" w:history="1">
        <w:r w:rsidRPr="00212F25">
          <w:rPr>
            <w:rStyle w:val="Hyperlink"/>
          </w:rPr>
          <w:t>https://tc.canada.ca/en/road-transportation/statistics-data/canadian-motor-vehicle-traffic-collision-statistics/2023/canadian-motor-vehicle-traffic-collision-statistics-2023</w:t>
        </w:r>
      </w:hyperlink>
      <w:r>
        <w:t xml:space="preserve"> and Statistics Canada (2025). </w:t>
      </w:r>
      <w:r w:rsidRPr="007B5A49">
        <w:rPr>
          <w:i/>
          <w:iCs/>
        </w:rPr>
        <w:t>Population estimates on July 1, by age and gender</w:t>
      </w:r>
      <w:r>
        <w:rPr>
          <w:i/>
          <w:iCs/>
        </w:rPr>
        <w:t xml:space="preserve">. </w:t>
      </w:r>
      <w:r>
        <w:t xml:space="preserve">Retrieved from: </w:t>
      </w:r>
      <w:hyperlink r:id="rId10" w:history="1">
        <w:r w:rsidR="006D5D05" w:rsidRPr="00D068D7">
          <w:rPr>
            <w:rStyle w:val="Hyperlink"/>
          </w:rPr>
          <w:t>https://www150.statcan.gc.ca/t1/tbl1/en/tv.action?pid=1710000501</w:t>
        </w:r>
      </w:hyperlink>
    </w:p>
  </w:footnote>
  <w:footnote w:id="24">
    <w:p w14:paraId="2079F13D" w14:textId="322FC082" w:rsidR="00F2666A" w:rsidRDefault="00F2666A" w:rsidP="00FE7D3E">
      <w:pPr>
        <w:pStyle w:val="FootnoteText"/>
      </w:pPr>
      <w:r>
        <w:rPr>
          <w:rStyle w:val="FootnoteReference"/>
        </w:rPr>
        <w:footnoteRef/>
      </w:r>
      <w:r>
        <w:tab/>
        <w:t xml:space="preserve">Latest year with sufficient data for comparison. </w:t>
      </w:r>
    </w:p>
  </w:footnote>
  <w:footnote w:id="25">
    <w:p w14:paraId="543F463C" w14:textId="77777777" w:rsidR="00F2666A" w:rsidRDefault="00F2666A" w:rsidP="00482FEC">
      <w:pPr>
        <w:pStyle w:val="FootnoteText"/>
      </w:pPr>
      <w:r>
        <w:rPr>
          <w:rStyle w:val="FootnoteReference"/>
        </w:rPr>
        <w:footnoteRef/>
      </w:r>
      <w:r>
        <w:t xml:space="preserve"> </w:t>
      </w:r>
      <w:r>
        <w:tab/>
        <w:t xml:space="preserve">ACIL Allen analysis based on BITRE 2025, </w:t>
      </w:r>
      <w:r w:rsidRPr="000C5EF6">
        <w:t>Australian Road Deaths Database: Fatalities. Outside</w:t>
      </w:r>
      <w:r>
        <w:t xml:space="preserve"> of major cities include </w:t>
      </w:r>
      <w:r w:rsidRPr="00645535">
        <w:t>Inner Regional Australia</w:t>
      </w:r>
      <w:r>
        <w:t xml:space="preserve">, </w:t>
      </w:r>
      <w:r w:rsidRPr="00645535">
        <w:t>Outer Regional Australia</w:t>
      </w:r>
      <w:r>
        <w:t xml:space="preserve">, </w:t>
      </w:r>
      <w:r w:rsidRPr="00645535">
        <w:t>Remote Australia</w:t>
      </w:r>
      <w:r>
        <w:t xml:space="preserve">, </w:t>
      </w:r>
      <w:r w:rsidRPr="00645535">
        <w:t>Very Remote Australia</w:t>
      </w:r>
      <w:r>
        <w:t xml:space="preserve"> per AGSG Edition 3 (2021). Data prior to 2014 does not allow for remoteness region comparison. Another </w:t>
      </w:r>
      <w:r w:rsidRPr="000367DD">
        <w:t>1</w:t>
      </w:r>
      <w:r>
        <w:t>,</w:t>
      </w:r>
      <w:r w:rsidRPr="000367DD">
        <w:t>843</w:t>
      </w:r>
      <w:r>
        <w:t xml:space="preserve"> fatalities were recorded with location unknown. </w:t>
      </w:r>
    </w:p>
  </w:footnote>
  <w:footnote w:id="26">
    <w:p w14:paraId="1A765047" w14:textId="77777777" w:rsidR="00F2666A" w:rsidRDefault="00F2666A" w:rsidP="00482FEC">
      <w:pPr>
        <w:pStyle w:val="FootnoteText"/>
      </w:pPr>
      <w:r>
        <w:rPr>
          <w:rStyle w:val="FootnoteReference"/>
        </w:rPr>
        <w:footnoteRef/>
      </w:r>
      <w:r>
        <w:t xml:space="preserve"> </w:t>
      </w:r>
      <w:r>
        <w:tab/>
        <w:t>Ibid.</w:t>
      </w:r>
    </w:p>
  </w:footnote>
  <w:footnote w:id="27">
    <w:p w14:paraId="1C344BAC" w14:textId="77777777" w:rsidR="00F2666A" w:rsidRDefault="00F2666A" w:rsidP="00C66169">
      <w:pPr>
        <w:pStyle w:val="FootnoteText"/>
      </w:pPr>
      <w:r>
        <w:rPr>
          <w:rStyle w:val="FootnoteReference"/>
        </w:rPr>
        <w:footnoteRef/>
      </w:r>
      <w:r>
        <w:t xml:space="preserve"> </w:t>
      </w:r>
      <w:r>
        <w:tab/>
        <w:t xml:space="preserve">Australian Institute of Health and Welfare. (2023). Hospitalised injuries 2011 to 2021. Retrieved from: </w:t>
      </w:r>
      <w:hyperlink r:id="rId11" w:history="1">
        <w:r w:rsidRPr="00833142">
          <w:rPr>
            <w:rStyle w:val="Hyperlink"/>
          </w:rPr>
          <w:t>https://datahub.roadsafety.gov.au/progress-reporting/hospitalised-injuries</w:t>
        </w:r>
      </w:hyperlink>
      <w:r>
        <w:t xml:space="preserve"> </w:t>
      </w:r>
    </w:p>
  </w:footnote>
  <w:footnote w:id="28">
    <w:p w14:paraId="1E916C94" w14:textId="0DC4D45A" w:rsidR="00F2666A" w:rsidRDefault="00F2666A" w:rsidP="00FD2A95">
      <w:pPr>
        <w:pStyle w:val="FootnoteText"/>
        <w:ind w:left="142" w:hanging="142"/>
      </w:pPr>
      <w:r>
        <w:rPr>
          <w:rStyle w:val="FootnoteReference"/>
        </w:rPr>
        <w:footnoteRef/>
      </w:r>
      <w:r>
        <w:t xml:space="preserve"> Australian Automobile Association September 2017, </w:t>
      </w:r>
      <w:r w:rsidRPr="00DF1D1E">
        <w:rPr>
          <w:i/>
          <w:iCs/>
        </w:rPr>
        <w:t>Cost of Road Trauma in Australia</w:t>
      </w:r>
      <w:r>
        <w:rPr>
          <w:i/>
          <w:iCs/>
        </w:rPr>
        <w:t>.</w:t>
      </w:r>
    </w:p>
  </w:footnote>
  <w:footnote w:id="29">
    <w:p w14:paraId="4BFF342B" w14:textId="5313415C" w:rsidR="00F2666A" w:rsidRDefault="00F2666A" w:rsidP="00FD2A95">
      <w:pPr>
        <w:pStyle w:val="FootnoteText"/>
        <w:ind w:left="142" w:hanging="142"/>
      </w:pPr>
      <w:r>
        <w:rPr>
          <w:rStyle w:val="FootnoteReference"/>
        </w:rPr>
        <w:footnoteRef/>
      </w:r>
      <w:r>
        <w:t xml:space="preserve"> </w:t>
      </w:r>
      <w:r w:rsidRPr="00DB6D33">
        <w:t>Soltani, A., Afshari, S., &amp; Amiri, M. A. (2025). Time-series projecting road traffic fatalities in Australia: Insights for targeted safety interventions. </w:t>
      </w:r>
      <w:r w:rsidRPr="00DB6D33">
        <w:rPr>
          <w:i/>
          <w:iCs/>
        </w:rPr>
        <w:t>Injury</w:t>
      </w:r>
      <w:r w:rsidRPr="00DB6D33">
        <w:t>, </w:t>
      </w:r>
      <w:r w:rsidRPr="00DB6D33">
        <w:rPr>
          <w:i/>
          <w:iCs/>
        </w:rPr>
        <w:t>56</w:t>
      </w:r>
      <w:r w:rsidRPr="00DB6D33">
        <w:t>(3), 112166.</w:t>
      </w:r>
    </w:p>
  </w:footnote>
  <w:footnote w:id="30">
    <w:p w14:paraId="18813DA0" w14:textId="24BF36E6" w:rsidR="00F2666A" w:rsidRDefault="00F2666A" w:rsidP="00FD2A95">
      <w:pPr>
        <w:pStyle w:val="FootnoteText"/>
        <w:ind w:left="142" w:hanging="142"/>
      </w:pPr>
      <w:r>
        <w:rPr>
          <w:rStyle w:val="FootnoteReference"/>
        </w:rPr>
        <w:footnoteRef/>
      </w:r>
      <w:r>
        <w:t xml:space="preserve"> </w:t>
      </w:r>
      <w:r w:rsidRPr="00CB4C5E">
        <w:t>Soltani, A., Afshari, S., &amp; Amiri, M. A. (2025). Human cost, machine insight: A data-driven analysis of Australian road crashes. </w:t>
      </w:r>
      <w:r w:rsidRPr="00CB4C5E">
        <w:rPr>
          <w:i/>
          <w:iCs/>
        </w:rPr>
        <w:t>Case Studies on Transport Policy</w:t>
      </w:r>
      <w:r w:rsidRPr="00CB4C5E">
        <w:t>, </w:t>
      </w:r>
      <w:r w:rsidRPr="00CB4C5E">
        <w:rPr>
          <w:i/>
          <w:iCs/>
        </w:rPr>
        <w:t>20</w:t>
      </w:r>
      <w:r w:rsidRPr="00CB4C5E">
        <w:t>, 101440.</w:t>
      </w:r>
    </w:p>
  </w:footnote>
  <w:footnote w:id="31">
    <w:p w14:paraId="3125DB19" w14:textId="56A9CC2D" w:rsidR="00F2666A" w:rsidRDefault="00F2666A" w:rsidP="00FD2A95">
      <w:pPr>
        <w:pStyle w:val="FootnoteText"/>
        <w:ind w:left="142" w:hanging="142"/>
      </w:pPr>
      <w:r>
        <w:rPr>
          <w:rStyle w:val="FootnoteReference"/>
        </w:rPr>
        <w:footnoteRef/>
      </w:r>
      <w:r>
        <w:t xml:space="preserve"> Ibid 16.</w:t>
      </w:r>
    </w:p>
  </w:footnote>
  <w:footnote w:id="32">
    <w:p w14:paraId="2710CF26" w14:textId="79ECF170" w:rsidR="00F2666A" w:rsidRPr="008E3657" w:rsidRDefault="00F2666A" w:rsidP="00CF3748">
      <w:pPr>
        <w:pStyle w:val="FootnoteText"/>
        <w:ind w:left="142" w:hanging="142"/>
      </w:pPr>
      <w:r>
        <w:rPr>
          <w:rStyle w:val="FootnoteReference"/>
        </w:rPr>
        <w:footnoteRef/>
      </w:r>
      <w:r>
        <w:t xml:space="preserve"> Australian Department of Infrastructure and Regional Development (n.d.) Page 3, </w:t>
      </w:r>
      <w:r w:rsidRPr="008E3657">
        <w:rPr>
          <w:i/>
          <w:iCs/>
        </w:rPr>
        <w:t>Developing national road safety indicators for injury</w:t>
      </w:r>
      <w:r>
        <w:t xml:space="preserve">. Accessed at: </w:t>
      </w:r>
      <w:hyperlink r:id="rId12" w:history="1">
        <w:r w:rsidRPr="0048484A">
          <w:rPr>
            <w:rStyle w:val="Hyperlink"/>
          </w:rPr>
          <w:t>https://www.bitre.gov.au/sites/default/files/is_076.pdf</w:t>
        </w:r>
      </w:hyperlink>
      <w:r>
        <w:t xml:space="preserve"> </w:t>
      </w:r>
    </w:p>
  </w:footnote>
  <w:footnote w:id="33">
    <w:p w14:paraId="3317B0A1" w14:textId="21DCD59F" w:rsidR="00F2666A" w:rsidRDefault="00F2666A">
      <w:pPr>
        <w:pStyle w:val="FootnoteText"/>
      </w:pPr>
      <w:r>
        <w:rPr>
          <w:rStyle w:val="FootnoteReference"/>
        </w:rPr>
        <w:footnoteRef/>
      </w:r>
      <w:r>
        <w:t xml:space="preserve"> Victorian Government (2024) </w:t>
      </w:r>
      <w:r w:rsidRPr="00CF3748">
        <w:rPr>
          <w:i/>
          <w:iCs/>
        </w:rPr>
        <w:t>Victorian road trauma statistics</w:t>
      </w:r>
      <w:r>
        <w:t>. Accessed at:</w:t>
      </w:r>
      <w:r w:rsidRPr="00CF3748">
        <w:t xml:space="preserve"> </w:t>
      </w:r>
      <w:hyperlink r:id="rId13" w:history="1">
        <w:r w:rsidRPr="0048484A">
          <w:rPr>
            <w:rStyle w:val="Hyperlink"/>
          </w:rPr>
          <w:t>https://www.vic.gov.au/victorian-road-trauma-statistics</w:t>
        </w:r>
      </w:hyperlink>
      <w:r>
        <w:t xml:space="preserve"> </w:t>
      </w:r>
    </w:p>
  </w:footnote>
  <w:footnote w:id="34">
    <w:p w14:paraId="592BF24F" w14:textId="6318D546" w:rsidR="00F2666A" w:rsidRDefault="00F2666A">
      <w:pPr>
        <w:pStyle w:val="FootnoteText"/>
      </w:pPr>
      <w:r>
        <w:rPr>
          <w:rStyle w:val="FootnoteReference"/>
        </w:rPr>
        <w:footnoteRef/>
      </w:r>
      <w:r>
        <w:t xml:space="preserve"> Transport for NSW (2025) </w:t>
      </w:r>
      <w:r w:rsidRPr="009E677D">
        <w:rPr>
          <w:i/>
          <w:iCs/>
        </w:rPr>
        <w:t>Serious injuries</w:t>
      </w:r>
      <w:r>
        <w:t>. Accessed at:</w:t>
      </w:r>
      <w:r w:rsidRPr="009E677D">
        <w:t xml:space="preserve"> </w:t>
      </w:r>
      <w:hyperlink r:id="rId14" w:history="1">
        <w:r w:rsidRPr="0048484A">
          <w:rPr>
            <w:rStyle w:val="Hyperlink"/>
          </w:rPr>
          <w:t>https://www.transport.nsw.gov.au/roadsafety/statistics/serious-injuries</w:t>
        </w:r>
      </w:hyperlink>
      <w:r>
        <w:t xml:space="preserve"> </w:t>
      </w:r>
    </w:p>
  </w:footnote>
  <w:footnote w:id="35">
    <w:p w14:paraId="765051D3" w14:textId="1F6F847B" w:rsidR="00F2666A" w:rsidRPr="009E677D" w:rsidRDefault="00F2666A">
      <w:pPr>
        <w:pStyle w:val="FootnoteText"/>
      </w:pPr>
      <w:r>
        <w:rPr>
          <w:rStyle w:val="FootnoteReference"/>
        </w:rPr>
        <w:footnoteRef/>
      </w:r>
      <w:r>
        <w:t xml:space="preserve"> Transport Accident Commission (n.d.) </w:t>
      </w:r>
      <w:r>
        <w:rPr>
          <w:i/>
          <w:iCs/>
        </w:rPr>
        <w:t>Serious injury</w:t>
      </w:r>
      <w:r>
        <w:t xml:space="preserve">. Accessed at: </w:t>
      </w:r>
      <w:hyperlink r:id="rId15" w:history="1">
        <w:r w:rsidRPr="0048484A">
          <w:rPr>
            <w:rStyle w:val="Hyperlink"/>
          </w:rPr>
          <w:t>https://www.tac.vic.gov.au/clients/how-we-can-help/compensation/common-law-compensation/common-law-fact-sheets/what-is-serious-injury</w:t>
        </w:r>
      </w:hyperlink>
      <w:r>
        <w:t xml:space="preserve"> </w:t>
      </w:r>
    </w:p>
  </w:footnote>
  <w:footnote w:id="36">
    <w:p w14:paraId="14531BDC" w14:textId="4B0AC425" w:rsidR="00F2666A" w:rsidRDefault="00F2666A" w:rsidP="00FD2A95">
      <w:pPr>
        <w:pStyle w:val="FootnoteText"/>
        <w:ind w:left="142" w:hanging="142"/>
      </w:pPr>
      <w:r>
        <w:rPr>
          <w:rStyle w:val="FootnoteReference"/>
        </w:rPr>
        <w:footnoteRef/>
      </w:r>
      <w:r>
        <w:t xml:space="preserve"> </w:t>
      </w:r>
      <w:r w:rsidRPr="0094732E">
        <w:t>Visontay</w:t>
      </w:r>
      <w:r>
        <w:t xml:space="preserve">, E. (2025) </w:t>
      </w:r>
      <w:r w:rsidRPr="0094732E">
        <w:rPr>
          <w:i/>
          <w:iCs/>
        </w:rPr>
        <w:t>Australia’s road toll hits 12-year high as pedestrian and cyclist fatalities rise.</w:t>
      </w:r>
      <w:r>
        <w:t xml:space="preserve"> The Guardian. Accessed at: </w:t>
      </w:r>
      <w:hyperlink r:id="rId16" w:history="1">
        <w:r w:rsidRPr="003D2CF9">
          <w:rPr>
            <w:rStyle w:val="Hyperlink"/>
          </w:rPr>
          <w:t>https://www.theguardian.com/australia-news/2025/jan/27/australia-road-toll-2024-1300-deaths-highest-in-more-than-a-decade</w:t>
        </w:r>
      </w:hyperlink>
      <w:r>
        <w:t xml:space="preserve"> </w:t>
      </w:r>
    </w:p>
  </w:footnote>
  <w:footnote w:id="37">
    <w:p w14:paraId="53608F3A" w14:textId="78BE93E7" w:rsidR="00F2666A" w:rsidRDefault="00F2666A" w:rsidP="00482FEC">
      <w:pPr>
        <w:pStyle w:val="FootnoteText"/>
      </w:pPr>
      <w:r>
        <w:rPr>
          <w:rStyle w:val="FootnoteReference"/>
        </w:rPr>
        <w:footnoteRef/>
      </w:r>
      <w:r>
        <w:t xml:space="preserve"> </w:t>
      </w:r>
      <w:r>
        <w:tab/>
      </w:r>
      <w:r w:rsidRPr="00A30C04">
        <w:t>Hassouna, F., &amp; Pringle, I. (2019). Analysis and prediction of crash fatalities in Australia. </w:t>
      </w:r>
      <w:r w:rsidRPr="00A30C04">
        <w:rPr>
          <w:i/>
          <w:iCs/>
        </w:rPr>
        <w:t>The Open Transportation Journal</w:t>
      </w:r>
      <w:r w:rsidRPr="00A30C04">
        <w:t>, </w:t>
      </w:r>
      <w:r w:rsidRPr="00A30C04">
        <w:rPr>
          <w:i/>
          <w:iCs/>
        </w:rPr>
        <w:t>13</w:t>
      </w:r>
      <w:r w:rsidRPr="00A30C04">
        <w:t>(1).</w:t>
      </w:r>
    </w:p>
  </w:footnote>
  <w:footnote w:id="38">
    <w:p w14:paraId="5A7C1907" w14:textId="4A3961FF" w:rsidR="00F2666A" w:rsidRPr="00E70FD4" w:rsidRDefault="00F2666A">
      <w:pPr>
        <w:pStyle w:val="FootnoteText"/>
      </w:pPr>
      <w:r>
        <w:rPr>
          <w:rStyle w:val="FootnoteReference"/>
        </w:rPr>
        <w:footnoteRef/>
      </w:r>
      <w:r>
        <w:t xml:space="preserve"> Australian Automobile Association (2025) </w:t>
      </w:r>
      <w:r w:rsidRPr="00E70FD4">
        <w:rPr>
          <w:i/>
          <w:iCs/>
        </w:rPr>
        <w:t>Road deaths continue to climb</w:t>
      </w:r>
      <w:r>
        <w:t xml:space="preserve">. Accessed at: </w:t>
      </w:r>
      <w:hyperlink r:id="rId17" w:history="1">
        <w:r w:rsidRPr="00FF05F6">
          <w:rPr>
            <w:rStyle w:val="Hyperlink"/>
          </w:rPr>
          <w:t>https://www.aaa.asn.au/2025/09/road-deaths-continue-to-climb/</w:t>
        </w:r>
      </w:hyperlink>
      <w:r>
        <w:t xml:space="preserve"> </w:t>
      </w:r>
    </w:p>
  </w:footnote>
  <w:footnote w:id="39">
    <w:p w14:paraId="3A6388C6" w14:textId="7A4B64C8" w:rsidR="00F2666A" w:rsidRDefault="00F2666A" w:rsidP="00482FEC">
      <w:pPr>
        <w:pStyle w:val="FootnoteText"/>
      </w:pPr>
      <w:r>
        <w:rPr>
          <w:rStyle w:val="FootnoteReference"/>
        </w:rPr>
        <w:footnoteRef/>
      </w:r>
      <w:r>
        <w:t xml:space="preserve"> </w:t>
      </w:r>
      <w:r>
        <w:tab/>
        <w:t>Ibid.</w:t>
      </w:r>
    </w:p>
  </w:footnote>
  <w:footnote w:id="40">
    <w:p w14:paraId="1782F291" w14:textId="52AC7461" w:rsidR="00F2666A" w:rsidRDefault="00F2666A" w:rsidP="00482FEC">
      <w:pPr>
        <w:pStyle w:val="FootnoteText"/>
      </w:pPr>
      <w:r>
        <w:rPr>
          <w:rStyle w:val="FootnoteReference"/>
        </w:rPr>
        <w:footnoteRef/>
      </w:r>
      <w:r>
        <w:t xml:space="preserve"> </w:t>
      </w:r>
      <w:r>
        <w:tab/>
        <w:t>OECD 2018, Speed and Crash Risk</w:t>
      </w:r>
    </w:p>
  </w:footnote>
  <w:footnote w:id="41">
    <w:p w14:paraId="15A067F7" w14:textId="64FFF26A" w:rsidR="00F2666A" w:rsidRDefault="00F2666A" w:rsidP="00482FEC">
      <w:pPr>
        <w:pStyle w:val="FootnoteText"/>
      </w:pPr>
      <w:r>
        <w:rPr>
          <w:rStyle w:val="FootnoteReference"/>
        </w:rPr>
        <w:footnoteRef/>
      </w:r>
      <w:r>
        <w:t xml:space="preserve"> </w:t>
      </w:r>
      <w:r>
        <w:tab/>
      </w:r>
      <w:r w:rsidRPr="00FF5D1F">
        <w:t>Nilsson, G. (1982). Effects of speed limits on traffic accidents in Sweden.</w:t>
      </w:r>
    </w:p>
  </w:footnote>
  <w:footnote w:id="42">
    <w:p w14:paraId="45C1268D" w14:textId="249FC360" w:rsidR="00F2666A" w:rsidRDefault="00F2666A" w:rsidP="00482FEC">
      <w:pPr>
        <w:pStyle w:val="FootnoteText"/>
      </w:pPr>
      <w:r>
        <w:rPr>
          <w:rStyle w:val="FootnoteReference"/>
        </w:rPr>
        <w:footnoteRef/>
      </w:r>
      <w:r>
        <w:t xml:space="preserve"> </w:t>
      </w:r>
      <w:r>
        <w:tab/>
      </w:r>
      <w:r w:rsidRPr="00FF5D1F">
        <w:t>Elvik, R., Christensen, P., &amp; Helene Amundsen, A. (2004). Speed and road accidents: an evaluation of the power model. Transportøkonomisk Institutt.</w:t>
      </w:r>
    </w:p>
  </w:footnote>
  <w:footnote w:id="43">
    <w:p w14:paraId="1DF0D56D" w14:textId="51F44155" w:rsidR="00F2666A" w:rsidRDefault="00F2666A" w:rsidP="00482FEC">
      <w:pPr>
        <w:pStyle w:val="FootnoteText"/>
      </w:pPr>
      <w:r>
        <w:rPr>
          <w:rStyle w:val="FootnoteReference"/>
        </w:rPr>
        <w:footnoteRef/>
      </w:r>
      <w:r>
        <w:t xml:space="preserve"> </w:t>
      </w:r>
      <w:r>
        <w:tab/>
      </w:r>
      <w:hyperlink r:id="rId18" w:history="1">
        <w:r w:rsidRPr="00D068D7">
          <w:rPr>
            <w:rStyle w:val="Hyperlink"/>
          </w:rPr>
          <w:t>https://www.nrspp.org.au/resources/speed-and-crash-risk/</w:t>
        </w:r>
      </w:hyperlink>
      <w:r>
        <w:t xml:space="preserve"> </w:t>
      </w:r>
    </w:p>
  </w:footnote>
  <w:footnote w:id="44">
    <w:p w14:paraId="3B388725" w14:textId="7713AB8F" w:rsidR="00F2666A" w:rsidRDefault="00F2666A" w:rsidP="00713B55">
      <w:pPr>
        <w:pStyle w:val="FootnoteText"/>
        <w:ind w:left="142" w:hanging="142"/>
      </w:pPr>
      <w:r>
        <w:rPr>
          <w:rStyle w:val="FootnoteReference"/>
        </w:rPr>
        <w:footnoteRef/>
      </w:r>
      <w:r>
        <w:t xml:space="preserve"> NHMRC 2001. </w:t>
      </w:r>
      <w:r w:rsidRPr="00C41215">
        <w:rPr>
          <w:i/>
          <w:iCs/>
        </w:rPr>
        <w:t>Reducing speed, improving safety: Case Study</w:t>
      </w:r>
    </w:p>
  </w:footnote>
  <w:footnote w:id="45">
    <w:p w14:paraId="21494739" w14:textId="48A99146" w:rsidR="00F2666A" w:rsidRDefault="00F2666A" w:rsidP="00713B55">
      <w:pPr>
        <w:pStyle w:val="FootnoteText"/>
        <w:ind w:left="142" w:hanging="142"/>
      </w:pPr>
      <w:r>
        <w:rPr>
          <w:rStyle w:val="FootnoteReference"/>
        </w:rPr>
        <w:footnoteRef/>
      </w:r>
      <w:r>
        <w:t xml:space="preserve"> National Health and Medical Research Council. (2021). Reducing speed, improving safety: Case Study. Retrieved from: </w:t>
      </w:r>
      <w:hyperlink r:id="rId19" w:history="1">
        <w:r w:rsidRPr="00833142">
          <w:rPr>
            <w:rStyle w:val="Hyperlink"/>
          </w:rPr>
          <w:t>https://www.nhmrc.gov.au/about-us/resources/impact-case-studies/reducing-speed-improving-safety</w:t>
        </w:r>
      </w:hyperlink>
      <w:r>
        <w:t xml:space="preserve">.  </w:t>
      </w:r>
    </w:p>
  </w:footnote>
  <w:footnote w:id="46">
    <w:p w14:paraId="02A57A66" w14:textId="2C36FBE1" w:rsidR="00F2666A" w:rsidRDefault="00F2666A" w:rsidP="00713B55">
      <w:pPr>
        <w:pStyle w:val="FootnoteText"/>
        <w:ind w:left="142" w:hanging="142"/>
      </w:pPr>
      <w:r>
        <w:rPr>
          <w:rStyle w:val="FootnoteReference"/>
        </w:rPr>
        <w:footnoteRef/>
      </w:r>
      <w:r>
        <w:t xml:space="preserve"> Transport for Wales (2025). </w:t>
      </w:r>
      <w:r w:rsidRPr="007A224C">
        <w:rPr>
          <w:i/>
          <w:iCs/>
        </w:rPr>
        <w:t>Default 20mph speed limit on restricted roads | National monitoring report (July 2025).</w:t>
      </w:r>
      <w:r>
        <w:t xml:space="preserve"> Retrieved from: </w:t>
      </w:r>
      <w:hyperlink r:id="rId20" w:history="1">
        <w:r w:rsidRPr="0056131E">
          <w:rPr>
            <w:rStyle w:val="Hyperlink"/>
          </w:rPr>
          <w:t>https://tfw.wales/national-monitoring-report-july-2025</w:t>
        </w:r>
      </w:hyperlink>
      <w:r>
        <w:t xml:space="preserve">. </w:t>
      </w:r>
    </w:p>
  </w:footnote>
  <w:footnote w:id="47">
    <w:p w14:paraId="21555A5F" w14:textId="5DA53EBC" w:rsidR="00F2666A" w:rsidRDefault="00F2666A" w:rsidP="00713B55">
      <w:pPr>
        <w:pStyle w:val="FootnoteText"/>
        <w:ind w:left="142" w:hanging="142"/>
      </w:pPr>
      <w:r>
        <w:rPr>
          <w:rStyle w:val="FootnoteReference"/>
        </w:rPr>
        <w:footnoteRef/>
      </w:r>
      <w:r>
        <w:t xml:space="preserve"> </w:t>
      </w:r>
      <w:r w:rsidRPr="00D0088C">
        <w:t>Yannis, G., &amp; Michelaraki, E. (2024). Review of city-wide 30</w:t>
      </w:r>
      <w:r>
        <w:t xml:space="preserve"> km/h</w:t>
      </w:r>
      <w:r w:rsidRPr="00D0088C">
        <w:t xml:space="preserve"> speed limit benefits in Europe. </w:t>
      </w:r>
      <w:r w:rsidRPr="00D0088C">
        <w:rPr>
          <w:i/>
          <w:iCs/>
        </w:rPr>
        <w:t>Sustainability</w:t>
      </w:r>
      <w:r w:rsidRPr="00D0088C">
        <w:t>, </w:t>
      </w:r>
      <w:r w:rsidRPr="00D0088C">
        <w:rPr>
          <w:i/>
          <w:iCs/>
        </w:rPr>
        <w:t>16</w:t>
      </w:r>
      <w:r w:rsidRPr="00D0088C">
        <w:t>(11), 4382.</w:t>
      </w:r>
    </w:p>
  </w:footnote>
  <w:footnote w:id="48">
    <w:p w14:paraId="306055B5" w14:textId="7E12223C" w:rsidR="00F2666A" w:rsidRDefault="00F2666A" w:rsidP="00713B55">
      <w:pPr>
        <w:pStyle w:val="FootnoteText"/>
        <w:ind w:left="142" w:hanging="142"/>
      </w:pPr>
      <w:r>
        <w:rPr>
          <w:rStyle w:val="FootnoteReference"/>
        </w:rPr>
        <w:footnoteRef/>
      </w:r>
      <w:r>
        <w:t xml:space="preserve"> </w:t>
      </w:r>
      <w:r w:rsidRPr="001D5820">
        <w:t>Vadeby, A., &amp; Forsman, Å. (2018). Traffic safety effects of new speed limits in Sweden. </w:t>
      </w:r>
      <w:r w:rsidRPr="001D5820">
        <w:rPr>
          <w:i/>
          <w:iCs/>
        </w:rPr>
        <w:t>Accident Analysis &amp; Prevention</w:t>
      </w:r>
      <w:r w:rsidRPr="001D5820">
        <w:t>, </w:t>
      </w:r>
      <w:r w:rsidRPr="001D5820">
        <w:rPr>
          <w:i/>
          <w:iCs/>
        </w:rPr>
        <w:t>114</w:t>
      </w:r>
      <w:r w:rsidRPr="001D5820">
        <w:t>, 34-39.</w:t>
      </w:r>
    </w:p>
  </w:footnote>
  <w:footnote w:id="49">
    <w:p w14:paraId="5B0EEF51" w14:textId="5A85C82D" w:rsidR="00F2666A" w:rsidRDefault="00F2666A" w:rsidP="00713B55">
      <w:pPr>
        <w:pStyle w:val="FootnoteText"/>
        <w:ind w:left="142" w:hanging="142"/>
      </w:pPr>
      <w:r>
        <w:rPr>
          <w:rStyle w:val="FootnoteReference"/>
        </w:rPr>
        <w:footnoteRef/>
      </w:r>
      <w:r>
        <w:t xml:space="preserve"> Irish Road Safety Authority. (2025). Rural Speed Limit sign means drive 60 km/h or slower. Retrieved from: </w:t>
      </w:r>
      <w:hyperlink r:id="rId21" w:history="1">
        <w:r w:rsidRPr="00833142">
          <w:rPr>
            <w:rStyle w:val="Hyperlink"/>
          </w:rPr>
          <w:t>https://www.rsa.ie/road-safety/campaigns/rural-speed-limit</w:t>
        </w:r>
      </w:hyperlink>
      <w:r>
        <w:t xml:space="preserve">. </w:t>
      </w:r>
    </w:p>
  </w:footnote>
  <w:footnote w:id="50">
    <w:p w14:paraId="5D239225" w14:textId="3BF85F3D" w:rsidR="00F2666A" w:rsidRDefault="00F2666A" w:rsidP="00713B55">
      <w:pPr>
        <w:pStyle w:val="FootnoteText"/>
        <w:ind w:left="142" w:hanging="142"/>
      </w:pPr>
      <w:r>
        <w:rPr>
          <w:rStyle w:val="FootnoteReference"/>
        </w:rPr>
        <w:footnoteRef/>
      </w:r>
      <w:r>
        <w:t xml:space="preserve"> </w:t>
      </w:r>
      <w:r w:rsidRPr="00ED44F7">
        <w:t>Love, S., Rowland, B., &amp; Davey, J. (2023). Exactly how dangerous is drink driving? An examination of vehicle crash data to identify the comparative risks of alcohol-related crashes. </w:t>
      </w:r>
      <w:r w:rsidRPr="00ED44F7">
        <w:rPr>
          <w:i/>
          <w:iCs/>
        </w:rPr>
        <w:t>Crime Prevention and Community Safety</w:t>
      </w:r>
      <w:r w:rsidRPr="00ED44F7">
        <w:t>, </w:t>
      </w:r>
      <w:r w:rsidRPr="00ED44F7">
        <w:rPr>
          <w:i/>
          <w:iCs/>
        </w:rPr>
        <w:t>25</w:t>
      </w:r>
      <w:r w:rsidRPr="00ED44F7">
        <w:t>(2), 131-147.</w:t>
      </w:r>
    </w:p>
  </w:footnote>
  <w:footnote w:id="51">
    <w:p w14:paraId="04AC84FC" w14:textId="1B60DBFE" w:rsidR="00F2666A" w:rsidRPr="002B3F9F" w:rsidRDefault="00F2666A" w:rsidP="002B3F9F">
      <w:pPr>
        <w:pStyle w:val="FootnoteText"/>
        <w:rPr>
          <w:lang w:val="en-US"/>
        </w:rPr>
      </w:pPr>
      <w:r>
        <w:rPr>
          <w:rStyle w:val="FootnoteReference"/>
        </w:rPr>
        <w:footnoteRef/>
      </w:r>
      <w:r>
        <w:t xml:space="preserve"> </w:t>
      </w:r>
      <w:r w:rsidRPr="002B3F9F">
        <w:t xml:space="preserve">Australian Department of Infrastructure, Transport, Regional Development, Communications, Sports and the Arts. (2025). Police enforcement. Retrieved from:  </w:t>
      </w:r>
      <w:hyperlink r:id="rId22" w:anchor="anchor-download-data-" w:history="1">
        <w:r w:rsidRPr="00FA2E71">
          <w:rPr>
            <w:rStyle w:val="Hyperlink"/>
          </w:rPr>
          <w:t>https://datahub.roadsafety.gov.au/safe-systems/safe-road-use/police-enforcement#anchor-download-data-</w:t>
        </w:r>
      </w:hyperlink>
    </w:p>
  </w:footnote>
  <w:footnote w:id="52">
    <w:p w14:paraId="0DF19B4C" w14:textId="3FC55EAE" w:rsidR="00F2666A" w:rsidRDefault="00F2666A" w:rsidP="00713B55">
      <w:pPr>
        <w:pStyle w:val="FootnoteText"/>
        <w:ind w:left="142" w:hanging="142"/>
      </w:pPr>
      <w:r>
        <w:rPr>
          <w:rStyle w:val="FootnoteReference"/>
        </w:rPr>
        <w:footnoteRef/>
      </w:r>
      <w:r>
        <w:t xml:space="preserve"> Australian Department of Infrastructure, Transport, Regional Development, Communications, Sport and the Arts. (2024). </w:t>
      </w:r>
      <w:r w:rsidRPr="00E45857">
        <w:rPr>
          <w:i/>
          <w:iCs/>
        </w:rPr>
        <w:t>Police enforcement.</w:t>
      </w:r>
      <w:r>
        <w:t xml:space="preserve"> Retrieved from: </w:t>
      </w:r>
      <w:hyperlink r:id="rId23" w:anchor="anchor-risky-road-behaviour" w:history="1">
        <w:r w:rsidRPr="003C458D">
          <w:rPr>
            <w:rStyle w:val="Hyperlink"/>
          </w:rPr>
          <w:t>https://datahub.roadsafety.gov.au/safe-systems/safe-road-use/police-enforcement#anchor-risky-road-behaviour</w:t>
        </w:r>
      </w:hyperlink>
      <w:r>
        <w:t xml:space="preserve">. </w:t>
      </w:r>
    </w:p>
  </w:footnote>
  <w:footnote w:id="53">
    <w:p w14:paraId="08DF7441" w14:textId="6E8DC7AF" w:rsidR="00F2666A" w:rsidRDefault="00F2666A" w:rsidP="00713B55">
      <w:pPr>
        <w:pStyle w:val="FootnoteText"/>
        <w:ind w:left="142" w:hanging="142"/>
      </w:pPr>
      <w:r>
        <w:rPr>
          <w:rStyle w:val="FootnoteReference"/>
        </w:rPr>
        <w:footnoteRef/>
      </w:r>
      <w:r>
        <w:t xml:space="preserve"> </w:t>
      </w:r>
      <w:r w:rsidRPr="0049509B">
        <w:t>Freeman, J., Parkes, A., Armstrong, K., &amp; Davey, J. (2021). Characteristics of fatal road traffic crashes associated with alcohol and illicit substances in Queensland (2011-2015). </w:t>
      </w:r>
      <w:r w:rsidRPr="0049509B">
        <w:rPr>
          <w:i/>
          <w:iCs/>
        </w:rPr>
        <w:t>Journal of road safety</w:t>
      </w:r>
      <w:r w:rsidRPr="0049509B">
        <w:t>, </w:t>
      </w:r>
      <w:r w:rsidRPr="0049509B">
        <w:rPr>
          <w:i/>
          <w:iCs/>
        </w:rPr>
        <w:t>32</w:t>
      </w:r>
      <w:r w:rsidRPr="0049509B">
        <w:t>(3), 4-14.</w:t>
      </w:r>
    </w:p>
  </w:footnote>
  <w:footnote w:id="54">
    <w:p w14:paraId="7F7B8A39" w14:textId="01089202" w:rsidR="00F2666A" w:rsidRDefault="00F2666A" w:rsidP="00713B55">
      <w:pPr>
        <w:pStyle w:val="FootnoteText"/>
        <w:ind w:left="142" w:hanging="142"/>
      </w:pPr>
      <w:r>
        <w:rPr>
          <w:rStyle w:val="FootnoteReference"/>
        </w:rPr>
        <w:footnoteRef/>
      </w:r>
      <w:r>
        <w:t xml:space="preserve"> </w:t>
      </w:r>
      <w:r w:rsidRPr="00ED44F7">
        <w:t>Love, S., Rowland, B., &amp; Davey, J. (2023). Exactly how dangerous is drink driving? An examination of vehicle crash data to identify the comparative risks of alcohol-related crashes. </w:t>
      </w:r>
      <w:r w:rsidRPr="00ED44F7">
        <w:rPr>
          <w:i/>
          <w:iCs/>
        </w:rPr>
        <w:t>Crime Prevention and Community Safety</w:t>
      </w:r>
      <w:r w:rsidRPr="00ED44F7">
        <w:t>, </w:t>
      </w:r>
      <w:r w:rsidRPr="00ED44F7">
        <w:rPr>
          <w:i/>
          <w:iCs/>
        </w:rPr>
        <w:t>25</w:t>
      </w:r>
      <w:r w:rsidRPr="00ED44F7">
        <w:t>(2), 131-147.</w:t>
      </w:r>
    </w:p>
  </w:footnote>
  <w:footnote w:id="55">
    <w:p w14:paraId="63F9C71F" w14:textId="77777777" w:rsidR="00F2666A" w:rsidRDefault="00F2666A" w:rsidP="00713B55">
      <w:pPr>
        <w:pStyle w:val="FootnoteText"/>
        <w:ind w:left="142" w:hanging="142"/>
      </w:pPr>
      <w:r>
        <w:rPr>
          <w:rStyle w:val="FootnoteReference"/>
        </w:rPr>
        <w:footnoteRef/>
      </w:r>
      <w:r>
        <w:t xml:space="preserve"> Transport Accident Commission (n.d.). Tired Driving. Retrieved from: </w:t>
      </w:r>
      <w:hyperlink r:id="rId24" w:history="1">
        <w:r w:rsidRPr="00E57F0D">
          <w:rPr>
            <w:rStyle w:val="Hyperlink"/>
          </w:rPr>
          <w:t>https://www.tac.vic.gov.au/road-safety/staying-safe/tired-driving</w:t>
        </w:r>
      </w:hyperlink>
      <w:r>
        <w:t xml:space="preserve">. </w:t>
      </w:r>
    </w:p>
  </w:footnote>
  <w:footnote w:id="56">
    <w:p w14:paraId="0058E5AE" w14:textId="77777777" w:rsidR="00F2666A" w:rsidRDefault="00F2666A" w:rsidP="00713B55">
      <w:pPr>
        <w:pStyle w:val="FootnoteText"/>
        <w:ind w:left="142" w:hanging="142"/>
      </w:pPr>
      <w:r>
        <w:rPr>
          <w:rStyle w:val="FootnoteReference"/>
        </w:rPr>
        <w:footnoteRef/>
      </w:r>
      <w:r>
        <w:t xml:space="preserve"> </w:t>
      </w:r>
      <w:r w:rsidRPr="00DA3F72">
        <w:t>Filtness, A. J., Armstrong, K. A., Watson, A., &amp; Smith, S. S. (2017). Sleep-related crash characteristics: Implications for applying a fatigue definition to crash reports. </w:t>
      </w:r>
      <w:r w:rsidRPr="00DA3F72">
        <w:rPr>
          <w:i/>
          <w:iCs/>
        </w:rPr>
        <w:t>Accident Analysis &amp; Prevention</w:t>
      </w:r>
      <w:r w:rsidRPr="00DA3F72">
        <w:t>, </w:t>
      </w:r>
      <w:r w:rsidRPr="00DA3F72">
        <w:rPr>
          <w:i/>
          <w:iCs/>
        </w:rPr>
        <w:t>99</w:t>
      </w:r>
      <w:r w:rsidRPr="00DA3F72">
        <w:t>, 440-444.</w:t>
      </w:r>
    </w:p>
  </w:footnote>
  <w:footnote w:id="57">
    <w:p w14:paraId="628B7443" w14:textId="08703063" w:rsidR="00F2666A" w:rsidRDefault="00F2666A" w:rsidP="00713B55">
      <w:pPr>
        <w:pStyle w:val="FootnoteText"/>
        <w:ind w:left="142" w:hanging="142"/>
      </w:pPr>
      <w:r>
        <w:rPr>
          <w:rStyle w:val="FootnoteReference"/>
        </w:rPr>
        <w:footnoteRef/>
      </w:r>
      <w:r>
        <w:t xml:space="preserve"> The pooled odds ratio refers to the</w:t>
      </w:r>
      <w:r w:rsidRPr="00713B55">
        <w:t xml:space="preserve"> odds of the outcome occurring among cases compared to the controls</w:t>
      </w:r>
    </w:p>
  </w:footnote>
  <w:footnote w:id="58">
    <w:p w14:paraId="6D6FE986" w14:textId="77777777" w:rsidR="00F2666A" w:rsidRDefault="00F2666A" w:rsidP="00713B55">
      <w:pPr>
        <w:pStyle w:val="FootnoteText"/>
        <w:ind w:left="142" w:hanging="142"/>
      </w:pPr>
      <w:r>
        <w:rPr>
          <w:rStyle w:val="FootnoteReference"/>
        </w:rPr>
        <w:footnoteRef/>
      </w:r>
      <w:r>
        <w:t xml:space="preserve"> </w:t>
      </w:r>
      <w:r w:rsidRPr="009372D6">
        <w:t>Moradi, A., Nazari, S. S. H., &amp; Rahmani, K. (2019). Sleepiness and the risk of road traffic accidents: A systematic review and meta-analysis of previous studies. </w:t>
      </w:r>
      <w:r w:rsidRPr="009372D6">
        <w:rPr>
          <w:i/>
          <w:iCs/>
        </w:rPr>
        <w:t>Transportation research part F: traffic psychology and behaviour</w:t>
      </w:r>
      <w:r w:rsidRPr="009372D6">
        <w:t>, </w:t>
      </w:r>
      <w:r w:rsidRPr="009372D6">
        <w:rPr>
          <w:i/>
          <w:iCs/>
        </w:rPr>
        <w:t>65</w:t>
      </w:r>
      <w:r w:rsidRPr="009372D6">
        <w:t>, 620-629.</w:t>
      </w:r>
    </w:p>
  </w:footnote>
  <w:footnote w:id="59">
    <w:p w14:paraId="795EA50D" w14:textId="77777777" w:rsidR="00F2666A" w:rsidRDefault="00F2666A" w:rsidP="00713B55">
      <w:pPr>
        <w:pStyle w:val="FootnoteText"/>
        <w:ind w:left="142" w:hanging="142"/>
      </w:pPr>
      <w:r>
        <w:rPr>
          <w:rStyle w:val="FootnoteReference"/>
        </w:rPr>
        <w:footnoteRef/>
      </w:r>
      <w:r>
        <w:t xml:space="preserve"> Transport Accident Commission (n.d.). Tired Driving. Retrieved from: </w:t>
      </w:r>
      <w:hyperlink r:id="rId25" w:history="1">
        <w:r w:rsidRPr="00E57F0D">
          <w:rPr>
            <w:rStyle w:val="Hyperlink"/>
          </w:rPr>
          <w:t>https://www.tac.vic.gov.au/road-safety/staying-safe/tired-driving</w:t>
        </w:r>
      </w:hyperlink>
      <w:r>
        <w:t>.</w:t>
      </w:r>
    </w:p>
  </w:footnote>
  <w:footnote w:id="60">
    <w:p w14:paraId="3EEED730" w14:textId="77777777" w:rsidR="00F2666A" w:rsidRDefault="00F2666A" w:rsidP="00713B55">
      <w:pPr>
        <w:pStyle w:val="FootnoteText"/>
        <w:ind w:left="142" w:hanging="142"/>
      </w:pPr>
      <w:r>
        <w:rPr>
          <w:rStyle w:val="FootnoteReference"/>
        </w:rPr>
        <w:footnoteRef/>
      </w:r>
      <w:r>
        <w:t xml:space="preserve"> Monash University. (2021). Fatigue test trial for drowsy drivers. Retrieved from: </w:t>
      </w:r>
      <w:r w:rsidRPr="00DA79D7">
        <w:t>https://www.monash.edu/news/articles/fatigue-test-trial-for-drowsy-drivers</w:t>
      </w:r>
      <w:r>
        <w:t xml:space="preserve"> .</w:t>
      </w:r>
    </w:p>
  </w:footnote>
  <w:footnote w:id="61">
    <w:p w14:paraId="6BC222D4" w14:textId="77777777" w:rsidR="00F2666A" w:rsidRDefault="00F2666A" w:rsidP="00713B55">
      <w:pPr>
        <w:pStyle w:val="FootnoteText"/>
        <w:ind w:left="142" w:hanging="142"/>
      </w:pPr>
      <w:r>
        <w:rPr>
          <w:rStyle w:val="FootnoteReference"/>
        </w:rPr>
        <w:footnoteRef/>
      </w:r>
      <w:r>
        <w:t xml:space="preserve"> </w:t>
      </w:r>
      <w:r w:rsidRPr="00751340">
        <w:t>Filtness, A. J., Armstrong, K. A., Watson, A., &amp; Smith, S. S. (2017). Sleep-related vehicle crashes on low speed roads. </w:t>
      </w:r>
      <w:r w:rsidRPr="00751340">
        <w:rPr>
          <w:i/>
          <w:iCs/>
        </w:rPr>
        <w:t>Accident Analysis &amp; Prevention</w:t>
      </w:r>
      <w:r w:rsidRPr="00751340">
        <w:t>, </w:t>
      </w:r>
      <w:r w:rsidRPr="00751340">
        <w:rPr>
          <w:i/>
          <w:iCs/>
        </w:rPr>
        <w:t>99</w:t>
      </w:r>
      <w:r w:rsidRPr="00751340">
        <w:t>, 279-286.</w:t>
      </w:r>
    </w:p>
  </w:footnote>
  <w:footnote w:id="62">
    <w:p w14:paraId="6278B4A5" w14:textId="3E4C5FDE" w:rsidR="00F2666A" w:rsidRDefault="00F2666A" w:rsidP="00482FEC">
      <w:pPr>
        <w:pStyle w:val="FootnoteText"/>
      </w:pPr>
      <w:r>
        <w:rPr>
          <w:rStyle w:val="FootnoteReference"/>
        </w:rPr>
        <w:footnoteRef/>
      </w:r>
      <w:r>
        <w:tab/>
        <w:t xml:space="preserve"> Ibid.</w:t>
      </w:r>
    </w:p>
  </w:footnote>
  <w:footnote w:id="63">
    <w:p w14:paraId="4BB70F62" w14:textId="5AE1A804" w:rsidR="00F2666A" w:rsidRDefault="00F2666A" w:rsidP="00482FEC">
      <w:pPr>
        <w:pStyle w:val="FootnoteText"/>
      </w:pPr>
      <w:r>
        <w:rPr>
          <w:rStyle w:val="FootnoteReference"/>
        </w:rPr>
        <w:footnoteRef/>
      </w:r>
      <w:r>
        <w:tab/>
        <w:t xml:space="preserve"> Ibid.</w:t>
      </w:r>
    </w:p>
  </w:footnote>
  <w:footnote w:id="64">
    <w:p w14:paraId="48D5FC97" w14:textId="2B2931F0" w:rsidR="00F2666A" w:rsidRDefault="00F2666A" w:rsidP="00482FEC">
      <w:pPr>
        <w:pStyle w:val="FootnoteText"/>
      </w:pPr>
      <w:r>
        <w:rPr>
          <w:rStyle w:val="FootnoteReference"/>
        </w:rPr>
        <w:footnoteRef/>
      </w:r>
      <w:r>
        <w:t xml:space="preserve"> </w:t>
      </w:r>
      <w:r>
        <w:tab/>
        <w:t xml:space="preserve">Mairean, C. &amp; Havarneanu, C.E. (2018). The relationship between drivers’ illusion of superiority, aggressive driving, and self-reported risky driving behaviours. Transportation Research Part F: Traffic Psychology and Behaviour, 55, 167-174. </w:t>
      </w:r>
      <w:hyperlink r:id="rId26" w:tgtFrame="_blank" w:tooltip="Persistent link using digital object identifier" w:history="1">
        <w:r w:rsidRPr="00537EC8">
          <w:rPr>
            <w:rStyle w:val="Hyperlink"/>
          </w:rPr>
          <w:t>https://doi.org/10.1016/j.trf.2018.02.037</w:t>
        </w:r>
      </w:hyperlink>
    </w:p>
  </w:footnote>
  <w:footnote w:id="65">
    <w:p w14:paraId="54480C77" w14:textId="62A29B36" w:rsidR="00F2666A" w:rsidRDefault="00F2666A" w:rsidP="00482FEC">
      <w:pPr>
        <w:pStyle w:val="FootnoteText"/>
      </w:pPr>
      <w:r>
        <w:rPr>
          <w:rStyle w:val="FootnoteReference"/>
        </w:rPr>
        <w:footnoteRef/>
      </w:r>
      <w:r>
        <w:t xml:space="preserve"> </w:t>
      </w:r>
      <w:r>
        <w:tab/>
        <w:t xml:space="preserve">Association for Psychological Science. (2014). When it comes to driving, most people think their skills are above average. </w:t>
      </w:r>
      <w:hyperlink r:id="rId27" w:history="1">
        <w:r w:rsidRPr="00D068D7">
          <w:rPr>
            <w:rStyle w:val="Hyperlink"/>
          </w:rPr>
          <w:t>https://www.psychologicalscience.org/news/motr/when-it-comes-to-driving-most-people-think-their-skills-are-above-average.html#:~:text=If%20you%20ask%20someone%20to,make%20them%20a%20bad%20driver.%E2%80%9D</w:t>
        </w:r>
      </w:hyperlink>
      <w:r>
        <w:t xml:space="preserve"> </w:t>
      </w:r>
    </w:p>
  </w:footnote>
  <w:footnote w:id="66">
    <w:p w14:paraId="6B130260" w14:textId="01122227" w:rsidR="00F2666A" w:rsidRDefault="00F2666A" w:rsidP="00482FEC">
      <w:pPr>
        <w:pStyle w:val="FootnoteText"/>
      </w:pPr>
      <w:r>
        <w:rPr>
          <w:rStyle w:val="FootnoteReference"/>
        </w:rPr>
        <w:footnoteRef/>
      </w:r>
      <w:r>
        <w:t xml:space="preserve"> </w:t>
      </w:r>
      <w:r>
        <w:tab/>
        <w:t xml:space="preserve">Gregersen N.P. (1996). Young drivers’ overestimation of their own skill – an experiment on the relation between training strategy and skill. Accident; Analysis and prevention, 28(2), 243-250. </w:t>
      </w:r>
      <w:hyperlink r:id="rId28" w:history="1">
        <w:r w:rsidRPr="00D068D7">
          <w:rPr>
            <w:rStyle w:val="Hyperlink"/>
          </w:rPr>
          <w:t>https://doi.org/10.1016/0001-4575(95)00066-6</w:t>
        </w:r>
      </w:hyperlink>
    </w:p>
  </w:footnote>
  <w:footnote w:id="67">
    <w:p w14:paraId="534F1236" w14:textId="0E981316" w:rsidR="00F2666A" w:rsidRDefault="00F2666A" w:rsidP="00482FEC">
      <w:pPr>
        <w:pStyle w:val="FootnoteText"/>
      </w:pPr>
      <w:r>
        <w:rPr>
          <w:rStyle w:val="FootnoteReference"/>
        </w:rPr>
        <w:footnoteRef/>
      </w:r>
      <w:r>
        <w:t xml:space="preserve"> </w:t>
      </w:r>
      <w:r>
        <w:tab/>
        <w:t xml:space="preserve">Ren, Y., Li, X., Tan, L., Zuo, S. (2010). Notice of Retraction: Research on the influence of information asymmetry on traffic safety on curved sections. 2010 IEEE International Conference on Emergency Management and Management Sciences, Beijing, China, 185-188. </w:t>
      </w:r>
      <w:r w:rsidRPr="006727B2">
        <w:t>doi: 10.1109/ICEMMS.2010.5563470.</w:t>
      </w:r>
    </w:p>
  </w:footnote>
  <w:footnote w:id="68">
    <w:p w14:paraId="1B7A8CD8" w14:textId="06EDB7D5" w:rsidR="00F2666A" w:rsidRDefault="00F2666A" w:rsidP="00482FEC">
      <w:pPr>
        <w:pStyle w:val="FootnoteText"/>
      </w:pPr>
      <w:r>
        <w:rPr>
          <w:rStyle w:val="FootnoteReference"/>
        </w:rPr>
        <w:footnoteRef/>
      </w:r>
      <w:r>
        <w:t xml:space="preserve"> </w:t>
      </w:r>
      <w:r>
        <w:tab/>
        <w:t xml:space="preserve">Armstrong, K. (n.d.) </w:t>
      </w:r>
      <w:r w:rsidRPr="003B08FD">
        <w:rPr>
          <w:i/>
          <w:iCs/>
        </w:rPr>
        <w:t>How do perceptions of risk associated with driving while fatigued and perceptions of effectiveness of countermeasures effect willingness to engage in fatigue reducing countermeasures?</w:t>
      </w:r>
      <w:r>
        <w:t xml:space="preserve"> </w:t>
      </w:r>
      <w:r w:rsidRPr="008A08FC">
        <w:t>1st International Conference on Human Factors in Transportation</w:t>
      </w:r>
      <w:r>
        <w:t xml:space="preserve">. Accessed at: </w:t>
      </w:r>
      <w:hyperlink r:id="rId29" w:history="1">
        <w:r w:rsidRPr="00E14658">
          <w:rPr>
            <w:rStyle w:val="Hyperlink"/>
          </w:rPr>
          <w:t>https://eprints.qut.edu.au/55106/1/Kerry_Armstrong_San_Fran_Presentation_V1.pdf</w:t>
        </w:r>
      </w:hyperlink>
      <w:r>
        <w:t xml:space="preserve"> </w:t>
      </w:r>
    </w:p>
  </w:footnote>
  <w:footnote w:id="69">
    <w:p w14:paraId="4779EB2C" w14:textId="743C838F" w:rsidR="00F2666A" w:rsidRDefault="00F2666A" w:rsidP="00482FEC">
      <w:pPr>
        <w:pStyle w:val="FootnoteText"/>
      </w:pPr>
      <w:r>
        <w:rPr>
          <w:rStyle w:val="FootnoteReference"/>
        </w:rPr>
        <w:footnoteRef/>
      </w:r>
      <w:r>
        <w:tab/>
        <w:t xml:space="preserve"> Ibid</w:t>
      </w:r>
    </w:p>
  </w:footnote>
  <w:footnote w:id="70">
    <w:p w14:paraId="2B3FD35F" w14:textId="70DD8779" w:rsidR="00F2666A" w:rsidRDefault="00F2666A" w:rsidP="00482FEC">
      <w:pPr>
        <w:pStyle w:val="FootnoteText"/>
      </w:pPr>
      <w:r>
        <w:rPr>
          <w:rStyle w:val="FootnoteReference"/>
        </w:rPr>
        <w:footnoteRef/>
      </w:r>
      <w:r>
        <w:tab/>
        <w:t xml:space="preserve"> Hatfield, J., Soames Job, R.F. (2006) </w:t>
      </w:r>
      <w:r w:rsidRPr="006D0C55">
        <w:t>Beliefs and Attitudes about Speeding and its Countermeasures</w:t>
      </w:r>
      <w:r>
        <w:t>.</w:t>
      </w:r>
    </w:p>
  </w:footnote>
  <w:footnote w:id="71">
    <w:p w14:paraId="0FB2FF19" w14:textId="6182151B" w:rsidR="00F2666A" w:rsidRPr="00FA01E0" w:rsidRDefault="00F2666A">
      <w:pPr>
        <w:pStyle w:val="FootnoteText"/>
        <w:rPr>
          <w:i/>
          <w:iCs/>
        </w:rPr>
      </w:pPr>
      <w:r>
        <w:rPr>
          <w:rStyle w:val="FootnoteReference"/>
        </w:rPr>
        <w:footnoteRef/>
      </w:r>
      <w:r>
        <w:t xml:space="preserve"> </w:t>
      </w:r>
      <w:r>
        <w:tab/>
        <w:t xml:space="preserve"> Austoads 2021, </w:t>
      </w:r>
      <w:r>
        <w:rPr>
          <w:i/>
          <w:iCs/>
        </w:rPr>
        <w:t>Guide to Road Safety.</w:t>
      </w:r>
    </w:p>
  </w:footnote>
  <w:footnote w:id="72">
    <w:p w14:paraId="054FDFBD" w14:textId="19A7669F" w:rsidR="00F2666A" w:rsidRDefault="00F2666A">
      <w:pPr>
        <w:pStyle w:val="FootnoteText"/>
      </w:pPr>
      <w:r>
        <w:rPr>
          <w:rStyle w:val="FootnoteReference"/>
        </w:rPr>
        <w:footnoteRef/>
      </w:r>
      <w:r>
        <w:t xml:space="preserve"> </w:t>
      </w:r>
      <w:r w:rsidRPr="00BB3FB3">
        <w:tab/>
        <w:t>OECD</w:t>
      </w:r>
      <w:r>
        <w:t xml:space="preserve"> (</w:t>
      </w:r>
      <w:r w:rsidRPr="00BB3FB3">
        <w:t>2008</w:t>
      </w:r>
      <w:r>
        <w:t>)</w:t>
      </w:r>
      <w:r w:rsidRPr="00BB3FB3">
        <w:t>.</w:t>
      </w:r>
      <w:r>
        <w:t xml:space="preserve"> </w:t>
      </w:r>
      <w:r w:rsidRPr="00BB3FB3">
        <w:t xml:space="preserve">Figure 4, p. 19 </w:t>
      </w:r>
      <w:r w:rsidRPr="00FC7ABC">
        <w:rPr>
          <w:i/>
          <w:iCs/>
        </w:rPr>
        <w:t>Towards Zero: Ambitious Road Safety Targets and the Safe System Approach</w:t>
      </w:r>
      <w:r w:rsidRPr="00BB3FB3">
        <w:t xml:space="preserve">. Transport Research Centre, International Transport Forum. </w:t>
      </w:r>
    </w:p>
  </w:footnote>
  <w:footnote w:id="73">
    <w:p w14:paraId="1C4446A9" w14:textId="680EC5A0" w:rsidR="00F2666A" w:rsidRPr="0038642E" w:rsidRDefault="00F2666A" w:rsidP="00DF7732">
      <w:pPr>
        <w:pStyle w:val="FootnoteText"/>
        <w:rPr>
          <w:lang w:val="en-US"/>
        </w:rPr>
      </w:pPr>
      <w:r>
        <w:rPr>
          <w:rStyle w:val="FootnoteReference"/>
        </w:rPr>
        <w:footnoteRef/>
      </w:r>
      <w:r>
        <w:t xml:space="preserve"> </w:t>
      </w:r>
      <w:r>
        <w:tab/>
        <w:t xml:space="preserve">Commonwealth of Australia, Department of the Prime Minister and Cabinet 2021, </w:t>
      </w:r>
      <w:r w:rsidRPr="0038642E">
        <w:rPr>
          <w:i/>
          <w:iCs/>
        </w:rPr>
        <w:t>Regulatory Impact Analysis Guide for Ministers’ Meetings and National Standard Setting Bodies</w:t>
      </w:r>
      <w:r>
        <w:t>, May.</w:t>
      </w:r>
    </w:p>
  </w:footnote>
  <w:footnote w:id="74">
    <w:p w14:paraId="79FCACE2" w14:textId="77777777" w:rsidR="00F2666A" w:rsidRPr="00C83CB6" w:rsidRDefault="00F2666A" w:rsidP="00AC0CFA">
      <w:pPr>
        <w:pStyle w:val="FootnoteText"/>
        <w:rPr>
          <w:lang w:val="en-US"/>
        </w:rPr>
      </w:pPr>
      <w:r w:rsidRPr="009A6930">
        <w:rPr>
          <w:rStyle w:val="FootnoteReference"/>
        </w:rPr>
        <w:footnoteRef/>
      </w:r>
      <w:r w:rsidRPr="009A6930">
        <w:t xml:space="preserve"> </w:t>
      </w:r>
      <w:bookmarkStart w:id="247" w:name="_Hlk51261976"/>
      <w:r w:rsidRPr="009A6930">
        <w:t xml:space="preserve">Department of the Prime Minister and Cabinet 2020, </w:t>
      </w:r>
      <w:r w:rsidRPr="009A6930">
        <w:rPr>
          <w:i/>
          <w:iCs/>
        </w:rPr>
        <w:t>The Australian Government Guide to Regulatory Impact Analysis</w:t>
      </w:r>
      <w:r w:rsidRPr="009A6930">
        <w:t xml:space="preserve">, </w:t>
      </w:r>
      <w:hyperlink r:id="rId30" w:history="1">
        <w:r w:rsidRPr="009A6930">
          <w:rPr>
            <w:rStyle w:val="Hyperlink"/>
          </w:rPr>
          <w:t>https://www.pmc.gov.au/sites/default/files/publications/australian-government-guide-to-regulatory-impact-analysis.pdf</w:t>
        </w:r>
      </w:hyperlink>
      <w:r w:rsidRPr="009A6930">
        <w:t xml:space="preserve">, accessed </w:t>
      </w:r>
      <w:r>
        <w:t>17 September 2020</w:t>
      </w:r>
      <w:bookmarkEnd w:id="247"/>
      <w:r>
        <w:t>, P. 30.</w:t>
      </w:r>
    </w:p>
  </w:footnote>
  <w:footnote w:id="75">
    <w:p w14:paraId="6D814146" w14:textId="06D26DF2" w:rsidR="00F2666A" w:rsidRPr="00F008EB" w:rsidRDefault="00F2666A" w:rsidP="00AC0CFA">
      <w:pPr>
        <w:pStyle w:val="FootnoteText"/>
        <w:rPr>
          <w:lang w:val="en-US"/>
        </w:rPr>
      </w:pPr>
      <w:r>
        <w:rPr>
          <w:rStyle w:val="FootnoteReference"/>
        </w:rPr>
        <w:footnoteRef/>
      </w:r>
      <w:r>
        <w:t xml:space="preserve"> </w:t>
      </w:r>
      <w:r w:rsidRPr="00F008EB">
        <w:t xml:space="preserve">Australian Government 2007, </w:t>
      </w:r>
      <w:r w:rsidRPr="00F008EB">
        <w:rPr>
          <w:i/>
          <w:iCs/>
        </w:rPr>
        <w:t>Best Practice Regulation Handbook</w:t>
      </w:r>
      <w:r w:rsidRPr="00F008EB">
        <w:t xml:space="preserve">, Canberra, </w:t>
      </w:r>
      <w:hyperlink r:id="rId31" w:history="1">
        <w:r w:rsidR="00005155" w:rsidRPr="00D068D7">
          <w:rPr>
            <w:rStyle w:val="Hyperlink"/>
          </w:rPr>
          <w:t>http://regulationbodyofknowledge.org/wp-content/uploads/2013/03/AustralianGovernment_Best_Practice_Regulation.pdf</w:t>
        </w:r>
      </w:hyperlink>
      <w:r w:rsidR="00005155">
        <w:t xml:space="preserve">, </w:t>
      </w:r>
      <w:r w:rsidRPr="00F008EB">
        <w:t>accessed 17 September 2020.</w:t>
      </w:r>
    </w:p>
  </w:footnote>
  <w:footnote w:id="76">
    <w:p w14:paraId="44F44A95" w14:textId="77777777" w:rsidR="00F2666A" w:rsidRPr="001A69BC" w:rsidRDefault="00F2666A" w:rsidP="00DE0321">
      <w:pPr>
        <w:pStyle w:val="FootnoteText"/>
      </w:pPr>
      <w:r>
        <w:rPr>
          <w:rStyle w:val="FootnoteReference"/>
        </w:rPr>
        <w:footnoteRef/>
      </w:r>
      <w:r>
        <w:t xml:space="preserve"> Office of Impact Analysis, </w:t>
      </w:r>
      <w:r>
        <w:rPr>
          <w:i/>
          <w:iCs/>
        </w:rPr>
        <w:t>Cost Benefit Analysis</w:t>
      </w:r>
      <w:r>
        <w:t xml:space="preserve">, 2023. Accessed at: </w:t>
      </w:r>
      <w:hyperlink r:id="rId32" w:history="1">
        <w:r w:rsidRPr="005F21F5">
          <w:rPr>
            <w:rStyle w:val="Hyperlink"/>
          </w:rPr>
          <w:t>https://oia.pmc.gov.au/sites/default/files/2023-08/cost-benefit-analysis.pdf</w:t>
        </w:r>
      </w:hyperlink>
      <w:r>
        <w:t xml:space="preserve"> </w:t>
      </w:r>
    </w:p>
  </w:footnote>
  <w:footnote w:id="77">
    <w:p w14:paraId="4DEA4513" w14:textId="77777777" w:rsidR="00F2666A" w:rsidRDefault="00F2666A" w:rsidP="00DE0321">
      <w:pPr>
        <w:pStyle w:val="FootnoteText"/>
      </w:pPr>
      <w:r>
        <w:rPr>
          <w:rStyle w:val="FootnoteReference"/>
        </w:rPr>
        <w:footnoteRef/>
      </w:r>
      <w:r>
        <w:t xml:space="preserve"> </w:t>
      </w:r>
      <w:r w:rsidRPr="005E6947">
        <w:t xml:space="preserve">Austroads, </w:t>
      </w:r>
      <w:r w:rsidRPr="005E6947">
        <w:rPr>
          <w:i/>
          <w:iCs/>
        </w:rPr>
        <w:t>Impact of Lower Speed Limits for Road Safety on Network Operations</w:t>
      </w:r>
      <w:r w:rsidRPr="005E6947">
        <w:t>, 2010.</w:t>
      </w:r>
      <w:r>
        <w:t xml:space="preserve"> Figure 3.2</w:t>
      </w:r>
    </w:p>
  </w:footnote>
  <w:footnote w:id="78">
    <w:p w14:paraId="5A957AAD" w14:textId="77777777" w:rsidR="00F2666A" w:rsidRDefault="00F2666A" w:rsidP="002A5496">
      <w:pPr>
        <w:spacing w:after="0"/>
        <w:rPr>
          <w:sz w:val="20"/>
          <w:szCs w:val="20"/>
        </w:rPr>
      </w:pPr>
      <w:r>
        <w:rPr>
          <w:vertAlign w:val="superscript"/>
        </w:rPr>
        <w:footnoteRef/>
      </w:r>
      <w:r>
        <w:rPr>
          <w:sz w:val="20"/>
          <w:szCs w:val="20"/>
        </w:rPr>
        <w:t xml:space="preserve"> Latin Hypercube is a method similar to Monte Carlo simulation that provides more robust outputs.</w:t>
      </w:r>
    </w:p>
  </w:footnote>
  <w:footnote w:id="79">
    <w:p w14:paraId="5B857E78" w14:textId="5AA69849" w:rsidR="00F2666A" w:rsidRPr="009E677D" w:rsidRDefault="00F2666A" w:rsidP="009E677D">
      <w:pPr>
        <w:pStyle w:val="FootnoteText"/>
        <w:ind w:left="142" w:hanging="142"/>
      </w:pPr>
      <w:r>
        <w:rPr>
          <w:rStyle w:val="FootnoteReference"/>
        </w:rPr>
        <w:footnoteRef/>
      </w:r>
      <w:r>
        <w:t xml:space="preserve"> BITRE (2022). Table 0.1 </w:t>
      </w:r>
      <w:r>
        <w:rPr>
          <w:i/>
          <w:iCs/>
        </w:rPr>
        <w:t>Social cost of road crashes</w:t>
      </w:r>
      <w:r>
        <w:t xml:space="preserve">. Accessed at: </w:t>
      </w:r>
      <w:hyperlink r:id="rId33" w:anchor=":~:text=There%20were%20an%20estimated%20965%2C700,compared%20to%20216%2C500%20in%202006" w:history="1">
        <w:r w:rsidRPr="0048484A">
          <w:rPr>
            <w:rStyle w:val="Hyperlink"/>
          </w:rPr>
          <w:t>https://www.bitre.gov.au/sites/default/files/documents/social-cost-of-road-crashes.pdf#:~:text=There%20were%20an%20estimated%20965%2C700,compared%20to%20216%2C500%20in%202006</w:t>
        </w:r>
      </w:hyperlink>
      <w:r>
        <w:t xml:space="preserve"> </w:t>
      </w:r>
    </w:p>
  </w:footnote>
  <w:footnote w:id="80">
    <w:p w14:paraId="52044E46" w14:textId="107ECEA7" w:rsidR="00F2666A" w:rsidRDefault="00F2666A">
      <w:pPr>
        <w:pStyle w:val="FootnoteText"/>
      </w:pPr>
      <w:r>
        <w:rPr>
          <w:rStyle w:val="FootnoteReference"/>
        </w:rPr>
        <w:footnoteRef/>
      </w:r>
      <w:r>
        <w:t xml:space="preserve"> </w:t>
      </w:r>
      <w:r w:rsidRPr="002134EA">
        <w:t>Department of Infrastructure, Transport, Regional Development, Communications and the Arts (2024). Cleaner, Cheaper to Run Cars: The Australian New Vehicle Efficiency Standard: Consultation Impact Analysis</w:t>
      </w:r>
      <w:r w:rsidR="00005155">
        <w:t>.</w:t>
      </w:r>
    </w:p>
  </w:footnote>
  <w:footnote w:id="81">
    <w:p w14:paraId="3390122B" w14:textId="77777777" w:rsidR="00F2666A" w:rsidRDefault="00F2666A" w:rsidP="002134EA">
      <w:pPr>
        <w:pStyle w:val="FootnoteText"/>
        <w:ind w:left="0" w:firstLine="0"/>
      </w:pPr>
    </w:p>
  </w:footnote>
  <w:footnote w:id="82">
    <w:p w14:paraId="52F1AAC0" w14:textId="45034ED1" w:rsidR="00F2666A" w:rsidRDefault="00F2666A" w:rsidP="00F55894">
      <w:pPr>
        <w:pStyle w:val="FootnoteText"/>
      </w:pPr>
      <w:r>
        <w:rPr>
          <w:rStyle w:val="FootnoteReference"/>
        </w:rPr>
        <w:footnoteRef/>
      </w:r>
      <w:r>
        <w:t xml:space="preserve"> Julene Paul, Evelyn Blumenberg, Vehicle ownership rates: The role of lifecycle, period, and cohort effects, Transportation Research Interdisciplinary Perspectives, Volume 21, 2023, 100892, ISSN 2590-1982, </w:t>
      </w:r>
      <w:hyperlink r:id="rId34" w:history="1">
        <w:r w:rsidR="00A115DA" w:rsidRPr="00D068D7">
          <w:rPr>
            <w:rStyle w:val="Hyperlink"/>
          </w:rPr>
          <w:t>https://doi.org/10.1016/j.trip.2023.100892</w:t>
        </w:r>
      </w:hyperlink>
      <w:r w:rsidR="00A115DA">
        <w:t>.</w:t>
      </w:r>
    </w:p>
  </w:footnote>
  <w:footnote w:id="83">
    <w:p w14:paraId="0077DA7A" w14:textId="3A8381DD" w:rsidR="00F2666A" w:rsidRDefault="00F2666A" w:rsidP="00F55894">
      <w:pPr>
        <w:pStyle w:val="FootnoteText"/>
      </w:pPr>
      <w:r>
        <w:rPr>
          <w:rStyle w:val="FootnoteReference"/>
        </w:rPr>
        <w:footnoteRef/>
      </w:r>
      <w:r>
        <w:t xml:space="preserve"> Charting Transport (2020). Update on Australian transport trends (December 2020). Retrieved from: </w:t>
      </w:r>
      <w:hyperlink r:id="rId35" w:anchor=":~:text=In%202019%2D2020%2C%20there%20were,certainly%20due%20to%20COVID%2D19" w:history="1">
        <w:r w:rsidRPr="00AA6D4A">
          <w:rPr>
            <w:rStyle w:val="Hyperlink"/>
          </w:rPr>
          <w:t>https://chartingtransport.com/2021/01/03/update-on-australian-transport-trends-december-2020/#:~:text=In%202019%2D2020%2C%20there%20were,certainly%20due%20to%20COVID%2D19</w:t>
        </w:r>
      </w:hyperlink>
      <w:r w:rsidRPr="001D4F63">
        <w:t>.</w:t>
      </w:r>
      <w:r>
        <w:t xml:space="preserve">. </w:t>
      </w:r>
    </w:p>
  </w:footnote>
  <w:footnote w:id="84">
    <w:p w14:paraId="11051C7E" w14:textId="77777777" w:rsidR="00F2666A" w:rsidRDefault="00F2666A" w:rsidP="00F55894">
      <w:pPr>
        <w:pStyle w:val="FootnoteText"/>
      </w:pPr>
      <w:r>
        <w:rPr>
          <w:rStyle w:val="FootnoteReference"/>
        </w:rPr>
        <w:footnoteRef/>
      </w:r>
      <w:r>
        <w:t xml:space="preserve"> ACIL Allen analysis based on BITRE and ABS.</w:t>
      </w:r>
    </w:p>
  </w:footnote>
  <w:footnote w:id="85">
    <w:p w14:paraId="2622385E" w14:textId="77777777" w:rsidR="00F2666A" w:rsidRDefault="00F2666A" w:rsidP="00F55894">
      <w:pPr>
        <w:pStyle w:val="FootnoteText"/>
      </w:pPr>
      <w:r>
        <w:rPr>
          <w:rStyle w:val="FootnoteReference"/>
        </w:rPr>
        <w:footnoteRef/>
      </w:r>
      <w:r>
        <w:t xml:space="preserve"> Australian Bureau of Statistics. (2020). Survey of Motor Vehicle Use, 2020. Retrieved from: </w:t>
      </w:r>
      <w:hyperlink r:id="rId36" w:history="1">
        <w:r w:rsidRPr="00AA6D4A">
          <w:rPr>
            <w:rStyle w:val="Hyperlink"/>
          </w:rPr>
          <w:t>https://www.abs.gov.au/statistics/industry/tourism-and-transport/survey-motor-vehicle-use-australia/12-months-ended-30-june-2020/92080DO002_202006.xls</w:t>
        </w:r>
      </w:hyperlink>
      <w:r>
        <w:t xml:space="preserve"> </w:t>
      </w:r>
    </w:p>
  </w:footnote>
  <w:footnote w:id="86">
    <w:p w14:paraId="09D92440" w14:textId="772D7EDB" w:rsidR="00F2666A" w:rsidRDefault="00F2666A" w:rsidP="00F55894">
      <w:pPr>
        <w:pStyle w:val="FootnoteText"/>
      </w:pPr>
      <w:r>
        <w:rPr>
          <w:rStyle w:val="FootnoteReference"/>
        </w:rPr>
        <w:footnoteRef/>
      </w:r>
      <w:r>
        <w:t xml:space="preserve"> Australian Bureau of Statistics. (2018). Survey of Motor Vehicle Use, 2018. Retrieved from: </w:t>
      </w:r>
      <w:hyperlink r:id="rId37" w:history="1">
        <w:r w:rsidRPr="00D068D7">
          <w:rPr>
            <w:rStyle w:val="Hyperlink"/>
          </w:rPr>
          <w:t>https://www.abs.gov.au/statistics/industry/tourism-and-transport/survey-motor-vehicle-use-australia/12-months-ended-30-june-2020/92080DO002_201806.xls</w:t>
        </w:r>
      </w:hyperlink>
    </w:p>
  </w:footnote>
  <w:footnote w:id="87">
    <w:p w14:paraId="6A506445" w14:textId="77777777" w:rsidR="00F2666A" w:rsidRDefault="00F2666A" w:rsidP="00F55894">
      <w:pPr>
        <w:pStyle w:val="FootnoteText"/>
      </w:pPr>
      <w:r>
        <w:rPr>
          <w:rStyle w:val="FootnoteReference"/>
        </w:rPr>
        <w:footnoteRef/>
      </w:r>
      <w:r>
        <w:t xml:space="preserve"> Australian Bureau of Statistics. (2023). Remoteness Areas. Retrieved from: </w:t>
      </w:r>
      <w:hyperlink r:id="rId38" w:history="1">
        <w:r w:rsidRPr="00AA6D4A">
          <w:rPr>
            <w:rStyle w:val="Hyperlink"/>
          </w:rPr>
          <w:t>https://www.abs.gov.au/statistics/standards/australian-statistical-geography-standard-asgs-edition-3/jul2021-jun2026/remoteness-structure/remoteness-areas</w:t>
        </w:r>
      </w:hyperlink>
      <w:r>
        <w:t xml:space="preserve"> </w:t>
      </w:r>
    </w:p>
  </w:footnote>
  <w:footnote w:id="88">
    <w:p w14:paraId="29238DAC" w14:textId="77777777" w:rsidR="00F2666A" w:rsidRDefault="00F2666A" w:rsidP="00F55894">
      <w:pPr>
        <w:pStyle w:val="FootnoteText"/>
      </w:pPr>
      <w:r>
        <w:rPr>
          <w:rStyle w:val="FootnoteReference"/>
        </w:rPr>
        <w:footnoteRef/>
      </w:r>
      <w:r>
        <w:t xml:space="preserve"> </w:t>
      </w:r>
      <w:r w:rsidRPr="00C66FBE">
        <w:t>Lim, K. L., Lu, Y., Kimpton, A., Zahnow, R., Li, T., Dodson, J., ... &amp; Corcoran, J. (2024). Please mind the gap: Examining regional variations in private vehicle carbon dioxide emissions and fuel consumption—The case of Australia. </w:t>
      </w:r>
      <w:r w:rsidRPr="00C66FBE">
        <w:rPr>
          <w:i/>
          <w:iCs/>
        </w:rPr>
        <w:t>Journal of Transport Geography</w:t>
      </w:r>
      <w:r w:rsidRPr="00C66FBE">
        <w:t>, </w:t>
      </w:r>
      <w:r w:rsidRPr="00C66FBE">
        <w:rPr>
          <w:i/>
          <w:iCs/>
        </w:rPr>
        <w:t>121</w:t>
      </w:r>
      <w:r w:rsidRPr="00C66FBE">
        <w:t>, 104023.</w:t>
      </w:r>
    </w:p>
  </w:footnote>
  <w:footnote w:id="89">
    <w:p w14:paraId="603E1548" w14:textId="77777777" w:rsidR="00F2666A" w:rsidRPr="004E698B" w:rsidRDefault="00F2666A" w:rsidP="002A5496">
      <w:pPr>
        <w:pStyle w:val="FootnoteText"/>
      </w:pPr>
      <w:r>
        <w:rPr>
          <w:rStyle w:val="FootnoteReference"/>
        </w:rPr>
        <w:footnoteRef/>
      </w:r>
      <w:r>
        <w:t xml:space="preserve"> Department of Infrastructure, Transport, Regional Development, Communications and the Arts (2024). </w:t>
      </w:r>
      <w:r>
        <w:rPr>
          <w:i/>
          <w:iCs/>
        </w:rPr>
        <w:t xml:space="preserve">Cleaner, Cheaper to Run Cars: The Australian New Vehicle Efficiency Standard: Consultation Impact Analysis. </w:t>
      </w:r>
      <w:hyperlink r:id="rId39" w:history="1">
        <w:r w:rsidRPr="000C1ACE">
          <w:rPr>
            <w:rStyle w:val="Hyperlink"/>
            <w:i/>
            <w:iCs/>
          </w:rPr>
          <w:t>https://www.infrastructure.gov.au/sites/default/files/documents/cleaner-cheaper-to-run-cars-the-australian-new-vehicle-efficiency-standard-consultation-impact-analysis-february2024.pdf</w:t>
        </w:r>
      </w:hyperlink>
      <w:r>
        <w:rPr>
          <w:i/>
          <w:iCs/>
        </w:rPr>
        <w:t xml:space="preserve"> </w:t>
      </w:r>
    </w:p>
  </w:footnote>
  <w:footnote w:id="90">
    <w:p w14:paraId="48C35315" w14:textId="3C89F62A" w:rsidR="00F2666A" w:rsidRDefault="00F2666A" w:rsidP="002A5496">
      <w:pPr>
        <w:pStyle w:val="FootnoteText"/>
      </w:pPr>
      <w:r>
        <w:rPr>
          <w:rStyle w:val="FootnoteReference"/>
        </w:rPr>
        <w:footnoteRef/>
      </w:r>
      <w:r>
        <w:t xml:space="preserve"> ABS 2020, </w:t>
      </w:r>
      <w:r w:rsidRPr="00831714">
        <w:rPr>
          <w:i/>
          <w:iCs/>
        </w:rPr>
        <w:t>Survey of Motor Vehicle Use</w:t>
      </w:r>
      <w:r>
        <w:rPr>
          <w:i/>
          <w:iCs/>
        </w:rPr>
        <w:t>, Australia 2020</w:t>
      </w:r>
      <w:r>
        <w:t>. Accessible at</w:t>
      </w:r>
      <w:r w:rsidRPr="00831714">
        <w:t xml:space="preserve"> </w:t>
      </w:r>
      <w:hyperlink r:id="rId40" w:history="1">
        <w:r w:rsidRPr="00D068D7">
          <w:rPr>
            <w:rStyle w:val="Hyperlink"/>
          </w:rPr>
          <w:t>https://www.abs.gov.au/statistics/industry/tourism-and-transport/survey-motor-vehicle-use-australia/latest-release</w:t>
        </w:r>
      </w:hyperlink>
    </w:p>
  </w:footnote>
  <w:footnote w:id="91">
    <w:p w14:paraId="08572400" w14:textId="12E95BB2" w:rsidR="00F2666A" w:rsidRDefault="00F2666A" w:rsidP="002A5496">
      <w:pPr>
        <w:pStyle w:val="FootnoteText"/>
      </w:pPr>
      <w:r>
        <w:rPr>
          <w:rStyle w:val="FootnoteReference"/>
        </w:rPr>
        <w:footnoteRef/>
      </w:r>
      <w:r>
        <w:t xml:space="preserve"> </w:t>
      </w:r>
      <w:r w:rsidRPr="00372E15">
        <w:t>International Council on Clean Transportation</w:t>
      </w:r>
      <w:r>
        <w:t xml:space="preserve"> (ICCT); White Paper</w:t>
      </w:r>
      <w:r w:rsidRPr="00372E15">
        <w:t xml:space="preserve"> </w:t>
      </w:r>
      <w:r>
        <w:t xml:space="preserve">(C. Buysse, B. Sharpe, O. Delgado): </w:t>
      </w:r>
      <w:r w:rsidRPr="002D4AED">
        <w:rPr>
          <w:i/>
          <w:iCs/>
        </w:rPr>
        <w:t xml:space="preserve">Efficiency </w:t>
      </w:r>
      <w:r>
        <w:rPr>
          <w:i/>
          <w:iCs/>
        </w:rPr>
        <w:t>t</w:t>
      </w:r>
      <w:r w:rsidRPr="002D4AED">
        <w:rPr>
          <w:i/>
          <w:iCs/>
        </w:rPr>
        <w:t>echnology potential for heavy-duty diesel vehicles in the United States through 2035</w:t>
      </w:r>
      <w:r>
        <w:t xml:space="preserve">. Accessed 31 August 2025. </w:t>
      </w:r>
      <w:hyperlink r:id="rId41" w:history="1">
        <w:r w:rsidRPr="00D068D7">
          <w:rPr>
            <w:rStyle w:val="Hyperlink"/>
          </w:rPr>
          <w:t>https://theicct.org/wp-content/uploads/2021/12/efficiency-tech-potential-hdvs-us-2035-nov21.pdf</w:t>
        </w:r>
      </w:hyperlink>
    </w:p>
  </w:footnote>
  <w:footnote w:id="92">
    <w:p w14:paraId="120CBF89" w14:textId="38C2E14F" w:rsidR="00F2666A" w:rsidRDefault="00F2666A" w:rsidP="002A5496">
      <w:pPr>
        <w:pStyle w:val="FootnoteText"/>
      </w:pPr>
      <w:r>
        <w:rPr>
          <w:rStyle w:val="FootnoteReference"/>
        </w:rPr>
        <w:footnoteRef/>
      </w:r>
      <w:r>
        <w:t xml:space="preserve"> </w:t>
      </w:r>
      <w:r w:rsidRPr="00B072C9">
        <w:t xml:space="preserve">Center for Alternative Fuels, Engines &amp; Emissions (CAFEE), West Virginia University: </w:t>
      </w:r>
      <w:r w:rsidRPr="002D4AED">
        <w:rPr>
          <w:i/>
          <w:iCs/>
        </w:rPr>
        <w:t xml:space="preserve">Heavy-Duty Vehicle Diesel Engine Efficiency Evaluation and Energy Audit, October 2014 </w:t>
      </w:r>
      <w:r>
        <w:rPr>
          <w:i/>
          <w:iCs/>
        </w:rPr>
        <w:t>F</w:t>
      </w:r>
      <w:r w:rsidRPr="002D4AED">
        <w:rPr>
          <w:i/>
          <w:iCs/>
        </w:rPr>
        <w:t xml:space="preserve">inal </w:t>
      </w:r>
      <w:r>
        <w:rPr>
          <w:i/>
          <w:iCs/>
        </w:rPr>
        <w:t>R</w:t>
      </w:r>
      <w:r w:rsidRPr="002D4AED">
        <w:rPr>
          <w:i/>
          <w:iCs/>
        </w:rPr>
        <w:t>eport</w:t>
      </w:r>
      <w:r>
        <w:rPr>
          <w:i/>
          <w:iCs/>
        </w:rPr>
        <w:t xml:space="preserve">. </w:t>
      </w:r>
      <w:r>
        <w:t xml:space="preserve">Accessed 31 August 2025. </w:t>
      </w:r>
      <w:hyperlink r:id="rId42" w:history="1">
        <w:r w:rsidRPr="00D068D7">
          <w:rPr>
            <w:rStyle w:val="Hyperlink"/>
          </w:rPr>
          <w:t>https://theicct.org/wp-content/uploads/2021/06/HDV_engine-efficiency-eval_WVU-rpt_oct2014.pdf</w:t>
        </w:r>
      </w:hyperlink>
    </w:p>
  </w:footnote>
  <w:footnote w:id="93">
    <w:p w14:paraId="0E1CB2B4" w14:textId="77777777" w:rsidR="00F2666A" w:rsidRPr="00F335C6" w:rsidRDefault="00F2666A" w:rsidP="002A5496">
      <w:pPr>
        <w:pStyle w:val="FootnoteText"/>
      </w:pPr>
      <w:r>
        <w:rPr>
          <w:rStyle w:val="FootnoteReference"/>
        </w:rPr>
        <w:footnoteRef/>
      </w:r>
      <w:r>
        <w:t xml:space="preserve"> International Council on Clean Transportation (2024). </w:t>
      </w:r>
      <w:r>
        <w:rPr>
          <w:i/>
          <w:iCs/>
        </w:rPr>
        <w:t>On the way to ‘Real-World’ CO</w:t>
      </w:r>
      <w:r>
        <w:rPr>
          <w:i/>
          <w:iCs/>
          <w:vertAlign w:val="subscript"/>
        </w:rPr>
        <w:t>2</w:t>
      </w:r>
      <w:r>
        <w:rPr>
          <w:i/>
          <w:iCs/>
        </w:rPr>
        <w:t xml:space="preserve"> Values? The European Passenger Carm Market after 5 years of WLTP. </w:t>
      </w:r>
      <w:hyperlink r:id="rId43" w:history="1">
        <w:r w:rsidRPr="000C1ACE">
          <w:rPr>
            <w:rStyle w:val="Hyperlink"/>
            <w:i/>
            <w:iCs/>
          </w:rPr>
          <w:t>https://theicct.org/wp-content/uploads/2024/01/ID-76-%E2%80%93-EU-WLTP_final.pdf</w:t>
        </w:r>
      </w:hyperlink>
      <w:r>
        <w:rPr>
          <w:i/>
          <w:iCs/>
        </w:rPr>
        <w:t xml:space="preserve"> </w:t>
      </w:r>
    </w:p>
  </w:footnote>
  <w:footnote w:id="94">
    <w:p w14:paraId="75903437" w14:textId="128C64B3" w:rsidR="00F2666A" w:rsidRDefault="00F2666A">
      <w:pPr>
        <w:pStyle w:val="FootnoteText"/>
      </w:pPr>
      <w:r>
        <w:rPr>
          <w:rStyle w:val="FootnoteReference"/>
        </w:rPr>
        <w:footnoteRef/>
      </w:r>
      <w:r>
        <w:t xml:space="preserve"> </w:t>
      </w:r>
      <w:r w:rsidRPr="003D2DA1">
        <w:t xml:space="preserve">Nilsson, G., 2004.  Traffic Safety Dimensions and the Power Model to Describe the Effect of Speed on Safety. Bulletin 221. Lund Institute of Technology, Department of Technology and Society, Traffic Engineering, Lund.  </w:t>
      </w:r>
      <w:hyperlink r:id="rId44" w:history="1">
        <w:r w:rsidRPr="00D068D7">
          <w:rPr>
            <w:rStyle w:val="Hyperlink"/>
          </w:rPr>
          <w:t>https://portal.research.lu.se/en/publications/traffic-safety-dimensions-and-the-power-model-to-describe-the-eff</w:t>
        </w:r>
      </w:hyperlink>
    </w:p>
  </w:footnote>
  <w:footnote w:id="95">
    <w:p w14:paraId="564E0737" w14:textId="75DCCB75" w:rsidR="00F2666A" w:rsidRDefault="00F2666A">
      <w:pPr>
        <w:pStyle w:val="FootnoteText"/>
      </w:pPr>
      <w:r>
        <w:rPr>
          <w:rStyle w:val="FootnoteReference"/>
        </w:rPr>
        <w:footnoteRef/>
      </w:r>
      <w:r>
        <w:t xml:space="preserve"> </w:t>
      </w:r>
      <w:r w:rsidRPr="007B458D">
        <w:t>Elvik, R., Vadeby, A., Hels, T., van Schagen, I., 2019. Updated estimates of the relationship between speed and road safety at the aggregate and individual level</w:t>
      </w:r>
      <w:r>
        <w:t>.</w:t>
      </w:r>
      <w:r w:rsidRPr="007B458D">
        <w:t xml:space="preserve"> Accident Analysis &amp; Prevention 123, pp. 114-122. </w:t>
      </w:r>
      <w:hyperlink r:id="rId45" w:history="1">
        <w:r w:rsidRPr="00D068D7">
          <w:rPr>
            <w:rStyle w:val="Hyperlink"/>
          </w:rPr>
          <w:t>https://www.sciencedirect.com/science/article/abs/pii/S000145751830839X?via%3Dihub</w:t>
        </w:r>
      </w:hyperlink>
    </w:p>
  </w:footnote>
  <w:footnote w:id="96">
    <w:p w14:paraId="504A32EC" w14:textId="32AE2A4D" w:rsidR="00F2666A" w:rsidRDefault="00F2666A">
      <w:pPr>
        <w:pStyle w:val="FootnoteText"/>
      </w:pPr>
      <w:r>
        <w:rPr>
          <w:rStyle w:val="FootnoteReference"/>
        </w:rPr>
        <w:footnoteRef/>
      </w:r>
      <w:r>
        <w:t xml:space="preserve"> </w:t>
      </w:r>
      <w:r w:rsidRPr="007B458D">
        <w:t>Elvik, R., Vadeby, A., Hels, T., van Schagen, I., 2019. Updated estimates of the relationship between speed and road safety at the aggregate and individual level</w:t>
      </w:r>
      <w:r>
        <w:t>.</w:t>
      </w:r>
      <w:r w:rsidRPr="007B458D">
        <w:t xml:space="preserve"> Accident Analysis &amp; Prevention 123, pp. 114-122. </w:t>
      </w:r>
      <w:hyperlink r:id="rId46" w:history="1">
        <w:r w:rsidRPr="00D068D7">
          <w:rPr>
            <w:rStyle w:val="Hyperlink"/>
          </w:rPr>
          <w:t>https://www.sciencedirect.com/science/article/abs/pii/S000145751830839X?via%3Dihub</w:t>
        </w:r>
      </w:hyperlink>
    </w:p>
  </w:footnote>
  <w:footnote w:id="97">
    <w:p w14:paraId="5C3460E3" w14:textId="77777777" w:rsidR="00F2666A" w:rsidRDefault="00F2666A" w:rsidP="000077E3">
      <w:pPr>
        <w:spacing w:after="0"/>
        <w:rPr>
          <w:sz w:val="20"/>
          <w:szCs w:val="20"/>
        </w:rPr>
      </w:pPr>
      <w:r>
        <w:rPr>
          <w:vertAlign w:val="superscript"/>
        </w:rPr>
        <w:footnoteRef/>
      </w:r>
      <w:r>
        <w:rPr>
          <w:sz w:val="20"/>
          <w:szCs w:val="20"/>
        </w:rPr>
        <w:t xml:space="preserve"> See </w:t>
      </w:r>
      <w:hyperlink r:id="rId47" w:history="1">
        <w:r>
          <w:rPr>
            <w:rStyle w:val="Hyperlink"/>
            <w:color w:val="1155CC"/>
            <w:sz w:val="20"/>
            <w:szCs w:val="20"/>
          </w:rPr>
          <w:t>analytica.com</w:t>
        </w:r>
      </w:hyperlink>
      <w:r>
        <w:rPr>
          <w:sz w:val="20"/>
          <w:szCs w:val="20"/>
        </w:rPr>
        <w:t xml:space="preserve"> </w:t>
      </w:r>
    </w:p>
  </w:footnote>
  <w:footnote w:id="98">
    <w:p w14:paraId="6075D468" w14:textId="77777777" w:rsidR="00F2666A" w:rsidRDefault="00F2666A" w:rsidP="000077E3">
      <w:pPr>
        <w:spacing w:after="0"/>
        <w:rPr>
          <w:sz w:val="20"/>
          <w:szCs w:val="20"/>
        </w:rPr>
      </w:pPr>
      <w:r>
        <w:rPr>
          <w:vertAlign w:val="superscript"/>
        </w:rPr>
        <w:footnoteRef/>
      </w:r>
      <w:r>
        <w:rPr>
          <w:sz w:val="20"/>
          <w:szCs w:val="20"/>
        </w:rPr>
        <w:t xml:space="preserve"> See </w:t>
      </w:r>
      <w:hyperlink r:id="rId48" w:history="1">
        <w:r>
          <w:rPr>
            <w:rStyle w:val="Hyperlink"/>
            <w:color w:val="1155CC"/>
            <w:sz w:val="20"/>
            <w:szCs w:val="20"/>
          </w:rPr>
          <w:t>docs.analytica.com/index.php?title=Monte_Carlo_and_probabilistic_simulation</w:t>
        </w:r>
      </w:hyperlink>
      <w:r>
        <w:rPr>
          <w:sz w:val="20"/>
          <w:szCs w:val="20"/>
        </w:rPr>
        <w:t xml:space="preserve">  </w:t>
      </w:r>
    </w:p>
  </w:footnote>
  <w:footnote w:id="99">
    <w:p w14:paraId="236281DC" w14:textId="77777777" w:rsidR="00F2666A" w:rsidRDefault="00F2666A" w:rsidP="000077E3">
      <w:pPr>
        <w:spacing w:after="0"/>
        <w:rPr>
          <w:sz w:val="20"/>
          <w:szCs w:val="20"/>
        </w:rPr>
      </w:pPr>
      <w:r>
        <w:rPr>
          <w:vertAlign w:val="superscript"/>
        </w:rPr>
        <w:footnoteRef/>
      </w:r>
      <w:r>
        <w:rPr>
          <w:sz w:val="20"/>
          <w:szCs w:val="20"/>
        </w:rPr>
        <w:t xml:space="preserve"> See </w:t>
      </w:r>
      <w:hyperlink r:id="rId49" w:history="1">
        <w:r>
          <w:rPr>
            <w:rStyle w:val="Hyperlink"/>
            <w:color w:val="1155CC"/>
            <w:sz w:val="20"/>
            <w:szCs w:val="20"/>
          </w:rPr>
          <w:t>www.abs.gov.au/statistics/standards/australian-statistical-geography-standard-asgs-edition-3/jul2021-jun2026/remotene8-structure/remoteness-areas</w:t>
        </w:r>
      </w:hyperlink>
      <w:r>
        <w:rPr>
          <w:sz w:val="20"/>
          <w:szCs w:val="20"/>
        </w:rPr>
        <w:t xml:space="preserve"> </w:t>
      </w:r>
    </w:p>
  </w:footnote>
  <w:footnote w:id="100">
    <w:p w14:paraId="15906954" w14:textId="68F0090E" w:rsidR="00F2666A" w:rsidRDefault="00F2666A">
      <w:pPr>
        <w:pStyle w:val="FootnoteText"/>
      </w:pPr>
      <w:r>
        <w:rPr>
          <w:rStyle w:val="FootnoteReference"/>
        </w:rPr>
        <w:footnoteRef/>
      </w:r>
      <w:r>
        <w:t xml:space="preserve"> </w:t>
      </w:r>
      <w:r w:rsidRPr="003D2DA1">
        <w:t>Main Roads WA, 2024.  Review of Default 110</w:t>
      </w:r>
      <w:r>
        <w:t xml:space="preserve"> km/h</w:t>
      </w:r>
      <w:r w:rsidRPr="003D2DA1">
        <w:t xml:space="preserve"> (unzoned) Speed Limits in Rural Areas – Summary Report.  Prepared by Abley, May 2024.</w:t>
      </w:r>
    </w:p>
  </w:footnote>
  <w:footnote w:id="101">
    <w:p w14:paraId="21D37F51" w14:textId="078932DC" w:rsidR="00F2666A" w:rsidRDefault="00F2666A">
      <w:pPr>
        <w:pStyle w:val="FootnoteText"/>
      </w:pPr>
      <w:r>
        <w:rPr>
          <w:rStyle w:val="FootnoteReference"/>
        </w:rPr>
        <w:footnoteRef/>
      </w:r>
      <w:r>
        <w:t xml:space="preserve"> </w:t>
      </w:r>
      <w:r w:rsidRPr="007B458D">
        <w:t xml:space="preserve">TØI, 2019.  Traffikksikkerhetshånboken, Avsnitt 3.11 Fartsgrenser [Road Safety Handbook, Section 3.11 Speed Limits].  Transportøkonomisk institutt Stiftelsen Norsk senter for samferdselsforskning, Ed. Alina Høye, Rune Elvik.  </w:t>
      </w:r>
      <w:hyperlink r:id="rId50" w:history="1">
        <w:r w:rsidRPr="00FB4EF1">
          <w:rPr>
            <w:rStyle w:val="Hyperlink"/>
          </w:rPr>
          <w:t>https://www.tshandbok.no/del-2/3-trafikkregulering/doc660/</w:t>
        </w:r>
      </w:hyperlink>
      <w:r>
        <w:t xml:space="preserve"> </w:t>
      </w:r>
    </w:p>
  </w:footnote>
  <w:footnote w:id="102">
    <w:p w14:paraId="610681C6" w14:textId="77777777" w:rsidR="00F2666A" w:rsidRDefault="00F2666A" w:rsidP="0090234D">
      <w:pPr>
        <w:pStyle w:val="FootnoteText"/>
      </w:pPr>
      <w:r>
        <w:rPr>
          <w:rStyle w:val="FootnoteReference"/>
        </w:rPr>
        <w:footnoteRef/>
      </w:r>
      <w:r>
        <w:t xml:space="preserve"> Australian Department of the Prime Minister and Cabinet, Office of Impact Analysis</w:t>
      </w:r>
      <w:r w:rsidRPr="00F92F0B">
        <w:rPr>
          <w:i/>
          <w:iCs/>
        </w:rPr>
        <w:t>, Value of statistical life.</w:t>
      </w:r>
      <w:r>
        <w:t xml:space="preserve"> </w:t>
      </w:r>
      <w:hyperlink r:id="rId51" w:history="1">
        <w:r w:rsidRPr="00E17C0E">
          <w:rPr>
            <w:rStyle w:val="Hyperlink"/>
          </w:rPr>
          <w:t>https://oia.pmc.gov.au/resources/guidance-assessing-impacts/value-statistical-life</w:t>
        </w:r>
      </w:hyperlink>
    </w:p>
  </w:footnote>
  <w:footnote w:id="103">
    <w:p w14:paraId="51AD7F04" w14:textId="77777777" w:rsidR="00F2666A" w:rsidRPr="0042118D" w:rsidRDefault="00F2666A" w:rsidP="0090234D">
      <w:pPr>
        <w:pStyle w:val="FootnoteText"/>
      </w:pPr>
      <w:r>
        <w:rPr>
          <w:rStyle w:val="FootnoteReference"/>
        </w:rPr>
        <w:footnoteRef/>
      </w:r>
      <w:r>
        <w:t xml:space="preserve"> Australian Transport Assessment and Planning Guidelines, </w:t>
      </w:r>
      <w:r>
        <w:rPr>
          <w:i/>
          <w:iCs/>
        </w:rPr>
        <w:t xml:space="preserve">Crash costs. </w:t>
      </w:r>
      <w:hyperlink r:id="rId52" w:history="1">
        <w:r w:rsidRPr="00E17C0E">
          <w:rPr>
            <w:rStyle w:val="Hyperlink"/>
            <w:i/>
            <w:iCs/>
          </w:rPr>
          <w:t>https://www.atap.gov.au/parameter-values/road-transport/4-crash-costs</w:t>
        </w:r>
      </w:hyperlink>
      <w:r>
        <w:rPr>
          <w:i/>
          <w:iCs/>
        </w:rPr>
        <w:t xml:space="preserve"> </w:t>
      </w:r>
    </w:p>
  </w:footnote>
  <w:footnote w:id="104">
    <w:p w14:paraId="3F04697A" w14:textId="10495BB6" w:rsidR="00F2666A" w:rsidRPr="009E677D" w:rsidRDefault="00F2666A" w:rsidP="009E677D">
      <w:pPr>
        <w:pStyle w:val="FootnoteText"/>
        <w:ind w:left="142" w:hanging="142"/>
      </w:pPr>
      <w:r>
        <w:rPr>
          <w:rStyle w:val="FootnoteReference"/>
        </w:rPr>
        <w:footnoteRef/>
      </w:r>
      <w:r>
        <w:t xml:space="preserve"> Australian Transport Assessment and Planning (n.d.), Based on (and adjusted for inflation) Table 13, section </w:t>
      </w:r>
      <w:r w:rsidRPr="009E677D">
        <w:t>4.3 Estimation of average crash costs by injury severity</w:t>
      </w:r>
      <w:r>
        <w:t xml:space="preserve">, </w:t>
      </w:r>
      <w:r w:rsidRPr="009E677D">
        <w:rPr>
          <w:i/>
          <w:iCs/>
        </w:rPr>
        <w:t>4. Crash costs</w:t>
      </w:r>
      <w:r>
        <w:t xml:space="preserve">. Accessed at: </w:t>
      </w:r>
      <w:hyperlink r:id="rId53" w:history="1">
        <w:r w:rsidRPr="0048484A">
          <w:rPr>
            <w:rStyle w:val="Hyperlink"/>
          </w:rPr>
          <w:t>https://www.atap.gov.au/parameter-values/road-transport/4-crash-costs</w:t>
        </w:r>
      </w:hyperlink>
      <w:r>
        <w:t xml:space="preserve"> </w:t>
      </w:r>
    </w:p>
  </w:footnote>
  <w:footnote w:id="105">
    <w:p w14:paraId="07EEA07C" w14:textId="77777777" w:rsidR="00F2666A" w:rsidRPr="00092D2E" w:rsidRDefault="00F2666A" w:rsidP="0090234D">
      <w:pPr>
        <w:pStyle w:val="FootnoteText"/>
        <w:rPr>
          <w:szCs w:val="18"/>
          <w:lang w:val="en-US"/>
        </w:rPr>
      </w:pPr>
      <w:r w:rsidRPr="00092D2E">
        <w:rPr>
          <w:rStyle w:val="FootnoteReference"/>
          <w:szCs w:val="18"/>
        </w:rPr>
        <w:footnoteRef/>
      </w:r>
      <w:r w:rsidRPr="00092D2E">
        <w:rPr>
          <w:szCs w:val="18"/>
        </w:rPr>
        <w:t xml:space="preserve"> </w:t>
      </w:r>
      <w:r w:rsidRPr="00EB499A">
        <w:rPr>
          <w:szCs w:val="18"/>
        </w:rPr>
        <w:t xml:space="preserve">Wang, X., Chao, L., Kostyniuk, L., Shen, Q. &amp; Bao, S. 2014, ‘The influence of street environments on fuel efficiency: insights from naturalistic driving’, </w:t>
      </w:r>
      <w:r w:rsidRPr="00EB499A">
        <w:rPr>
          <w:i/>
          <w:iCs/>
          <w:szCs w:val="18"/>
        </w:rPr>
        <w:t>International Journal of Environmental Science and Technology</w:t>
      </w:r>
      <w:r w:rsidRPr="00EB499A">
        <w:rPr>
          <w:szCs w:val="18"/>
        </w:rPr>
        <w:t>, vol. 11, no. 8, pp. 2291–2300.</w:t>
      </w:r>
    </w:p>
  </w:footnote>
  <w:footnote w:id="106">
    <w:p w14:paraId="688F7B54" w14:textId="77777777" w:rsidR="00F2666A" w:rsidRPr="007B292E" w:rsidRDefault="00F2666A" w:rsidP="0090234D">
      <w:pPr>
        <w:pStyle w:val="FootnoteText"/>
      </w:pPr>
      <w:r>
        <w:rPr>
          <w:rStyle w:val="FootnoteReference"/>
        </w:rPr>
        <w:footnoteRef/>
      </w:r>
      <w:r>
        <w:t xml:space="preserve"> Green Vehicle Guide. </w:t>
      </w:r>
      <w:r>
        <w:rPr>
          <w:i/>
          <w:iCs/>
        </w:rPr>
        <w:t xml:space="preserve">Reducing your emissions. </w:t>
      </w:r>
      <w:hyperlink r:id="rId54" w:history="1">
        <w:r w:rsidRPr="00E17C0E">
          <w:rPr>
            <w:rStyle w:val="Hyperlink"/>
            <w:i/>
            <w:iCs/>
          </w:rPr>
          <w:t>https://www.greenvehicleguide.gov.au/pages/UnderstandingEmissions/TipsToReduceYourEmissions</w:t>
        </w:r>
      </w:hyperlink>
      <w:r>
        <w:rPr>
          <w:i/>
          <w:iCs/>
        </w:rPr>
        <w:t xml:space="preserve"> </w:t>
      </w:r>
    </w:p>
  </w:footnote>
  <w:footnote w:id="107">
    <w:p w14:paraId="637B2DE4" w14:textId="77777777" w:rsidR="00F2666A" w:rsidRPr="00594537" w:rsidRDefault="00F2666A" w:rsidP="0090234D">
      <w:pPr>
        <w:pStyle w:val="FootnoteText"/>
      </w:pPr>
      <w:r>
        <w:rPr>
          <w:rStyle w:val="FootnoteReference"/>
        </w:rPr>
        <w:footnoteRef/>
      </w:r>
      <w:r>
        <w:t xml:space="preserve"> Australian Transport Assessment and Planning Guidelines (2016). </w:t>
      </w:r>
      <w:r>
        <w:rPr>
          <w:i/>
          <w:iCs/>
        </w:rPr>
        <w:t>Road Parameter Values</w:t>
      </w:r>
      <w:r>
        <w:t xml:space="preserve">. Accessed at: </w:t>
      </w:r>
      <w:hyperlink r:id="rId55" w:history="1">
        <w:r w:rsidRPr="000C1ACE">
          <w:rPr>
            <w:rStyle w:val="Hyperlink"/>
          </w:rPr>
          <w:t>https://www.atap.gov.au/sites/default/files/pv2_road_parameter_values.pdf</w:t>
        </w:r>
      </w:hyperlink>
      <w:r>
        <w:t xml:space="preserve"> </w:t>
      </w:r>
    </w:p>
  </w:footnote>
  <w:footnote w:id="108">
    <w:p w14:paraId="079C5EA5" w14:textId="77777777" w:rsidR="00F2666A" w:rsidRDefault="00F2666A" w:rsidP="0090234D">
      <w:pPr>
        <w:pStyle w:val="FootnoteText"/>
      </w:pPr>
      <w:r>
        <w:rPr>
          <w:rStyle w:val="FootnoteReference"/>
        </w:rPr>
        <w:footnoteRef/>
      </w:r>
      <w:r>
        <w:t xml:space="preserve"> Australian Bureau of Statistics (2023). Remoteness Areas. Accessed at: </w:t>
      </w:r>
      <w:hyperlink r:id="rId56" w:history="1">
        <w:r w:rsidRPr="00E93D6F">
          <w:rPr>
            <w:rStyle w:val="Hyperlink"/>
          </w:rPr>
          <w:t>https://www.abs.gov.au/statistics/standards/australian-statistical-geography-standard-asgs-edition-3/jul2021-jun2026/remoteness-structure/remoteness-areas</w:t>
        </w:r>
      </w:hyperlink>
      <w:r>
        <w:t xml:space="preserve"> </w:t>
      </w:r>
    </w:p>
  </w:footnote>
  <w:footnote w:id="109">
    <w:p w14:paraId="14E7991D" w14:textId="77777777" w:rsidR="00F2666A" w:rsidRPr="00A77415" w:rsidRDefault="00F2666A" w:rsidP="0090234D">
      <w:pPr>
        <w:pStyle w:val="FootnoteText"/>
      </w:pPr>
      <w:r>
        <w:rPr>
          <w:rStyle w:val="FootnoteReference"/>
        </w:rPr>
        <w:footnoteRef/>
      </w:r>
      <w:r>
        <w:t xml:space="preserve"> </w:t>
      </w:r>
      <w:r w:rsidRPr="0053765A">
        <w:rPr>
          <w:u w:val="single"/>
        </w:rPr>
        <w:t>Very</w:t>
      </w:r>
      <w:r>
        <w:t xml:space="preserve"> roughly. The resource cost of carbon represents a part of a truncated supply curve, however the social cost of carbon represents an equilibrium price of a modelled hypothecated market. As noted in the text, neither is accurate for myriad reasons. The social cost of carbon is more accurately derived from the demanded abatement, and the resource cost of carbon is more accurately derived from the </w:t>
      </w:r>
      <w:r>
        <w:rPr>
          <w:i/>
          <w:iCs/>
        </w:rPr>
        <w:t>current</w:t>
      </w:r>
      <w:r>
        <w:t xml:space="preserve"> supply costs of carbon. </w:t>
      </w:r>
    </w:p>
  </w:footnote>
  <w:footnote w:id="110">
    <w:p w14:paraId="13E9B7B8" w14:textId="77777777" w:rsidR="00F2666A" w:rsidRDefault="00F2666A" w:rsidP="0090234D">
      <w:pPr>
        <w:pStyle w:val="FootnoteText"/>
      </w:pPr>
      <w:r>
        <w:rPr>
          <w:rStyle w:val="FootnoteReference"/>
        </w:rPr>
        <w:footnoteRef/>
      </w:r>
      <w:r>
        <w:t xml:space="preserve"> Australian Energy Regulator (2024). </w:t>
      </w:r>
      <w:r w:rsidRPr="005F3531">
        <w:rPr>
          <w:i/>
          <w:iCs/>
        </w:rPr>
        <w:t>Valuing emissions reduction.</w:t>
      </w:r>
      <w:r>
        <w:t xml:space="preserve"> Accessed at: </w:t>
      </w:r>
      <w:hyperlink r:id="rId57" w:history="1">
        <w:r w:rsidRPr="00ED2FCF">
          <w:rPr>
            <w:rStyle w:val="Hyperlink"/>
          </w:rPr>
          <w:t>https://www.aer.gov.au/documents/aer-valuing-emissions-reduction-final-guidance-and-explanatory-statement-may-2024</w:t>
        </w:r>
      </w:hyperlink>
    </w:p>
  </w:footnote>
  <w:footnote w:id="111">
    <w:p w14:paraId="0839BA94" w14:textId="77777777" w:rsidR="00F2666A" w:rsidRDefault="00F2666A" w:rsidP="0090234D">
      <w:pPr>
        <w:pStyle w:val="FootnoteText"/>
      </w:pPr>
      <w:r>
        <w:rPr>
          <w:rStyle w:val="FootnoteReference"/>
        </w:rPr>
        <w:footnoteRef/>
      </w:r>
      <w:r>
        <w:t xml:space="preserve"> Ibid. </w:t>
      </w:r>
    </w:p>
  </w:footnote>
  <w:footnote w:id="112">
    <w:p w14:paraId="29B7841A" w14:textId="77777777" w:rsidR="00F2666A" w:rsidRDefault="00F2666A" w:rsidP="0090234D">
      <w:pPr>
        <w:pStyle w:val="FootnoteText"/>
      </w:pPr>
      <w:r>
        <w:rPr>
          <w:rStyle w:val="FootnoteReference"/>
        </w:rPr>
        <w:footnoteRef/>
      </w:r>
      <w:r>
        <w:t xml:space="preserve"> National Transport Commission (2019). Carbon Dioxide Emissions Intensity for New Australian Light Vehicoes 2018. Accessed at: </w:t>
      </w:r>
      <w:hyperlink r:id="rId58" w:history="1">
        <w:r w:rsidRPr="009B2419">
          <w:rPr>
            <w:rStyle w:val="Hyperlink"/>
          </w:rPr>
          <w:t>https://www.ntc.gov.au/sites/default/files/assets/files/Carbon%20dioxide%20emissions%20intensity%20for%20new%20Australian%20light%20vehicles%202018.pdf</w:t>
        </w:r>
      </w:hyperlink>
      <w:r>
        <w:t xml:space="preserve"> </w:t>
      </w:r>
    </w:p>
  </w:footnote>
  <w:footnote w:id="113">
    <w:p w14:paraId="0053A61A" w14:textId="77777777" w:rsidR="00F2666A" w:rsidRDefault="00F2666A" w:rsidP="0090234D">
      <w:pPr>
        <w:pStyle w:val="FootnoteText"/>
      </w:pPr>
      <w:r>
        <w:rPr>
          <w:rStyle w:val="FootnoteReference"/>
        </w:rPr>
        <w:footnoteRef/>
      </w:r>
      <w:r>
        <w:t xml:space="preserve"> ACCC. Fuel prices in regional locations. Accessed at: </w:t>
      </w:r>
      <w:hyperlink r:id="rId59" w:history="1">
        <w:r w:rsidRPr="00E93D6F">
          <w:rPr>
            <w:rStyle w:val="Hyperlink"/>
          </w:rPr>
          <w:t>https://www.accc.gov.au/consumers/petrol-and-fuel/fuel-prices-in-regional-locations</w:t>
        </w:r>
      </w:hyperlink>
      <w:r>
        <w:t xml:space="preserve"> </w:t>
      </w:r>
    </w:p>
  </w:footnote>
  <w:footnote w:id="114">
    <w:p w14:paraId="2417DFF4" w14:textId="77777777" w:rsidR="00F2666A" w:rsidRDefault="00F2666A" w:rsidP="0090234D">
      <w:pPr>
        <w:pStyle w:val="FootnoteText"/>
      </w:pPr>
      <w:r>
        <w:rPr>
          <w:rStyle w:val="FootnoteReference"/>
        </w:rPr>
        <w:footnoteRef/>
      </w:r>
      <w:r>
        <w:t xml:space="preserve"> Green Vehicle Guide, </w:t>
      </w:r>
      <w:r w:rsidRPr="00126D8E">
        <w:rPr>
          <w:i/>
          <w:iCs/>
        </w:rPr>
        <w:t>Vehicle emissions</w:t>
      </w:r>
      <w:r>
        <w:t xml:space="preserve">, Accessed at: </w:t>
      </w:r>
      <w:hyperlink r:id="rId60" w:history="1">
        <w:r w:rsidRPr="009B2419">
          <w:rPr>
            <w:rStyle w:val="Hyperlink"/>
          </w:rPr>
          <w:t>https://greenvehicleguide.gov.au/pages/UnderstandingEmissions/VehicleEmissions</w:t>
        </w:r>
      </w:hyperlink>
      <w:r>
        <w:t xml:space="preserve"> </w:t>
      </w:r>
    </w:p>
  </w:footnote>
  <w:footnote w:id="115">
    <w:p w14:paraId="42F7696F" w14:textId="77777777" w:rsidR="00F2666A" w:rsidRDefault="00F2666A" w:rsidP="0090234D">
      <w:pPr>
        <w:pStyle w:val="FootnoteText"/>
      </w:pPr>
      <w:r>
        <w:rPr>
          <w:rStyle w:val="FootnoteReference"/>
        </w:rPr>
        <w:footnoteRef/>
      </w:r>
      <w:r>
        <w:t xml:space="preserve"> See U.S. Department of Transportation, </w:t>
      </w:r>
      <w:r w:rsidRPr="00126D8E">
        <w:rPr>
          <w:i/>
          <w:iCs/>
        </w:rPr>
        <w:t>CAFE Model Documentation</w:t>
      </w:r>
      <w:r>
        <w:t>, April 2022, Section 6, pg.148.</w:t>
      </w:r>
    </w:p>
  </w:footnote>
  <w:footnote w:id="116">
    <w:p w14:paraId="2894AEBA" w14:textId="77777777" w:rsidR="00F2666A" w:rsidRPr="00223CE8" w:rsidRDefault="00F2666A" w:rsidP="0090234D">
      <w:pPr>
        <w:pStyle w:val="FootnoteText"/>
        <w:rPr>
          <w:lang w:val="en-US"/>
        </w:rPr>
      </w:pPr>
      <w:r>
        <w:rPr>
          <w:rStyle w:val="FootnoteReference"/>
        </w:rPr>
        <w:footnoteRef/>
      </w:r>
      <w:r w:rsidRPr="00036B14">
        <w:t>Department of Climate Change, Energy, the Environment and Water</w:t>
      </w:r>
      <w:r>
        <w:t xml:space="preserve">; </w:t>
      </w:r>
      <w:r w:rsidRPr="00036B14">
        <w:rPr>
          <w:i/>
          <w:iCs/>
        </w:rPr>
        <w:t>Better fuel for cleaner vehicles Draft Regulation Impact Statement for consultation</w:t>
      </w:r>
      <w:r>
        <w:t xml:space="preserve">, November 2022. Accessed at: </w:t>
      </w:r>
      <w:hyperlink r:id="rId61" w:history="1">
        <w:r w:rsidRPr="009B2419">
          <w:rPr>
            <w:rStyle w:val="Hyperlink"/>
          </w:rPr>
          <w:t>https://consult.dcceew.gov.au/better-fuel-for-cleaner-vehicles</w:t>
        </w:r>
      </w:hyperlink>
      <w:r>
        <w:t xml:space="preserve"> </w:t>
      </w:r>
    </w:p>
  </w:footnote>
  <w:footnote w:id="117">
    <w:p w14:paraId="6AFFE285" w14:textId="77777777" w:rsidR="00F2666A" w:rsidRDefault="00F2666A" w:rsidP="0090234D">
      <w:pPr>
        <w:pStyle w:val="FootnoteText"/>
      </w:pPr>
      <w:r>
        <w:rPr>
          <w:rStyle w:val="FootnoteReference"/>
        </w:rPr>
        <w:footnoteRef/>
      </w:r>
      <w:r>
        <w:t xml:space="preserve"> </w:t>
      </w:r>
      <w:r w:rsidRPr="00A84D88">
        <w:t>Chen, X., Liu, M., Zuo, L., Wu, X., Chen, M., Li, X., ... &amp; Hao, G. (2023). Environmental noise exposure and health outcomes: an umbrella review of systematic reviews and meta-analysis. </w:t>
      </w:r>
      <w:r w:rsidRPr="00A84D88">
        <w:rPr>
          <w:i/>
          <w:iCs/>
        </w:rPr>
        <w:t>European journal of public health</w:t>
      </w:r>
      <w:r w:rsidRPr="00A84D88">
        <w:t>, </w:t>
      </w:r>
      <w:r w:rsidRPr="00A84D88">
        <w:rPr>
          <w:i/>
          <w:iCs/>
        </w:rPr>
        <w:t>33</w:t>
      </w:r>
      <w:r w:rsidRPr="00A84D88">
        <w:t>(4), 725-731.</w:t>
      </w:r>
    </w:p>
  </w:footnote>
  <w:footnote w:id="118">
    <w:p w14:paraId="75A1F70F" w14:textId="77777777" w:rsidR="00F2666A" w:rsidRDefault="00F2666A" w:rsidP="0090234D">
      <w:pPr>
        <w:pStyle w:val="FootnoteText"/>
      </w:pPr>
      <w:r>
        <w:rPr>
          <w:rStyle w:val="FootnoteReference"/>
        </w:rPr>
        <w:footnoteRef/>
      </w:r>
      <w:r>
        <w:t xml:space="preserve"> </w:t>
      </w:r>
      <w:r w:rsidRPr="00926A1A">
        <w:t>Welch, D., Shepherd, D., Dirks, K. N., &amp; Reddy, R. (2023). Health effects of transport noise. </w:t>
      </w:r>
      <w:r w:rsidRPr="00926A1A">
        <w:rPr>
          <w:i/>
          <w:iCs/>
        </w:rPr>
        <w:t>Transport Reviews</w:t>
      </w:r>
      <w:r w:rsidRPr="00926A1A">
        <w:t>, </w:t>
      </w:r>
      <w:r w:rsidRPr="00926A1A">
        <w:rPr>
          <w:i/>
          <w:iCs/>
        </w:rPr>
        <w:t>43</w:t>
      </w:r>
      <w:r w:rsidRPr="00926A1A">
        <w:t>(6), 1190-1210.</w:t>
      </w:r>
    </w:p>
  </w:footnote>
  <w:footnote w:id="119">
    <w:p w14:paraId="618FE645" w14:textId="77777777" w:rsidR="00F2666A" w:rsidRDefault="00F2666A" w:rsidP="0090234D">
      <w:pPr>
        <w:pStyle w:val="FootnoteText"/>
      </w:pPr>
      <w:r>
        <w:rPr>
          <w:rStyle w:val="FootnoteReference"/>
        </w:rPr>
        <w:footnoteRef/>
      </w:r>
      <w:r>
        <w:t xml:space="preserve"> </w:t>
      </w:r>
      <w:r w:rsidRPr="00A84D88">
        <w:t>Chen, X., Liu, M., Zuo, L., Wu, X., Chen, M., Li, X., ... &amp; Hao, G. (2023). Environmental noise exposure and health outcomes: an umbrella review of systematic reviews and meta-analysis. </w:t>
      </w:r>
      <w:r w:rsidRPr="00A84D88">
        <w:rPr>
          <w:i/>
          <w:iCs/>
        </w:rPr>
        <w:t>European journal of public health</w:t>
      </w:r>
      <w:r w:rsidRPr="00A84D88">
        <w:t>, </w:t>
      </w:r>
      <w:r w:rsidRPr="00A84D88">
        <w:rPr>
          <w:i/>
          <w:iCs/>
        </w:rPr>
        <w:t>33</w:t>
      </w:r>
      <w:r w:rsidRPr="00A84D88">
        <w:t>(4), 725-731.</w:t>
      </w:r>
    </w:p>
  </w:footnote>
  <w:footnote w:id="120">
    <w:p w14:paraId="6881CD97" w14:textId="77777777" w:rsidR="00F2666A" w:rsidRDefault="00F2666A" w:rsidP="0090234D">
      <w:pPr>
        <w:pStyle w:val="FootnoteText"/>
      </w:pPr>
      <w:r>
        <w:rPr>
          <w:rStyle w:val="FootnoteReference"/>
        </w:rPr>
        <w:footnoteRef/>
      </w:r>
      <w:r>
        <w:t xml:space="preserve"> </w:t>
      </w:r>
      <w:r w:rsidRPr="000264DB">
        <w:t>Verhaeghe, N., Vandenbulcke, B., Lelie, M., Annemans, L., Simoens, S., &amp; Putman, K. (2025). Cost-Effectiveness of Strategies Addressing Environmental Noise: A Systematic Literature Review. </w:t>
      </w:r>
      <w:r w:rsidRPr="000264DB">
        <w:rPr>
          <w:i/>
          <w:iCs/>
        </w:rPr>
        <w:t>International Journal of Environmental Research and Public Health</w:t>
      </w:r>
      <w:r w:rsidRPr="000264DB">
        <w:t>, </w:t>
      </w:r>
      <w:r w:rsidRPr="000264DB">
        <w:rPr>
          <w:i/>
          <w:iCs/>
        </w:rPr>
        <w:t>22</w:t>
      </w:r>
      <w:r w:rsidRPr="000264DB">
        <w:t>(5), 803.</w:t>
      </w:r>
    </w:p>
  </w:footnote>
  <w:footnote w:id="121">
    <w:p w14:paraId="56B9029B" w14:textId="77777777" w:rsidR="00F2666A" w:rsidRDefault="00F2666A" w:rsidP="0090234D">
      <w:pPr>
        <w:pStyle w:val="FootnoteText"/>
      </w:pPr>
      <w:r>
        <w:rPr>
          <w:rStyle w:val="FootnoteReference"/>
        </w:rPr>
        <w:footnoteRef/>
      </w:r>
      <w:r>
        <w:t xml:space="preserve"> </w:t>
      </w:r>
      <w:r w:rsidRPr="00DB18F7">
        <w:t>Kim, K., Shin, J., Oh, M., &amp; Jung, J. K. (2019). Economic value of traffic noise reduction depending on residents’ annoyance level. </w:t>
      </w:r>
      <w:r w:rsidRPr="00DB18F7">
        <w:rPr>
          <w:i/>
          <w:iCs/>
        </w:rPr>
        <w:t>Environmental Science and Pollution Research</w:t>
      </w:r>
      <w:r w:rsidRPr="00DB18F7">
        <w:t>, </w:t>
      </w:r>
      <w:r w:rsidRPr="00DB18F7">
        <w:rPr>
          <w:i/>
          <w:iCs/>
        </w:rPr>
        <w:t>26</w:t>
      </w:r>
      <w:r w:rsidRPr="00DB18F7">
        <w:t>(7), 7243-7255.</w:t>
      </w:r>
    </w:p>
  </w:footnote>
  <w:footnote w:id="122">
    <w:p w14:paraId="12A5CB9A" w14:textId="77777777" w:rsidR="00F2666A" w:rsidRDefault="00F2666A" w:rsidP="0090234D">
      <w:pPr>
        <w:pStyle w:val="FootnoteText"/>
      </w:pPr>
      <w:r>
        <w:rPr>
          <w:rStyle w:val="FootnoteReference"/>
        </w:rPr>
        <w:footnoteRef/>
      </w:r>
      <w:r w:rsidRPr="00D911A8">
        <w:t>Rossi, I. A., Vienneau, D., Ragettli, M. S., Flückiger, B., &amp; Röösli, M. (2020). Estimating the health benefits associated with a speed limit reduction to thirty kilometres per hour: A health impact assessment of noise and road traffic crashes for the Swiss city of Lausanne. </w:t>
      </w:r>
      <w:r w:rsidRPr="00D911A8">
        <w:rPr>
          <w:i/>
          <w:iCs/>
        </w:rPr>
        <w:t>Environment international</w:t>
      </w:r>
      <w:r w:rsidRPr="00D911A8">
        <w:t>, </w:t>
      </w:r>
      <w:r w:rsidRPr="00D911A8">
        <w:rPr>
          <w:i/>
          <w:iCs/>
        </w:rPr>
        <w:t>145</w:t>
      </w:r>
      <w:r w:rsidRPr="00D911A8">
        <w:t>, 106126.</w:t>
      </w:r>
      <w:r>
        <w:t xml:space="preserve"> </w:t>
      </w:r>
    </w:p>
  </w:footnote>
  <w:footnote w:id="123">
    <w:p w14:paraId="7D809DDF" w14:textId="77777777" w:rsidR="00F2666A" w:rsidRDefault="00F2666A" w:rsidP="0090234D">
      <w:pPr>
        <w:pStyle w:val="FootnoteText"/>
      </w:pPr>
      <w:r>
        <w:rPr>
          <w:rStyle w:val="FootnoteReference"/>
        </w:rPr>
        <w:footnoteRef/>
      </w:r>
      <w:r>
        <w:t xml:space="preserve"> </w:t>
      </w:r>
      <w:r w:rsidRPr="00B41B64">
        <w:t>Mustafa, S., Sekiya, H., Hamajima, A., Maeda, I., &amp; Hirano, S. (2021). Effects of speeds and weights of travelling vehicles on the road surface temperature. </w:t>
      </w:r>
      <w:r w:rsidRPr="00B41B64">
        <w:rPr>
          <w:i/>
          <w:iCs/>
        </w:rPr>
        <w:t>Transportation Engineering</w:t>
      </w:r>
      <w:r w:rsidRPr="00B41B64">
        <w:t>, </w:t>
      </w:r>
      <w:r w:rsidRPr="00B41B64">
        <w:rPr>
          <w:i/>
          <w:iCs/>
        </w:rPr>
        <w:t>5</w:t>
      </w:r>
      <w:r w:rsidRPr="00B41B64">
        <w:t>, 100077.</w:t>
      </w:r>
    </w:p>
  </w:footnote>
  <w:footnote w:id="124">
    <w:p w14:paraId="0731968D" w14:textId="77777777" w:rsidR="00F2666A" w:rsidRDefault="00F2666A" w:rsidP="000C2CE6">
      <w:pPr>
        <w:pStyle w:val="FootnoteText"/>
      </w:pPr>
      <w:r>
        <w:rPr>
          <w:rStyle w:val="FootnoteReference"/>
        </w:rPr>
        <w:footnoteRef/>
      </w:r>
      <w:r>
        <w:t xml:space="preserve"> Austroads (2010). </w:t>
      </w:r>
      <w:r w:rsidRPr="002C6347">
        <w:rPr>
          <w:i/>
          <w:iCs/>
        </w:rPr>
        <w:t>Impact of Lower Speed Limits for Road Safety on Network Operations</w:t>
      </w:r>
      <w:r>
        <w:rPr>
          <w:i/>
          <w:iCs/>
        </w:rPr>
        <w:t xml:space="preserve">. </w:t>
      </w:r>
      <w:r w:rsidRPr="00893A86">
        <w:t>Austroads Ltd.</w:t>
      </w:r>
      <w:r>
        <w:t xml:space="preserve"> Pg 14</w:t>
      </w:r>
    </w:p>
  </w:footnote>
  <w:footnote w:id="125">
    <w:p w14:paraId="14695F70" w14:textId="77777777" w:rsidR="00F2666A" w:rsidRDefault="00F2666A" w:rsidP="000C2CE6">
      <w:pPr>
        <w:pStyle w:val="FootnoteText"/>
      </w:pPr>
      <w:r>
        <w:rPr>
          <w:rStyle w:val="FootnoteReference"/>
        </w:rPr>
        <w:footnoteRef/>
      </w:r>
      <w:r>
        <w:t xml:space="preserve"> Ibid.</w:t>
      </w:r>
    </w:p>
  </w:footnote>
  <w:footnote w:id="126">
    <w:p w14:paraId="297F18B7" w14:textId="7EFE9335" w:rsidR="00F2666A" w:rsidRPr="00FE2DED" w:rsidRDefault="00F2666A" w:rsidP="000C2CE6">
      <w:pPr>
        <w:pStyle w:val="FootnoteText"/>
      </w:pPr>
      <w:r>
        <w:rPr>
          <w:rStyle w:val="FootnoteReference"/>
        </w:rPr>
        <w:footnoteRef/>
      </w:r>
      <w:r>
        <w:t xml:space="preserve"> InDaily SA, 2025. </w:t>
      </w:r>
      <w:r w:rsidRPr="00FE2DED">
        <w:rPr>
          <w:i/>
          <w:iCs/>
        </w:rPr>
        <w:t>Council rejects blanket 30</w:t>
      </w:r>
      <w:r>
        <w:rPr>
          <w:i/>
          <w:iCs/>
        </w:rPr>
        <w:t xml:space="preserve"> km/h</w:t>
      </w:r>
      <w:r w:rsidRPr="00FE2DED">
        <w:rPr>
          <w:i/>
          <w:iCs/>
        </w:rPr>
        <w:t xml:space="preserve"> speed limits</w:t>
      </w:r>
      <w:r>
        <w:t xml:space="preserve">. </w:t>
      </w:r>
      <w:hyperlink r:id="rId62" w:history="1">
        <w:r w:rsidRPr="00ED2FCF">
          <w:rPr>
            <w:rStyle w:val="Hyperlink"/>
          </w:rPr>
          <w:t>https://www.indailysa.com.au/news/just-in/2025/01/29/council-rejects-blanket-30km-h-speed-limits</w:t>
        </w:r>
      </w:hyperlink>
      <w:r>
        <w:t xml:space="preserve"> </w:t>
      </w:r>
    </w:p>
  </w:footnote>
  <w:footnote w:id="127">
    <w:p w14:paraId="0BE3F3D5" w14:textId="77777777" w:rsidR="00F2666A" w:rsidRDefault="00F2666A" w:rsidP="000C2CE6">
      <w:pPr>
        <w:pStyle w:val="FootnoteText"/>
      </w:pPr>
      <w:r>
        <w:rPr>
          <w:rStyle w:val="FootnoteReference"/>
        </w:rPr>
        <w:footnoteRef/>
      </w:r>
      <w:r>
        <w:t xml:space="preserve"> BBC, 2024. </w:t>
      </w:r>
      <w:r w:rsidRPr="00476B33">
        <w:rPr>
          <w:i/>
          <w:iCs/>
        </w:rPr>
        <w:t>£5m pot for 20mph roads review after backlash</w:t>
      </w:r>
      <w:r>
        <w:rPr>
          <w:i/>
          <w:iCs/>
        </w:rPr>
        <w:t xml:space="preserve">. </w:t>
      </w:r>
      <w:hyperlink r:id="rId63" w:history="1">
        <w:r w:rsidRPr="00ED2FCF">
          <w:rPr>
            <w:rStyle w:val="Hyperlink"/>
          </w:rPr>
          <w:t>https://www.bbc.com/news/articles/c51ydq51e57o</w:t>
        </w:r>
      </w:hyperlink>
      <w:r>
        <w:t xml:space="preserve"> </w:t>
      </w:r>
    </w:p>
  </w:footnote>
  <w:footnote w:id="128">
    <w:p w14:paraId="5FA9820C" w14:textId="77777777" w:rsidR="00F2666A" w:rsidRDefault="00F2666A" w:rsidP="00867A18">
      <w:pPr>
        <w:pStyle w:val="FootnoteText"/>
      </w:pPr>
      <w:r>
        <w:rPr>
          <w:rStyle w:val="FootnoteReference"/>
        </w:rPr>
        <w:footnoteRef/>
      </w:r>
      <w:r>
        <w:t xml:space="preserve"> Australian Transport Assessment and Planning Guidelines, </w:t>
      </w:r>
      <w:r>
        <w:rPr>
          <w:i/>
          <w:iCs/>
        </w:rPr>
        <w:t xml:space="preserve">Crash costs. </w:t>
      </w:r>
      <w:hyperlink r:id="rId64" w:history="1">
        <w:r>
          <w:rPr>
            <w:rStyle w:val="Hyperlink"/>
            <w:i/>
            <w:iCs/>
          </w:rPr>
          <w:t>https://www.atap.gov.au/parameter-values/road-transport/4-crash-costs</w:t>
        </w:r>
      </w:hyperlink>
    </w:p>
  </w:footnote>
  <w:footnote w:id="129">
    <w:p w14:paraId="4D7363FE" w14:textId="1354FD34" w:rsidR="00F2666A" w:rsidRPr="008057AF" w:rsidRDefault="00F2666A" w:rsidP="008057AF">
      <w:pPr>
        <w:pStyle w:val="FootnoteText"/>
        <w:ind w:left="142" w:hanging="142"/>
      </w:pPr>
      <w:r>
        <w:rPr>
          <w:rStyle w:val="FootnoteReference"/>
        </w:rPr>
        <w:footnoteRef/>
      </w:r>
      <w:r>
        <w:t xml:space="preserve"> OIA (2024) </w:t>
      </w:r>
      <w:r>
        <w:rPr>
          <w:i/>
          <w:iCs/>
        </w:rPr>
        <w:t>Regulatory Burden Measurement Framework</w:t>
      </w:r>
      <w:r>
        <w:t xml:space="preserve">. Accessed at: </w:t>
      </w:r>
      <w:hyperlink r:id="rId65" w:history="1">
        <w:r w:rsidRPr="0048484A">
          <w:rPr>
            <w:rStyle w:val="Hyperlink"/>
          </w:rPr>
          <w:t>https://oia.pmc.gov.au/sites/default/files/2024-02/regulatory-burden-measurement-framework.pdf</w:t>
        </w:r>
      </w:hyperlink>
      <w:r>
        <w:t xml:space="preserve"> </w:t>
      </w:r>
    </w:p>
  </w:footnote>
  <w:footnote w:id="130">
    <w:p w14:paraId="24C111A1" w14:textId="4691E002" w:rsidR="00F2666A" w:rsidRDefault="00F2666A">
      <w:pPr>
        <w:pStyle w:val="FootnoteText"/>
      </w:pPr>
      <w:r>
        <w:rPr>
          <w:rStyle w:val="FootnoteReference"/>
        </w:rPr>
        <w:footnoteRef/>
      </w:r>
      <w:r>
        <w:t xml:space="preserve"> The information in this section relating to the implementation</w:t>
      </w:r>
      <w:r w:rsidRPr="00306C4B">
        <w:t>, review and evaluation of the proposed policy</w:t>
      </w:r>
      <w:r>
        <w:t xml:space="preserve"> was provided by the NTC.</w:t>
      </w:r>
    </w:p>
  </w:footnote>
  <w:footnote w:id="131">
    <w:p w14:paraId="1547E8D1" w14:textId="4F2DAD11" w:rsidR="00F2666A" w:rsidRPr="00BB1ED6" w:rsidRDefault="00F2666A" w:rsidP="00BD567F">
      <w:pPr>
        <w:pStyle w:val="FootnoteText"/>
      </w:pPr>
      <w:r w:rsidRPr="00BB1ED6">
        <w:rPr>
          <w:rStyle w:val="FootnoteReference"/>
        </w:rPr>
        <w:footnoteRef/>
      </w:r>
      <w:r w:rsidRPr="00BB1ED6">
        <w:t xml:space="preserve"> The impacts of the full range of scenarios analysed are included in Chapter</w:t>
      </w:r>
      <w:r>
        <w:t xml:space="preserve"> 5</w:t>
      </w:r>
      <w:r w:rsidRPr="00BB1ED6">
        <w:t>.</w:t>
      </w:r>
    </w:p>
  </w:footnote>
  <w:footnote w:id="132">
    <w:p w14:paraId="4B8D4C34" w14:textId="77777777" w:rsidR="00F2666A" w:rsidRPr="00573572" w:rsidRDefault="00F2666A" w:rsidP="00BD567F">
      <w:pPr>
        <w:pStyle w:val="FootnoteText"/>
        <w:rPr>
          <w:lang w:val="en-US"/>
        </w:rPr>
      </w:pPr>
      <w:r>
        <w:rPr>
          <w:rStyle w:val="FootnoteReference"/>
        </w:rPr>
        <w:footnoteRef/>
      </w:r>
      <w:r>
        <w:t xml:space="preserve"> </w:t>
      </w:r>
      <w:r w:rsidRPr="00DB2EFC">
        <w:t xml:space="preserve">Commonwealth of Australia, Department of the Prime Minister and Cabinet. (2020). </w:t>
      </w:r>
      <w:r w:rsidRPr="008A6F7E">
        <w:rPr>
          <w:i/>
          <w:iCs/>
        </w:rPr>
        <w:t>Cost-benefit analysis guidance note</w:t>
      </w:r>
      <w:r w:rsidRPr="00DB2EFC">
        <w:t xml:space="preserve">, March, p. </w:t>
      </w:r>
      <w:r>
        <w:t>12</w:t>
      </w:r>
      <w:r w:rsidRPr="00DB2EFC">
        <w:t>.</w:t>
      </w:r>
    </w:p>
  </w:footnote>
  <w:footnote w:id="133">
    <w:p w14:paraId="06B1550A" w14:textId="77777777" w:rsidR="00F2666A" w:rsidRPr="00074308" w:rsidRDefault="00F2666A" w:rsidP="00BD567F">
      <w:pPr>
        <w:pStyle w:val="FootnoteText"/>
        <w:rPr>
          <w:lang w:val="en-US"/>
        </w:rPr>
      </w:pPr>
      <w:r>
        <w:rPr>
          <w:rStyle w:val="FootnoteReference"/>
        </w:rPr>
        <w:footnoteRef/>
      </w:r>
      <w:r>
        <w:t xml:space="preserve"> </w:t>
      </w:r>
      <w:r>
        <w:rPr>
          <w:lang w:val="en-US"/>
        </w:rPr>
        <w:t>Ibid., p. 9.</w:t>
      </w:r>
    </w:p>
  </w:footnote>
  <w:footnote w:id="134">
    <w:p w14:paraId="5C18148F" w14:textId="77777777" w:rsidR="00F2666A" w:rsidRPr="00A703B7" w:rsidRDefault="00F2666A" w:rsidP="00BD567F">
      <w:pPr>
        <w:pStyle w:val="FootnoteText"/>
        <w:rPr>
          <w:lang w:val="en-US"/>
        </w:rPr>
      </w:pPr>
      <w:r>
        <w:rPr>
          <w:rStyle w:val="FootnoteReference"/>
        </w:rPr>
        <w:footnoteRef/>
      </w:r>
      <w:r>
        <w:t xml:space="preserve"> </w:t>
      </w:r>
      <w:r>
        <w:rPr>
          <w:lang w:val="en-US"/>
        </w:rPr>
        <w:t>Ibid., p. 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160C3" w14:textId="77777777" w:rsidR="00F2666A" w:rsidRDefault="00F2666A" w:rsidP="00546218">
    <w:pPr>
      <w:pStyle w:val="Header"/>
      <w:spacing w:after="13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9C805" w14:textId="5A04BCBF" w:rsidR="00F2666A" w:rsidRPr="00792138" w:rsidRDefault="00F2666A" w:rsidP="00846F1D">
    <w:pPr>
      <w:pStyle w:val="Header"/>
      <w:rPr>
        <w:rFonts w:cs="Segoe UI Light"/>
        <w:color w:val="001C40"/>
        <w:sz w:val="20"/>
        <w:szCs w:val="20"/>
      </w:rPr>
    </w:pPr>
    <w:r>
      <w:rPr>
        <w:rFonts w:cs="Segoe UI Light"/>
        <w:color w:val="001C40"/>
        <w:sz w:val="20"/>
        <w:szCs w:val="20"/>
      </w:rPr>
      <w:fldChar w:fldCharType="begin"/>
    </w:r>
    <w:r>
      <w:rPr>
        <w:rFonts w:cs="Segoe UI Light"/>
        <w:color w:val="001C40"/>
        <w:sz w:val="20"/>
        <w:szCs w:val="20"/>
      </w:rPr>
      <w:instrText xml:space="preserve"> STYLEREF  "Heading 2—not showing"  \* MERGEFORMAT </w:instrText>
    </w:r>
    <w:r>
      <w:rPr>
        <w:rFonts w:cs="Segoe UI Light"/>
        <w:color w:val="001C40"/>
        <w:sz w:val="20"/>
        <w:szCs w:val="20"/>
      </w:rPr>
      <w:fldChar w:fldCharType="separate"/>
    </w:r>
    <w:r w:rsidR="00E25C26">
      <w:rPr>
        <w:rFonts w:cs="Segoe UI Light"/>
        <w:noProof/>
        <w:color w:val="001C40"/>
        <w:sz w:val="20"/>
        <w:szCs w:val="20"/>
      </w:rPr>
      <w:t>List of figures and tables</w:t>
    </w:r>
    <w:r>
      <w:rPr>
        <w:rFonts w:cs="Segoe UI Light"/>
        <w:color w:val="001C40"/>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3F338" w14:textId="4A5DBBF2" w:rsidR="00F2666A" w:rsidRPr="00792138" w:rsidRDefault="00F2666A" w:rsidP="00753118">
    <w:pPr>
      <w:pStyle w:val="Header"/>
      <w:tabs>
        <w:tab w:val="clear" w:pos="4513"/>
        <w:tab w:val="clear" w:pos="9026"/>
        <w:tab w:val="left" w:pos="567"/>
        <w:tab w:val="right" w:pos="9781"/>
      </w:tabs>
      <w:rPr>
        <w:rFonts w:cs="Segoe UI Light"/>
        <w:color w:val="001C40"/>
        <w:sz w:val="20"/>
        <w:szCs w:val="20"/>
      </w:rPr>
    </w:pPr>
    <w:r w:rsidRPr="00792138">
      <w:rPr>
        <w:rFonts w:cs="Segoe UI Light"/>
        <w:color w:val="001C40"/>
        <w:sz w:val="20"/>
        <w:szCs w:val="20"/>
      </w:rPr>
      <w:fldChar w:fldCharType="begin"/>
    </w:r>
    <w:r w:rsidRPr="00792138">
      <w:rPr>
        <w:rFonts w:cs="Segoe UI Light"/>
        <w:color w:val="001C40"/>
        <w:sz w:val="20"/>
        <w:szCs w:val="20"/>
      </w:rPr>
      <w:instrText xml:space="preserve"> STYLEREF  "Heading 2"  \* MERGEFORMAT </w:instrText>
    </w:r>
    <w:r w:rsidRPr="00792138">
      <w:rPr>
        <w:rFonts w:cs="Segoe UI Light"/>
        <w:color w:val="001C40"/>
        <w:sz w:val="20"/>
        <w:szCs w:val="20"/>
      </w:rPr>
      <w:fldChar w:fldCharType="separate"/>
    </w:r>
    <w:r w:rsidR="00E25C26" w:rsidRPr="00E25C26">
      <w:rPr>
        <w:rFonts w:cs="Segoe UI Light"/>
        <w:bCs/>
        <w:noProof/>
        <w:color w:val="001C40"/>
        <w:sz w:val="20"/>
        <w:szCs w:val="20"/>
        <w:lang w:val="en-US"/>
      </w:rPr>
      <w:t>Appendix</w:t>
    </w:r>
    <w:r w:rsidR="00E25C26">
      <w:rPr>
        <w:rFonts w:cs="Segoe UI Light"/>
        <w:noProof/>
        <w:color w:val="001C40"/>
        <w:sz w:val="20"/>
        <w:szCs w:val="20"/>
      </w:rPr>
      <w:t xml:space="preserve"> A—Stakeholder consultation overview</w:t>
    </w:r>
    <w:r w:rsidRPr="00792138">
      <w:rPr>
        <w:rFonts w:cs="Segoe UI Light"/>
        <w:color w:val="001C40"/>
        <w:sz w:val="20"/>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Status"/>
      <w:tag w:val=""/>
      <w:id w:val="-1075507228"/>
      <w:dataBinding w:prefixMappings="xmlns:ns0='http://purl.org/dc/elements/1.1/' xmlns:ns1='http://schemas.openxmlformats.org/package/2006/metadata/core-properties' " w:xpath="/ns1:coreProperties[1]/ns1:contentStatus[1]" w:storeItemID="{6C3C8BC8-F283-45AE-878A-BAB7291924A1}"/>
      <w:text/>
    </w:sdtPr>
    <w:sdtContent>
      <w:p w14:paraId="5FB21EFF" w14:textId="77777777" w:rsidR="00F2666A" w:rsidRDefault="00F2666A" w:rsidP="00827492">
        <w:pPr>
          <w:pStyle w:val="SecurityMarker"/>
        </w:pPr>
        <w:r>
          <w:t>OFFICIAL / OFFICIAL: SENSITIVE / PROTECTEDSELECT THE CLASSIFICATION MARKER ABOVE THAT APPLIES TO YOUR DOCUMENT, THEN DELETE THE OTHERS AND THIS TEXT&gt;</w:t>
        </w:r>
      </w:p>
    </w:sdtContent>
  </w:sdt>
  <w:p w14:paraId="4F5C13FF" w14:textId="0808A2D4" w:rsidR="00F2666A" w:rsidRDefault="00F2666A" w:rsidP="00BA24FB">
    <w:pPr>
      <w:pStyle w:val="Header"/>
      <w:spacing w:after="720"/>
    </w:pPr>
    <w:fldSimple w:instr=" STYLEREF  &quot;Heading 1&quot; \l  \* MERGEFORMAT ">
      <w:r>
        <w:rPr>
          <w:noProof/>
        </w:rPr>
        <w:t>Executive summary</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DA5008"/>
    <w:lvl w:ilvl="0">
      <w:start w:val="1"/>
      <w:numFmt w:val="decimal"/>
      <w:lvlText w:val="%1."/>
      <w:lvlJc w:val="left"/>
      <w:pPr>
        <w:tabs>
          <w:tab w:val="num" w:pos="1492"/>
        </w:tabs>
        <w:ind w:left="1492" w:hanging="360"/>
      </w:pPr>
    </w:lvl>
  </w:abstractNum>
  <w:abstractNum w:abstractNumId="1" w15:restartNumberingAfterBreak="0">
    <w:nsid w:val="FFFFFF89"/>
    <w:multiLevelType w:val="singleLevel"/>
    <w:tmpl w:val="5694C13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843474"/>
    <w:multiLevelType w:val="multilevel"/>
    <w:tmpl w:val="8B9A0E4E"/>
    <w:numStyleLink w:val="aacTableListBullets"/>
  </w:abstractNum>
  <w:abstractNum w:abstractNumId="3" w15:restartNumberingAfterBreak="0">
    <w:nsid w:val="03CE1618"/>
    <w:multiLevelType w:val="multilevel"/>
    <w:tmpl w:val="8B388342"/>
    <w:numStyleLink w:val="aaclstStyleTableQuoteSmall"/>
  </w:abstractNum>
  <w:abstractNum w:abstractNumId="4" w15:restartNumberingAfterBreak="0">
    <w:nsid w:val="04F552B9"/>
    <w:multiLevelType w:val="multilevel"/>
    <w:tmpl w:val="84B22990"/>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5177354"/>
    <w:multiLevelType w:val="multilevel"/>
    <w:tmpl w:val="2710FC3C"/>
    <w:styleLink w:val="aaclstStyleAppendices"/>
    <w:lvl w:ilvl="0">
      <w:start w:val="1"/>
      <w:numFmt w:val="upperLetter"/>
      <w:lvlText w:val="%1"/>
      <w:lvlJc w:val="right"/>
      <w:pPr>
        <w:ind w:left="0" w:hanging="360"/>
      </w:pPr>
      <w:rPr>
        <w:rFonts w:ascii="Yu Gothic Medium" w:eastAsia="Yu Gothic Medium" w:hAnsi="Yu Gothic Medium" w:hint="eastAsia"/>
        <w:color w:val="140034"/>
      </w:rPr>
    </w:lvl>
    <w:lvl w:ilvl="1">
      <w:start w:val="1"/>
      <w:numFmt w:val="decimal"/>
      <w:lvlText w:val="%1.%2"/>
      <w:lvlJc w:val="right"/>
      <w:pPr>
        <w:ind w:left="0" w:hanging="360"/>
      </w:pPr>
      <w:rPr>
        <w:rFonts w:ascii="Yu Gothic Medium" w:eastAsia="Yu Gothic Medium" w:hAnsi="Yu Gothic Medium" w:hint="eastAsia"/>
      </w:rPr>
    </w:lvl>
    <w:lvl w:ilvl="2">
      <w:start w:val="1"/>
      <w:numFmt w:val="decimal"/>
      <w:lvlText w:val="%1.%2.%3"/>
      <w:lvlJc w:val="left"/>
      <w:pPr>
        <w:tabs>
          <w:tab w:val="num" w:pos="1020"/>
        </w:tabs>
        <w:ind w:left="1000" w:hanging="1000"/>
      </w:pPr>
      <w:rPr>
        <w:rFonts w:ascii="Yu Gothic Medium" w:eastAsia="Yu Gothic Medium" w:hAnsi="Yu Gothic Medium" w:hint="eastAsia"/>
        <w:sz w:val="28"/>
      </w:rPr>
    </w:lvl>
    <w:lvl w:ilvl="3">
      <w:start w:val="1"/>
      <w:numFmt w:val="none"/>
      <w:suff w:val="nothing"/>
      <w:lvlText w:val=""/>
      <w:lvlJc w:val="left"/>
      <w:pPr>
        <w:tabs>
          <w:tab w:val="num" w:pos="0"/>
        </w:tabs>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06D55B15"/>
    <w:multiLevelType w:val="multilevel"/>
    <w:tmpl w:val="5A967E5C"/>
    <w:styleLink w:val="aaHeadingnonumberList"/>
    <w:lvl w:ilvl="0">
      <w:start w:val="1"/>
      <w:numFmt w:val="none"/>
      <w:suff w:val="nothing"/>
      <w:lvlText w:val="%1"/>
      <w:lvlJc w:val="left"/>
      <w:pPr>
        <w:ind w:left="0" w:firstLine="0"/>
      </w:pPr>
      <w:rPr>
        <w:rFonts w:ascii="Yu Gothic Medium" w:hAnsi="Yu Gothic Medium" w:hint="default"/>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7" w15:restartNumberingAfterBreak="0">
    <w:nsid w:val="0D187B0E"/>
    <w:multiLevelType w:val="multilevel"/>
    <w:tmpl w:val="56D2329A"/>
    <w:numStyleLink w:val="aacTableListBulletssmall"/>
  </w:abstractNum>
  <w:abstractNum w:abstractNumId="8" w15:restartNumberingAfterBreak="0">
    <w:nsid w:val="0D621AED"/>
    <w:multiLevelType w:val="multilevel"/>
    <w:tmpl w:val="EC503B48"/>
    <w:lvl w:ilvl="0">
      <w:start w:val="1"/>
      <w:numFmt w:val="decimal"/>
      <w:lvlText w:val="%1."/>
      <w:lvlJc w:val="left"/>
      <w:pPr>
        <w:ind w:left="567" w:hanging="567"/>
      </w:pPr>
      <w:rPr>
        <w:rFonts w:hint="default"/>
      </w:rPr>
    </w:lvl>
    <w:lvl w:ilvl="1">
      <w:start w:val="1"/>
      <w:numFmt w:val="decimal"/>
      <w:lvlText w:val="%1.%2"/>
      <w:lvlJc w:val="left"/>
      <w:pPr>
        <w:ind w:left="1276" w:hanging="85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2E04B43"/>
    <w:multiLevelType w:val="multilevel"/>
    <w:tmpl w:val="298403DA"/>
    <w:lvl w:ilvl="0">
      <w:start w:val="1"/>
      <w:numFmt w:val="none"/>
      <w:lvlText w:val="%1"/>
      <w:lvlJc w:val="left"/>
      <w:pPr>
        <w:ind w:left="0" w:firstLine="0"/>
      </w:pPr>
      <w:rPr>
        <w:rFonts w:ascii="Yu Gothic Medium" w:hAnsi="Yu Gothic Medium" w:hint="default"/>
        <w:sz w:val="20"/>
      </w:rPr>
    </w:lvl>
    <w:lvl w:ilvl="1">
      <w:start w:val="1"/>
      <w:numFmt w:val="none"/>
      <w:suff w:val="nothing"/>
      <w:lvlText w:val="%2"/>
      <w:lvlJc w:val="right"/>
      <w:pPr>
        <w:ind w:left="567" w:hanging="567"/>
      </w:pPr>
      <w:rPr>
        <w:rFonts w:hint="default"/>
      </w:rPr>
    </w:lvl>
    <w:lvl w:ilvl="2">
      <w:start w:val="1"/>
      <w:numFmt w:val="none"/>
      <w:suff w:val="nothing"/>
      <w:lvlText w:val="%3"/>
      <w:lvlJc w:val="right"/>
      <w:pPr>
        <w:ind w:left="1134" w:hanging="567"/>
      </w:pPr>
      <w:rPr>
        <w:rFonts w:hint="default"/>
      </w:rPr>
    </w:lvl>
    <w:lvl w:ilvl="3">
      <w:start w:val="1"/>
      <w:numFmt w:val="none"/>
      <w:lvlText w:val=""/>
      <w:lvlJc w:val="left"/>
      <w:pPr>
        <w:ind w:left="1701" w:hanging="567"/>
      </w:pPr>
      <w:rPr>
        <w:rFonts w:hint="default"/>
      </w:rPr>
    </w:lvl>
    <w:lvl w:ilvl="4">
      <w:start w:val="1"/>
      <w:numFmt w:val="lowerLetter"/>
      <w:lvlText w:val="(%5)"/>
      <w:lvlJc w:val="left"/>
      <w:pPr>
        <w:ind w:left="336" w:hanging="336"/>
      </w:pPr>
      <w:rPr>
        <w:rFonts w:hint="default"/>
      </w:rPr>
    </w:lvl>
    <w:lvl w:ilvl="5">
      <w:start w:val="1"/>
      <w:numFmt w:val="none"/>
      <w:pStyle w:val="TOC6"/>
      <w:lvlText w:val=""/>
      <w:lvlJc w:val="left"/>
      <w:pPr>
        <w:ind w:left="336" w:hanging="336"/>
      </w:pPr>
      <w:rPr>
        <w:rFonts w:hint="default"/>
      </w:rPr>
    </w:lvl>
    <w:lvl w:ilvl="6">
      <w:start w:val="1"/>
      <w:numFmt w:val="none"/>
      <w:pStyle w:val="TOC7"/>
      <w:lvlText w:val="%7"/>
      <w:lvlJc w:val="left"/>
      <w:pPr>
        <w:ind w:left="0" w:firstLine="0"/>
      </w:pPr>
      <w:rPr>
        <w:rFonts w:hint="default"/>
        <w:color w:val="FFFEFF"/>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10" w15:restartNumberingAfterBreak="0">
    <w:nsid w:val="132B14F7"/>
    <w:multiLevelType w:val="multilevel"/>
    <w:tmpl w:val="56D2329A"/>
    <w:styleLink w:val="aacTableListBulletssmall"/>
    <w:lvl w:ilvl="0">
      <w:start w:val="1"/>
      <w:numFmt w:val="bullet"/>
      <w:pStyle w:val="Tablelistbulletsmall"/>
      <w:lvlText w:val="–"/>
      <w:lvlJc w:val="left"/>
      <w:pPr>
        <w:ind w:left="320" w:hanging="280"/>
      </w:pPr>
      <w:rPr>
        <w:rFonts w:ascii="Yu Gothic Medium" w:hAnsi="Yu Gothic Medium" w:hint="default"/>
        <w:sz w:val="15"/>
      </w:rPr>
    </w:lvl>
    <w:lvl w:ilvl="1">
      <w:start w:val="1"/>
      <w:numFmt w:val="bullet"/>
      <w:pStyle w:val="Tablelistbullet2small"/>
      <w:lvlText w:val="–"/>
      <w:lvlJc w:val="left"/>
      <w:pPr>
        <w:tabs>
          <w:tab w:val="num" w:pos="320"/>
        </w:tabs>
        <w:ind w:left="560" w:hanging="240"/>
      </w:pPr>
      <w:rPr>
        <w:rFonts w:ascii="Yu Gothic Medium" w:hAnsi="Yu Gothic Medium" w:hint="default"/>
        <w:sz w:val="15"/>
      </w:rPr>
    </w:lvl>
    <w:lvl w:ilvl="2">
      <w:start w:val="1"/>
      <w:numFmt w:val="bullet"/>
      <w:pStyle w:val="Tablelistbullet3small"/>
      <w:lvlText w:val="–"/>
      <w:lvlJc w:val="left"/>
      <w:pPr>
        <w:ind w:left="800" w:hanging="240"/>
      </w:pPr>
      <w:rPr>
        <w:rFonts w:ascii="Yu Gothic Medium" w:hAnsi="Yu Gothic Medium" w:hint="default"/>
        <w:sz w:val="15"/>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68E676F"/>
    <w:multiLevelType w:val="multilevel"/>
    <w:tmpl w:val="AC8C0954"/>
    <w:styleLink w:val="aacTableListNumberssmall"/>
    <w:lvl w:ilvl="0">
      <w:start w:val="1"/>
      <w:numFmt w:val="decimal"/>
      <w:pStyle w:val="Tablelistnumbersmall"/>
      <w:lvlText w:val="%1."/>
      <w:lvlJc w:val="left"/>
      <w:pPr>
        <w:ind w:left="320" w:hanging="280"/>
      </w:pPr>
      <w:rPr>
        <w:rFonts w:ascii="Yu Gothic Medium" w:hAnsi="Yu Gothic Medium" w:hint="default"/>
        <w:sz w:val="15"/>
      </w:rPr>
    </w:lvl>
    <w:lvl w:ilvl="1">
      <w:start w:val="1"/>
      <w:numFmt w:val="lowerLetter"/>
      <w:pStyle w:val="Tablelistnumber2small"/>
      <w:lvlText w:val="%2)"/>
      <w:lvlJc w:val="left"/>
      <w:pPr>
        <w:ind w:left="560" w:hanging="240"/>
      </w:pPr>
      <w:rPr>
        <w:rFonts w:ascii="Yu Gothic Medium" w:hAnsi="Yu Gothic Medium" w:hint="default"/>
        <w:sz w:val="15"/>
      </w:rPr>
    </w:lvl>
    <w:lvl w:ilvl="2">
      <w:start w:val="1"/>
      <w:numFmt w:val="lowerRoman"/>
      <w:pStyle w:val="Tablelistnumber3small"/>
      <w:lvlText w:val="%3)"/>
      <w:lvlJc w:val="left"/>
      <w:pPr>
        <w:ind w:left="800" w:hanging="240"/>
      </w:pPr>
      <w:rPr>
        <w:rFonts w:ascii="Yu Gothic Medium" w:hAnsi="Yu Gothic Medium" w:hint="default"/>
        <w:sz w:val="15"/>
      </w:rPr>
    </w:lvl>
    <w:lvl w:ilvl="3">
      <w:start w:val="1"/>
      <w:numFmt w:val="none"/>
      <w:lvlText w:val=""/>
      <w:lvlJc w:val="left"/>
      <w:pPr>
        <w:ind w:left="1021" w:hanging="340"/>
      </w:pPr>
      <w:rPr>
        <w:rFonts w:hint="default"/>
      </w:rPr>
    </w:lvl>
    <w:lvl w:ilvl="4">
      <w:start w:val="1"/>
      <w:numFmt w:val="none"/>
      <w:lvlText w:val=""/>
      <w:lvlJc w:val="left"/>
      <w:pPr>
        <w:ind w:left="1248" w:hanging="340"/>
      </w:pPr>
      <w:rPr>
        <w:rFonts w:hint="default"/>
      </w:rPr>
    </w:lvl>
    <w:lvl w:ilvl="5">
      <w:start w:val="1"/>
      <w:numFmt w:val="none"/>
      <w:lvlText w:val=""/>
      <w:lvlJc w:val="left"/>
      <w:pPr>
        <w:ind w:left="1475" w:hanging="340"/>
      </w:pPr>
      <w:rPr>
        <w:rFonts w:hint="default"/>
      </w:rPr>
    </w:lvl>
    <w:lvl w:ilvl="6">
      <w:start w:val="1"/>
      <w:numFmt w:val="none"/>
      <w:lvlText w:val=""/>
      <w:lvlJc w:val="left"/>
      <w:pPr>
        <w:ind w:left="1702" w:hanging="340"/>
      </w:pPr>
      <w:rPr>
        <w:rFonts w:hint="default"/>
      </w:rPr>
    </w:lvl>
    <w:lvl w:ilvl="7">
      <w:start w:val="1"/>
      <w:numFmt w:val="none"/>
      <w:lvlText w:val=""/>
      <w:lvlJc w:val="left"/>
      <w:pPr>
        <w:ind w:left="1929" w:hanging="340"/>
      </w:pPr>
      <w:rPr>
        <w:rFonts w:hint="default"/>
      </w:rPr>
    </w:lvl>
    <w:lvl w:ilvl="8">
      <w:start w:val="1"/>
      <w:numFmt w:val="none"/>
      <w:lvlText w:val=""/>
      <w:lvlJc w:val="left"/>
      <w:pPr>
        <w:ind w:left="2156" w:hanging="340"/>
      </w:pPr>
      <w:rPr>
        <w:rFonts w:hint="default"/>
      </w:rPr>
    </w:lvl>
  </w:abstractNum>
  <w:abstractNum w:abstractNumId="12" w15:restartNumberingAfterBreak="0">
    <w:nsid w:val="1877449B"/>
    <w:multiLevelType w:val="multilevel"/>
    <w:tmpl w:val="145205FC"/>
    <w:styleLink w:val="aaReportListDash"/>
    <w:lvl w:ilvl="0">
      <w:start w:val="1"/>
      <w:numFmt w:val="bullet"/>
      <w:lvlText w:val="—"/>
      <w:lvlJc w:val="left"/>
      <w:pPr>
        <w:ind w:left="0" w:hanging="448"/>
      </w:pPr>
      <w:rPr>
        <w:rFonts w:ascii="Arial Narrow" w:hAnsi="Arial Narrow" w:hint="default"/>
      </w:rPr>
    </w:lvl>
    <w:lvl w:ilvl="1">
      <w:start w:val="1"/>
      <w:numFmt w:val="bullet"/>
      <w:lvlText w:val="–"/>
      <w:lvlJc w:val="left"/>
      <w:pPr>
        <w:ind w:left="238" w:hanging="238"/>
      </w:pPr>
      <w:rPr>
        <w:rFonts w:ascii="Arial Narrow" w:hAnsi="Arial Narrow" w:hint="default"/>
      </w:rPr>
    </w:lvl>
    <w:lvl w:ilvl="2">
      <w:start w:val="1"/>
      <w:numFmt w:val="bullet"/>
      <w:lvlText w:val="−"/>
      <w:lvlJc w:val="left"/>
      <w:pPr>
        <w:ind w:left="482" w:hanging="244"/>
      </w:pPr>
      <w:rPr>
        <w:rFonts w:ascii="Arial Narrow" w:hAnsi="Arial Narrow" w:hint="default"/>
        <w:position w:val="-2"/>
      </w:rPr>
    </w:lvl>
    <w:lvl w:ilvl="3">
      <w:start w:val="1"/>
      <w:numFmt w:val="bullet"/>
      <w:lvlText w:val="−"/>
      <w:lvlJc w:val="left"/>
      <w:pPr>
        <w:ind w:left="0" w:hanging="448"/>
      </w:pPr>
      <w:rPr>
        <w:rFonts w:ascii="Calibri" w:hAnsi="Calibri" w:hint="default"/>
      </w:rPr>
    </w:lvl>
    <w:lvl w:ilvl="4">
      <w:start w:val="1"/>
      <w:numFmt w:val="bullet"/>
      <w:lvlText w:val="−"/>
      <w:lvlJc w:val="left"/>
      <w:pPr>
        <w:ind w:left="0" w:hanging="448"/>
      </w:pPr>
      <w:rPr>
        <w:rFonts w:ascii="Calibri" w:hAnsi="Calibri" w:hint="default"/>
      </w:rPr>
    </w:lvl>
    <w:lvl w:ilvl="5">
      <w:start w:val="1"/>
      <w:numFmt w:val="bullet"/>
      <w:lvlText w:val="−"/>
      <w:lvlJc w:val="left"/>
      <w:pPr>
        <w:ind w:left="0" w:hanging="448"/>
      </w:pPr>
      <w:rPr>
        <w:rFonts w:ascii="Calibri" w:hAnsi="Calibri" w:hint="default"/>
      </w:rPr>
    </w:lvl>
    <w:lvl w:ilvl="6">
      <w:start w:val="1"/>
      <w:numFmt w:val="bullet"/>
      <w:lvlText w:val="−"/>
      <w:lvlJc w:val="left"/>
      <w:pPr>
        <w:ind w:left="0" w:hanging="448"/>
      </w:pPr>
      <w:rPr>
        <w:rFonts w:ascii="Calibri" w:hAnsi="Calibri" w:hint="default"/>
      </w:rPr>
    </w:lvl>
    <w:lvl w:ilvl="7">
      <w:start w:val="1"/>
      <w:numFmt w:val="bullet"/>
      <w:lvlText w:val="−"/>
      <w:lvlJc w:val="left"/>
      <w:pPr>
        <w:ind w:left="0" w:hanging="448"/>
      </w:pPr>
      <w:rPr>
        <w:rFonts w:ascii="Calibri" w:hAnsi="Calibri" w:hint="default"/>
      </w:rPr>
    </w:lvl>
    <w:lvl w:ilvl="8">
      <w:start w:val="1"/>
      <w:numFmt w:val="bullet"/>
      <w:lvlText w:val="−"/>
      <w:lvlJc w:val="left"/>
      <w:pPr>
        <w:ind w:left="0" w:hanging="448"/>
      </w:pPr>
      <w:rPr>
        <w:rFonts w:ascii="Calibri" w:hAnsi="Calibri" w:hint="default"/>
      </w:rPr>
    </w:lvl>
  </w:abstractNum>
  <w:abstractNum w:abstractNumId="13" w15:restartNumberingAfterBreak="0">
    <w:nsid w:val="1C662060"/>
    <w:multiLevelType w:val="multilevel"/>
    <w:tmpl w:val="2EEC7E9A"/>
    <w:styleLink w:val="aaclstStyleHeadingApp"/>
    <w:lvl w:ilvl="0">
      <w:start w:val="1"/>
      <w:numFmt w:val="upperLetter"/>
      <w:lvlText w:val="%1"/>
      <w:lvlJc w:val="right"/>
      <w:pPr>
        <w:ind w:left="0" w:hanging="240"/>
      </w:pPr>
      <w:rPr>
        <w:rFonts w:hint="default"/>
      </w:rPr>
    </w:lvl>
    <w:lvl w:ilvl="1">
      <w:start w:val="1"/>
      <w:numFmt w:val="decimal"/>
      <w:lvlText w:val="%1.%2"/>
      <w:lvlJc w:val="right"/>
      <w:pPr>
        <w:ind w:left="0" w:hanging="24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2073059B"/>
    <w:multiLevelType w:val="multilevel"/>
    <w:tmpl w:val="03FC43F2"/>
    <w:styleLink w:val="aaclstStyleBoxListNumbers"/>
    <w:lvl w:ilvl="0">
      <w:start w:val="1"/>
      <w:numFmt w:val="decimal"/>
      <w:pStyle w:val="BoxListNumber"/>
      <w:lvlText w:val="%1."/>
      <w:lvlJc w:val="left"/>
      <w:pPr>
        <w:ind w:left="312" w:hanging="312"/>
      </w:pPr>
      <w:rPr>
        <w:rFonts w:ascii="Yu Gothic Medium" w:hAnsi="Yu Gothic Medium" w:hint="default"/>
        <w:sz w:val="21"/>
      </w:rPr>
    </w:lvl>
    <w:lvl w:ilvl="1">
      <w:start w:val="1"/>
      <w:numFmt w:val="lowerLetter"/>
      <w:pStyle w:val="BoxListNumber2"/>
      <w:lvlText w:val="%2)"/>
      <w:lvlJc w:val="left"/>
      <w:pPr>
        <w:ind w:left="592" w:hanging="280"/>
      </w:pPr>
      <w:rPr>
        <w:rFonts w:ascii="Yu Gothic Medium" w:hAnsi="Yu Gothic Medium" w:hint="default"/>
        <w:sz w:val="21"/>
      </w:rPr>
    </w:lvl>
    <w:lvl w:ilvl="2">
      <w:start w:val="1"/>
      <w:numFmt w:val="lowerRoman"/>
      <w:pStyle w:val="BoxListNumber3"/>
      <w:lvlText w:val="%3)"/>
      <w:lvlJc w:val="left"/>
      <w:pPr>
        <w:ind w:left="832" w:hanging="240"/>
      </w:pPr>
      <w:rPr>
        <w:rFonts w:ascii="Yu Gothic Medium" w:hAnsi="Yu Gothic Medium" w:hint="default"/>
        <w:sz w:val="21"/>
      </w:rPr>
    </w:lvl>
    <w:lvl w:ilvl="3">
      <w:start w:val="1"/>
      <w:numFmt w:val="decimal"/>
      <w:lvlText w:val="%4."/>
      <w:lvlJc w:val="left"/>
      <w:pPr>
        <w:ind w:left="2880" w:hanging="360"/>
      </w:pPr>
      <w:rPr>
        <w:rFonts w:ascii="Yu Gothic Medium" w:hAnsi="Yu Gothic Medium" w:hint="default"/>
        <w:sz w:val="21"/>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15B4B03"/>
    <w:multiLevelType w:val="multilevel"/>
    <w:tmpl w:val="0E2ADDE0"/>
    <w:numStyleLink w:val="aaclstStyleHeadingNumbered"/>
  </w:abstractNum>
  <w:abstractNum w:abstractNumId="16" w15:restartNumberingAfterBreak="0">
    <w:nsid w:val="243709AB"/>
    <w:multiLevelType w:val="multilevel"/>
    <w:tmpl w:val="AC8C0954"/>
    <w:numStyleLink w:val="aacTableListNumberssmall"/>
  </w:abstractNum>
  <w:abstractNum w:abstractNumId="17" w15:restartNumberingAfterBreak="0">
    <w:nsid w:val="24E92756"/>
    <w:multiLevelType w:val="hybridMultilevel"/>
    <w:tmpl w:val="513A850A"/>
    <w:lvl w:ilvl="0" w:tplc="5112A3F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124F0F"/>
    <w:multiLevelType w:val="multilevel"/>
    <w:tmpl w:val="8ABE3CAA"/>
    <w:styleLink w:val="aacTableListNumbers"/>
    <w:lvl w:ilvl="0">
      <w:start w:val="1"/>
      <w:numFmt w:val="decimal"/>
      <w:pStyle w:val="Tablelistnumber"/>
      <w:lvlText w:val="%1."/>
      <w:lvlJc w:val="left"/>
      <w:pPr>
        <w:ind w:left="360" w:hanging="320"/>
      </w:pPr>
      <w:rPr>
        <w:rFonts w:ascii="Yu Gothic Medium" w:hAnsi="Yu Gothic Medium" w:hint="default"/>
        <w:sz w:val="19"/>
      </w:rPr>
    </w:lvl>
    <w:lvl w:ilvl="1">
      <w:start w:val="1"/>
      <w:numFmt w:val="lowerLetter"/>
      <w:pStyle w:val="Tablelistnumber2"/>
      <w:lvlText w:val="%2)"/>
      <w:lvlJc w:val="left"/>
      <w:pPr>
        <w:ind w:left="760" w:hanging="400"/>
      </w:pPr>
      <w:rPr>
        <w:rFonts w:ascii="Yu Gothic Medium" w:hAnsi="Yu Gothic Medium" w:hint="default"/>
        <w:sz w:val="19"/>
      </w:rPr>
    </w:lvl>
    <w:lvl w:ilvl="2">
      <w:start w:val="1"/>
      <w:numFmt w:val="lowerRoman"/>
      <w:pStyle w:val="Tablelistnumber3"/>
      <w:lvlText w:val="%3)"/>
      <w:lvlJc w:val="left"/>
      <w:pPr>
        <w:ind w:left="980" w:hanging="220"/>
      </w:pPr>
      <w:rPr>
        <w:rFonts w:ascii="Yu Gothic Medium" w:hAnsi="Yu Gothic Medium" w:hint="default"/>
        <w:sz w:val="19"/>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19" w15:restartNumberingAfterBreak="0">
    <w:nsid w:val="264D0593"/>
    <w:multiLevelType w:val="multilevel"/>
    <w:tmpl w:val="CE66BE7A"/>
    <w:styleLink w:val="lstStyleListNumber"/>
    <w:lvl w:ilvl="0">
      <w:start w:val="1"/>
      <w:numFmt w:val="decimal"/>
      <w:lvlText w:val="%1."/>
      <w:lvlJc w:val="left"/>
      <w:pPr>
        <w:ind w:left="420" w:hanging="420"/>
      </w:pPr>
      <w:rPr>
        <w:rFonts w:ascii="Arial Narrow" w:hAnsi="Arial Narrow" w:cs="Arial" w:hint="default"/>
      </w:rPr>
    </w:lvl>
    <w:lvl w:ilvl="1">
      <w:start w:val="1"/>
      <w:numFmt w:val="lowerLetter"/>
      <w:lvlText w:val="%2)"/>
      <w:lvlJc w:val="left"/>
      <w:pPr>
        <w:ind w:left="780" w:hanging="360"/>
      </w:pPr>
      <w:rPr>
        <w:rFonts w:ascii="Arial Narrow" w:hAnsi="Arial Narrow" w:hint="default"/>
      </w:rPr>
    </w:lvl>
    <w:lvl w:ilvl="2">
      <w:start w:val="1"/>
      <w:numFmt w:val="lowerRoman"/>
      <w:lvlText w:val="%3)"/>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20" w15:restartNumberingAfterBreak="0">
    <w:nsid w:val="267D48F2"/>
    <w:multiLevelType w:val="multilevel"/>
    <w:tmpl w:val="FAA66FEC"/>
    <w:styleLink w:val="aaclstStyleHeadingsES"/>
    <w:lvl w:ilvl="0">
      <w:start w:val="1"/>
      <w:numFmt w:val="none"/>
      <w:lvlText w:val=""/>
      <w:lvlJc w:val="left"/>
      <w:pPr>
        <w:ind w:left="0" w:firstLine="0"/>
      </w:pPr>
      <w:rPr>
        <w:rFonts w:ascii="Arial Narrow" w:hAnsi="Arial Narrow"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2F160C5E"/>
    <w:multiLevelType w:val="multilevel"/>
    <w:tmpl w:val="8B7EED76"/>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1AB2891"/>
    <w:multiLevelType w:val="multilevel"/>
    <w:tmpl w:val="6248E440"/>
    <w:styleLink w:val="TOCList"/>
    <w:lvl w:ilvl="0">
      <w:start w:val="1"/>
      <w:numFmt w:val="none"/>
      <w:suff w:val="nothing"/>
      <w:lvlText w:val="%1"/>
      <w:lvlJc w:val="left"/>
      <w:pPr>
        <w:ind w:left="0" w:firstLine="0"/>
      </w:pPr>
      <w:rPr>
        <w:rFonts w:ascii="Yu Gothic Medium" w:hAnsi="Yu Gothic Medium" w:hint="default"/>
        <w:sz w:val="20"/>
      </w:rPr>
    </w:lvl>
    <w:lvl w:ilvl="1">
      <w:start w:val="1"/>
      <w:numFmt w:val="none"/>
      <w:lvlRestart w:val="0"/>
      <w:suff w:val="nothing"/>
      <w:lvlText w:val="%2"/>
      <w:lvlJc w:val="left"/>
      <w:pPr>
        <w:ind w:left="560" w:hanging="560"/>
      </w:pPr>
      <w:rPr>
        <w:rFonts w:hint="default"/>
      </w:rPr>
    </w:lvl>
    <w:lvl w:ilvl="2">
      <w:start w:val="1"/>
      <w:numFmt w:val="none"/>
      <w:lvlRestart w:val="0"/>
      <w:suff w:val="nothing"/>
      <w:lvlText w:val="%3"/>
      <w:lvlJc w:val="left"/>
      <w:pPr>
        <w:ind w:left="1120" w:hanging="560"/>
      </w:pPr>
      <w:rPr>
        <w:rFonts w:hint="default"/>
      </w:rPr>
    </w:lvl>
    <w:lvl w:ilvl="3">
      <w:start w:val="1"/>
      <w:numFmt w:val="none"/>
      <w:lvlRestart w:val="0"/>
      <w:suff w:val="nothing"/>
      <w:lvlText w:val=""/>
      <w:lvlJc w:val="left"/>
      <w:pPr>
        <w:ind w:left="1680" w:hanging="56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3" w15:restartNumberingAfterBreak="0">
    <w:nsid w:val="3927596A"/>
    <w:multiLevelType w:val="multilevel"/>
    <w:tmpl w:val="8ABE3CAA"/>
    <w:numStyleLink w:val="aacTableListNumbers"/>
  </w:abstractNum>
  <w:abstractNum w:abstractNumId="24" w15:restartNumberingAfterBreak="0">
    <w:nsid w:val="3AA51938"/>
    <w:multiLevelType w:val="multilevel"/>
    <w:tmpl w:val="8B7EED76"/>
    <w:numStyleLink w:val="AppendixNumbers"/>
  </w:abstractNum>
  <w:abstractNum w:abstractNumId="25" w15:restartNumberingAfterBreak="0">
    <w:nsid w:val="3CD62D95"/>
    <w:multiLevelType w:val="multilevel"/>
    <w:tmpl w:val="8B9A0E4E"/>
    <w:styleLink w:val="aacTableListBullets"/>
    <w:lvl w:ilvl="0">
      <w:start w:val="1"/>
      <w:numFmt w:val="bullet"/>
      <w:pStyle w:val="Tablelistbullet"/>
      <w:lvlText w:val="–"/>
      <w:lvlJc w:val="left"/>
      <w:pPr>
        <w:ind w:left="320" w:hanging="280"/>
      </w:pPr>
      <w:rPr>
        <w:rFonts w:ascii="Yu Gothic Medium" w:hAnsi="Yu Gothic Medium" w:hint="default"/>
        <w:sz w:val="19"/>
      </w:rPr>
    </w:lvl>
    <w:lvl w:ilvl="1">
      <w:start w:val="1"/>
      <w:numFmt w:val="bullet"/>
      <w:pStyle w:val="Tablelistbullet2"/>
      <w:lvlText w:val="–"/>
      <w:lvlJc w:val="left"/>
      <w:pPr>
        <w:ind w:left="560" w:hanging="240"/>
      </w:pPr>
      <w:rPr>
        <w:rFonts w:ascii="Yu Gothic Medium" w:hAnsi="Yu Gothic Medium" w:hint="default"/>
        <w:color w:val="000100"/>
        <w:sz w:val="19"/>
      </w:rPr>
    </w:lvl>
    <w:lvl w:ilvl="2">
      <w:start w:val="1"/>
      <w:numFmt w:val="bullet"/>
      <w:pStyle w:val="Tablelistbullet3"/>
      <w:lvlText w:val="–"/>
      <w:lvlJc w:val="left"/>
      <w:pPr>
        <w:ind w:left="800" w:hanging="240"/>
      </w:pPr>
      <w:rPr>
        <w:rFonts w:ascii="Yu Gothic Medium" w:hAnsi="Yu Gothic Medium" w:hint="default"/>
        <w:sz w:val="19"/>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6" w15:restartNumberingAfterBreak="0">
    <w:nsid w:val="3F166873"/>
    <w:multiLevelType w:val="multilevel"/>
    <w:tmpl w:val="37A4E830"/>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1276"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173295E"/>
    <w:multiLevelType w:val="multilevel"/>
    <w:tmpl w:val="DEA4EA1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o"/>
      <w:lvlJc w:val="left"/>
      <w:pPr>
        <w:ind w:left="644" w:hanging="360"/>
      </w:pPr>
      <w:rPr>
        <w:rFonts w:ascii="Courier New" w:hAnsi="Courier New" w:cs="Courier New" w:hint="default"/>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8" w15:restartNumberingAfterBreak="0">
    <w:nsid w:val="44083225"/>
    <w:multiLevelType w:val="multilevel"/>
    <w:tmpl w:val="B288C038"/>
    <w:styleLink w:val="aaclstStyleBoxListBullets"/>
    <w:lvl w:ilvl="0">
      <w:start w:val="1"/>
      <w:numFmt w:val="bullet"/>
      <w:pStyle w:val="BoxListBullet"/>
      <w:lvlText w:val="—"/>
      <w:lvlJc w:val="left"/>
      <w:pPr>
        <w:ind w:left="312" w:hanging="312"/>
      </w:pPr>
      <w:rPr>
        <w:rFonts w:ascii="Yu Gothic Medium" w:hAnsi="Yu Gothic Medium" w:hint="default"/>
        <w:sz w:val="21"/>
      </w:rPr>
    </w:lvl>
    <w:lvl w:ilvl="1">
      <w:start w:val="1"/>
      <w:numFmt w:val="bullet"/>
      <w:pStyle w:val="BoxListBullet2"/>
      <w:lvlText w:val="―"/>
      <w:lvlJc w:val="left"/>
      <w:pPr>
        <w:ind w:left="592" w:hanging="280"/>
      </w:pPr>
      <w:rPr>
        <w:rFonts w:ascii="Yu Gothic Medium" w:hAnsi="Yu Gothic Medium" w:hint="default"/>
        <w:sz w:val="21"/>
      </w:rPr>
    </w:lvl>
    <w:lvl w:ilvl="2">
      <w:start w:val="1"/>
      <w:numFmt w:val="bullet"/>
      <w:pStyle w:val="BoxListBullet3"/>
      <w:lvlText w:val="−"/>
      <w:lvlJc w:val="left"/>
      <w:pPr>
        <w:ind w:left="832" w:hanging="240"/>
      </w:pPr>
      <w:rPr>
        <w:rFonts w:ascii="Yu Gothic Medium" w:hAnsi="Yu Gothic Medium" w:hint="default"/>
        <w:sz w:val="21"/>
      </w:rPr>
    </w:lvl>
    <w:lvl w:ilvl="3">
      <w:start w:val="1"/>
      <w:numFmt w:val="none"/>
      <w:pStyle w:val="BoxQuote"/>
      <w:suff w:val="nothing"/>
      <w:lvlText w:val=""/>
      <w:lvlJc w:val="left"/>
      <w:pPr>
        <w:ind w:left="0" w:firstLine="0"/>
      </w:pPr>
      <w:rPr>
        <w:rFonts w:ascii="Yu Gothic Medium" w:hAnsi="Yu Gothic Medium" w:hint="default"/>
        <w:sz w:val="21"/>
      </w:rPr>
    </w:lvl>
    <w:lvl w:ilvl="4">
      <w:start w:val="1"/>
      <w:numFmt w:val="bullet"/>
      <w:pStyle w:val="BoxQuoteListBullet"/>
      <w:lvlText w:val="–"/>
      <w:lvlJc w:val="left"/>
      <w:pPr>
        <w:ind w:left="312" w:hanging="312"/>
      </w:pPr>
      <w:rPr>
        <w:rFonts w:ascii="Yu Gothic Medium" w:hAnsi="Yu Gothic Medium" w:hint="default"/>
        <w:sz w:val="21"/>
      </w:rPr>
    </w:lvl>
    <w:lvl w:ilvl="5">
      <w:start w:val="1"/>
      <w:numFmt w:val="none"/>
      <w:lvlText w:val=""/>
      <w:lvlJc w:val="left"/>
      <w:pPr>
        <w:ind w:left="1646" w:hanging="446"/>
      </w:pPr>
      <w:rPr>
        <w:rFonts w:hint="default"/>
      </w:rPr>
    </w:lvl>
    <w:lvl w:ilvl="6">
      <w:start w:val="1"/>
      <w:numFmt w:val="none"/>
      <w:lvlText w:val=""/>
      <w:lvlJc w:val="left"/>
      <w:pPr>
        <w:ind w:left="1886" w:hanging="446"/>
      </w:pPr>
      <w:rPr>
        <w:rFonts w:hint="default"/>
      </w:rPr>
    </w:lvl>
    <w:lvl w:ilvl="7">
      <w:start w:val="1"/>
      <w:numFmt w:val="none"/>
      <w:lvlText w:val=""/>
      <w:lvlJc w:val="left"/>
      <w:pPr>
        <w:ind w:left="2126" w:hanging="446"/>
      </w:pPr>
      <w:rPr>
        <w:rFonts w:hint="default"/>
      </w:rPr>
    </w:lvl>
    <w:lvl w:ilvl="8">
      <w:start w:val="1"/>
      <w:numFmt w:val="none"/>
      <w:lvlText w:val=""/>
      <w:lvlJc w:val="left"/>
      <w:pPr>
        <w:ind w:left="2366" w:hanging="446"/>
      </w:pPr>
      <w:rPr>
        <w:rFonts w:hint="default"/>
      </w:rPr>
    </w:lvl>
  </w:abstractNum>
  <w:abstractNum w:abstractNumId="29" w15:restartNumberingAfterBreak="0">
    <w:nsid w:val="45767BA0"/>
    <w:multiLevelType w:val="multilevel"/>
    <w:tmpl w:val="75081F48"/>
    <w:lvl w:ilvl="0">
      <w:start w:val="1"/>
      <w:numFmt w:val="bullet"/>
      <w:pStyle w:val="SideNoteDash"/>
      <w:lvlText w:val="–"/>
      <w:lvlJc w:val="left"/>
      <w:pPr>
        <w:tabs>
          <w:tab w:val="num" w:pos="60"/>
        </w:tabs>
        <w:ind w:left="220" w:hanging="220"/>
      </w:pPr>
      <w:rPr>
        <w:rFonts w:ascii="Arial Narrow" w:hAnsi="Arial Narrow" w:hint="default"/>
      </w:rPr>
    </w:lvl>
    <w:lvl w:ilvl="1">
      <w:start w:val="1"/>
      <w:numFmt w:val="bullet"/>
      <w:pStyle w:val="SideNoteBullet"/>
      <w:lvlText w:val="•"/>
      <w:lvlJc w:val="left"/>
      <w:pPr>
        <w:ind w:left="220" w:hanging="220"/>
      </w:pPr>
      <w:rPr>
        <w:rFonts w:ascii="Arial Narrow" w:hAnsi="Arial Narrow"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60F67E9"/>
    <w:multiLevelType w:val="multilevel"/>
    <w:tmpl w:val="30CC873A"/>
    <w:numStyleLink w:val="aaclstStyleBullets"/>
  </w:abstractNum>
  <w:abstractNum w:abstractNumId="31" w15:restartNumberingAfterBreak="0">
    <w:nsid w:val="4B6114E9"/>
    <w:multiLevelType w:val="multilevel"/>
    <w:tmpl w:val="30CC873A"/>
    <w:styleLink w:val="aaclstStyleBullets"/>
    <w:lvl w:ilvl="0">
      <w:start w:val="1"/>
      <w:numFmt w:val="bullet"/>
      <w:lvlText w:val="—"/>
      <w:lvlJc w:val="left"/>
      <w:pPr>
        <w:ind w:left="420" w:hanging="420"/>
      </w:pPr>
      <w:rPr>
        <w:rFonts w:ascii="Arial Narrow" w:hAnsi="Arial Narrow" w:hint="default"/>
      </w:rPr>
    </w:lvl>
    <w:lvl w:ilvl="1">
      <w:start w:val="1"/>
      <w:numFmt w:val="bullet"/>
      <w:pStyle w:val="ListBullet2"/>
      <w:lvlText w:val="―"/>
      <w:lvlJc w:val="left"/>
      <w:pPr>
        <w:ind w:left="780" w:hanging="360"/>
      </w:pPr>
      <w:rPr>
        <w:rFonts w:ascii="Arial Narrow" w:hAnsi="Arial Narrow" w:hint="default"/>
      </w:rPr>
    </w:lvl>
    <w:lvl w:ilvl="2">
      <w:start w:val="1"/>
      <w:numFmt w:val="bullet"/>
      <w:pStyle w:val="ListBullet3"/>
      <w:lvlText w:val="−"/>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2" w15:restartNumberingAfterBreak="0">
    <w:nsid w:val="505F1181"/>
    <w:multiLevelType w:val="multilevel"/>
    <w:tmpl w:val="26223CFC"/>
    <w:styleLink w:val="aaclstStyleTableQuote"/>
    <w:lvl w:ilvl="0">
      <w:start w:val="1"/>
      <w:numFmt w:val="none"/>
      <w:pStyle w:val="TableQuote"/>
      <w:suff w:val="nothing"/>
      <w:lvlText w:val="%1"/>
      <w:lvlJc w:val="left"/>
      <w:pPr>
        <w:ind w:left="0" w:firstLine="0"/>
      </w:pPr>
      <w:rPr>
        <w:rFonts w:ascii="Yu Gothic Medium" w:hAnsi="Yu Gothic Medium" w:hint="default"/>
        <w:sz w:val="19"/>
      </w:rPr>
    </w:lvl>
    <w:lvl w:ilvl="1">
      <w:start w:val="1"/>
      <w:numFmt w:val="bullet"/>
      <w:pStyle w:val="TableQuoteBullet"/>
      <w:lvlText w:val="–"/>
      <w:lvlJc w:val="left"/>
      <w:pPr>
        <w:ind w:left="360" w:hanging="320"/>
      </w:pPr>
      <w:rPr>
        <w:rFonts w:ascii="Yu Gothic Medium" w:hAnsi="Yu Gothic Medium" w:hint="default"/>
        <w:sz w:val="19"/>
      </w:rPr>
    </w:lvl>
    <w:lvl w:ilvl="2">
      <w:start w:val="1"/>
      <w:numFmt w:val="none"/>
      <w:suff w:val="nothing"/>
      <w:lvlText w:val=""/>
      <w:lvlJc w:val="left"/>
      <w:pPr>
        <w:ind w:left="0" w:firstLine="0"/>
      </w:pPr>
      <w:rPr>
        <w:rFonts w:ascii="Yu Gothic Medium" w:hAnsi="Yu Gothic Medium" w:hint="eastAsia"/>
        <w:sz w:val="19"/>
      </w:rPr>
    </w:lvl>
    <w:lvl w:ilvl="3">
      <w:start w:val="1"/>
      <w:numFmt w:val="bullet"/>
      <w:lvlText w:val=""/>
      <w:lvlJc w:val="left"/>
      <w:pPr>
        <w:ind w:left="2880" w:hanging="360"/>
      </w:pPr>
      <w:rPr>
        <w:rFonts w:ascii="Yu Gothic Medium" w:hAnsi="Yu Gothic Medium" w:hint="default"/>
        <w:sz w:val="19"/>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0E9377F"/>
    <w:multiLevelType w:val="multilevel"/>
    <w:tmpl w:val="CE66BE7A"/>
    <w:styleLink w:val="aaclstStyleListNumber"/>
    <w:lvl w:ilvl="0">
      <w:start w:val="1"/>
      <w:numFmt w:val="decimal"/>
      <w:lvlText w:val="%1."/>
      <w:lvlJc w:val="left"/>
      <w:pPr>
        <w:ind w:left="420" w:hanging="420"/>
      </w:pPr>
      <w:rPr>
        <w:rFonts w:ascii="Arial Narrow" w:hAnsi="Arial Narrow" w:cs="Arial" w:hint="default"/>
      </w:rPr>
    </w:lvl>
    <w:lvl w:ilvl="1">
      <w:start w:val="1"/>
      <w:numFmt w:val="lowerLetter"/>
      <w:pStyle w:val="ListNumber2"/>
      <w:lvlText w:val="%2)"/>
      <w:lvlJc w:val="left"/>
      <w:pPr>
        <w:ind w:left="780" w:hanging="360"/>
      </w:pPr>
      <w:rPr>
        <w:rFonts w:ascii="Arial Narrow" w:hAnsi="Arial Narrow" w:hint="default"/>
      </w:rPr>
    </w:lvl>
    <w:lvl w:ilvl="2">
      <w:start w:val="1"/>
      <w:numFmt w:val="lowerRoman"/>
      <w:pStyle w:val="ListNumber3"/>
      <w:lvlText w:val="%3)"/>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4" w15:restartNumberingAfterBreak="0">
    <w:nsid w:val="532D23B6"/>
    <w:multiLevelType w:val="multilevel"/>
    <w:tmpl w:val="23B2A95E"/>
    <w:styleLink w:val="lstStyleHeadingNumbered"/>
    <w:lvl w:ilvl="0">
      <w:start w:val="1"/>
      <w:numFmt w:val="decimal"/>
      <w:lvlText w:val="%1"/>
      <w:lvlJc w:val="right"/>
      <w:pPr>
        <w:ind w:left="0" w:hanging="360"/>
      </w:pPr>
      <w:rPr>
        <w:rFonts w:ascii="Yu Gothic Medium" w:eastAsia="Yu Gothic Medium" w:hAnsi="Yu Gothic Medium" w:hint="eastAsia"/>
      </w:rPr>
    </w:lvl>
    <w:lvl w:ilvl="1">
      <w:start w:val="1"/>
      <w:numFmt w:val="decimal"/>
      <w:lvlText w:val="%1.%2"/>
      <w:lvlJc w:val="right"/>
      <w:pPr>
        <w:ind w:left="0" w:hanging="360"/>
      </w:pPr>
      <w:rPr>
        <w:rFonts w:hint="default"/>
      </w:rPr>
    </w:lvl>
    <w:lvl w:ilvl="2">
      <w:start w:val="1"/>
      <w:numFmt w:val="decimal"/>
      <w:lvlText w:val="%1.%2.%3"/>
      <w:lvlJc w:val="left"/>
      <w:pPr>
        <w:tabs>
          <w:tab w:val="num" w:pos="4565"/>
        </w:tabs>
        <w:ind w:left="4545" w:hanging="1000"/>
      </w:pPr>
      <w:rPr>
        <w:rFonts w:ascii="Yu Gothic Medium" w:eastAsia="Yu Gothic Medium" w:hAnsi="Yu Gothic Medium" w:hint="eastAsia"/>
        <w:sz w:val="28"/>
      </w:rPr>
    </w:lvl>
    <w:lvl w:ilvl="3">
      <w:start w:val="1"/>
      <w:numFmt w:val="none"/>
      <w:lvlRestart w:val="0"/>
      <w:suff w:val="nothing"/>
      <w:lvlText w:val=""/>
      <w:lvlJc w:val="left"/>
      <w:pPr>
        <w:tabs>
          <w:tab w:val="num" w:pos="0"/>
        </w:tabs>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535E057B"/>
    <w:multiLevelType w:val="multilevel"/>
    <w:tmpl w:val="0E2ADDE0"/>
    <w:styleLink w:val="aaclstStyleHeadingNumbered"/>
    <w:lvl w:ilvl="0">
      <w:start w:val="1"/>
      <w:numFmt w:val="upperLetter"/>
      <w:pStyle w:val="Heading1AP"/>
      <w:lvlText w:val="%1."/>
      <w:lvlJc w:val="right"/>
      <w:pPr>
        <w:ind w:left="0" w:hanging="360"/>
      </w:pPr>
      <w:rPr>
        <w:rFonts w:hint="default"/>
        <w:color w:val="140034"/>
      </w:rPr>
    </w:lvl>
    <w:lvl w:ilvl="1">
      <w:start w:val="1"/>
      <w:numFmt w:val="decimal"/>
      <w:pStyle w:val="Heading2AP"/>
      <w:lvlText w:val="%1.%2"/>
      <w:lvlJc w:val="right"/>
      <w:pPr>
        <w:ind w:left="0" w:hanging="360"/>
      </w:pPr>
      <w:rPr>
        <w:rFonts w:hint="default"/>
      </w:rPr>
    </w:lvl>
    <w:lvl w:ilvl="2">
      <w:start w:val="1"/>
      <w:numFmt w:val="decimal"/>
      <w:pStyle w:val="Heading3AP"/>
      <w:lvlText w:val="%1.%2.%3"/>
      <w:lvlJc w:val="left"/>
      <w:pPr>
        <w:tabs>
          <w:tab w:val="num" w:pos="1000"/>
        </w:tabs>
        <w:ind w:left="1000" w:hanging="1000"/>
      </w:pPr>
      <w:rPr>
        <w:rFonts w:hint="default"/>
        <w:sz w:val="28"/>
      </w:rPr>
    </w:lvl>
    <w:lvl w:ilvl="3">
      <w:start w:val="1"/>
      <w:numFmt w:val="none"/>
      <w:pStyle w:val="Heading4AP"/>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5C2C4BB3"/>
    <w:multiLevelType w:val="hybridMultilevel"/>
    <w:tmpl w:val="A40A905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7"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0E7485E"/>
    <w:multiLevelType w:val="multilevel"/>
    <w:tmpl w:val="AE08131A"/>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642F1928"/>
    <w:multiLevelType w:val="hybridMultilevel"/>
    <w:tmpl w:val="B5F86B04"/>
    <w:lvl w:ilvl="0" w:tplc="0DDCFD34">
      <w:start w:val="1"/>
      <w:numFmt w:val="bullet"/>
      <w:pStyle w:val="QuoteListBullet"/>
      <w:lvlText w:val="–"/>
      <w:lvlJc w:val="left"/>
      <w:pPr>
        <w:ind w:left="360" w:hanging="360"/>
      </w:pPr>
      <w:rPr>
        <w:rFonts w:ascii="Arial Narrow" w:hAnsi="Arial Narrow" w:hint="default"/>
        <w:sz w:val="18"/>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0" w15:restartNumberingAfterBreak="0">
    <w:nsid w:val="68827E7D"/>
    <w:multiLevelType w:val="hybridMultilevel"/>
    <w:tmpl w:val="CB9A7C2A"/>
    <w:lvl w:ilvl="0" w:tplc="E30867C2">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99F57EA"/>
    <w:multiLevelType w:val="multilevel"/>
    <w:tmpl w:val="CE66BE7A"/>
    <w:numStyleLink w:val="aaclstStyleListNumber"/>
  </w:abstractNum>
  <w:abstractNum w:abstractNumId="42" w15:restartNumberingAfterBreak="0">
    <w:nsid w:val="7B401A3A"/>
    <w:multiLevelType w:val="multilevel"/>
    <w:tmpl w:val="8B388342"/>
    <w:styleLink w:val="aaclstStyleTableQuoteSmall"/>
    <w:lvl w:ilvl="0">
      <w:start w:val="1"/>
      <w:numFmt w:val="none"/>
      <w:pStyle w:val="TableQuotesmall"/>
      <w:lvlText w:val="%1"/>
      <w:lvlJc w:val="left"/>
      <w:pPr>
        <w:ind w:left="40" w:firstLine="0"/>
      </w:pPr>
      <w:rPr>
        <w:rFonts w:ascii="Yu Gothic Medium" w:hAnsi="Yu Gothic Medium" w:hint="default"/>
        <w:sz w:val="15"/>
      </w:rPr>
    </w:lvl>
    <w:lvl w:ilvl="1">
      <w:start w:val="1"/>
      <w:numFmt w:val="bullet"/>
      <w:pStyle w:val="TableQuoteBulletsmall"/>
      <w:lvlText w:val="–"/>
      <w:lvlJc w:val="left"/>
      <w:pPr>
        <w:ind w:left="360" w:hanging="320"/>
      </w:pPr>
      <w:rPr>
        <w:rFonts w:ascii="Yu Gothic Medium" w:hAnsi="Yu Gothic Medium" w:hint="default"/>
        <w:sz w:val="15"/>
      </w:rPr>
    </w:lvl>
    <w:lvl w:ilvl="2">
      <w:start w:val="1"/>
      <w:numFmt w:val="none"/>
      <w:lvlText w:val=""/>
      <w:lvlJc w:val="left"/>
      <w:pPr>
        <w:ind w:left="2160" w:hanging="360"/>
      </w:pPr>
      <w:rPr>
        <w:rFonts w:ascii="Yu Gothic Medium" w:hAnsi="Yu Gothic Medium" w:hint="eastAsia"/>
        <w:sz w:val="1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E554E84"/>
    <w:multiLevelType w:val="multilevel"/>
    <w:tmpl w:val="4358F864"/>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27"/>
  </w:num>
  <w:num w:numId="2">
    <w:abstractNumId w:val="27"/>
  </w:num>
  <w:num w:numId="3">
    <w:abstractNumId w:val="43"/>
  </w:num>
  <w:num w:numId="4">
    <w:abstractNumId w:val="43"/>
    <w:lvlOverride w:ilvl="0">
      <w:startOverride w:val="1"/>
      <w:lvl w:ilvl="0">
        <w:start w:val="1"/>
        <w:numFmt w:val="decimal"/>
        <w:pStyle w:val="ListLegal1"/>
        <w:lvlText w:val="%1."/>
        <w:lvlJc w:val="left"/>
        <w:pPr>
          <w:ind w:left="284" w:hanging="284"/>
        </w:pPr>
        <w:rPr>
          <w:rFonts w:hint="default"/>
          <w:i w:val="0"/>
          <w:iCs w:val="0"/>
        </w:rPr>
      </w:lvl>
    </w:lvlOverride>
    <w:lvlOverride w:ilvl="1">
      <w:startOverride w:val="1"/>
      <w:lvl w:ilvl="1">
        <w:start w:val="1"/>
        <w:numFmt w:val="decimal"/>
        <w:pStyle w:val="ListLegal2"/>
        <w:lvlText w:val=""/>
        <w:lvlJc w:val="left"/>
      </w:lvl>
    </w:lvlOverride>
    <w:lvlOverride w:ilvl="2">
      <w:startOverride w:val="1"/>
      <w:lvl w:ilvl="2">
        <w:start w:val="1"/>
        <w:numFmt w:val="decimal"/>
        <w:pStyle w:val="ListLegal3"/>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
    <w:abstractNumId w:val="4"/>
  </w:num>
  <w:num w:numId="6">
    <w:abstractNumId w:val="26"/>
  </w:num>
  <w:num w:numId="7">
    <w:abstractNumId w:val="21"/>
  </w:num>
  <w:num w:numId="8">
    <w:abstractNumId w:val="24"/>
    <w:lvlOverride w:ilvl="0">
      <w:lvl w:ilvl="0">
        <w:start w:val="1"/>
        <w:numFmt w:val="upperLetter"/>
        <w:pStyle w:val="AppendixHeading1"/>
        <w:suff w:val="space"/>
        <w:lvlText w:val="Appendix %1 –"/>
        <w:lvlJc w:val="left"/>
        <w:pPr>
          <w:ind w:left="0" w:firstLine="0"/>
        </w:pPr>
        <w:rPr>
          <w:rFonts w:hint="default"/>
        </w:rPr>
      </w:lvl>
    </w:lvlOverride>
  </w:num>
  <w:num w:numId="9">
    <w:abstractNumId w:val="37"/>
  </w:num>
  <w:num w:numId="10">
    <w:abstractNumId w:val="37"/>
    <w:lvlOverride w:ilvl="0">
      <w:startOverride w:val="1"/>
      <w:lvl w:ilvl="0">
        <w:start w:val="1"/>
        <w:numFmt w:val="upperLetter"/>
        <w:pStyle w:val="AttachmentHeading1"/>
        <w:suff w:val="space"/>
        <w:lvlText w:val="Attachment %1 –"/>
        <w:lvlJc w:val="left"/>
        <w:pPr>
          <w:ind w:left="0" w:firstLine="0"/>
        </w:pPr>
        <w:rPr>
          <w:rFonts w:hint="default"/>
        </w:rPr>
      </w:lvl>
    </w:lvlOverride>
    <w:lvlOverride w:ilvl="1">
      <w:startOverride w:val="1"/>
      <w:lvl w:ilvl="1">
        <w:start w:val="1"/>
        <w:numFmt w:val="decimal"/>
        <w:pStyle w:val="AttachmentHeading2"/>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
    <w:abstractNumId w:val="38"/>
  </w:num>
  <w:num w:numId="12">
    <w:abstractNumId w:val="3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25"/>
  </w:num>
  <w:num w:numId="15">
    <w:abstractNumId w:val="2"/>
  </w:num>
  <w:num w:numId="16">
    <w:abstractNumId w:val="34"/>
  </w:num>
  <w:num w:numId="17">
    <w:abstractNumId w:val="8"/>
  </w:num>
  <w:num w:numId="18">
    <w:abstractNumId w:val="31"/>
  </w:num>
  <w:num w:numId="19">
    <w:abstractNumId w:val="33"/>
  </w:num>
  <w:num w:numId="20">
    <w:abstractNumId w:val="35"/>
  </w:num>
  <w:num w:numId="21">
    <w:abstractNumId w:val="41"/>
  </w:num>
  <w:num w:numId="22">
    <w:abstractNumId w:val="30"/>
  </w:num>
  <w:num w:numId="23">
    <w:abstractNumId w:val="20"/>
  </w:num>
  <w:num w:numId="24">
    <w:abstractNumId w:val="5"/>
  </w:num>
  <w:num w:numId="25">
    <w:abstractNumId w:val="19"/>
  </w:num>
  <w:num w:numId="26">
    <w:abstractNumId w:val="22"/>
  </w:num>
  <w:num w:numId="27">
    <w:abstractNumId w:val="9"/>
  </w:num>
  <w:num w:numId="28">
    <w:abstractNumId w:val="28"/>
  </w:num>
  <w:num w:numId="29">
    <w:abstractNumId w:val="10"/>
  </w:num>
  <w:num w:numId="30">
    <w:abstractNumId w:val="18"/>
  </w:num>
  <w:num w:numId="31">
    <w:abstractNumId w:val="11"/>
  </w:num>
  <w:num w:numId="32">
    <w:abstractNumId w:val="14"/>
  </w:num>
  <w:num w:numId="33">
    <w:abstractNumId w:val="29"/>
  </w:num>
  <w:num w:numId="34">
    <w:abstractNumId w:val="6"/>
  </w:num>
  <w:num w:numId="35">
    <w:abstractNumId w:val="13"/>
  </w:num>
  <w:num w:numId="36">
    <w:abstractNumId w:val="12"/>
  </w:num>
  <w:num w:numId="37">
    <w:abstractNumId w:val="39"/>
  </w:num>
  <w:num w:numId="38">
    <w:abstractNumId w:val="23"/>
  </w:num>
  <w:num w:numId="39">
    <w:abstractNumId w:val="7"/>
  </w:num>
  <w:num w:numId="40">
    <w:abstractNumId w:val="16"/>
  </w:num>
  <w:num w:numId="41">
    <w:abstractNumId w:val="32"/>
  </w:num>
  <w:num w:numId="42">
    <w:abstractNumId w:val="42"/>
  </w:num>
  <w:num w:numId="43">
    <w:abstractNumId w:val="3"/>
  </w:num>
  <w:num w:numId="44">
    <w:abstractNumId w:val="15"/>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num>
  <w:num w:numId="50">
    <w:abstractNumId w:val="36"/>
  </w:num>
  <w:num w:numId="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0"/>
  </w:num>
  <w:num w:numId="53">
    <w:abstractNumId w:val="1"/>
  </w:num>
  <w:num w:numId="54">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1E3"/>
    <w:rsid w:val="00001668"/>
    <w:rsid w:val="00005155"/>
    <w:rsid w:val="000075AC"/>
    <w:rsid w:val="000077E3"/>
    <w:rsid w:val="0001430B"/>
    <w:rsid w:val="0002045B"/>
    <w:rsid w:val="00041240"/>
    <w:rsid w:val="000430F9"/>
    <w:rsid w:val="00045455"/>
    <w:rsid w:val="00052D85"/>
    <w:rsid w:val="00061A19"/>
    <w:rsid w:val="00063033"/>
    <w:rsid w:val="00065E90"/>
    <w:rsid w:val="000749C1"/>
    <w:rsid w:val="00074A22"/>
    <w:rsid w:val="0008378F"/>
    <w:rsid w:val="00084EF8"/>
    <w:rsid w:val="00085622"/>
    <w:rsid w:val="00091482"/>
    <w:rsid w:val="000943D4"/>
    <w:rsid w:val="00096ED0"/>
    <w:rsid w:val="0009727D"/>
    <w:rsid w:val="000A13C5"/>
    <w:rsid w:val="000A1E61"/>
    <w:rsid w:val="000A20DF"/>
    <w:rsid w:val="000A3828"/>
    <w:rsid w:val="000A7D77"/>
    <w:rsid w:val="000C1C23"/>
    <w:rsid w:val="000C25A5"/>
    <w:rsid w:val="000C2CE6"/>
    <w:rsid w:val="000D591D"/>
    <w:rsid w:val="000D7285"/>
    <w:rsid w:val="000E1A11"/>
    <w:rsid w:val="000E24BA"/>
    <w:rsid w:val="000E266E"/>
    <w:rsid w:val="000E5674"/>
    <w:rsid w:val="000E62D9"/>
    <w:rsid w:val="000F615A"/>
    <w:rsid w:val="001041F2"/>
    <w:rsid w:val="001044BD"/>
    <w:rsid w:val="00111FF6"/>
    <w:rsid w:val="00124101"/>
    <w:rsid w:val="0012581A"/>
    <w:rsid w:val="00125D9F"/>
    <w:rsid w:val="001307D6"/>
    <w:rsid w:val="001349C6"/>
    <w:rsid w:val="001350DF"/>
    <w:rsid w:val="00144518"/>
    <w:rsid w:val="001454B5"/>
    <w:rsid w:val="001456FE"/>
    <w:rsid w:val="00151F05"/>
    <w:rsid w:val="00152427"/>
    <w:rsid w:val="00153D3E"/>
    <w:rsid w:val="00160021"/>
    <w:rsid w:val="00161500"/>
    <w:rsid w:val="0017167B"/>
    <w:rsid w:val="00176512"/>
    <w:rsid w:val="001767AD"/>
    <w:rsid w:val="001803E3"/>
    <w:rsid w:val="00181D92"/>
    <w:rsid w:val="001832D5"/>
    <w:rsid w:val="00186181"/>
    <w:rsid w:val="00192B6B"/>
    <w:rsid w:val="001971FC"/>
    <w:rsid w:val="00197B7A"/>
    <w:rsid w:val="001A0D1E"/>
    <w:rsid w:val="001A3089"/>
    <w:rsid w:val="001A6459"/>
    <w:rsid w:val="001B57EB"/>
    <w:rsid w:val="001B6533"/>
    <w:rsid w:val="001B7CDB"/>
    <w:rsid w:val="001C12F9"/>
    <w:rsid w:val="001C33E4"/>
    <w:rsid w:val="001C33FA"/>
    <w:rsid w:val="001C5215"/>
    <w:rsid w:val="001D5820"/>
    <w:rsid w:val="001D726A"/>
    <w:rsid w:val="001D73AE"/>
    <w:rsid w:val="001E38D6"/>
    <w:rsid w:val="001E3DFF"/>
    <w:rsid w:val="001E4596"/>
    <w:rsid w:val="001F1446"/>
    <w:rsid w:val="001F316F"/>
    <w:rsid w:val="001F37E0"/>
    <w:rsid w:val="001F3B05"/>
    <w:rsid w:val="001F62C9"/>
    <w:rsid w:val="001F6E2C"/>
    <w:rsid w:val="002008D3"/>
    <w:rsid w:val="00201A43"/>
    <w:rsid w:val="00205DF8"/>
    <w:rsid w:val="00206607"/>
    <w:rsid w:val="00206DF0"/>
    <w:rsid w:val="0021019B"/>
    <w:rsid w:val="002110F1"/>
    <w:rsid w:val="002134EA"/>
    <w:rsid w:val="00213BBB"/>
    <w:rsid w:val="00213FE8"/>
    <w:rsid w:val="002164A0"/>
    <w:rsid w:val="00216AED"/>
    <w:rsid w:val="00217692"/>
    <w:rsid w:val="00220390"/>
    <w:rsid w:val="00221741"/>
    <w:rsid w:val="002254D5"/>
    <w:rsid w:val="0022611D"/>
    <w:rsid w:val="0022623C"/>
    <w:rsid w:val="002301B1"/>
    <w:rsid w:val="002642BB"/>
    <w:rsid w:val="00266BF8"/>
    <w:rsid w:val="00275DDB"/>
    <w:rsid w:val="00277D13"/>
    <w:rsid w:val="0028085F"/>
    <w:rsid w:val="002824BD"/>
    <w:rsid w:val="00284164"/>
    <w:rsid w:val="00291050"/>
    <w:rsid w:val="002956CB"/>
    <w:rsid w:val="002A2BA5"/>
    <w:rsid w:val="002A3553"/>
    <w:rsid w:val="002A4DF8"/>
    <w:rsid w:val="002A5496"/>
    <w:rsid w:val="002A67A6"/>
    <w:rsid w:val="002B3569"/>
    <w:rsid w:val="002B3F9F"/>
    <w:rsid w:val="002B7197"/>
    <w:rsid w:val="002B719F"/>
    <w:rsid w:val="002C79EC"/>
    <w:rsid w:val="002D01AA"/>
    <w:rsid w:val="002D03A6"/>
    <w:rsid w:val="002D042C"/>
    <w:rsid w:val="002E07B2"/>
    <w:rsid w:val="002E1ADA"/>
    <w:rsid w:val="002E4E1D"/>
    <w:rsid w:val="002F2178"/>
    <w:rsid w:val="002F75DF"/>
    <w:rsid w:val="00302183"/>
    <w:rsid w:val="00306C4B"/>
    <w:rsid w:val="0030798E"/>
    <w:rsid w:val="00323B73"/>
    <w:rsid w:val="00324EC7"/>
    <w:rsid w:val="003261CF"/>
    <w:rsid w:val="003261FA"/>
    <w:rsid w:val="00330C83"/>
    <w:rsid w:val="00337DDD"/>
    <w:rsid w:val="00337E11"/>
    <w:rsid w:val="00340F53"/>
    <w:rsid w:val="00341788"/>
    <w:rsid w:val="00347D4A"/>
    <w:rsid w:val="003503D5"/>
    <w:rsid w:val="0035268A"/>
    <w:rsid w:val="00354C78"/>
    <w:rsid w:val="0036265F"/>
    <w:rsid w:val="003720E9"/>
    <w:rsid w:val="00372AAC"/>
    <w:rsid w:val="00374BFC"/>
    <w:rsid w:val="00374E56"/>
    <w:rsid w:val="00377B5A"/>
    <w:rsid w:val="00393FD2"/>
    <w:rsid w:val="003979C3"/>
    <w:rsid w:val="003A19A9"/>
    <w:rsid w:val="003A4CC4"/>
    <w:rsid w:val="003A4FAA"/>
    <w:rsid w:val="003A67EA"/>
    <w:rsid w:val="003B2572"/>
    <w:rsid w:val="003B53E3"/>
    <w:rsid w:val="003C625A"/>
    <w:rsid w:val="003D2DA1"/>
    <w:rsid w:val="003D6174"/>
    <w:rsid w:val="003E08EB"/>
    <w:rsid w:val="003E1837"/>
    <w:rsid w:val="003E34D3"/>
    <w:rsid w:val="003F026F"/>
    <w:rsid w:val="003F1298"/>
    <w:rsid w:val="003F4B78"/>
    <w:rsid w:val="003F775D"/>
    <w:rsid w:val="00404465"/>
    <w:rsid w:val="00404724"/>
    <w:rsid w:val="00404828"/>
    <w:rsid w:val="00405420"/>
    <w:rsid w:val="004063DE"/>
    <w:rsid w:val="00415258"/>
    <w:rsid w:val="0041614A"/>
    <w:rsid w:val="0041693E"/>
    <w:rsid w:val="0041783A"/>
    <w:rsid w:val="00420F04"/>
    <w:rsid w:val="0042391F"/>
    <w:rsid w:val="00424AB4"/>
    <w:rsid w:val="00425231"/>
    <w:rsid w:val="00426C98"/>
    <w:rsid w:val="004278D3"/>
    <w:rsid w:val="00442B8E"/>
    <w:rsid w:val="004430C6"/>
    <w:rsid w:val="00446051"/>
    <w:rsid w:val="0045398D"/>
    <w:rsid w:val="00457DE9"/>
    <w:rsid w:val="0046033A"/>
    <w:rsid w:val="00463798"/>
    <w:rsid w:val="00463E48"/>
    <w:rsid w:val="00464CFF"/>
    <w:rsid w:val="00467C4F"/>
    <w:rsid w:val="00474030"/>
    <w:rsid w:val="00474828"/>
    <w:rsid w:val="00476FC9"/>
    <w:rsid w:val="00477E77"/>
    <w:rsid w:val="00482FEC"/>
    <w:rsid w:val="00483E2D"/>
    <w:rsid w:val="00485648"/>
    <w:rsid w:val="004921F5"/>
    <w:rsid w:val="00492532"/>
    <w:rsid w:val="00495D20"/>
    <w:rsid w:val="00495DC0"/>
    <w:rsid w:val="0049705E"/>
    <w:rsid w:val="004A3726"/>
    <w:rsid w:val="004B0117"/>
    <w:rsid w:val="004B42C7"/>
    <w:rsid w:val="004B439D"/>
    <w:rsid w:val="004B46C5"/>
    <w:rsid w:val="004B66F1"/>
    <w:rsid w:val="004C5509"/>
    <w:rsid w:val="004C7395"/>
    <w:rsid w:val="004C7AC7"/>
    <w:rsid w:val="004D0D2D"/>
    <w:rsid w:val="004D4D67"/>
    <w:rsid w:val="004D64E6"/>
    <w:rsid w:val="004D7CD9"/>
    <w:rsid w:val="004E1100"/>
    <w:rsid w:val="004E6123"/>
    <w:rsid w:val="004E634E"/>
    <w:rsid w:val="004F2C7A"/>
    <w:rsid w:val="004F36C3"/>
    <w:rsid w:val="00502BB3"/>
    <w:rsid w:val="00503F0B"/>
    <w:rsid w:val="00505643"/>
    <w:rsid w:val="0051413D"/>
    <w:rsid w:val="00517CE9"/>
    <w:rsid w:val="0052053F"/>
    <w:rsid w:val="00520AC2"/>
    <w:rsid w:val="00523B8A"/>
    <w:rsid w:val="00527ACB"/>
    <w:rsid w:val="00530E92"/>
    <w:rsid w:val="00532E22"/>
    <w:rsid w:val="00535938"/>
    <w:rsid w:val="005369D9"/>
    <w:rsid w:val="00537732"/>
    <w:rsid w:val="00541213"/>
    <w:rsid w:val="00542593"/>
    <w:rsid w:val="00542D75"/>
    <w:rsid w:val="00544346"/>
    <w:rsid w:val="00546218"/>
    <w:rsid w:val="005649B2"/>
    <w:rsid w:val="00566411"/>
    <w:rsid w:val="005727DC"/>
    <w:rsid w:val="0057502D"/>
    <w:rsid w:val="005843AF"/>
    <w:rsid w:val="00586929"/>
    <w:rsid w:val="005912BE"/>
    <w:rsid w:val="005A423A"/>
    <w:rsid w:val="005A5A2D"/>
    <w:rsid w:val="005A6352"/>
    <w:rsid w:val="005A6DAA"/>
    <w:rsid w:val="005B4941"/>
    <w:rsid w:val="005D27BF"/>
    <w:rsid w:val="005D33E2"/>
    <w:rsid w:val="005D3B7A"/>
    <w:rsid w:val="005D7FA7"/>
    <w:rsid w:val="005E3014"/>
    <w:rsid w:val="005E4B70"/>
    <w:rsid w:val="005F794B"/>
    <w:rsid w:val="005F7F41"/>
    <w:rsid w:val="00602D8F"/>
    <w:rsid w:val="00610B5B"/>
    <w:rsid w:val="00613455"/>
    <w:rsid w:val="006321DB"/>
    <w:rsid w:val="00637341"/>
    <w:rsid w:val="00637462"/>
    <w:rsid w:val="00646420"/>
    <w:rsid w:val="006526CD"/>
    <w:rsid w:val="00656C84"/>
    <w:rsid w:val="00662CE3"/>
    <w:rsid w:val="006638A8"/>
    <w:rsid w:val="00664A31"/>
    <w:rsid w:val="00666D51"/>
    <w:rsid w:val="006711EE"/>
    <w:rsid w:val="00674EF5"/>
    <w:rsid w:val="00675AD7"/>
    <w:rsid w:val="0067754E"/>
    <w:rsid w:val="006811C7"/>
    <w:rsid w:val="00681B56"/>
    <w:rsid w:val="00685A55"/>
    <w:rsid w:val="00686D9A"/>
    <w:rsid w:val="00695AEC"/>
    <w:rsid w:val="006A76B2"/>
    <w:rsid w:val="006A772A"/>
    <w:rsid w:val="006B4B57"/>
    <w:rsid w:val="006B4ECB"/>
    <w:rsid w:val="006B6267"/>
    <w:rsid w:val="006C1B00"/>
    <w:rsid w:val="006C3A06"/>
    <w:rsid w:val="006C3C62"/>
    <w:rsid w:val="006D39D6"/>
    <w:rsid w:val="006D4544"/>
    <w:rsid w:val="006D575C"/>
    <w:rsid w:val="006D5D05"/>
    <w:rsid w:val="006E1ECA"/>
    <w:rsid w:val="006E43B5"/>
    <w:rsid w:val="006E54DA"/>
    <w:rsid w:val="006E7571"/>
    <w:rsid w:val="006E7980"/>
    <w:rsid w:val="006F5F75"/>
    <w:rsid w:val="00701000"/>
    <w:rsid w:val="007039A8"/>
    <w:rsid w:val="00704AF9"/>
    <w:rsid w:val="00705D56"/>
    <w:rsid w:val="00710473"/>
    <w:rsid w:val="007106C4"/>
    <w:rsid w:val="00713B55"/>
    <w:rsid w:val="007306EB"/>
    <w:rsid w:val="00731EF2"/>
    <w:rsid w:val="0073372A"/>
    <w:rsid w:val="00733A15"/>
    <w:rsid w:val="00734E07"/>
    <w:rsid w:val="00740289"/>
    <w:rsid w:val="00747C72"/>
    <w:rsid w:val="00753118"/>
    <w:rsid w:val="00757F99"/>
    <w:rsid w:val="00762F29"/>
    <w:rsid w:val="00765244"/>
    <w:rsid w:val="007666F8"/>
    <w:rsid w:val="0077245E"/>
    <w:rsid w:val="00772900"/>
    <w:rsid w:val="00776459"/>
    <w:rsid w:val="00776C65"/>
    <w:rsid w:val="007813A6"/>
    <w:rsid w:val="007843DB"/>
    <w:rsid w:val="00784878"/>
    <w:rsid w:val="00792C82"/>
    <w:rsid w:val="007930CE"/>
    <w:rsid w:val="00793950"/>
    <w:rsid w:val="00794BDB"/>
    <w:rsid w:val="007A05BE"/>
    <w:rsid w:val="007A1493"/>
    <w:rsid w:val="007B1221"/>
    <w:rsid w:val="007B2821"/>
    <w:rsid w:val="007B458D"/>
    <w:rsid w:val="007B4F07"/>
    <w:rsid w:val="007B5A49"/>
    <w:rsid w:val="007C56C8"/>
    <w:rsid w:val="007D0959"/>
    <w:rsid w:val="007D31E3"/>
    <w:rsid w:val="007D449D"/>
    <w:rsid w:val="007D692B"/>
    <w:rsid w:val="007E42B9"/>
    <w:rsid w:val="007F3BF5"/>
    <w:rsid w:val="007F46D9"/>
    <w:rsid w:val="00801A7B"/>
    <w:rsid w:val="008057AF"/>
    <w:rsid w:val="008067A1"/>
    <w:rsid w:val="00806D24"/>
    <w:rsid w:val="0082553D"/>
    <w:rsid w:val="00827492"/>
    <w:rsid w:val="008303C3"/>
    <w:rsid w:val="00832113"/>
    <w:rsid w:val="00832A33"/>
    <w:rsid w:val="0084160B"/>
    <w:rsid w:val="008456D5"/>
    <w:rsid w:val="00845C59"/>
    <w:rsid w:val="0084634B"/>
    <w:rsid w:val="00846F1D"/>
    <w:rsid w:val="00860E03"/>
    <w:rsid w:val="00861F96"/>
    <w:rsid w:val="00862E92"/>
    <w:rsid w:val="00864070"/>
    <w:rsid w:val="00867A18"/>
    <w:rsid w:val="0088161A"/>
    <w:rsid w:val="00884DD2"/>
    <w:rsid w:val="008866BA"/>
    <w:rsid w:val="00886822"/>
    <w:rsid w:val="008A1887"/>
    <w:rsid w:val="008A39D7"/>
    <w:rsid w:val="008A5636"/>
    <w:rsid w:val="008A6367"/>
    <w:rsid w:val="008A63AC"/>
    <w:rsid w:val="008B4D4B"/>
    <w:rsid w:val="008B6A81"/>
    <w:rsid w:val="008C10D8"/>
    <w:rsid w:val="008C2A07"/>
    <w:rsid w:val="008D110A"/>
    <w:rsid w:val="008D533E"/>
    <w:rsid w:val="008E2A0D"/>
    <w:rsid w:val="008E3657"/>
    <w:rsid w:val="008E7F3D"/>
    <w:rsid w:val="008F2B51"/>
    <w:rsid w:val="008F6DC7"/>
    <w:rsid w:val="0090234D"/>
    <w:rsid w:val="00913A28"/>
    <w:rsid w:val="00917ED5"/>
    <w:rsid w:val="00917F39"/>
    <w:rsid w:val="00940313"/>
    <w:rsid w:val="00945113"/>
    <w:rsid w:val="009459B3"/>
    <w:rsid w:val="00954738"/>
    <w:rsid w:val="00956F13"/>
    <w:rsid w:val="0096064E"/>
    <w:rsid w:val="0096309D"/>
    <w:rsid w:val="00964278"/>
    <w:rsid w:val="00970205"/>
    <w:rsid w:val="00974A32"/>
    <w:rsid w:val="0098426A"/>
    <w:rsid w:val="00992711"/>
    <w:rsid w:val="00994BF9"/>
    <w:rsid w:val="00997063"/>
    <w:rsid w:val="009A4BC5"/>
    <w:rsid w:val="009A7B97"/>
    <w:rsid w:val="009B00F2"/>
    <w:rsid w:val="009B2FA1"/>
    <w:rsid w:val="009B4485"/>
    <w:rsid w:val="009C31CB"/>
    <w:rsid w:val="009D014E"/>
    <w:rsid w:val="009D1DC4"/>
    <w:rsid w:val="009D33C4"/>
    <w:rsid w:val="009D6EF3"/>
    <w:rsid w:val="009D7CCE"/>
    <w:rsid w:val="009E305D"/>
    <w:rsid w:val="009E4016"/>
    <w:rsid w:val="009E5DED"/>
    <w:rsid w:val="009E6547"/>
    <w:rsid w:val="009E677D"/>
    <w:rsid w:val="009F4788"/>
    <w:rsid w:val="009F6CA8"/>
    <w:rsid w:val="00A06577"/>
    <w:rsid w:val="00A065CE"/>
    <w:rsid w:val="00A070A2"/>
    <w:rsid w:val="00A115DA"/>
    <w:rsid w:val="00A136CE"/>
    <w:rsid w:val="00A174D9"/>
    <w:rsid w:val="00A17EA3"/>
    <w:rsid w:val="00A308F5"/>
    <w:rsid w:val="00A50FC9"/>
    <w:rsid w:val="00A540D1"/>
    <w:rsid w:val="00A54398"/>
    <w:rsid w:val="00A731D5"/>
    <w:rsid w:val="00A750D2"/>
    <w:rsid w:val="00A84D5C"/>
    <w:rsid w:val="00A9196B"/>
    <w:rsid w:val="00A95970"/>
    <w:rsid w:val="00AA438C"/>
    <w:rsid w:val="00AA622A"/>
    <w:rsid w:val="00AA7C94"/>
    <w:rsid w:val="00AA7D21"/>
    <w:rsid w:val="00AB3CCB"/>
    <w:rsid w:val="00AB7E2F"/>
    <w:rsid w:val="00AC072A"/>
    <w:rsid w:val="00AC0CFA"/>
    <w:rsid w:val="00AC1302"/>
    <w:rsid w:val="00AC2EB7"/>
    <w:rsid w:val="00AC650A"/>
    <w:rsid w:val="00AD0DBC"/>
    <w:rsid w:val="00AD6E4A"/>
    <w:rsid w:val="00AD75AE"/>
    <w:rsid w:val="00AD7703"/>
    <w:rsid w:val="00AE4E2F"/>
    <w:rsid w:val="00AE613F"/>
    <w:rsid w:val="00AF0248"/>
    <w:rsid w:val="00AF3303"/>
    <w:rsid w:val="00B00B9D"/>
    <w:rsid w:val="00B05D9E"/>
    <w:rsid w:val="00B06D96"/>
    <w:rsid w:val="00B16E11"/>
    <w:rsid w:val="00B2675A"/>
    <w:rsid w:val="00B31B9E"/>
    <w:rsid w:val="00B327A1"/>
    <w:rsid w:val="00B423C9"/>
    <w:rsid w:val="00B42AC2"/>
    <w:rsid w:val="00B4538C"/>
    <w:rsid w:val="00B54E13"/>
    <w:rsid w:val="00B55CC5"/>
    <w:rsid w:val="00B64B77"/>
    <w:rsid w:val="00B65D34"/>
    <w:rsid w:val="00B66982"/>
    <w:rsid w:val="00B71912"/>
    <w:rsid w:val="00B91A30"/>
    <w:rsid w:val="00B91FD1"/>
    <w:rsid w:val="00BA24FB"/>
    <w:rsid w:val="00BA4718"/>
    <w:rsid w:val="00BB3874"/>
    <w:rsid w:val="00BB3AAC"/>
    <w:rsid w:val="00BB3FB3"/>
    <w:rsid w:val="00BB5FCD"/>
    <w:rsid w:val="00BB77CB"/>
    <w:rsid w:val="00BB7B25"/>
    <w:rsid w:val="00BD0A4C"/>
    <w:rsid w:val="00BD277C"/>
    <w:rsid w:val="00BD3CEA"/>
    <w:rsid w:val="00BD567F"/>
    <w:rsid w:val="00BD59AE"/>
    <w:rsid w:val="00BE1D12"/>
    <w:rsid w:val="00BE1EAF"/>
    <w:rsid w:val="00BE211C"/>
    <w:rsid w:val="00BF0540"/>
    <w:rsid w:val="00BF228E"/>
    <w:rsid w:val="00BF46E8"/>
    <w:rsid w:val="00BF489D"/>
    <w:rsid w:val="00C0090B"/>
    <w:rsid w:val="00C05883"/>
    <w:rsid w:val="00C070C0"/>
    <w:rsid w:val="00C07EEF"/>
    <w:rsid w:val="00C151F5"/>
    <w:rsid w:val="00C2082C"/>
    <w:rsid w:val="00C2367B"/>
    <w:rsid w:val="00C3007A"/>
    <w:rsid w:val="00C327F4"/>
    <w:rsid w:val="00C37181"/>
    <w:rsid w:val="00C4043C"/>
    <w:rsid w:val="00C41AD2"/>
    <w:rsid w:val="00C426BA"/>
    <w:rsid w:val="00C43B18"/>
    <w:rsid w:val="00C4433C"/>
    <w:rsid w:val="00C527FC"/>
    <w:rsid w:val="00C55DFC"/>
    <w:rsid w:val="00C62C02"/>
    <w:rsid w:val="00C6432A"/>
    <w:rsid w:val="00C65B2C"/>
    <w:rsid w:val="00C66118"/>
    <w:rsid w:val="00C66169"/>
    <w:rsid w:val="00C6694D"/>
    <w:rsid w:val="00C70A94"/>
    <w:rsid w:val="00C7218E"/>
    <w:rsid w:val="00C81666"/>
    <w:rsid w:val="00C82E00"/>
    <w:rsid w:val="00C83B88"/>
    <w:rsid w:val="00C84858"/>
    <w:rsid w:val="00C94374"/>
    <w:rsid w:val="00C9684A"/>
    <w:rsid w:val="00CA6284"/>
    <w:rsid w:val="00CA6AD3"/>
    <w:rsid w:val="00CB0D5F"/>
    <w:rsid w:val="00CB3D71"/>
    <w:rsid w:val="00CC08E3"/>
    <w:rsid w:val="00CC3FA7"/>
    <w:rsid w:val="00CC7E1F"/>
    <w:rsid w:val="00CD233E"/>
    <w:rsid w:val="00CD242C"/>
    <w:rsid w:val="00CD37EC"/>
    <w:rsid w:val="00CD4649"/>
    <w:rsid w:val="00CE054C"/>
    <w:rsid w:val="00CF1735"/>
    <w:rsid w:val="00CF3748"/>
    <w:rsid w:val="00CF3932"/>
    <w:rsid w:val="00CF6CFD"/>
    <w:rsid w:val="00D013E9"/>
    <w:rsid w:val="00D043EE"/>
    <w:rsid w:val="00D11838"/>
    <w:rsid w:val="00D1239E"/>
    <w:rsid w:val="00D12F69"/>
    <w:rsid w:val="00D13B86"/>
    <w:rsid w:val="00D14434"/>
    <w:rsid w:val="00D15834"/>
    <w:rsid w:val="00D15CA9"/>
    <w:rsid w:val="00D17389"/>
    <w:rsid w:val="00D30F8D"/>
    <w:rsid w:val="00D36AEC"/>
    <w:rsid w:val="00D36F75"/>
    <w:rsid w:val="00D37408"/>
    <w:rsid w:val="00D41D0F"/>
    <w:rsid w:val="00D434FA"/>
    <w:rsid w:val="00D43E92"/>
    <w:rsid w:val="00D47A15"/>
    <w:rsid w:val="00D51C92"/>
    <w:rsid w:val="00D54AE9"/>
    <w:rsid w:val="00D5655E"/>
    <w:rsid w:val="00D614F3"/>
    <w:rsid w:val="00D7348D"/>
    <w:rsid w:val="00D81544"/>
    <w:rsid w:val="00D86E40"/>
    <w:rsid w:val="00D87AD8"/>
    <w:rsid w:val="00D92D21"/>
    <w:rsid w:val="00D9696E"/>
    <w:rsid w:val="00D97244"/>
    <w:rsid w:val="00DA042E"/>
    <w:rsid w:val="00DA2658"/>
    <w:rsid w:val="00DB214D"/>
    <w:rsid w:val="00DB66DF"/>
    <w:rsid w:val="00DB7FA3"/>
    <w:rsid w:val="00DC0392"/>
    <w:rsid w:val="00DC0C3E"/>
    <w:rsid w:val="00DC2810"/>
    <w:rsid w:val="00DC35FB"/>
    <w:rsid w:val="00DC377F"/>
    <w:rsid w:val="00DC5096"/>
    <w:rsid w:val="00DD0652"/>
    <w:rsid w:val="00DD1A5C"/>
    <w:rsid w:val="00DD40A3"/>
    <w:rsid w:val="00DD73D4"/>
    <w:rsid w:val="00DE0321"/>
    <w:rsid w:val="00DE4362"/>
    <w:rsid w:val="00DE4FE2"/>
    <w:rsid w:val="00DE59B0"/>
    <w:rsid w:val="00DF0839"/>
    <w:rsid w:val="00DF7732"/>
    <w:rsid w:val="00DF7CF9"/>
    <w:rsid w:val="00DF7EE5"/>
    <w:rsid w:val="00E009BF"/>
    <w:rsid w:val="00E04908"/>
    <w:rsid w:val="00E15EB9"/>
    <w:rsid w:val="00E234E9"/>
    <w:rsid w:val="00E23718"/>
    <w:rsid w:val="00E24F60"/>
    <w:rsid w:val="00E256AE"/>
    <w:rsid w:val="00E25C26"/>
    <w:rsid w:val="00E3432A"/>
    <w:rsid w:val="00E373FB"/>
    <w:rsid w:val="00E40631"/>
    <w:rsid w:val="00E43295"/>
    <w:rsid w:val="00E50D64"/>
    <w:rsid w:val="00E55439"/>
    <w:rsid w:val="00E60A8C"/>
    <w:rsid w:val="00E62F6E"/>
    <w:rsid w:val="00E63D25"/>
    <w:rsid w:val="00E70FD4"/>
    <w:rsid w:val="00E83856"/>
    <w:rsid w:val="00E85AC6"/>
    <w:rsid w:val="00E85B60"/>
    <w:rsid w:val="00E90C25"/>
    <w:rsid w:val="00EA51E4"/>
    <w:rsid w:val="00EA590C"/>
    <w:rsid w:val="00EA690B"/>
    <w:rsid w:val="00EB083C"/>
    <w:rsid w:val="00EC0891"/>
    <w:rsid w:val="00EC25B4"/>
    <w:rsid w:val="00EC39D5"/>
    <w:rsid w:val="00EC46ED"/>
    <w:rsid w:val="00EC4A8C"/>
    <w:rsid w:val="00ED0778"/>
    <w:rsid w:val="00ED29C5"/>
    <w:rsid w:val="00ED405B"/>
    <w:rsid w:val="00EE37C9"/>
    <w:rsid w:val="00EE6EBB"/>
    <w:rsid w:val="00EE76F3"/>
    <w:rsid w:val="00EE7F19"/>
    <w:rsid w:val="00EF3397"/>
    <w:rsid w:val="00EF465D"/>
    <w:rsid w:val="00EF79E7"/>
    <w:rsid w:val="00F03CE7"/>
    <w:rsid w:val="00F05F1C"/>
    <w:rsid w:val="00F10B54"/>
    <w:rsid w:val="00F1428D"/>
    <w:rsid w:val="00F2064E"/>
    <w:rsid w:val="00F2666A"/>
    <w:rsid w:val="00F27CB0"/>
    <w:rsid w:val="00F30F9F"/>
    <w:rsid w:val="00F33EF2"/>
    <w:rsid w:val="00F34B22"/>
    <w:rsid w:val="00F40E63"/>
    <w:rsid w:val="00F4602C"/>
    <w:rsid w:val="00F46037"/>
    <w:rsid w:val="00F512BE"/>
    <w:rsid w:val="00F5493C"/>
    <w:rsid w:val="00F54FBB"/>
    <w:rsid w:val="00F55894"/>
    <w:rsid w:val="00F6352A"/>
    <w:rsid w:val="00F67CDB"/>
    <w:rsid w:val="00F75D46"/>
    <w:rsid w:val="00F75F5C"/>
    <w:rsid w:val="00F8451E"/>
    <w:rsid w:val="00F90578"/>
    <w:rsid w:val="00F92202"/>
    <w:rsid w:val="00F93AB1"/>
    <w:rsid w:val="00F9740E"/>
    <w:rsid w:val="00FA01E0"/>
    <w:rsid w:val="00FA4978"/>
    <w:rsid w:val="00FB1958"/>
    <w:rsid w:val="00FC32B2"/>
    <w:rsid w:val="00FC34AF"/>
    <w:rsid w:val="00FC5E72"/>
    <w:rsid w:val="00FC7ABC"/>
    <w:rsid w:val="00FD2A95"/>
    <w:rsid w:val="00FE0D66"/>
    <w:rsid w:val="00FE3595"/>
    <w:rsid w:val="00FE7D3E"/>
    <w:rsid w:val="00FF352B"/>
    <w:rsid w:val="00FF6E06"/>
    <w:rsid w:val="00FF7F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F6E01"/>
  <w15:chartTrackingRefBased/>
  <w15:docId w15:val="{8B85D513-71E2-44A7-8A01-9999C1447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6F1D"/>
    <w:pPr>
      <w:suppressAutoHyphens/>
    </w:pPr>
  </w:style>
  <w:style w:type="paragraph" w:styleId="Heading1">
    <w:name w:val="heading 1"/>
    <w:basedOn w:val="Normal"/>
    <w:next w:val="Normal"/>
    <w:link w:val="Heading1Char"/>
    <w:uiPriority w:val="9"/>
    <w:qFormat/>
    <w:rsid w:val="00846F1D"/>
    <w:pPr>
      <w:keepNext/>
      <w:keepLines/>
      <w:spacing w:before="480" w:after="160"/>
      <w:ind w:left="1276"/>
      <w:contextualSpacing/>
      <w:outlineLvl w:val="0"/>
    </w:pPr>
    <w:rPr>
      <w:rFonts w:asciiTheme="majorHAnsi" w:eastAsiaTheme="majorEastAsia" w:hAnsiTheme="majorHAnsi" w:cstheme="majorBidi"/>
      <w:b/>
      <w:color w:val="081E3E" w:themeColor="text2"/>
      <w:sz w:val="56"/>
      <w:szCs w:val="56"/>
    </w:rPr>
  </w:style>
  <w:style w:type="paragraph" w:styleId="Heading2">
    <w:name w:val="heading 2"/>
    <w:basedOn w:val="Normal"/>
    <w:next w:val="Normal"/>
    <w:link w:val="Heading2Char"/>
    <w:uiPriority w:val="9"/>
    <w:unhideWhenUsed/>
    <w:qFormat/>
    <w:rsid w:val="005F794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4063DE"/>
    <w:pPr>
      <w:keepNext/>
      <w:keepLines/>
      <w:spacing w:before="240" w:after="160"/>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9"/>
    <w:unhideWhenUsed/>
    <w:qFormat/>
    <w:rsid w:val="004063DE"/>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Heading5nonumber"/>
    <w:next w:val="BodyText"/>
    <w:link w:val="Heading5Char"/>
    <w:uiPriority w:val="9"/>
    <w:unhideWhenUsed/>
    <w:qFormat/>
    <w:rsid w:val="00074A22"/>
    <w:pPr>
      <w:framePr w:w="0" w:hRule="auto" w:hSpace="0" w:wrap="auto" w:vAnchor="margin" w:hAnchor="text" w:xAlign="left" w:yAlign="inline"/>
      <w:outlineLvl w:val="4"/>
    </w:pPr>
    <w:rPr>
      <w:rFonts w:asciiTheme="majorHAnsi" w:hAnsiTheme="majorHAnsi" w:cstheme="majorBidi"/>
      <w:bCs/>
      <w:i w:val="0"/>
    </w:rPr>
  </w:style>
  <w:style w:type="paragraph" w:styleId="Heading6">
    <w:name w:val="heading 6"/>
    <w:basedOn w:val="Normal"/>
    <w:next w:val="Normal"/>
    <w:link w:val="Heading6Char"/>
    <w:uiPriority w:val="9"/>
    <w:unhideWhenUsed/>
    <w:qFormat/>
    <w:rsid w:val="005F794B"/>
    <w:pPr>
      <w:keepNext/>
      <w:keepLines/>
      <w:spacing w:before="240" w:after="160"/>
      <w:outlineLvl w:val="5"/>
    </w:pPr>
    <w:rPr>
      <w:rFonts w:asciiTheme="majorHAnsi" w:eastAsiaTheme="majorEastAsia" w:hAnsiTheme="majorHAnsi" w:cstheme="majorBidi"/>
      <w:i/>
      <w:color w:val="081E3E" w:themeColor="text2"/>
    </w:rPr>
  </w:style>
  <w:style w:type="paragraph" w:styleId="Heading7">
    <w:name w:val="heading 7"/>
    <w:basedOn w:val="Heading2nonumber"/>
    <w:next w:val="BodyText"/>
    <w:link w:val="Heading7Char"/>
    <w:uiPriority w:val="9"/>
    <w:unhideWhenUsed/>
    <w:qFormat/>
    <w:rsid w:val="002A5496"/>
    <w:pPr>
      <w:keepLines/>
      <w:contextualSpacing/>
      <w:outlineLvl w:val="6"/>
    </w:pPr>
    <w:rPr>
      <w:rFonts w:eastAsiaTheme="majorEastAsia"/>
      <w:iCs/>
      <w:color w:val="6C3F99"/>
    </w:rPr>
  </w:style>
  <w:style w:type="paragraph" w:styleId="Heading8">
    <w:name w:val="heading 8"/>
    <w:basedOn w:val="Heading3nonumber"/>
    <w:next w:val="BodyText"/>
    <w:link w:val="Heading8Char"/>
    <w:uiPriority w:val="9"/>
    <w:qFormat/>
    <w:rsid w:val="002A5496"/>
    <w:pPr>
      <w:keepLines/>
      <w:pBdr>
        <w:between w:val="single" w:sz="4" w:space="1" w:color="6C3E99"/>
      </w:pBdr>
      <w:contextualSpacing/>
      <w:outlineLvl w:val="7"/>
    </w:pPr>
    <w:rPr>
      <w:rFonts w:eastAsiaTheme="majorEastAsia"/>
      <w:szCs w:val="21"/>
    </w:rPr>
  </w:style>
  <w:style w:type="paragraph" w:styleId="Heading9">
    <w:name w:val="heading 9"/>
    <w:basedOn w:val="Heading4nonumber"/>
    <w:next w:val="BodyText"/>
    <w:link w:val="Heading9Char"/>
    <w:uiPriority w:val="9"/>
    <w:qFormat/>
    <w:rsid w:val="002A5496"/>
    <w:pPr>
      <w:keepLines/>
      <w:pBdr>
        <w:between w:val="single" w:sz="4" w:space="1" w:color="auto"/>
      </w:pBdr>
      <w:outlineLvl w:val="8"/>
    </w:pPr>
    <w:rPr>
      <w:rFonts w:eastAsiaTheme="majorEastAsia"/>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0"/>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0"/>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1"/>
    <w:qFormat/>
    <w:rsid w:val="003261CF"/>
    <w:pPr>
      <w:numPr>
        <w:ilvl w:val="1"/>
      </w:numPr>
      <w:spacing w:before="480" w:after="160"/>
    </w:pPr>
    <w:rPr>
      <w:rFonts w:asciiTheme="majorHAnsi" w:eastAsiaTheme="minorEastAsia" w:hAnsiTheme="majorHAnsi"/>
      <w:color w:val="377B88"/>
      <w:sz w:val="44"/>
    </w:rPr>
  </w:style>
  <w:style w:type="character" w:customStyle="1" w:styleId="SubtitleChar">
    <w:name w:val="Subtitle Char"/>
    <w:basedOn w:val="DefaultParagraphFont"/>
    <w:link w:val="Subtitle"/>
    <w:uiPriority w:val="11"/>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NECG) Footnote Text,APVMA_Footnote,fn,FT,ft,SD Footnote Text,Footnote Text AG,Footnote Text1 Char,Footnote Text Char Ch,ALTS FOOTNOTE,AR Footnote Text Char,Footnote Text2,Footnote Text1,(NECG) Footnote Text1,f"/>
    <w:basedOn w:val="Normal"/>
    <w:link w:val="FootnoteTextChar"/>
    <w:uiPriority w:val="99"/>
    <w:qFormat/>
    <w:rsid w:val="00213BBB"/>
    <w:pPr>
      <w:spacing w:before="0" w:after="0"/>
      <w:ind w:left="284" w:hanging="284"/>
    </w:pPr>
    <w:rPr>
      <w:sz w:val="20"/>
    </w:rPr>
  </w:style>
  <w:style w:type="character" w:customStyle="1" w:styleId="FootnoteTextChar">
    <w:name w:val="Footnote Text Char"/>
    <w:aliases w:val="Footnote Text Char Char Char,(NECG) Footnote Text Char,APVMA_Footnote Char,fn Char,FT Char,ft Char,SD Footnote Text Char,Footnote Text AG Char,Footnote Text1 Char Char,Footnote Text Char Ch Char,ALTS FOOTNOTE Char,Footnote Text2 Char"/>
    <w:basedOn w:val="DefaultParagraphFont"/>
    <w:link w:val="FootnoteText"/>
    <w:uiPriority w:val="99"/>
    <w:rsid w:val="00213BBB"/>
    <w:rPr>
      <w:sz w:val="20"/>
    </w:rPr>
  </w:style>
  <w:style w:type="character" w:styleId="FootnoteReference">
    <w:name w:val="footnote reference"/>
    <w:aliases w:val="(NECG) Footnote Reference,fr,(NECG) Footnote Reference1,(NECG) Footnote Reference2,(NECG) Footnote Reference3,(NECG) Footnote Reference4,(NECG) Footnote Reference5,(NECG) Footnote Reference6,(NECG) Footnote Reference7,o,Style 3,Style"/>
    <w:basedOn w:val="DefaultParagraphFont"/>
    <w:uiPriority w:val="99"/>
    <w:unhideWhenUsed/>
    <w:qFormat/>
    <w:rsid w:val="005F794B"/>
    <w:rPr>
      <w:vertAlign w:val="superscript"/>
    </w:rPr>
  </w:style>
  <w:style w:type="character" w:customStyle="1" w:styleId="Heading1Char">
    <w:name w:val="Heading 1 Char"/>
    <w:basedOn w:val="DefaultParagraphFont"/>
    <w:link w:val="Heading1"/>
    <w:uiPriority w:val="9"/>
    <w:rsid w:val="00846F1D"/>
    <w:rPr>
      <w:rFonts w:asciiTheme="majorHAnsi" w:eastAsiaTheme="majorEastAsia" w:hAnsiTheme="majorHAnsi" w:cstheme="majorBidi"/>
      <w:b/>
      <w:color w:val="081E3E" w:themeColor="text2"/>
      <w:sz w:val="56"/>
      <w:szCs w:val="56"/>
    </w:rPr>
  </w:style>
  <w:style w:type="character" w:customStyle="1" w:styleId="Heading2Char">
    <w:name w:val="Heading 2 Char"/>
    <w:basedOn w:val="DefaultParagraphFont"/>
    <w:link w:val="Heading2"/>
    <w:uiPriority w:val="9"/>
    <w:rsid w:val="005F794B"/>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4063DE"/>
    <w:rPr>
      <w:rFonts w:asciiTheme="majorHAnsi" w:eastAsiaTheme="majorEastAsia" w:hAnsiTheme="majorHAnsi" w:cstheme="majorBidi"/>
      <w:b/>
      <w:color w:val="6D7989" w:themeColor="accent4" w:themeShade="BF"/>
      <w:sz w:val="32"/>
      <w:szCs w:val="24"/>
    </w:rPr>
  </w:style>
  <w:style w:type="character" w:customStyle="1" w:styleId="Heading4Char">
    <w:name w:val="Heading 4 Char"/>
    <w:basedOn w:val="DefaultParagraphFont"/>
    <w:link w:val="Heading4"/>
    <w:uiPriority w:val="9"/>
    <w:rsid w:val="004063DE"/>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074A22"/>
    <w:rPr>
      <w:rFonts w:asciiTheme="majorHAnsi" w:eastAsia="Yu Gothic" w:hAnsiTheme="majorHAnsi" w:cstheme="majorBidi"/>
      <w:b/>
      <w:bCs/>
      <w:color w:val="000100"/>
      <w:sz w:val="24"/>
      <w:szCs w:val="28"/>
    </w:rPr>
  </w:style>
  <w:style w:type="character" w:customStyle="1" w:styleId="Heading6Char">
    <w:name w:val="Heading 6 Char"/>
    <w:basedOn w:val="DefaultParagraphFont"/>
    <w:link w:val="Heading6"/>
    <w:uiPriority w:val="9"/>
    <w:rsid w:val="005F794B"/>
    <w:rPr>
      <w:rFonts w:asciiTheme="majorHAnsi" w:eastAsiaTheme="majorEastAsia" w:hAnsiTheme="majorHAnsi" w:cstheme="majorBidi"/>
      <w:i/>
      <w:color w:val="081E3E" w:themeColor="text2"/>
      <w:kern w:val="12"/>
      <w:sz w:val="22"/>
    </w:rPr>
  </w:style>
  <w:style w:type="paragraph" w:styleId="Caption">
    <w:name w:val="caption"/>
    <w:aliases w:val="Caption Char,Char1 Char Char,Char1 Char,Char1 Char Char Char,Char1 Char Char Char Char,Char Char,Caption Char Char Char,1,Char1,Text Caption,minor heading,Caption Char Char Char Char Char,Caption1,Char"/>
    <w:basedOn w:val="Normal"/>
    <w:next w:val="Normal"/>
    <w:link w:val="CaptionChar1"/>
    <w:uiPriority w:val="35"/>
    <w:qFormat/>
    <w:rsid w:val="004B0117"/>
    <w:pPr>
      <w:keepNext/>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4B0117"/>
    <w:pPr>
      <w:spacing w:before="120"/>
    </w:pPr>
    <w:rPr>
      <w:sz w:val="20"/>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4"/>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3"/>
      </w:numPr>
      <w:spacing w:before="80"/>
    </w:pPr>
    <w:rPr>
      <w:lang w:val="x-none"/>
    </w:rPr>
  </w:style>
  <w:style w:type="paragraph" w:customStyle="1" w:styleId="ListNumbered21">
    <w:name w:val="List Numbered 2.1"/>
    <w:basedOn w:val="ListNumbered1"/>
    <w:uiPriority w:val="3"/>
    <w:rsid w:val="00FC32B2"/>
    <w:pPr>
      <w:numPr>
        <w:ilvl w:val="1"/>
      </w:numPr>
      <w:ind w:left="780" w:hanging="360"/>
    </w:pPr>
  </w:style>
  <w:style w:type="paragraph" w:customStyle="1" w:styleId="ListNumbered311">
    <w:name w:val="List Numbered 3.1.1"/>
    <w:basedOn w:val="ListNumbered21"/>
    <w:uiPriority w:val="3"/>
    <w:rsid w:val="00FC32B2"/>
    <w:pPr>
      <w:numPr>
        <w:ilvl w:val="2"/>
      </w:numPr>
      <w:ind w:left="1140" w:hanging="360"/>
    </w:pPr>
  </w:style>
  <w:style w:type="paragraph" w:customStyle="1" w:styleId="Bullet1">
    <w:name w:val="Bullet 1"/>
    <w:basedOn w:val="Normal"/>
    <w:uiPriority w:val="3"/>
    <w:qFormat/>
    <w:rsid w:val="00CF6CFD"/>
    <w:pPr>
      <w:numPr>
        <w:numId w:val="2"/>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9"/>
    <w:qFormat/>
    <w:rsid w:val="00CF6CFD"/>
    <w:pPr>
      <w:spacing w:before="0"/>
    </w:pPr>
  </w:style>
  <w:style w:type="paragraph" w:customStyle="1" w:styleId="Box1Text">
    <w:name w:val="Box 1 Text"/>
    <w:basedOn w:val="Normal"/>
    <w:uiPriority w:val="23"/>
    <w:qFormat/>
    <w:rsid w:val="00CF6CFD"/>
    <w:pPr>
      <w:pBdr>
        <w:top w:val="single" w:sz="4" w:space="14" w:color="008089" w:themeColor="accent2"/>
        <w:left w:val="single" w:sz="4" w:space="14" w:color="008089" w:themeColor="accent2"/>
        <w:bottom w:val="single" w:sz="4" w:space="14" w:color="008089" w:themeColor="accent2"/>
        <w:right w:val="single" w:sz="4" w:space="14" w:color="008089"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9D7CCE"/>
    <w:pPr>
      <w:numPr>
        <w:numId w:val="12"/>
      </w:numPr>
      <w:spacing w:before="80"/>
    </w:pPr>
    <w:rPr>
      <w:kern w:val="12"/>
      <w:sz w:val="20"/>
      <w:szCs w:val="20"/>
    </w:rPr>
  </w:style>
  <w:style w:type="paragraph" w:customStyle="1" w:styleId="Box2Text">
    <w:name w:val="Box 2 Text"/>
    <w:basedOn w:val="Normal"/>
    <w:uiPriority w:val="24"/>
    <w:qFormat/>
    <w:rsid w:val="009D7CCE"/>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9D7CCE"/>
    <w:pPr>
      <w:numPr>
        <w:ilvl w:val="1"/>
        <w:numId w:val="12"/>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
      </w:numPr>
    </w:pPr>
  </w:style>
  <w:style w:type="numbering" w:customStyle="1" w:styleId="ListLegal">
    <w:name w:val="List Legal"/>
    <w:uiPriority w:val="99"/>
    <w:rsid w:val="00477E77"/>
    <w:pPr>
      <w:numPr>
        <w:numId w:val="3"/>
      </w:numPr>
    </w:pPr>
  </w:style>
  <w:style w:type="numbering" w:customStyle="1" w:styleId="ListNumbered">
    <w:name w:val="List Numbered"/>
    <w:uiPriority w:val="99"/>
    <w:rsid w:val="00477E77"/>
    <w:pPr>
      <w:numPr>
        <w:numId w:val="5"/>
      </w:numPr>
    </w:pPr>
  </w:style>
  <w:style w:type="paragraph" w:customStyle="1" w:styleId="Heading1Numbered">
    <w:name w:val="Heading 1 Numbered"/>
    <w:basedOn w:val="Heading1"/>
    <w:uiPriority w:val="10"/>
    <w:rsid w:val="003F775D"/>
    <w:pPr>
      <w:numPr>
        <w:numId w:val="6"/>
      </w:numPr>
    </w:pPr>
  </w:style>
  <w:style w:type="paragraph" w:customStyle="1" w:styleId="Heading2Numbered">
    <w:name w:val="Heading 2 Numbered"/>
    <w:basedOn w:val="Heading2"/>
    <w:uiPriority w:val="10"/>
    <w:rsid w:val="003F775D"/>
    <w:pPr>
      <w:numPr>
        <w:ilvl w:val="1"/>
        <w:numId w:val="6"/>
      </w:numPr>
    </w:pPr>
  </w:style>
  <w:style w:type="paragraph" w:customStyle="1" w:styleId="Heading3Numbered">
    <w:name w:val="Heading 3 Numbered"/>
    <w:basedOn w:val="Heading3"/>
    <w:uiPriority w:val="10"/>
    <w:rsid w:val="003F775D"/>
    <w:pPr>
      <w:numPr>
        <w:ilvl w:val="2"/>
        <w:numId w:val="6"/>
      </w:numPr>
    </w:pPr>
  </w:style>
  <w:style w:type="paragraph" w:customStyle="1" w:styleId="Heading4Numbered">
    <w:name w:val="Heading 4 Numbered"/>
    <w:basedOn w:val="Heading4"/>
    <w:uiPriority w:val="10"/>
    <w:rsid w:val="003F775D"/>
    <w:pPr>
      <w:numPr>
        <w:ilvl w:val="3"/>
        <w:numId w:val="6"/>
      </w:numPr>
    </w:pPr>
  </w:style>
  <w:style w:type="paragraph" w:customStyle="1" w:styleId="Heading5Numbered">
    <w:name w:val="Heading 5 Numbered"/>
    <w:basedOn w:val="Heading5"/>
    <w:uiPriority w:val="10"/>
    <w:rsid w:val="003F775D"/>
    <w:pPr>
      <w:framePr w:wrap="around" w:hAnchor="text"/>
      <w:numPr>
        <w:ilvl w:val="4"/>
        <w:numId w:val="6"/>
      </w:numPr>
    </w:pPr>
  </w:style>
  <w:style w:type="numbering" w:customStyle="1" w:styleId="NumberedHeadings">
    <w:name w:val="Numbered Headings"/>
    <w:uiPriority w:val="99"/>
    <w:rsid w:val="003F775D"/>
    <w:pPr>
      <w:numPr>
        <w:numId w:val="6"/>
      </w:numPr>
    </w:pPr>
  </w:style>
  <w:style w:type="paragraph" w:customStyle="1" w:styleId="AppendixHeading1">
    <w:name w:val="Appendix Heading 1"/>
    <w:basedOn w:val="Heading1"/>
    <w:uiPriority w:val="11"/>
    <w:qFormat/>
    <w:rsid w:val="0001430B"/>
    <w:pPr>
      <w:numPr>
        <w:numId w:val="8"/>
      </w:numPr>
    </w:pPr>
  </w:style>
  <w:style w:type="paragraph" w:customStyle="1" w:styleId="AppendixHeading2">
    <w:name w:val="Appendix Heading 2"/>
    <w:basedOn w:val="Heading2"/>
    <w:uiPriority w:val="11"/>
    <w:rsid w:val="0001430B"/>
    <w:pPr>
      <w:numPr>
        <w:ilvl w:val="1"/>
        <w:numId w:val="8"/>
      </w:numPr>
    </w:pPr>
  </w:style>
  <w:style w:type="paragraph" w:customStyle="1" w:styleId="AttachmentHeading1">
    <w:name w:val="Attachment Heading 1"/>
    <w:basedOn w:val="Heading1"/>
    <w:uiPriority w:val="11"/>
    <w:qFormat/>
    <w:rsid w:val="0001430B"/>
    <w:pPr>
      <w:numPr>
        <w:numId w:val="10"/>
      </w:numPr>
    </w:pPr>
  </w:style>
  <w:style w:type="paragraph" w:customStyle="1" w:styleId="AttachmentHeading2">
    <w:name w:val="Attachment Heading 2"/>
    <w:basedOn w:val="Heading2"/>
    <w:uiPriority w:val="11"/>
    <w:rsid w:val="0001430B"/>
    <w:pPr>
      <w:numPr>
        <w:ilvl w:val="1"/>
        <w:numId w:val="10"/>
      </w:numPr>
      <w:ind w:left="567" w:hanging="283"/>
    </w:pPr>
  </w:style>
  <w:style w:type="numbering" w:customStyle="1" w:styleId="AppendixNumbers">
    <w:name w:val="Appendix Numbers"/>
    <w:uiPriority w:val="99"/>
    <w:rsid w:val="0001430B"/>
    <w:pPr>
      <w:numPr>
        <w:numId w:val="7"/>
      </w:numPr>
    </w:pPr>
  </w:style>
  <w:style w:type="numbering" w:customStyle="1" w:styleId="AttachmentNumbers">
    <w:name w:val="Attachment Numbers"/>
    <w:uiPriority w:val="99"/>
    <w:rsid w:val="0001430B"/>
    <w:pPr>
      <w:numPr>
        <w:numId w:val="9"/>
      </w:numPr>
    </w:pPr>
  </w:style>
  <w:style w:type="paragraph" w:styleId="Quote">
    <w:name w:val="Quote"/>
    <w:basedOn w:val="Normal"/>
    <w:next w:val="Normal"/>
    <w:link w:val="QuoteChar"/>
    <w:uiPriority w:val="29"/>
    <w:qFormat/>
    <w:rsid w:val="00B06D96"/>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B06D96"/>
    <w:rPr>
      <w:b/>
      <w:iCs/>
      <w:color w:val="404040" w:themeColor="text1" w:themeTint="BF"/>
    </w:rPr>
  </w:style>
  <w:style w:type="paragraph" w:styleId="TOC1">
    <w:name w:val="toc 1"/>
    <w:basedOn w:val="Normal"/>
    <w:next w:val="Normal"/>
    <w:autoRedefine/>
    <w:uiPriority w:val="39"/>
    <w:rsid w:val="00E25C26"/>
    <w:pPr>
      <w:keepLines/>
      <w:tabs>
        <w:tab w:val="right" w:pos="9854"/>
      </w:tabs>
      <w:spacing w:before="120" w:after="0"/>
      <w:ind w:left="567" w:hanging="567"/>
    </w:pPr>
    <w:rPr>
      <w:b/>
      <w:sz w:val="24"/>
      <w:u w:val="single" w:color="008089"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4063DE"/>
    <w:pPr>
      <w:spacing w:before="0"/>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9D7CCE"/>
    <w:pPr>
      <w:numPr>
        <w:ilvl w:val="2"/>
        <w:numId w:val="12"/>
      </w:numPr>
    </w:pPr>
    <w:rPr>
      <w:kern w:val="12"/>
      <w:sz w:val="20"/>
      <w:szCs w:val="20"/>
    </w:rPr>
  </w:style>
  <w:style w:type="numbering" w:customStyle="1" w:styleId="BoxedBullets">
    <w:name w:val="Boxed Bullets"/>
    <w:uiPriority w:val="99"/>
    <w:rsid w:val="009D7CCE"/>
    <w:pPr>
      <w:numPr>
        <w:numId w:val="11"/>
      </w:numPr>
    </w:pPr>
  </w:style>
  <w:style w:type="paragraph" w:customStyle="1" w:styleId="SecurityMarker">
    <w:name w:val="Security Marker"/>
    <w:basedOn w:val="Normal"/>
    <w:link w:val="SecurityMarkerChar"/>
    <w:qFormat/>
    <w:rsid w:val="00827492"/>
    <w:pPr>
      <w:spacing w:before="60" w:after="60"/>
      <w:ind w:left="-1247"/>
      <w:jc w:val="center"/>
    </w:pPr>
    <w:rPr>
      <w:b/>
      <w:bCs/>
      <w:caps/>
      <w:color w:val="E10000"/>
      <w:sz w:val="28"/>
      <w:szCs w:val="28"/>
    </w:rPr>
  </w:style>
  <w:style w:type="character" w:styleId="FollowedHyperlink">
    <w:name w:val="FollowedHyperlink"/>
    <w:basedOn w:val="DefaultParagraphFont"/>
    <w:uiPriority w:val="99"/>
    <w:semiHidden/>
    <w:unhideWhenUsed/>
    <w:rsid w:val="00216AED"/>
    <w:rPr>
      <w:color w:val="0046FF" w:themeColor="followedHyperlink"/>
      <w:u w:val="single"/>
    </w:rPr>
  </w:style>
  <w:style w:type="character" w:styleId="CommentReference">
    <w:name w:val="annotation reference"/>
    <w:basedOn w:val="DefaultParagraphFont"/>
    <w:uiPriority w:val="99"/>
    <w:semiHidden/>
    <w:unhideWhenUsed/>
    <w:rsid w:val="00666D51"/>
    <w:rPr>
      <w:sz w:val="16"/>
      <w:szCs w:val="16"/>
    </w:rPr>
  </w:style>
  <w:style w:type="paragraph" w:styleId="CommentText">
    <w:name w:val="annotation text"/>
    <w:basedOn w:val="Normal"/>
    <w:link w:val="CommentTextChar"/>
    <w:uiPriority w:val="99"/>
    <w:unhideWhenUsed/>
    <w:rsid w:val="00666D51"/>
    <w:rPr>
      <w:sz w:val="20"/>
      <w:szCs w:val="20"/>
    </w:rPr>
  </w:style>
  <w:style w:type="character" w:customStyle="1" w:styleId="CommentTextChar">
    <w:name w:val="Comment Text Char"/>
    <w:basedOn w:val="DefaultParagraphFont"/>
    <w:link w:val="CommentText"/>
    <w:uiPriority w:val="99"/>
    <w:rsid w:val="00666D51"/>
    <w:rPr>
      <w:sz w:val="20"/>
      <w:szCs w:val="20"/>
    </w:rPr>
  </w:style>
  <w:style w:type="paragraph" w:styleId="CommentSubject">
    <w:name w:val="annotation subject"/>
    <w:basedOn w:val="CommentText"/>
    <w:next w:val="CommentText"/>
    <w:link w:val="CommentSubjectChar"/>
    <w:uiPriority w:val="99"/>
    <w:semiHidden/>
    <w:unhideWhenUsed/>
    <w:rsid w:val="00666D51"/>
    <w:rPr>
      <w:b/>
      <w:bCs/>
    </w:rPr>
  </w:style>
  <w:style w:type="character" w:customStyle="1" w:styleId="CommentSubjectChar">
    <w:name w:val="Comment Subject Char"/>
    <w:basedOn w:val="CommentTextChar"/>
    <w:link w:val="CommentSubject"/>
    <w:uiPriority w:val="99"/>
    <w:semiHidden/>
    <w:rsid w:val="00666D51"/>
    <w:rPr>
      <w:b/>
      <w:bCs/>
      <w:sz w:val="20"/>
      <w:szCs w:val="20"/>
    </w:rPr>
  </w:style>
  <w:style w:type="paragraph" w:styleId="BalloonText">
    <w:name w:val="Balloon Text"/>
    <w:basedOn w:val="Normal"/>
    <w:link w:val="BalloonTextChar"/>
    <w:uiPriority w:val="99"/>
    <w:semiHidden/>
    <w:unhideWhenUsed/>
    <w:rsid w:val="00666D5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D51"/>
    <w:rPr>
      <w:rFonts w:ascii="Segoe UI" w:hAnsi="Segoe UI" w:cs="Segoe UI"/>
      <w:sz w:val="18"/>
      <w:szCs w:val="18"/>
    </w:rPr>
  </w:style>
  <w:style w:type="paragraph" w:styleId="ListParagraph">
    <w:name w:val="List Paragraph"/>
    <w:basedOn w:val="Normal"/>
    <w:uiPriority w:val="34"/>
    <w:unhideWhenUsed/>
    <w:qFormat/>
    <w:rsid w:val="000075AC"/>
    <w:pPr>
      <w:ind w:left="720"/>
      <w:contextualSpacing/>
    </w:pPr>
  </w:style>
  <w:style w:type="paragraph" w:customStyle="1" w:styleId="Heading5nonumber">
    <w:name w:val="Heading 5 (no number)"/>
    <w:basedOn w:val="Normal-nospace"/>
    <w:next w:val="BodyText"/>
    <w:link w:val="Heading5nonumberChar"/>
    <w:qFormat/>
    <w:rsid w:val="009D014E"/>
    <w:pPr>
      <w:keepNext/>
      <w:keepLines/>
      <w:framePr w:w="11873" w:h="465" w:hRule="exact" w:hSpace="181" w:wrap="around" w:vAnchor="page" w:hAnchor="page" w:x="29" w:y="353" w:anchorLock="1"/>
      <w:tabs>
        <w:tab w:val="center" w:pos="4932"/>
        <w:tab w:val="left" w:pos="7290"/>
      </w:tabs>
      <w:spacing w:before="240" w:line="240" w:lineRule="atLeast"/>
    </w:pPr>
    <w:rPr>
      <w:rFonts w:ascii="Yu Gothic" w:eastAsia="Yu Gothic" w:hAnsi="Yu Gothic"/>
      <w:b/>
      <w:i/>
      <w:sz w:val="24"/>
      <w:szCs w:val="28"/>
    </w:rPr>
  </w:style>
  <w:style w:type="character" w:customStyle="1" w:styleId="SecurityMarkerChar">
    <w:name w:val="Security Marker Char"/>
    <w:basedOn w:val="DefaultParagraphFont"/>
    <w:link w:val="SecurityMarker"/>
    <w:rsid w:val="009D014E"/>
    <w:rPr>
      <w:b/>
      <w:bCs/>
      <w:caps/>
      <w:color w:val="E10000"/>
      <w:sz w:val="28"/>
      <w:szCs w:val="28"/>
    </w:rPr>
  </w:style>
  <w:style w:type="character" w:customStyle="1" w:styleId="Heading5nonumberChar">
    <w:name w:val="Heading 5 (no number) Char"/>
    <w:basedOn w:val="SecurityMarkerChar"/>
    <w:link w:val="Heading5nonumber"/>
    <w:rsid w:val="009D014E"/>
    <w:rPr>
      <w:rFonts w:ascii="Yu Gothic" w:eastAsia="Yu Gothic" w:hAnsi="Yu Gothic" w:cs="Arial"/>
      <w:b/>
      <w:bCs w:val="0"/>
      <w:i/>
      <w:caps w:val="0"/>
      <w:color w:val="000100"/>
      <w:sz w:val="24"/>
      <w:szCs w:val="28"/>
    </w:rPr>
  </w:style>
  <w:style w:type="paragraph" w:customStyle="1" w:styleId="Heading5ES">
    <w:name w:val="Heading 5 (ES)"/>
    <w:basedOn w:val="Heading5nonumber"/>
    <w:next w:val="BodyText"/>
    <w:link w:val="Heading5ESChar"/>
    <w:qFormat/>
    <w:rsid w:val="009D014E"/>
    <w:pPr>
      <w:framePr w:wrap="around"/>
    </w:pPr>
    <w:rPr>
      <w:rFonts w:cstheme="minorBidi"/>
      <w:bCs/>
      <w:caps/>
    </w:rPr>
  </w:style>
  <w:style w:type="character" w:customStyle="1" w:styleId="Heading5ESChar">
    <w:name w:val="Heading 5 (ES) Char"/>
    <w:basedOn w:val="SecurityMarkerChar"/>
    <w:link w:val="Heading5ES"/>
    <w:rsid w:val="009D014E"/>
    <w:rPr>
      <w:rFonts w:ascii="Yu Gothic" w:eastAsia="Yu Gothic" w:hAnsi="Yu Gothic"/>
      <w:b/>
      <w:bCs/>
      <w:i/>
      <w:caps/>
      <w:color w:val="000100"/>
      <w:sz w:val="24"/>
      <w:szCs w:val="28"/>
    </w:rPr>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Body Text Char Char1,b"/>
    <w:basedOn w:val="Normal"/>
    <w:link w:val="BodyTextChar"/>
    <w:uiPriority w:val="99"/>
    <w:unhideWhenUsed/>
    <w:qFormat/>
    <w:rsid w:val="009D014E"/>
    <w:pPr>
      <w:spacing w:after="120"/>
    </w:pPr>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b Char"/>
    <w:basedOn w:val="DefaultParagraphFont"/>
    <w:link w:val="BodyText"/>
    <w:uiPriority w:val="99"/>
    <w:rsid w:val="009D014E"/>
  </w:style>
  <w:style w:type="paragraph" w:customStyle="1" w:styleId="Heading5AP">
    <w:name w:val="Heading 5 (AP)"/>
    <w:basedOn w:val="Heading5nonumber"/>
    <w:next w:val="BodyText"/>
    <w:link w:val="Heading5APChar"/>
    <w:qFormat/>
    <w:rsid w:val="009D014E"/>
    <w:pPr>
      <w:framePr w:wrap="around"/>
    </w:pPr>
    <w:rPr>
      <w:rFonts w:cstheme="minorBidi"/>
      <w:bCs/>
      <w:caps/>
    </w:rPr>
  </w:style>
  <w:style w:type="character" w:customStyle="1" w:styleId="Heading5APChar">
    <w:name w:val="Heading 5 (AP) Char"/>
    <w:basedOn w:val="SecurityMarkerChar"/>
    <w:link w:val="Heading5AP"/>
    <w:rsid w:val="009D014E"/>
    <w:rPr>
      <w:rFonts w:ascii="Yu Gothic" w:eastAsia="Yu Gothic" w:hAnsi="Yu Gothic"/>
      <w:b/>
      <w:bCs/>
      <w:i/>
      <w:caps/>
      <w:color w:val="000100"/>
      <w:sz w:val="24"/>
      <w:szCs w:val="28"/>
    </w:rPr>
  </w:style>
  <w:style w:type="paragraph" w:customStyle="1" w:styleId="FooterText">
    <w:name w:val="Footer Text"/>
    <w:basedOn w:val="Normal-nospace"/>
    <w:link w:val="FooterTextChar"/>
    <w:qFormat/>
    <w:rsid w:val="009D014E"/>
    <w:pPr>
      <w:framePr w:w="11873" w:h="465" w:hRule="exact" w:hSpace="181" w:wrap="around" w:vAnchor="page" w:hAnchor="page" w:x="29" w:y="353" w:anchorLock="1"/>
      <w:tabs>
        <w:tab w:val="center" w:pos="4932"/>
        <w:tab w:val="left" w:pos="7290"/>
      </w:tabs>
      <w:spacing w:line="240" w:lineRule="auto"/>
      <w:ind w:right="200"/>
      <w:jc w:val="right"/>
    </w:pPr>
    <w:rPr>
      <w:rFonts w:ascii="Yu Gothic Medium" w:eastAsia="Yu Gothic Medium" w:hAnsi="Yu Gothic Medium"/>
      <w:sz w:val="12"/>
      <w:szCs w:val="28"/>
    </w:rPr>
  </w:style>
  <w:style w:type="character" w:customStyle="1" w:styleId="FooterTextChar">
    <w:name w:val="Footer Text Char"/>
    <w:basedOn w:val="SecurityMarkerChar"/>
    <w:link w:val="FooterText"/>
    <w:rsid w:val="009D014E"/>
    <w:rPr>
      <w:rFonts w:ascii="Yu Gothic Medium" w:eastAsia="Yu Gothic Medium" w:hAnsi="Yu Gothic Medium" w:cs="Arial"/>
      <w:b w:val="0"/>
      <w:bCs w:val="0"/>
      <w:caps w:val="0"/>
      <w:color w:val="000100"/>
      <w:sz w:val="12"/>
      <w:szCs w:val="28"/>
    </w:rPr>
  </w:style>
  <w:style w:type="paragraph" w:customStyle="1" w:styleId="pageNumber0">
    <w:name w:val="pageNumber"/>
    <w:basedOn w:val="Normal-nospace"/>
    <w:link w:val="pageNumberChar"/>
    <w:qFormat/>
    <w:rsid w:val="009D014E"/>
    <w:pPr>
      <w:framePr w:w="11873" w:h="465" w:hRule="exact" w:hSpace="181" w:wrap="around" w:vAnchor="page" w:hAnchor="page" w:x="29" w:y="353" w:anchorLock="1"/>
      <w:tabs>
        <w:tab w:val="center" w:pos="4932"/>
        <w:tab w:val="left" w:pos="7290"/>
      </w:tabs>
      <w:spacing w:line="240" w:lineRule="auto"/>
      <w:ind w:right="40"/>
      <w:jc w:val="center"/>
    </w:pPr>
    <w:rPr>
      <w:rFonts w:ascii="Yu Gothic Medium" w:eastAsia="Yu Gothic Medium" w:hAnsi="Yu Gothic Medium"/>
      <w:color w:val="959595"/>
      <w:sz w:val="20"/>
      <w:szCs w:val="28"/>
    </w:rPr>
  </w:style>
  <w:style w:type="character" w:customStyle="1" w:styleId="pageNumberChar">
    <w:name w:val="pageNumber Char"/>
    <w:basedOn w:val="SecurityMarkerChar"/>
    <w:link w:val="pageNumber0"/>
    <w:rsid w:val="009D014E"/>
    <w:rPr>
      <w:rFonts w:ascii="Yu Gothic Medium" w:eastAsia="Yu Gothic Medium" w:hAnsi="Yu Gothic Medium" w:cs="Arial"/>
      <w:b w:val="0"/>
      <w:bCs w:val="0"/>
      <w:caps w:val="0"/>
      <w:color w:val="959595"/>
      <w:sz w:val="20"/>
      <w:szCs w:val="28"/>
    </w:rPr>
  </w:style>
  <w:style w:type="paragraph" w:customStyle="1" w:styleId="Figure">
    <w:name w:val="Figure"/>
    <w:basedOn w:val="Normal"/>
    <w:qFormat/>
    <w:rsid w:val="00482FEC"/>
    <w:pPr>
      <w:keepNext/>
      <w:suppressAutoHyphens w:val="0"/>
      <w:spacing w:before="0" w:after="0"/>
    </w:pPr>
    <w:rPr>
      <w:rFonts w:ascii="Arial Narrow" w:hAnsi="Arial Narrow" w:cs="Arial"/>
      <w:color w:val="000100"/>
      <w:sz w:val="16"/>
    </w:rPr>
  </w:style>
  <w:style w:type="table" w:customStyle="1" w:styleId="aacTablenolines">
    <w:name w:val="aac Table (no lines)"/>
    <w:basedOn w:val="TableNormal"/>
    <w:uiPriority w:val="99"/>
    <w:rsid w:val="00482FEC"/>
    <w:pPr>
      <w:spacing w:before="0" w:after="0"/>
    </w:pPr>
    <w:rPr>
      <w:color w:val="auto"/>
    </w:rPr>
    <w:tblPr>
      <w:tblCellMar>
        <w:left w:w="0" w:type="dxa"/>
        <w:right w:w="0" w:type="dxa"/>
      </w:tblCellMar>
    </w:tblPr>
  </w:style>
  <w:style w:type="paragraph" w:customStyle="1" w:styleId="Tabletext">
    <w:name w:val="Table text"/>
    <w:basedOn w:val="Normal"/>
    <w:link w:val="TabletextChar"/>
    <w:qFormat/>
    <w:rsid w:val="00AD6E4A"/>
    <w:pPr>
      <w:suppressAutoHyphens w:val="0"/>
      <w:spacing w:before="60" w:after="0" w:line="192" w:lineRule="auto"/>
      <w:ind w:left="40" w:right="119"/>
    </w:pPr>
    <w:rPr>
      <w:rFonts w:ascii="Yu Gothic Medium" w:eastAsia="Yu Gothic Medium" w:hAnsi="Yu Gothic Medium" w:cs="Arial"/>
      <w:color w:val="000100"/>
      <w:spacing w:val="-12"/>
      <w:sz w:val="19"/>
    </w:rPr>
  </w:style>
  <w:style w:type="numbering" w:customStyle="1" w:styleId="aacTableListBullets">
    <w:name w:val="aac Table List Bullets"/>
    <w:uiPriority w:val="99"/>
    <w:rsid w:val="00D15834"/>
    <w:pPr>
      <w:numPr>
        <w:numId w:val="14"/>
      </w:numPr>
    </w:pPr>
  </w:style>
  <w:style w:type="paragraph" w:customStyle="1" w:styleId="Tablelistbullet">
    <w:name w:val="Table list bullet"/>
    <w:basedOn w:val="Tabletext"/>
    <w:qFormat/>
    <w:rsid w:val="00D15834"/>
    <w:pPr>
      <w:numPr>
        <w:numId w:val="15"/>
      </w:numPr>
      <w:spacing w:before="40" w:after="40"/>
    </w:pPr>
    <w:rPr>
      <w:rFonts w:cstheme="minorBidi"/>
    </w:rPr>
  </w:style>
  <w:style w:type="paragraph" w:customStyle="1" w:styleId="Tablelistbullet2">
    <w:name w:val="Table list bullet 2"/>
    <w:basedOn w:val="Tablelistbullet"/>
    <w:qFormat/>
    <w:rsid w:val="00D15834"/>
    <w:pPr>
      <w:numPr>
        <w:ilvl w:val="1"/>
      </w:numPr>
      <w:spacing w:before="0"/>
      <w:ind w:left="516" w:hanging="238"/>
    </w:pPr>
  </w:style>
  <w:style w:type="paragraph" w:customStyle="1" w:styleId="Tablelistbullet3">
    <w:name w:val="Table list bullet 3"/>
    <w:basedOn w:val="Tabletext"/>
    <w:qFormat/>
    <w:rsid w:val="00D15834"/>
    <w:pPr>
      <w:numPr>
        <w:ilvl w:val="2"/>
        <w:numId w:val="15"/>
      </w:numPr>
      <w:spacing w:before="0" w:after="40"/>
    </w:pPr>
    <w:rPr>
      <w:rFonts w:cstheme="minorBidi"/>
    </w:rPr>
  </w:style>
  <w:style w:type="numbering" w:customStyle="1" w:styleId="lstStyleHeadingNumbered">
    <w:name w:val="lstStyle_Heading_Numbered"/>
    <w:uiPriority w:val="99"/>
    <w:rsid w:val="003E34D3"/>
    <w:pPr>
      <w:numPr>
        <w:numId w:val="16"/>
      </w:numPr>
    </w:pPr>
  </w:style>
  <w:style w:type="paragraph" w:styleId="Revision">
    <w:name w:val="Revision"/>
    <w:hidden/>
    <w:uiPriority w:val="99"/>
    <w:semiHidden/>
    <w:rsid w:val="008866BA"/>
    <w:pPr>
      <w:spacing w:before="0" w:after="0"/>
    </w:pPr>
  </w:style>
  <w:style w:type="character" w:styleId="UnresolvedMention">
    <w:name w:val="Unresolved Mention"/>
    <w:basedOn w:val="DefaultParagraphFont"/>
    <w:uiPriority w:val="99"/>
    <w:semiHidden/>
    <w:unhideWhenUsed/>
    <w:rsid w:val="00B91FD1"/>
    <w:rPr>
      <w:color w:val="605E5C"/>
      <w:shd w:val="clear" w:color="auto" w:fill="E1DFDD"/>
    </w:rPr>
  </w:style>
  <w:style w:type="character" w:styleId="Strong">
    <w:name w:val="Strong"/>
    <w:basedOn w:val="DefaultParagraphFont"/>
    <w:uiPriority w:val="22"/>
    <w:qFormat/>
    <w:rsid w:val="00DE0321"/>
    <w:rPr>
      <w:b/>
      <w:bCs/>
    </w:rPr>
  </w:style>
  <w:style w:type="table" w:customStyle="1" w:styleId="aacTableBasic">
    <w:name w:val="aac Table (Basic)"/>
    <w:basedOn w:val="TableNormal"/>
    <w:next w:val="TableGrid"/>
    <w:uiPriority w:val="39"/>
    <w:rsid w:val="002A5496"/>
    <w:pPr>
      <w:spacing w:before="60" w:after="0" w:line="240" w:lineRule="atLeast"/>
    </w:pPr>
    <w:rPr>
      <w:rFonts w:ascii="Arial Narrow" w:hAnsi="Arial Narrow"/>
      <w:color w:val="auto"/>
      <w:lang w:val="en-US"/>
    </w:rPr>
    <w:tblPr>
      <w:tblBorders>
        <w:bottom w:val="single" w:sz="4" w:space="0" w:color="auto"/>
        <w:insideH w:val="single" w:sz="4" w:space="0" w:color="auto"/>
      </w:tblBorders>
      <w:tblCellMar>
        <w:left w:w="0" w:type="dxa"/>
        <w:right w:w="0" w:type="dxa"/>
      </w:tblCellMar>
    </w:tblPr>
    <w:tcPr>
      <w:shd w:val="clear" w:color="auto" w:fill="auto"/>
    </w:tcPr>
    <w:tblStylePr w:type="firstRow">
      <w:pPr>
        <w:jc w:val="left"/>
      </w:pPr>
      <w:rPr>
        <w:color w:val="FFFFFF" w:themeColor="background1"/>
      </w:rPr>
      <w:tblPr/>
      <w:tcPr>
        <w:shd w:val="clear" w:color="auto" w:fill="140034"/>
      </w:tcPr>
    </w:tblStylePr>
  </w:style>
  <w:style w:type="paragraph" w:customStyle="1" w:styleId="Tablecolumnheadings">
    <w:name w:val="Table column headings"/>
    <w:basedOn w:val="Tabletext"/>
    <w:qFormat/>
    <w:rsid w:val="002A5496"/>
    <w:pPr>
      <w:keepNext/>
      <w:spacing w:before="40" w:after="40"/>
      <w:ind w:right="80"/>
    </w:pPr>
    <w:rPr>
      <w:b/>
      <w:color w:val="FFFFFF"/>
    </w:rPr>
  </w:style>
  <w:style w:type="paragraph" w:customStyle="1" w:styleId="Source">
    <w:name w:val="Source"/>
    <w:aliases w:val="s,source,source Char,s Char"/>
    <w:basedOn w:val="Normal"/>
    <w:link w:val="SourceChar"/>
    <w:qFormat/>
    <w:rsid w:val="002A5496"/>
    <w:pPr>
      <w:suppressAutoHyphens w:val="0"/>
      <w:spacing w:before="80"/>
      <w:ind w:left="40" w:right="80"/>
    </w:pPr>
    <w:rPr>
      <w:rFonts w:ascii="Yu Gothic Medium" w:hAnsi="Yu Gothic Medium" w:cs="Arial"/>
      <w:i/>
      <w:color w:val="000100"/>
      <w:sz w:val="16"/>
    </w:rPr>
  </w:style>
  <w:style w:type="character" w:customStyle="1" w:styleId="SourceChar">
    <w:name w:val="Source Char"/>
    <w:basedOn w:val="DefaultParagraphFont"/>
    <w:link w:val="Source"/>
    <w:locked/>
    <w:rsid w:val="002A5496"/>
    <w:rPr>
      <w:rFonts w:ascii="Yu Gothic Medium" w:hAnsi="Yu Gothic Medium" w:cs="Arial"/>
      <w:i/>
      <w:color w:val="000100"/>
      <w:sz w:val="16"/>
    </w:rPr>
  </w:style>
  <w:style w:type="character" w:customStyle="1" w:styleId="CaptionChar1">
    <w:name w:val="Caption Char1"/>
    <w:aliases w:val="Caption Char Char,Char1 Char Char Char1,Char1 Char Char1,Char1 Char Char Char Char1,Char1 Char Char Char Char Char,Char Char Char,Caption Char Char Char Char,1 Char,Char1 Char1,Text Caption Char,minor heading Char,Caption1 Char,Char Char1"/>
    <w:basedOn w:val="DefaultParagraphFont"/>
    <w:link w:val="Caption"/>
    <w:uiPriority w:val="35"/>
    <w:rsid w:val="004B0117"/>
    <w:rPr>
      <w:b/>
      <w:iCs/>
      <w:szCs w:val="18"/>
    </w:rPr>
  </w:style>
  <w:style w:type="character" w:customStyle="1" w:styleId="TabletextChar">
    <w:name w:val="Table text Char"/>
    <w:aliases w:val="Bullet Point Char,Bullet points Char,Content descriptions Char,Body Bullets 1 Char,Main Char,CV text Char,F5 List Paragraph Char,List Paragraph11 Char,L Char,Bullet point Char,List Paragraph Char,Recommendation Char,List Paragraph1 Char"/>
    <w:link w:val="Tabletext"/>
    <w:qFormat/>
    <w:locked/>
    <w:rsid w:val="002A5496"/>
    <w:rPr>
      <w:rFonts w:ascii="Yu Gothic Medium" w:eastAsia="Yu Gothic Medium" w:hAnsi="Yu Gothic Medium" w:cs="Arial"/>
      <w:color w:val="000100"/>
      <w:spacing w:val="-12"/>
      <w:sz w:val="19"/>
    </w:rPr>
  </w:style>
  <w:style w:type="character" w:customStyle="1" w:styleId="Heading7Char">
    <w:name w:val="Heading 7 Char"/>
    <w:basedOn w:val="DefaultParagraphFont"/>
    <w:link w:val="Heading7"/>
    <w:uiPriority w:val="9"/>
    <w:rsid w:val="002A5496"/>
    <w:rPr>
      <w:rFonts w:ascii="Yu Gothic Medium" w:eastAsiaTheme="majorEastAsia" w:hAnsi="Yu Gothic Medium" w:cs="Arial"/>
      <w:iCs/>
      <w:color w:val="6C3F99"/>
      <w:sz w:val="36"/>
    </w:rPr>
  </w:style>
  <w:style w:type="character" w:customStyle="1" w:styleId="Heading8Char">
    <w:name w:val="Heading 8 Char"/>
    <w:basedOn w:val="DefaultParagraphFont"/>
    <w:link w:val="Heading8"/>
    <w:uiPriority w:val="9"/>
    <w:rsid w:val="002A5496"/>
    <w:rPr>
      <w:rFonts w:ascii="Yu Gothic Medium" w:eastAsiaTheme="majorEastAsia" w:hAnsi="Yu Gothic Medium" w:cs="Arial"/>
      <w:b/>
      <w:color w:val="auto"/>
      <w:sz w:val="32"/>
      <w:szCs w:val="21"/>
    </w:rPr>
  </w:style>
  <w:style w:type="character" w:customStyle="1" w:styleId="Heading9Char">
    <w:name w:val="Heading 9 Char"/>
    <w:basedOn w:val="DefaultParagraphFont"/>
    <w:link w:val="Heading9"/>
    <w:uiPriority w:val="9"/>
    <w:rsid w:val="002A5496"/>
    <w:rPr>
      <w:rFonts w:ascii="Yu Gothic" w:eastAsiaTheme="majorEastAsia" w:hAnsi="Yu Gothic" w:cs="Arial"/>
      <w:b/>
      <w:iCs/>
      <w:color w:val="auto"/>
      <w:sz w:val="24"/>
      <w:szCs w:val="21"/>
    </w:rPr>
  </w:style>
  <w:style w:type="paragraph" w:styleId="Bibliography">
    <w:name w:val="Bibliography"/>
    <w:basedOn w:val="Normal"/>
    <w:next w:val="Normal"/>
    <w:uiPriority w:val="37"/>
    <w:semiHidden/>
    <w:unhideWhenUsed/>
    <w:rsid w:val="002A5496"/>
    <w:pPr>
      <w:suppressAutoHyphens w:val="0"/>
      <w:spacing w:before="90" w:after="160" w:line="259" w:lineRule="auto"/>
    </w:pPr>
    <w:rPr>
      <w:rFonts w:ascii="Arial Narrow" w:hAnsi="Arial Narrow" w:cs="Arial"/>
      <w:color w:val="auto"/>
    </w:rPr>
  </w:style>
  <w:style w:type="paragraph" w:styleId="BlockText">
    <w:name w:val="Block Text"/>
    <w:basedOn w:val="Normal"/>
    <w:uiPriority w:val="99"/>
    <w:semiHidden/>
    <w:unhideWhenUsed/>
    <w:rsid w:val="002A5496"/>
    <w:pPr>
      <w:pBdr>
        <w:top w:val="single" w:sz="2" w:space="10" w:color="081E3E" w:themeColor="accent1"/>
        <w:left w:val="single" w:sz="2" w:space="10" w:color="081E3E" w:themeColor="accent1"/>
        <w:bottom w:val="single" w:sz="2" w:space="10" w:color="081E3E" w:themeColor="accent1"/>
        <w:right w:val="single" w:sz="2" w:space="10" w:color="081E3E" w:themeColor="accent1"/>
      </w:pBdr>
      <w:suppressAutoHyphens w:val="0"/>
      <w:spacing w:before="90" w:after="160" w:line="259" w:lineRule="auto"/>
      <w:ind w:left="1152" w:right="1152"/>
    </w:pPr>
    <w:rPr>
      <w:rFonts w:ascii="Arial Narrow" w:eastAsiaTheme="minorEastAsia" w:hAnsi="Arial Narrow" w:cs="Arial"/>
      <w:i/>
      <w:iCs/>
      <w:color w:val="081E3E" w:themeColor="accent1"/>
    </w:rPr>
  </w:style>
  <w:style w:type="paragraph" w:styleId="BodyText2">
    <w:name w:val="Body Text 2"/>
    <w:basedOn w:val="BodyText"/>
    <w:link w:val="BodyText2Char"/>
    <w:uiPriority w:val="99"/>
    <w:unhideWhenUsed/>
    <w:rsid w:val="002A5496"/>
    <w:pPr>
      <w:suppressAutoHyphens w:val="0"/>
      <w:spacing w:before="90" w:after="130" w:line="180" w:lineRule="auto"/>
    </w:pPr>
    <w:rPr>
      <w:rFonts w:ascii="Yu Gothic Medium" w:eastAsia="Yu Gothic Medium" w:hAnsi="Yu Gothic Medium" w:cs="Arial"/>
      <w:color w:val="auto"/>
      <w:spacing w:val="-14"/>
      <w:sz w:val="21"/>
    </w:rPr>
  </w:style>
  <w:style w:type="character" w:customStyle="1" w:styleId="BodyText2Char">
    <w:name w:val="Body Text 2 Char"/>
    <w:basedOn w:val="DefaultParagraphFont"/>
    <w:link w:val="BodyText2"/>
    <w:uiPriority w:val="99"/>
    <w:rsid w:val="002A5496"/>
    <w:rPr>
      <w:rFonts w:ascii="Yu Gothic Medium" w:eastAsia="Yu Gothic Medium" w:hAnsi="Yu Gothic Medium" w:cs="Arial"/>
      <w:color w:val="auto"/>
      <w:spacing w:val="-14"/>
      <w:sz w:val="21"/>
    </w:rPr>
  </w:style>
  <w:style w:type="paragraph" w:styleId="BodyText3">
    <w:name w:val="Body Text 3"/>
    <w:basedOn w:val="Normal"/>
    <w:link w:val="BodyText3Char"/>
    <w:uiPriority w:val="99"/>
    <w:unhideWhenUsed/>
    <w:rsid w:val="002A5496"/>
    <w:pPr>
      <w:suppressAutoHyphens w:val="0"/>
      <w:spacing w:before="0" w:after="0" w:line="320" w:lineRule="atLeast"/>
    </w:pPr>
    <w:rPr>
      <w:rFonts w:ascii="Yu Gothic Medium" w:hAnsi="Yu Gothic Medium" w:cs="Arial"/>
      <w:color w:val="auto"/>
      <w:sz w:val="18"/>
      <w:szCs w:val="16"/>
    </w:rPr>
  </w:style>
  <w:style w:type="character" w:customStyle="1" w:styleId="BodyText3Char">
    <w:name w:val="Body Text 3 Char"/>
    <w:basedOn w:val="DefaultParagraphFont"/>
    <w:link w:val="BodyText3"/>
    <w:uiPriority w:val="99"/>
    <w:rsid w:val="002A5496"/>
    <w:rPr>
      <w:rFonts w:ascii="Yu Gothic Medium" w:hAnsi="Yu Gothic Medium" w:cs="Arial"/>
      <w:color w:val="auto"/>
      <w:sz w:val="18"/>
      <w:szCs w:val="16"/>
    </w:rPr>
  </w:style>
  <w:style w:type="paragraph" w:styleId="BodyTextFirstIndent">
    <w:name w:val="Body Text First Indent"/>
    <w:basedOn w:val="BodyText"/>
    <w:link w:val="BodyTextFirstIndentChar"/>
    <w:uiPriority w:val="99"/>
    <w:semiHidden/>
    <w:unhideWhenUsed/>
    <w:rsid w:val="002A5496"/>
    <w:pPr>
      <w:suppressAutoHyphens w:val="0"/>
      <w:spacing w:before="90" w:after="160" w:line="280" w:lineRule="atLeast"/>
      <w:ind w:firstLine="360"/>
    </w:pPr>
    <w:rPr>
      <w:rFonts w:ascii="Arial Narrow" w:hAnsi="Arial Narrow" w:cs="Arial"/>
      <w:color w:val="auto"/>
    </w:rPr>
  </w:style>
  <w:style w:type="character" w:customStyle="1" w:styleId="BodyTextFirstIndentChar">
    <w:name w:val="Body Text First Indent Char"/>
    <w:basedOn w:val="BodyTextChar"/>
    <w:link w:val="BodyTextFirstIndent"/>
    <w:uiPriority w:val="99"/>
    <w:semiHidden/>
    <w:rsid w:val="002A5496"/>
    <w:rPr>
      <w:rFonts w:ascii="Arial Narrow" w:hAnsi="Arial Narrow" w:cs="Arial"/>
      <w:color w:val="auto"/>
    </w:rPr>
  </w:style>
  <w:style w:type="paragraph" w:styleId="BodyTextIndent">
    <w:name w:val="Body Text Indent"/>
    <w:basedOn w:val="Normal"/>
    <w:link w:val="BodyTextIndentChar"/>
    <w:uiPriority w:val="99"/>
    <w:semiHidden/>
    <w:unhideWhenUsed/>
    <w:rsid w:val="002A5496"/>
    <w:pPr>
      <w:suppressAutoHyphens w:val="0"/>
      <w:spacing w:before="90" w:after="130" w:line="259" w:lineRule="auto"/>
      <w:ind w:left="283"/>
    </w:pPr>
    <w:rPr>
      <w:rFonts w:ascii="Arial Narrow" w:hAnsi="Arial Narrow" w:cs="Arial"/>
      <w:color w:val="auto"/>
    </w:rPr>
  </w:style>
  <w:style w:type="character" w:customStyle="1" w:styleId="BodyTextIndentChar">
    <w:name w:val="Body Text Indent Char"/>
    <w:basedOn w:val="DefaultParagraphFont"/>
    <w:link w:val="BodyTextIndent"/>
    <w:uiPriority w:val="99"/>
    <w:semiHidden/>
    <w:rsid w:val="002A5496"/>
    <w:rPr>
      <w:rFonts w:ascii="Arial Narrow" w:hAnsi="Arial Narrow" w:cs="Arial"/>
      <w:color w:val="auto"/>
    </w:rPr>
  </w:style>
  <w:style w:type="paragraph" w:styleId="BodyTextFirstIndent2">
    <w:name w:val="Body Text First Indent 2"/>
    <w:basedOn w:val="BodyTextIndent"/>
    <w:link w:val="BodyTextFirstIndent2Char"/>
    <w:uiPriority w:val="99"/>
    <w:semiHidden/>
    <w:unhideWhenUsed/>
    <w:rsid w:val="002A5496"/>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2A5496"/>
    <w:rPr>
      <w:rFonts w:ascii="Arial Narrow" w:hAnsi="Arial Narrow" w:cs="Arial"/>
      <w:color w:val="auto"/>
    </w:rPr>
  </w:style>
  <w:style w:type="paragraph" w:styleId="BodyTextIndent2">
    <w:name w:val="Body Text Indent 2"/>
    <w:basedOn w:val="Normal"/>
    <w:link w:val="BodyTextIndent2Char"/>
    <w:uiPriority w:val="99"/>
    <w:semiHidden/>
    <w:unhideWhenUsed/>
    <w:rsid w:val="002A5496"/>
    <w:pPr>
      <w:suppressAutoHyphens w:val="0"/>
      <w:spacing w:before="90" w:after="130" w:line="480" w:lineRule="auto"/>
      <w:ind w:left="283"/>
    </w:pPr>
    <w:rPr>
      <w:rFonts w:ascii="Arial Narrow" w:hAnsi="Arial Narrow" w:cs="Arial"/>
      <w:color w:val="auto"/>
    </w:rPr>
  </w:style>
  <w:style w:type="character" w:customStyle="1" w:styleId="BodyTextIndent2Char">
    <w:name w:val="Body Text Indent 2 Char"/>
    <w:basedOn w:val="DefaultParagraphFont"/>
    <w:link w:val="BodyTextIndent2"/>
    <w:uiPriority w:val="99"/>
    <w:semiHidden/>
    <w:rsid w:val="002A5496"/>
    <w:rPr>
      <w:rFonts w:ascii="Arial Narrow" w:hAnsi="Arial Narrow" w:cs="Arial"/>
      <w:color w:val="auto"/>
    </w:rPr>
  </w:style>
  <w:style w:type="paragraph" w:styleId="BodyTextIndent3">
    <w:name w:val="Body Text Indent 3"/>
    <w:basedOn w:val="Normal"/>
    <w:link w:val="BodyTextIndent3Char"/>
    <w:uiPriority w:val="99"/>
    <w:semiHidden/>
    <w:unhideWhenUsed/>
    <w:rsid w:val="002A5496"/>
    <w:pPr>
      <w:suppressAutoHyphens w:val="0"/>
      <w:spacing w:before="90" w:after="130" w:line="259" w:lineRule="auto"/>
      <w:ind w:left="283"/>
    </w:pPr>
    <w:rPr>
      <w:rFonts w:ascii="Arial Narrow" w:hAnsi="Arial Narrow" w:cs="Arial"/>
      <w:color w:val="auto"/>
      <w:sz w:val="16"/>
      <w:szCs w:val="16"/>
    </w:rPr>
  </w:style>
  <w:style w:type="character" w:customStyle="1" w:styleId="BodyTextIndent3Char">
    <w:name w:val="Body Text Indent 3 Char"/>
    <w:basedOn w:val="DefaultParagraphFont"/>
    <w:link w:val="BodyTextIndent3"/>
    <w:uiPriority w:val="99"/>
    <w:semiHidden/>
    <w:rsid w:val="002A5496"/>
    <w:rPr>
      <w:rFonts w:ascii="Arial Narrow" w:hAnsi="Arial Narrow" w:cs="Arial"/>
      <w:color w:val="auto"/>
      <w:sz w:val="16"/>
      <w:szCs w:val="16"/>
    </w:rPr>
  </w:style>
  <w:style w:type="character" w:styleId="BookTitle">
    <w:name w:val="Book Title"/>
    <w:basedOn w:val="DefaultParagraphFont"/>
    <w:uiPriority w:val="33"/>
    <w:qFormat/>
    <w:rsid w:val="002A5496"/>
    <w:rPr>
      <w:b/>
      <w:bCs/>
      <w:i/>
      <w:iCs/>
      <w:spacing w:val="5"/>
    </w:rPr>
  </w:style>
  <w:style w:type="paragraph" w:styleId="Closing">
    <w:name w:val="Closing"/>
    <w:basedOn w:val="Normal"/>
    <w:link w:val="ClosingChar"/>
    <w:uiPriority w:val="99"/>
    <w:semiHidden/>
    <w:unhideWhenUsed/>
    <w:rsid w:val="002A5496"/>
    <w:pPr>
      <w:suppressAutoHyphens w:val="0"/>
      <w:spacing w:before="90" w:after="0" w:line="280" w:lineRule="atLeast"/>
      <w:ind w:left="4252"/>
    </w:pPr>
    <w:rPr>
      <w:rFonts w:ascii="Arial Narrow" w:hAnsi="Arial Narrow" w:cs="Arial"/>
      <w:color w:val="auto"/>
    </w:rPr>
  </w:style>
  <w:style w:type="character" w:customStyle="1" w:styleId="ClosingChar">
    <w:name w:val="Closing Char"/>
    <w:basedOn w:val="DefaultParagraphFont"/>
    <w:link w:val="Closing"/>
    <w:uiPriority w:val="99"/>
    <w:semiHidden/>
    <w:rsid w:val="002A5496"/>
    <w:rPr>
      <w:rFonts w:ascii="Arial Narrow" w:hAnsi="Arial Narrow" w:cs="Arial"/>
      <w:color w:val="auto"/>
    </w:rPr>
  </w:style>
  <w:style w:type="table" w:styleId="ColorfulGrid">
    <w:name w:val="Colorful Grid"/>
    <w:basedOn w:val="TableNormal"/>
    <w:uiPriority w:val="73"/>
    <w:semiHidden/>
    <w:unhideWhenUsed/>
    <w:rsid w:val="002A5496"/>
    <w:pPr>
      <w:spacing w:before="0"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A5496"/>
    <w:pPr>
      <w:spacing w:before="0" w:after="0"/>
    </w:pPr>
    <w:tblPr>
      <w:tblStyleRowBandSize w:val="1"/>
      <w:tblStyleColBandSize w:val="1"/>
      <w:tblBorders>
        <w:insideH w:val="single" w:sz="4" w:space="0" w:color="FFFFFF" w:themeColor="background1"/>
      </w:tblBorders>
    </w:tblPr>
    <w:tcPr>
      <w:shd w:val="clear" w:color="auto" w:fill="B1CCF5" w:themeFill="accent1" w:themeFillTint="33"/>
    </w:tcPr>
    <w:tblStylePr w:type="firstRow">
      <w:rPr>
        <w:b/>
        <w:bCs/>
      </w:rPr>
      <w:tblPr/>
      <w:tcPr>
        <w:shd w:val="clear" w:color="auto" w:fill="6399EB" w:themeFill="accent1" w:themeFillTint="66"/>
      </w:tcPr>
    </w:tblStylePr>
    <w:tblStylePr w:type="lastRow">
      <w:rPr>
        <w:b/>
        <w:bCs/>
        <w:color w:val="000000" w:themeColor="text1"/>
      </w:rPr>
      <w:tblPr/>
      <w:tcPr>
        <w:shd w:val="clear" w:color="auto" w:fill="6399EB" w:themeFill="accent1" w:themeFillTint="66"/>
      </w:tcPr>
    </w:tblStylePr>
    <w:tblStylePr w:type="firstCol">
      <w:rPr>
        <w:color w:val="FFFFFF" w:themeColor="background1"/>
      </w:rPr>
      <w:tblPr/>
      <w:tcPr>
        <w:shd w:val="clear" w:color="auto" w:fill="06162E" w:themeFill="accent1" w:themeFillShade="BF"/>
      </w:tcPr>
    </w:tblStylePr>
    <w:tblStylePr w:type="lastCol">
      <w:rPr>
        <w:color w:val="FFFFFF" w:themeColor="background1"/>
      </w:rPr>
      <w:tblPr/>
      <w:tcPr>
        <w:shd w:val="clear" w:color="auto" w:fill="06162E" w:themeFill="accent1" w:themeFillShade="BF"/>
      </w:tcPr>
    </w:tblStylePr>
    <w:tblStylePr w:type="band1Vert">
      <w:tblPr/>
      <w:tcPr>
        <w:shd w:val="clear" w:color="auto" w:fill="3C81E6" w:themeFill="accent1" w:themeFillTint="7F"/>
      </w:tcPr>
    </w:tblStylePr>
    <w:tblStylePr w:type="band1Horz">
      <w:tblPr/>
      <w:tcPr>
        <w:shd w:val="clear" w:color="auto" w:fill="3C81E6" w:themeFill="accent1" w:themeFillTint="7F"/>
      </w:tcPr>
    </w:tblStylePr>
  </w:style>
  <w:style w:type="table" w:styleId="ColorfulGrid-Accent2">
    <w:name w:val="Colorful Grid Accent 2"/>
    <w:basedOn w:val="TableNormal"/>
    <w:uiPriority w:val="73"/>
    <w:semiHidden/>
    <w:unhideWhenUsed/>
    <w:rsid w:val="002A5496"/>
    <w:pPr>
      <w:spacing w:before="0" w:after="0"/>
    </w:pPr>
    <w:tblPr>
      <w:tblStyleRowBandSize w:val="1"/>
      <w:tblStyleColBandSize w:val="1"/>
      <w:tblBorders>
        <w:insideH w:val="single" w:sz="4" w:space="0" w:color="FFFFFF" w:themeColor="background1"/>
      </w:tblBorders>
    </w:tblPr>
    <w:tcPr>
      <w:shd w:val="clear" w:color="auto" w:fill="B4FAFF" w:themeFill="accent2" w:themeFillTint="33"/>
    </w:tcPr>
    <w:tblStylePr w:type="firstRow">
      <w:rPr>
        <w:b/>
        <w:bCs/>
      </w:rPr>
      <w:tblPr/>
      <w:tcPr>
        <w:shd w:val="clear" w:color="auto" w:fill="69F5FF" w:themeFill="accent2" w:themeFillTint="66"/>
      </w:tcPr>
    </w:tblStylePr>
    <w:tblStylePr w:type="lastRow">
      <w:rPr>
        <w:b/>
        <w:bCs/>
        <w:color w:val="000000" w:themeColor="text1"/>
      </w:rPr>
      <w:tblPr/>
      <w:tcPr>
        <w:shd w:val="clear" w:color="auto" w:fill="69F5FF" w:themeFill="accent2" w:themeFillTint="66"/>
      </w:tcPr>
    </w:tblStylePr>
    <w:tblStylePr w:type="firstCol">
      <w:rPr>
        <w:color w:val="FFFFFF" w:themeColor="background1"/>
      </w:rPr>
      <w:tblPr/>
      <w:tcPr>
        <w:shd w:val="clear" w:color="auto" w:fill="005F66" w:themeFill="accent2" w:themeFillShade="BF"/>
      </w:tcPr>
    </w:tblStylePr>
    <w:tblStylePr w:type="lastCol">
      <w:rPr>
        <w:color w:val="FFFFFF" w:themeColor="background1"/>
      </w:rPr>
      <w:tblPr/>
      <w:tcPr>
        <w:shd w:val="clear" w:color="auto" w:fill="005F66" w:themeFill="accent2" w:themeFillShade="BF"/>
      </w:tcPr>
    </w:tblStylePr>
    <w:tblStylePr w:type="band1Vert">
      <w:tblPr/>
      <w:tcPr>
        <w:shd w:val="clear" w:color="auto" w:fill="45F2FF" w:themeFill="accent2" w:themeFillTint="7F"/>
      </w:tcPr>
    </w:tblStylePr>
    <w:tblStylePr w:type="band1Horz">
      <w:tblPr/>
      <w:tcPr>
        <w:shd w:val="clear" w:color="auto" w:fill="45F2FF" w:themeFill="accent2" w:themeFillTint="7F"/>
      </w:tcPr>
    </w:tblStylePr>
  </w:style>
  <w:style w:type="table" w:styleId="ColorfulGrid-Accent3">
    <w:name w:val="Colorful Grid Accent 3"/>
    <w:basedOn w:val="TableNormal"/>
    <w:uiPriority w:val="73"/>
    <w:semiHidden/>
    <w:unhideWhenUsed/>
    <w:rsid w:val="002A5496"/>
    <w:pPr>
      <w:spacing w:before="0" w:after="0"/>
    </w:pPr>
    <w:tblPr>
      <w:tblStyleRowBandSize w:val="1"/>
      <w:tblStyleColBandSize w:val="1"/>
      <w:tblBorders>
        <w:insideH w:val="single" w:sz="4" w:space="0" w:color="FFFFFF" w:themeColor="background1"/>
      </w:tblBorders>
    </w:tblPr>
    <w:tcPr>
      <w:shd w:val="clear" w:color="auto" w:fill="E3F5FC" w:themeFill="accent3" w:themeFillTint="33"/>
    </w:tcPr>
    <w:tblStylePr w:type="firstRow">
      <w:rPr>
        <w:b/>
        <w:bCs/>
      </w:rPr>
      <w:tblPr/>
      <w:tcPr>
        <w:shd w:val="clear" w:color="auto" w:fill="C8ECFA" w:themeFill="accent3" w:themeFillTint="66"/>
      </w:tcPr>
    </w:tblStylePr>
    <w:tblStylePr w:type="lastRow">
      <w:rPr>
        <w:b/>
        <w:bCs/>
        <w:color w:val="000000" w:themeColor="text1"/>
      </w:rPr>
      <w:tblPr/>
      <w:tcPr>
        <w:shd w:val="clear" w:color="auto" w:fill="C8ECFA" w:themeFill="accent3" w:themeFillTint="66"/>
      </w:tcPr>
    </w:tblStylePr>
    <w:tblStylePr w:type="firstCol">
      <w:rPr>
        <w:color w:val="FFFFFF" w:themeColor="background1"/>
      </w:rPr>
      <w:tblPr/>
      <w:tcPr>
        <w:shd w:val="clear" w:color="auto" w:fill="22B3ED" w:themeFill="accent3" w:themeFillShade="BF"/>
      </w:tcPr>
    </w:tblStylePr>
    <w:tblStylePr w:type="lastCol">
      <w:rPr>
        <w:color w:val="FFFFFF" w:themeColor="background1"/>
      </w:rPr>
      <w:tblPr/>
      <w:tcPr>
        <w:shd w:val="clear" w:color="auto" w:fill="22B3ED" w:themeFill="accent3" w:themeFillShade="BF"/>
      </w:tcPr>
    </w:tblStylePr>
    <w:tblStylePr w:type="band1Vert">
      <w:tblPr/>
      <w:tcPr>
        <w:shd w:val="clear" w:color="auto" w:fill="BBE7F9" w:themeFill="accent3" w:themeFillTint="7F"/>
      </w:tcPr>
    </w:tblStylePr>
    <w:tblStylePr w:type="band1Horz">
      <w:tblPr/>
      <w:tcPr>
        <w:shd w:val="clear" w:color="auto" w:fill="BBE7F9" w:themeFill="accent3" w:themeFillTint="7F"/>
      </w:tcPr>
    </w:tblStylePr>
  </w:style>
  <w:style w:type="table" w:styleId="ColorfulGrid-Accent4">
    <w:name w:val="Colorful Grid Accent 4"/>
    <w:basedOn w:val="TableNormal"/>
    <w:uiPriority w:val="73"/>
    <w:semiHidden/>
    <w:unhideWhenUsed/>
    <w:rsid w:val="002A5496"/>
    <w:pPr>
      <w:spacing w:before="0" w:after="0"/>
    </w:pPr>
    <w:tblPr>
      <w:tblStyleRowBandSize w:val="1"/>
      <w:tblStyleColBandSize w:val="1"/>
      <w:tblBorders>
        <w:insideH w:val="single" w:sz="4" w:space="0" w:color="FFFFFF" w:themeColor="background1"/>
      </w:tblBorders>
    </w:tblPr>
    <w:tcPr>
      <w:shd w:val="clear" w:color="auto" w:fill="EAECEF" w:themeFill="accent4" w:themeFillTint="33"/>
    </w:tcPr>
    <w:tblStylePr w:type="firstRow">
      <w:rPr>
        <w:b/>
        <w:bCs/>
      </w:rPr>
      <w:tblPr/>
      <w:tcPr>
        <w:shd w:val="clear" w:color="auto" w:fill="D6DADF" w:themeFill="accent4" w:themeFillTint="66"/>
      </w:tcPr>
    </w:tblStylePr>
    <w:tblStylePr w:type="lastRow">
      <w:rPr>
        <w:b/>
        <w:bCs/>
        <w:color w:val="000000" w:themeColor="text1"/>
      </w:rPr>
      <w:tblPr/>
      <w:tcPr>
        <w:shd w:val="clear" w:color="auto" w:fill="D6DADF" w:themeFill="accent4" w:themeFillTint="66"/>
      </w:tcPr>
    </w:tblStylePr>
    <w:tblStylePr w:type="firstCol">
      <w:rPr>
        <w:color w:val="FFFFFF" w:themeColor="background1"/>
      </w:rPr>
      <w:tblPr/>
      <w:tcPr>
        <w:shd w:val="clear" w:color="auto" w:fill="6D7989" w:themeFill="accent4" w:themeFillShade="BF"/>
      </w:tcPr>
    </w:tblStylePr>
    <w:tblStylePr w:type="lastCol">
      <w:rPr>
        <w:color w:val="FFFFFF" w:themeColor="background1"/>
      </w:rPr>
      <w:tblPr/>
      <w:tcPr>
        <w:shd w:val="clear" w:color="auto" w:fill="6D7989" w:themeFill="accent4" w:themeFillShade="BF"/>
      </w:tcPr>
    </w:tblStylePr>
    <w:tblStylePr w:type="band1Vert">
      <w:tblPr/>
      <w:tcPr>
        <w:shd w:val="clear" w:color="auto" w:fill="CCD1D7" w:themeFill="accent4" w:themeFillTint="7F"/>
      </w:tcPr>
    </w:tblStylePr>
    <w:tblStylePr w:type="band1Horz">
      <w:tblPr/>
      <w:tcPr>
        <w:shd w:val="clear" w:color="auto" w:fill="CCD1D7" w:themeFill="accent4" w:themeFillTint="7F"/>
      </w:tcPr>
    </w:tblStylePr>
  </w:style>
  <w:style w:type="table" w:styleId="ColorfulGrid-Accent5">
    <w:name w:val="Colorful Grid Accent 5"/>
    <w:basedOn w:val="TableNormal"/>
    <w:uiPriority w:val="73"/>
    <w:semiHidden/>
    <w:unhideWhenUsed/>
    <w:rsid w:val="002A5496"/>
    <w:pPr>
      <w:spacing w:before="0" w:after="0"/>
    </w:pPr>
    <w:tblPr>
      <w:tblStyleRowBandSize w:val="1"/>
      <w:tblStyleColBandSize w:val="1"/>
      <w:tblBorders>
        <w:insideH w:val="single" w:sz="4" w:space="0" w:color="FFFFFF" w:themeColor="background1"/>
      </w:tblBorders>
    </w:tblPr>
    <w:tcPr>
      <w:shd w:val="clear" w:color="auto" w:fill="F2F6E8" w:themeFill="accent5" w:themeFillTint="33"/>
    </w:tcPr>
    <w:tblStylePr w:type="firstRow">
      <w:rPr>
        <w:b/>
        <w:bCs/>
      </w:rPr>
      <w:tblPr/>
      <w:tcPr>
        <w:shd w:val="clear" w:color="auto" w:fill="E5EDD2" w:themeFill="accent5" w:themeFillTint="66"/>
      </w:tcPr>
    </w:tblStylePr>
    <w:tblStylePr w:type="lastRow">
      <w:rPr>
        <w:b/>
        <w:bCs/>
        <w:color w:val="000000" w:themeColor="text1"/>
      </w:rPr>
      <w:tblPr/>
      <w:tcPr>
        <w:shd w:val="clear" w:color="auto" w:fill="E5EDD2" w:themeFill="accent5" w:themeFillTint="66"/>
      </w:tcPr>
    </w:tblStylePr>
    <w:tblStylePr w:type="firstCol">
      <w:rPr>
        <w:color w:val="FFFFFF" w:themeColor="background1"/>
      </w:rPr>
      <w:tblPr/>
      <w:tcPr>
        <w:shd w:val="clear" w:color="auto" w:fill="9BBB4E" w:themeFill="accent5" w:themeFillShade="BF"/>
      </w:tcPr>
    </w:tblStylePr>
    <w:tblStylePr w:type="lastCol">
      <w:rPr>
        <w:color w:val="FFFFFF" w:themeColor="background1"/>
      </w:rPr>
      <w:tblPr/>
      <w:tcPr>
        <w:shd w:val="clear" w:color="auto" w:fill="9BBB4E" w:themeFill="accent5" w:themeFillShade="BF"/>
      </w:tcPr>
    </w:tblStylePr>
    <w:tblStylePr w:type="band1Vert">
      <w:tblPr/>
      <w:tcPr>
        <w:shd w:val="clear" w:color="auto" w:fill="DFE9C7" w:themeFill="accent5" w:themeFillTint="7F"/>
      </w:tcPr>
    </w:tblStylePr>
    <w:tblStylePr w:type="band1Horz">
      <w:tblPr/>
      <w:tcPr>
        <w:shd w:val="clear" w:color="auto" w:fill="DFE9C7" w:themeFill="accent5" w:themeFillTint="7F"/>
      </w:tcPr>
    </w:tblStylePr>
  </w:style>
  <w:style w:type="table" w:styleId="ColorfulGrid-Accent6">
    <w:name w:val="Colorful Grid Accent 6"/>
    <w:basedOn w:val="TableNormal"/>
    <w:uiPriority w:val="73"/>
    <w:semiHidden/>
    <w:unhideWhenUsed/>
    <w:rsid w:val="002A5496"/>
    <w:pPr>
      <w:spacing w:before="0" w:after="0"/>
    </w:pPr>
    <w:tblPr>
      <w:tblStyleRowBandSize w:val="1"/>
      <w:tblStyleColBandSize w:val="1"/>
      <w:tblBorders>
        <w:insideH w:val="single" w:sz="4" w:space="0" w:color="FFFFFF" w:themeColor="background1"/>
      </w:tblBorders>
    </w:tblPr>
    <w:tcPr>
      <w:shd w:val="clear" w:color="auto" w:fill="E2F2EA" w:themeFill="accent6" w:themeFillTint="33"/>
    </w:tcPr>
    <w:tblStylePr w:type="firstRow">
      <w:rPr>
        <w:b/>
        <w:bCs/>
      </w:rPr>
      <w:tblPr/>
      <w:tcPr>
        <w:shd w:val="clear" w:color="auto" w:fill="C5E6D5" w:themeFill="accent6" w:themeFillTint="66"/>
      </w:tcPr>
    </w:tblStylePr>
    <w:tblStylePr w:type="lastRow">
      <w:rPr>
        <w:b/>
        <w:bCs/>
        <w:color w:val="000000" w:themeColor="text1"/>
      </w:rPr>
      <w:tblPr/>
      <w:tcPr>
        <w:shd w:val="clear" w:color="auto" w:fill="C5E6D5" w:themeFill="accent6" w:themeFillTint="66"/>
      </w:tcPr>
    </w:tblStylePr>
    <w:tblStylePr w:type="firstCol">
      <w:rPr>
        <w:color w:val="FFFFFF" w:themeColor="background1"/>
      </w:rPr>
      <w:tblPr/>
      <w:tcPr>
        <w:shd w:val="clear" w:color="auto" w:fill="449F70" w:themeFill="accent6" w:themeFillShade="BF"/>
      </w:tcPr>
    </w:tblStylePr>
    <w:tblStylePr w:type="lastCol">
      <w:rPr>
        <w:color w:val="FFFFFF" w:themeColor="background1"/>
      </w:rPr>
      <w:tblPr/>
      <w:tcPr>
        <w:shd w:val="clear" w:color="auto" w:fill="449F70" w:themeFill="accent6" w:themeFillShade="BF"/>
      </w:tcPr>
    </w:tblStylePr>
    <w:tblStylePr w:type="band1Vert">
      <w:tblPr/>
      <w:tcPr>
        <w:shd w:val="clear" w:color="auto" w:fill="B7E0CB" w:themeFill="accent6" w:themeFillTint="7F"/>
      </w:tcPr>
    </w:tblStylePr>
    <w:tblStylePr w:type="band1Horz">
      <w:tblPr/>
      <w:tcPr>
        <w:shd w:val="clear" w:color="auto" w:fill="B7E0CB" w:themeFill="accent6" w:themeFillTint="7F"/>
      </w:tcPr>
    </w:tblStylePr>
  </w:style>
  <w:style w:type="table" w:styleId="ColorfulList">
    <w:name w:val="Colorful List"/>
    <w:basedOn w:val="TableNormal"/>
    <w:uiPriority w:val="72"/>
    <w:semiHidden/>
    <w:unhideWhenUsed/>
    <w:rsid w:val="002A5496"/>
    <w:pPr>
      <w:spacing w:before="0"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666D" w:themeFill="accent2" w:themeFillShade="CC"/>
      </w:tcPr>
    </w:tblStylePr>
    <w:tblStylePr w:type="lastRow">
      <w:rPr>
        <w:b/>
        <w:bCs/>
        <w:color w:val="00666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A5496"/>
    <w:pPr>
      <w:spacing w:before="0" w:after="0"/>
    </w:pPr>
    <w:tblPr>
      <w:tblStyleRowBandSize w:val="1"/>
      <w:tblStyleColBandSize w:val="1"/>
    </w:tblPr>
    <w:tcPr>
      <w:shd w:val="clear" w:color="auto" w:fill="D8E6FA" w:themeFill="accent1" w:themeFillTint="19"/>
    </w:tcPr>
    <w:tblStylePr w:type="firstRow">
      <w:rPr>
        <w:b/>
        <w:bCs/>
        <w:color w:val="FFFFFF" w:themeColor="background1"/>
      </w:rPr>
      <w:tblPr/>
      <w:tcPr>
        <w:tcBorders>
          <w:bottom w:val="single" w:sz="12" w:space="0" w:color="FFFFFF" w:themeColor="background1"/>
        </w:tcBorders>
        <w:shd w:val="clear" w:color="auto" w:fill="00666D" w:themeFill="accent2" w:themeFillShade="CC"/>
      </w:tcPr>
    </w:tblStylePr>
    <w:tblStylePr w:type="lastRow">
      <w:rPr>
        <w:b/>
        <w:bCs/>
        <w:color w:val="00666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EC0F2" w:themeFill="accent1" w:themeFillTint="3F"/>
      </w:tcPr>
    </w:tblStylePr>
    <w:tblStylePr w:type="band1Horz">
      <w:tblPr/>
      <w:tcPr>
        <w:shd w:val="clear" w:color="auto" w:fill="B1CCF5" w:themeFill="accent1" w:themeFillTint="33"/>
      </w:tcPr>
    </w:tblStylePr>
  </w:style>
  <w:style w:type="table" w:styleId="ColorfulList-Accent2">
    <w:name w:val="Colorful List Accent 2"/>
    <w:basedOn w:val="TableNormal"/>
    <w:uiPriority w:val="72"/>
    <w:semiHidden/>
    <w:unhideWhenUsed/>
    <w:rsid w:val="002A5496"/>
    <w:pPr>
      <w:spacing w:before="0" w:after="0"/>
    </w:pPr>
    <w:tblPr>
      <w:tblStyleRowBandSize w:val="1"/>
      <w:tblStyleColBandSize w:val="1"/>
    </w:tblPr>
    <w:tcPr>
      <w:shd w:val="clear" w:color="auto" w:fill="DAFCFF" w:themeFill="accent2" w:themeFillTint="19"/>
    </w:tcPr>
    <w:tblStylePr w:type="firstRow">
      <w:rPr>
        <w:b/>
        <w:bCs/>
        <w:color w:val="FFFFFF" w:themeColor="background1"/>
      </w:rPr>
      <w:tblPr/>
      <w:tcPr>
        <w:tcBorders>
          <w:bottom w:val="single" w:sz="12" w:space="0" w:color="FFFFFF" w:themeColor="background1"/>
        </w:tcBorders>
        <w:shd w:val="clear" w:color="auto" w:fill="00666D" w:themeFill="accent2" w:themeFillShade="CC"/>
      </w:tcPr>
    </w:tblStylePr>
    <w:tblStylePr w:type="lastRow">
      <w:rPr>
        <w:b/>
        <w:bCs/>
        <w:color w:val="00666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8FF" w:themeFill="accent2" w:themeFillTint="3F"/>
      </w:tcPr>
    </w:tblStylePr>
    <w:tblStylePr w:type="band1Horz">
      <w:tblPr/>
      <w:tcPr>
        <w:shd w:val="clear" w:color="auto" w:fill="B4FAFF" w:themeFill="accent2" w:themeFillTint="33"/>
      </w:tcPr>
    </w:tblStylePr>
  </w:style>
  <w:style w:type="table" w:styleId="ColorfulList-Accent3">
    <w:name w:val="Colorful List Accent 3"/>
    <w:basedOn w:val="TableNormal"/>
    <w:uiPriority w:val="72"/>
    <w:semiHidden/>
    <w:unhideWhenUsed/>
    <w:rsid w:val="002A5496"/>
    <w:pPr>
      <w:spacing w:before="0" w:after="0"/>
    </w:pPr>
    <w:tblPr>
      <w:tblStyleRowBandSize w:val="1"/>
      <w:tblStyleColBandSize w:val="1"/>
    </w:tblPr>
    <w:tcPr>
      <w:shd w:val="clear" w:color="auto" w:fill="F1FAFE" w:themeFill="accent3" w:themeFillTint="19"/>
    </w:tcPr>
    <w:tblStylePr w:type="firstRow">
      <w:rPr>
        <w:b/>
        <w:bCs/>
        <w:color w:val="FFFFFF" w:themeColor="background1"/>
      </w:rPr>
      <w:tblPr/>
      <w:tcPr>
        <w:tcBorders>
          <w:bottom w:val="single" w:sz="12" w:space="0" w:color="FFFFFF" w:themeColor="background1"/>
        </w:tcBorders>
        <w:shd w:val="clear" w:color="auto" w:fill="758191" w:themeFill="accent4" w:themeFillShade="CC"/>
      </w:tcPr>
    </w:tblStylePr>
    <w:tblStylePr w:type="lastRow">
      <w:rPr>
        <w:b/>
        <w:bCs/>
        <w:color w:val="75819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3FC" w:themeFill="accent3" w:themeFillTint="3F"/>
      </w:tcPr>
    </w:tblStylePr>
    <w:tblStylePr w:type="band1Horz">
      <w:tblPr/>
      <w:tcPr>
        <w:shd w:val="clear" w:color="auto" w:fill="E3F5FC" w:themeFill="accent3" w:themeFillTint="33"/>
      </w:tcPr>
    </w:tblStylePr>
  </w:style>
  <w:style w:type="table" w:styleId="ColorfulList-Accent4">
    <w:name w:val="Colorful List Accent 4"/>
    <w:basedOn w:val="TableNormal"/>
    <w:uiPriority w:val="72"/>
    <w:semiHidden/>
    <w:unhideWhenUsed/>
    <w:rsid w:val="002A5496"/>
    <w:pPr>
      <w:spacing w:before="0" w:after="0"/>
    </w:pPr>
    <w:tblPr>
      <w:tblStyleRowBandSize w:val="1"/>
      <w:tblStyleColBandSize w:val="1"/>
    </w:tblPr>
    <w:tcPr>
      <w:shd w:val="clear" w:color="auto" w:fill="F4F5F7" w:themeFill="accent4" w:themeFillTint="19"/>
    </w:tcPr>
    <w:tblStylePr w:type="firstRow">
      <w:rPr>
        <w:b/>
        <w:bCs/>
        <w:color w:val="FFFFFF" w:themeColor="background1"/>
      </w:rPr>
      <w:tblPr/>
      <w:tcPr>
        <w:tcBorders>
          <w:bottom w:val="single" w:sz="12" w:space="0" w:color="FFFFFF" w:themeColor="background1"/>
        </w:tcBorders>
        <w:shd w:val="clear" w:color="auto" w:fill="33B9EE" w:themeFill="accent3" w:themeFillShade="CC"/>
      </w:tcPr>
    </w:tblStylePr>
    <w:tblStylePr w:type="lastRow">
      <w:rPr>
        <w:b/>
        <w:bCs/>
        <w:color w:val="33B9EE"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8EB" w:themeFill="accent4" w:themeFillTint="3F"/>
      </w:tcPr>
    </w:tblStylePr>
    <w:tblStylePr w:type="band1Horz">
      <w:tblPr/>
      <w:tcPr>
        <w:shd w:val="clear" w:color="auto" w:fill="EAECEF" w:themeFill="accent4" w:themeFillTint="33"/>
      </w:tcPr>
    </w:tblStylePr>
  </w:style>
  <w:style w:type="table" w:styleId="ColorfulList-Accent5">
    <w:name w:val="Colorful List Accent 5"/>
    <w:basedOn w:val="TableNormal"/>
    <w:uiPriority w:val="72"/>
    <w:semiHidden/>
    <w:unhideWhenUsed/>
    <w:rsid w:val="002A5496"/>
    <w:pPr>
      <w:spacing w:before="0" w:after="0"/>
    </w:pPr>
    <w:tblPr>
      <w:tblStyleRowBandSize w:val="1"/>
      <w:tblStyleColBandSize w:val="1"/>
    </w:tblPr>
    <w:tcPr>
      <w:shd w:val="clear" w:color="auto" w:fill="F8FAF3" w:themeFill="accent5" w:themeFillTint="19"/>
    </w:tcPr>
    <w:tblStylePr w:type="firstRow">
      <w:rPr>
        <w:b/>
        <w:bCs/>
        <w:color w:val="FFFFFF" w:themeColor="background1"/>
      </w:rPr>
      <w:tblPr/>
      <w:tcPr>
        <w:tcBorders>
          <w:bottom w:val="single" w:sz="12" w:space="0" w:color="FFFFFF" w:themeColor="background1"/>
        </w:tcBorders>
        <w:shd w:val="clear" w:color="auto" w:fill="49A978" w:themeFill="accent6" w:themeFillShade="CC"/>
      </w:tcPr>
    </w:tblStylePr>
    <w:tblStylePr w:type="lastRow">
      <w:rPr>
        <w:b/>
        <w:bCs/>
        <w:color w:val="49A97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4E3" w:themeFill="accent5" w:themeFillTint="3F"/>
      </w:tcPr>
    </w:tblStylePr>
    <w:tblStylePr w:type="band1Horz">
      <w:tblPr/>
      <w:tcPr>
        <w:shd w:val="clear" w:color="auto" w:fill="F2F6E8" w:themeFill="accent5" w:themeFillTint="33"/>
      </w:tcPr>
    </w:tblStylePr>
  </w:style>
  <w:style w:type="table" w:styleId="ColorfulList-Accent6">
    <w:name w:val="Colorful List Accent 6"/>
    <w:basedOn w:val="TableNormal"/>
    <w:uiPriority w:val="72"/>
    <w:semiHidden/>
    <w:unhideWhenUsed/>
    <w:rsid w:val="002A5496"/>
    <w:pPr>
      <w:spacing w:before="0" w:after="0"/>
    </w:pPr>
    <w:tblPr>
      <w:tblStyleRowBandSize w:val="1"/>
      <w:tblStyleColBandSize w:val="1"/>
    </w:tblPr>
    <w:tcPr>
      <w:shd w:val="clear" w:color="auto" w:fill="F0F9F4" w:themeFill="accent6" w:themeFillTint="19"/>
    </w:tcPr>
    <w:tblStylePr w:type="firstRow">
      <w:rPr>
        <w:b/>
        <w:bCs/>
        <w:color w:val="FFFFFF" w:themeColor="background1"/>
      </w:rPr>
      <w:tblPr/>
      <w:tcPr>
        <w:tcBorders>
          <w:bottom w:val="single" w:sz="12" w:space="0" w:color="FFFFFF" w:themeColor="background1"/>
        </w:tcBorders>
        <w:shd w:val="clear" w:color="auto" w:fill="A3C05B" w:themeFill="accent5" w:themeFillShade="CC"/>
      </w:tcPr>
    </w:tblStylePr>
    <w:tblStylePr w:type="lastRow">
      <w:rPr>
        <w:b/>
        <w:bCs/>
        <w:color w:val="A3C05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FE5" w:themeFill="accent6" w:themeFillTint="3F"/>
      </w:tcPr>
    </w:tblStylePr>
    <w:tblStylePr w:type="band1Horz">
      <w:tblPr/>
      <w:tcPr>
        <w:shd w:val="clear" w:color="auto" w:fill="E2F2EA" w:themeFill="accent6" w:themeFillTint="33"/>
      </w:tcPr>
    </w:tblStylePr>
  </w:style>
  <w:style w:type="table" w:styleId="ColorfulShading">
    <w:name w:val="Colorful Shading"/>
    <w:basedOn w:val="TableNormal"/>
    <w:uiPriority w:val="71"/>
    <w:semiHidden/>
    <w:unhideWhenUsed/>
    <w:rsid w:val="002A5496"/>
    <w:pPr>
      <w:spacing w:before="0" w:after="0"/>
    </w:pPr>
    <w:tblPr>
      <w:tblStyleRowBandSize w:val="1"/>
      <w:tblStyleColBandSize w:val="1"/>
      <w:tblBorders>
        <w:top w:val="single" w:sz="24" w:space="0" w:color="00808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808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A5496"/>
    <w:pPr>
      <w:spacing w:before="0" w:after="0"/>
    </w:pPr>
    <w:tblPr>
      <w:tblStyleRowBandSize w:val="1"/>
      <w:tblStyleColBandSize w:val="1"/>
      <w:tblBorders>
        <w:top w:val="single" w:sz="24" w:space="0" w:color="008089" w:themeColor="accent2"/>
        <w:left w:val="single" w:sz="4" w:space="0" w:color="081E3E" w:themeColor="accent1"/>
        <w:bottom w:val="single" w:sz="4" w:space="0" w:color="081E3E" w:themeColor="accent1"/>
        <w:right w:val="single" w:sz="4" w:space="0" w:color="081E3E" w:themeColor="accent1"/>
        <w:insideH w:val="single" w:sz="4" w:space="0" w:color="FFFFFF" w:themeColor="background1"/>
        <w:insideV w:val="single" w:sz="4" w:space="0" w:color="FFFFFF" w:themeColor="background1"/>
      </w:tblBorders>
    </w:tblPr>
    <w:tcPr>
      <w:shd w:val="clear" w:color="auto" w:fill="D8E6FA" w:themeFill="accent1" w:themeFillTint="19"/>
    </w:tcPr>
    <w:tblStylePr w:type="firstRow">
      <w:rPr>
        <w:b/>
        <w:bCs/>
      </w:rPr>
      <w:tblPr/>
      <w:tcPr>
        <w:tcBorders>
          <w:top w:val="nil"/>
          <w:left w:val="nil"/>
          <w:bottom w:val="single" w:sz="24" w:space="0" w:color="00808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41125" w:themeFill="accent1" w:themeFillShade="99"/>
      </w:tcPr>
    </w:tblStylePr>
    <w:tblStylePr w:type="firstCol">
      <w:rPr>
        <w:color w:val="FFFFFF" w:themeColor="background1"/>
      </w:rPr>
      <w:tblPr/>
      <w:tcPr>
        <w:tcBorders>
          <w:top w:val="nil"/>
          <w:left w:val="nil"/>
          <w:bottom w:val="nil"/>
          <w:right w:val="nil"/>
          <w:insideH w:val="single" w:sz="4" w:space="0" w:color="041125" w:themeColor="accent1" w:themeShade="99"/>
          <w:insideV w:val="nil"/>
        </w:tcBorders>
        <w:shd w:val="clear" w:color="auto" w:fill="04112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41125" w:themeFill="accent1" w:themeFillShade="99"/>
      </w:tcPr>
    </w:tblStylePr>
    <w:tblStylePr w:type="band1Vert">
      <w:tblPr/>
      <w:tcPr>
        <w:shd w:val="clear" w:color="auto" w:fill="6399EB" w:themeFill="accent1" w:themeFillTint="66"/>
      </w:tcPr>
    </w:tblStylePr>
    <w:tblStylePr w:type="band1Horz">
      <w:tblPr/>
      <w:tcPr>
        <w:shd w:val="clear" w:color="auto" w:fill="3C81E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A5496"/>
    <w:pPr>
      <w:spacing w:before="0" w:after="0"/>
    </w:pPr>
    <w:tblPr>
      <w:tblStyleRowBandSize w:val="1"/>
      <w:tblStyleColBandSize w:val="1"/>
      <w:tblBorders>
        <w:top w:val="single" w:sz="24" w:space="0" w:color="008089" w:themeColor="accent2"/>
        <w:left w:val="single" w:sz="4" w:space="0" w:color="008089" w:themeColor="accent2"/>
        <w:bottom w:val="single" w:sz="4" w:space="0" w:color="008089" w:themeColor="accent2"/>
        <w:right w:val="single" w:sz="4" w:space="0" w:color="008089" w:themeColor="accent2"/>
        <w:insideH w:val="single" w:sz="4" w:space="0" w:color="FFFFFF" w:themeColor="background1"/>
        <w:insideV w:val="single" w:sz="4" w:space="0" w:color="FFFFFF" w:themeColor="background1"/>
      </w:tblBorders>
    </w:tblPr>
    <w:tcPr>
      <w:shd w:val="clear" w:color="auto" w:fill="DAFCFF" w:themeFill="accent2" w:themeFillTint="19"/>
    </w:tcPr>
    <w:tblStylePr w:type="firstRow">
      <w:rPr>
        <w:b/>
        <w:bCs/>
      </w:rPr>
      <w:tblPr/>
      <w:tcPr>
        <w:tcBorders>
          <w:top w:val="nil"/>
          <w:left w:val="nil"/>
          <w:bottom w:val="single" w:sz="24" w:space="0" w:color="00808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C52" w:themeFill="accent2" w:themeFillShade="99"/>
      </w:tcPr>
    </w:tblStylePr>
    <w:tblStylePr w:type="firstCol">
      <w:rPr>
        <w:color w:val="FFFFFF" w:themeColor="background1"/>
      </w:rPr>
      <w:tblPr/>
      <w:tcPr>
        <w:tcBorders>
          <w:top w:val="nil"/>
          <w:left w:val="nil"/>
          <w:bottom w:val="nil"/>
          <w:right w:val="nil"/>
          <w:insideH w:val="single" w:sz="4" w:space="0" w:color="004C52" w:themeColor="accent2" w:themeShade="99"/>
          <w:insideV w:val="nil"/>
        </w:tcBorders>
        <w:shd w:val="clear" w:color="auto" w:fill="004C5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C52" w:themeFill="accent2" w:themeFillShade="99"/>
      </w:tcPr>
    </w:tblStylePr>
    <w:tblStylePr w:type="band1Vert">
      <w:tblPr/>
      <w:tcPr>
        <w:shd w:val="clear" w:color="auto" w:fill="69F5FF" w:themeFill="accent2" w:themeFillTint="66"/>
      </w:tcPr>
    </w:tblStylePr>
    <w:tblStylePr w:type="band1Horz">
      <w:tblPr/>
      <w:tcPr>
        <w:shd w:val="clear" w:color="auto" w:fill="45F2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A5496"/>
    <w:pPr>
      <w:spacing w:before="0" w:after="0"/>
    </w:pPr>
    <w:tblPr>
      <w:tblStyleRowBandSize w:val="1"/>
      <w:tblStyleColBandSize w:val="1"/>
      <w:tblBorders>
        <w:top w:val="single" w:sz="24" w:space="0" w:color="9AA3AF" w:themeColor="accent4"/>
        <w:left w:val="single" w:sz="4" w:space="0" w:color="77D1F4" w:themeColor="accent3"/>
        <w:bottom w:val="single" w:sz="4" w:space="0" w:color="77D1F4" w:themeColor="accent3"/>
        <w:right w:val="single" w:sz="4" w:space="0" w:color="77D1F4" w:themeColor="accent3"/>
        <w:insideH w:val="single" w:sz="4" w:space="0" w:color="FFFFFF" w:themeColor="background1"/>
        <w:insideV w:val="single" w:sz="4" w:space="0" w:color="FFFFFF" w:themeColor="background1"/>
      </w:tblBorders>
    </w:tblPr>
    <w:tcPr>
      <w:shd w:val="clear" w:color="auto" w:fill="F1FAFE" w:themeFill="accent3" w:themeFillTint="19"/>
    </w:tcPr>
    <w:tblStylePr w:type="firstRow">
      <w:rPr>
        <w:b/>
        <w:bCs/>
      </w:rPr>
      <w:tblPr/>
      <w:tcPr>
        <w:tcBorders>
          <w:top w:val="nil"/>
          <w:left w:val="nil"/>
          <w:bottom w:val="single" w:sz="24" w:space="0" w:color="9AA3A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95C9" w:themeFill="accent3" w:themeFillShade="99"/>
      </w:tcPr>
    </w:tblStylePr>
    <w:tblStylePr w:type="firstCol">
      <w:rPr>
        <w:color w:val="FFFFFF" w:themeColor="background1"/>
      </w:rPr>
      <w:tblPr/>
      <w:tcPr>
        <w:tcBorders>
          <w:top w:val="nil"/>
          <w:left w:val="nil"/>
          <w:bottom w:val="nil"/>
          <w:right w:val="nil"/>
          <w:insideH w:val="single" w:sz="4" w:space="0" w:color="1095C9" w:themeColor="accent3" w:themeShade="99"/>
          <w:insideV w:val="nil"/>
        </w:tcBorders>
        <w:shd w:val="clear" w:color="auto" w:fill="1095C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95C9" w:themeFill="accent3" w:themeFillShade="99"/>
      </w:tcPr>
    </w:tblStylePr>
    <w:tblStylePr w:type="band1Vert">
      <w:tblPr/>
      <w:tcPr>
        <w:shd w:val="clear" w:color="auto" w:fill="C8ECFA" w:themeFill="accent3" w:themeFillTint="66"/>
      </w:tcPr>
    </w:tblStylePr>
    <w:tblStylePr w:type="band1Horz">
      <w:tblPr/>
      <w:tcPr>
        <w:shd w:val="clear" w:color="auto" w:fill="BBE7F9" w:themeFill="accent3" w:themeFillTint="7F"/>
      </w:tcPr>
    </w:tblStylePr>
  </w:style>
  <w:style w:type="table" w:styleId="ColorfulShading-Accent4">
    <w:name w:val="Colorful Shading Accent 4"/>
    <w:basedOn w:val="TableNormal"/>
    <w:uiPriority w:val="71"/>
    <w:semiHidden/>
    <w:unhideWhenUsed/>
    <w:rsid w:val="002A5496"/>
    <w:pPr>
      <w:spacing w:before="0" w:after="0"/>
    </w:pPr>
    <w:tblPr>
      <w:tblStyleRowBandSize w:val="1"/>
      <w:tblStyleColBandSize w:val="1"/>
      <w:tblBorders>
        <w:top w:val="single" w:sz="24" w:space="0" w:color="77D1F4" w:themeColor="accent3"/>
        <w:left w:val="single" w:sz="4" w:space="0" w:color="9AA3AF" w:themeColor="accent4"/>
        <w:bottom w:val="single" w:sz="4" w:space="0" w:color="9AA3AF" w:themeColor="accent4"/>
        <w:right w:val="single" w:sz="4" w:space="0" w:color="9AA3AF" w:themeColor="accent4"/>
        <w:insideH w:val="single" w:sz="4" w:space="0" w:color="FFFFFF" w:themeColor="background1"/>
        <w:insideV w:val="single" w:sz="4" w:space="0" w:color="FFFFFF" w:themeColor="background1"/>
      </w:tblBorders>
    </w:tblPr>
    <w:tcPr>
      <w:shd w:val="clear" w:color="auto" w:fill="F4F5F7" w:themeFill="accent4" w:themeFillTint="19"/>
    </w:tcPr>
    <w:tblStylePr w:type="firstRow">
      <w:rPr>
        <w:b/>
        <w:bCs/>
      </w:rPr>
      <w:tblPr/>
      <w:tcPr>
        <w:tcBorders>
          <w:top w:val="nil"/>
          <w:left w:val="nil"/>
          <w:bottom w:val="single" w:sz="24" w:space="0" w:color="77D1F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16E" w:themeFill="accent4" w:themeFillShade="99"/>
      </w:tcPr>
    </w:tblStylePr>
    <w:tblStylePr w:type="firstCol">
      <w:rPr>
        <w:color w:val="FFFFFF" w:themeColor="background1"/>
      </w:rPr>
      <w:tblPr/>
      <w:tcPr>
        <w:tcBorders>
          <w:top w:val="nil"/>
          <w:left w:val="nil"/>
          <w:bottom w:val="nil"/>
          <w:right w:val="nil"/>
          <w:insideH w:val="single" w:sz="4" w:space="0" w:color="57616E" w:themeColor="accent4" w:themeShade="99"/>
          <w:insideV w:val="nil"/>
        </w:tcBorders>
        <w:shd w:val="clear" w:color="auto" w:fill="57616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616E" w:themeFill="accent4" w:themeFillShade="99"/>
      </w:tcPr>
    </w:tblStylePr>
    <w:tblStylePr w:type="band1Vert">
      <w:tblPr/>
      <w:tcPr>
        <w:shd w:val="clear" w:color="auto" w:fill="D6DADF" w:themeFill="accent4" w:themeFillTint="66"/>
      </w:tcPr>
    </w:tblStylePr>
    <w:tblStylePr w:type="band1Horz">
      <w:tblPr/>
      <w:tcPr>
        <w:shd w:val="clear" w:color="auto" w:fill="CCD1D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A5496"/>
    <w:pPr>
      <w:spacing w:before="0" w:after="0"/>
    </w:pPr>
    <w:tblPr>
      <w:tblStyleRowBandSize w:val="1"/>
      <w:tblStyleColBandSize w:val="1"/>
      <w:tblBorders>
        <w:top w:val="single" w:sz="24" w:space="0" w:color="6FC197" w:themeColor="accent6"/>
        <w:left w:val="single" w:sz="4" w:space="0" w:color="C0D48F" w:themeColor="accent5"/>
        <w:bottom w:val="single" w:sz="4" w:space="0" w:color="C0D48F" w:themeColor="accent5"/>
        <w:right w:val="single" w:sz="4" w:space="0" w:color="C0D48F" w:themeColor="accent5"/>
        <w:insideH w:val="single" w:sz="4" w:space="0" w:color="FFFFFF" w:themeColor="background1"/>
        <w:insideV w:val="single" w:sz="4" w:space="0" w:color="FFFFFF" w:themeColor="background1"/>
      </w:tblBorders>
    </w:tblPr>
    <w:tcPr>
      <w:shd w:val="clear" w:color="auto" w:fill="F8FAF3" w:themeFill="accent5" w:themeFillTint="19"/>
    </w:tcPr>
    <w:tblStylePr w:type="firstRow">
      <w:rPr>
        <w:b/>
        <w:bCs/>
      </w:rPr>
      <w:tblPr/>
      <w:tcPr>
        <w:tcBorders>
          <w:top w:val="nil"/>
          <w:left w:val="nil"/>
          <w:bottom w:val="single" w:sz="24" w:space="0" w:color="6FC19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993B" w:themeFill="accent5" w:themeFillShade="99"/>
      </w:tcPr>
    </w:tblStylePr>
    <w:tblStylePr w:type="firstCol">
      <w:rPr>
        <w:color w:val="FFFFFF" w:themeColor="background1"/>
      </w:rPr>
      <w:tblPr/>
      <w:tcPr>
        <w:tcBorders>
          <w:top w:val="nil"/>
          <w:left w:val="nil"/>
          <w:bottom w:val="nil"/>
          <w:right w:val="nil"/>
          <w:insideH w:val="single" w:sz="4" w:space="0" w:color="7E993B" w:themeColor="accent5" w:themeShade="99"/>
          <w:insideV w:val="nil"/>
        </w:tcBorders>
        <w:shd w:val="clear" w:color="auto" w:fill="7E993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E993B" w:themeFill="accent5" w:themeFillShade="99"/>
      </w:tcPr>
    </w:tblStylePr>
    <w:tblStylePr w:type="band1Vert">
      <w:tblPr/>
      <w:tcPr>
        <w:shd w:val="clear" w:color="auto" w:fill="E5EDD2" w:themeFill="accent5" w:themeFillTint="66"/>
      </w:tcPr>
    </w:tblStylePr>
    <w:tblStylePr w:type="band1Horz">
      <w:tblPr/>
      <w:tcPr>
        <w:shd w:val="clear" w:color="auto" w:fill="DFE9C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A5496"/>
    <w:pPr>
      <w:spacing w:before="0" w:after="0"/>
    </w:pPr>
    <w:tblPr>
      <w:tblStyleRowBandSize w:val="1"/>
      <w:tblStyleColBandSize w:val="1"/>
      <w:tblBorders>
        <w:top w:val="single" w:sz="24" w:space="0" w:color="C0D48F" w:themeColor="accent5"/>
        <w:left w:val="single" w:sz="4" w:space="0" w:color="6FC197" w:themeColor="accent6"/>
        <w:bottom w:val="single" w:sz="4" w:space="0" w:color="6FC197" w:themeColor="accent6"/>
        <w:right w:val="single" w:sz="4" w:space="0" w:color="6FC197" w:themeColor="accent6"/>
        <w:insideH w:val="single" w:sz="4" w:space="0" w:color="FFFFFF" w:themeColor="background1"/>
        <w:insideV w:val="single" w:sz="4" w:space="0" w:color="FFFFFF" w:themeColor="background1"/>
      </w:tblBorders>
    </w:tblPr>
    <w:tcPr>
      <w:shd w:val="clear" w:color="auto" w:fill="F0F9F4" w:themeFill="accent6" w:themeFillTint="19"/>
    </w:tcPr>
    <w:tblStylePr w:type="firstRow">
      <w:rPr>
        <w:b/>
        <w:bCs/>
      </w:rPr>
      <w:tblPr/>
      <w:tcPr>
        <w:tcBorders>
          <w:top w:val="nil"/>
          <w:left w:val="nil"/>
          <w:bottom w:val="single" w:sz="24" w:space="0" w:color="C0D48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7F5A" w:themeFill="accent6" w:themeFillShade="99"/>
      </w:tcPr>
    </w:tblStylePr>
    <w:tblStylePr w:type="firstCol">
      <w:rPr>
        <w:color w:val="FFFFFF" w:themeColor="background1"/>
      </w:rPr>
      <w:tblPr/>
      <w:tcPr>
        <w:tcBorders>
          <w:top w:val="nil"/>
          <w:left w:val="nil"/>
          <w:bottom w:val="nil"/>
          <w:right w:val="nil"/>
          <w:insideH w:val="single" w:sz="4" w:space="0" w:color="377F5A" w:themeColor="accent6" w:themeShade="99"/>
          <w:insideV w:val="nil"/>
        </w:tcBorders>
        <w:shd w:val="clear" w:color="auto" w:fill="377F5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77F5A" w:themeFill="accent6" w:themeFillShade="99"/>
      </w:tcPr>
    </w:tblStylePr>
    <w:tblStylePr w:type="band1Vert">
      <w:tblPr/>
      <w:tcPr>
        <w:shd w:val="clear" w:color="auto" w:fill="C5E6D5" w:themeFill="accent6" w:themeFillTint="66"/>
      </w:tcPr>
    </w:tblStylePr>
    <w:tblStylePr w:type="band1Horz">
      <w:tblPr/>
      <w:tcPr>
        <w:shd w:val="clear" w:color="auto" w:fill="B7E0C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2A5496"/>
    <w:pPr>
      <w:spacing w:before="0"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A5496"/>
    <w:pPr>
      <w:spacing w:before="0" w:after="0"/>
    </w:pPr>
    <w:rPr>
      <w:color w:val="FFFFFF" w:themeColor="background1"/>
    </w:rPr>
    <w:tblPr>
      <w:tblStyleRowBandSize w:val="1"/>
      <w:tblStyleColBandSize w:val="1"/>
    </w:tblPr>
    <w:tcPr>
      <w:shd w:val="clear" w:color="auto" w:fill="081E3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40E1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6162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6162E" w:themeFill="accent1" w:themeFillShade="BF"/>
      </w:tcPr>
    </w:tblStylePr>
    <w:tblStylePr w:type="band1Vert">
      <w:tblPr/>
      <w:tcPr>
        <w:tcBorders>
          <w:top w:val="nil"/>
          <w:left w:val="nil"/>
          <w:bottom w:val="nil"/>
          <w:right w:val="nil"/>
          <w:insideH w:val="nil"/>
          <w:insideV w:val="nil"/>
        </w:tcBorders>
        <w:shd w:val="clear" w:color="auto" w:fill="06162E" w:themeFill="accent1" w:themeFillShade="BF"/>
      </w:tcPr>
    </w:tblStylePr>
    <w:tblStylePr w:type="band1Horz">
      <w:tblPr/>
      <w:tcPr>
        <w:tcBorders>
          <w:top w:val="nil"/>
          <w:left w:val="nil"/>
          <w:bottom w:val="nil"/>
          <w:right w:val="nil"/>
          <w:insideH w:val="nil"/>
          <w:insideV w:val="nil"/>
        </w:tcBorders>
        <w:shd w:val="clear" w:color="auto" w:fill="06162E" w:themeFill="accent1" w:themeFillShade="BF"/>
      </w:tcPr>
    </w:tblStylePr>
  </w:style>
  <w:style w:type="table" w:styleId="DarkList-Accent2">
    <w:name w:val="Dark List Accent 2"/>
    <w:basedOn w:val="TableNormal"/>
    <w:uiPriority w:val="70"/>
    <w:semiHidden/>
    <w:unhideWhenUsed/>
    <w:rsid w:val="002A5496"/>
    <w:pPr>
      <w:spacing w:before="0" w:after="0"/>
    </w:pPr>
    <w:rPr>
      <w:color w:val="FFFFFF" w:themeColor="background1"/>
    </w:rPr>
    <w:tblPr>
      <w:tblStyleRowBandSize w:val="1"/>
      <w:tblStyleColBandSize w:val="1"/>
    </w:tblPr>
    <w:tcPr>
      <w:shd w:val="clear" w:color="auto" w:fill="00808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F4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F6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F66" w:themeFill="accent2" w:themeFillShade="BF"/>
      </w:tcPr>
    </w:tblStylePr>
    <w:tblStylePr w:type="band1Vert">
      <w:tblPr/>
      <w:tcPr>
        <w:tcBorders>
          <w:top w:val="nil"/>
          <w:left w:val="nil"/>
          <w:bottom w:val="nil"/>
          <w:right w:val="nil"/>
          <w:insideH w:val="nil"/>
          <w:insideV w:val="nil"/>
        </w:tcBorders>
        <w:shd w:val="clear" w:color="auto" w:fill="005F66" w:themeFill="accent2" w:themeFillShade="BF"/>
      </w:tcPr>
    </w:tblStylePr>
    <w:tblStylePr w:type="band1Horz">
      <w:tblPr/>
      <w:tcPr>
        <w:tcBorders>
          <w:top w:val="nil"/>
          <w:left w:val="nil"/>
          <w:bottom w:val="nil"/>
          <w:right w:val="nil"/>
          <w:insideH w:val="nil"/>
          <w:insideV w:val="nil"/>
        </w:tcBorders>
        <w:shd w:val="clear" w:color="auto" w:fill="005F66" w:themeFill="accent2" w:themeFillShade="BF"/>
      </w:tcPr>
    </w:tblStylePr>
  </w:style>
  <w:style w:type="table" w:styleId="DarkList-Accent3">
    <w:name w:val="Dark List Accent 3"/>
    <w:basedOn w:val="TableNormal"/>
    <w:uiPriority w:val="70"/>
    <w:semiHidden/>
    <w:unhideWhenUsed/>
    <w:rsid w:val="002A5496"/>
    <w:pPr>
      <w:spacing w:before="0" w:after="0"/>
    </w:pPr>
    <w:rPr>
      <w:color w:val="FFFFFF" w:themeColor="background1"/>
    </w:rPr>
    <w:tblPr>
      <w:tblStyleRowBandSize w:val="1"/>
      <w:tblStyleColBandSize w:val="1"/>
    </w:tblPr>
    <w:tcPr>
      <w:shd w:val="clear" w:color="auto" w:fill="77D1F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7BA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B3E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B3ED" w:themeFill="accent3" w:themeFillShade="BF"/>
      </w:tcPr>
    </w:tblStylePr>
    <w:tblStylePr w:type="band1Vert">
      <w:tblPr/>
      <w:tcPr>
        <w:tcBorders>
          <w:top w:val="nil"/>
          <w:left w:val="nil"/>
          <w:bottom w:val="nil"/>
          <w:right w:val="nil"/>
          <w:insideH w:val="nil"/>
          <w:insideV w:val="nil"/>
        </w:tcBorders>
        <w:shd w:val="clear" w:color="auto" w:fill="22B3ED" w:themeFill="accent3" w:themeFillShade="BF"/>
      </w:tcPr>
    </w:tblStylePr>
    <w:tblStylePr w:type="band1Horz">
      <w:tblPr/>
      <w:tcPr>
        <w:tcBorders>
          <w:top w:val="nil"/>
          <w:left w:val="nil"/>
          <w:bottom w:val="nil"/>
          <w:right w:val="nil"/>
          <w:insideH w:val="nil"/>
          <w:insideV w:val="nil"/>
        </w:tcBorders>
        <w:shd w:val="clear" w:color="auto" w:fill="22B3ED" w:themeFill="accent3" w:themeFillShade="BF"/>
      </w:tcPr>
    </w:tblStylePr>
  </w:style>
  <w:style w:type="table" w:styleId="DarkList-Accent4">
    <w:name w:val="Dark List Accent 4"/>
    <w:basedOn w:val="TableNormal"/>
    <w:uiPriority w:val="70"/>
    <w:semiHidden/>
    <w:unhideWhenUsed/>
    <w:rsid w:val="002A5496"/>
    <w:pPr>
      <w:spacing w:before="0" w:after="0"/>
    </w:pPr>
    <w:rPr>
      <w:color w:val="FFFFFF" w:themeColor="background1"/>
    </w:rPr>
    <w:tblPr>
      <w:tblStyleRowBandSize w:val="1"/>
      <w:tblStyleColBandSize w:val="1"/>
    </w:tblPr>
    <w:tcPr>
      <w:shd w:val="clear" w:color="auto" w:fill="9AA3A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05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798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7989" w:themeFill="accent4" w:themeFillShade="BF"/>
      </w:tcPr>
    </w:tblStylePr>
    <w:tblStylePr w:type="band1Vert">
      <w:tblPr/>
      <w:tcPr>
        <w:tcBorders>
          <w:top w:val="nil"/>
          <w:left w:val="nil"/>
          <w:bottom w:val="nil"/>
          <w:right w:val="nil"/>
          <w:insideH w:val="nil"/>
          <w:insideV w:val="nil"/>
        </w:tcBorders>
        <w:shd w:val="clear" w:color="auto" w:fill="6D7989" w:themeFill="accent4" w:themeFillShade="BF"/>
      </w:tcPr>
    </w:tblStylePr>
    <w:tblStylePr w:type="band1Horz">
      <w:tblPr/>
      <w:tcPr>
        <w:tcBorders>
          <w:top w:val="nil"/>
          <w:left w:val="nil"/>
          <w:bottom w:val="nil"/>
          <w:right w:val="nil"/>
          <w:insideH w:val="nil"/>
          <w:insideV w:val="nil"/>
        </w:tcBorders>
        <w:shd w:val="clear" w:color="auto" w:fill="6D7989" w:themeFill="accent4" w:themeFillShade="BF"/>
      </w:tcPr>
    </w:tblStylePr>
  </w:style>
  <w:style w:type="table" w:styleId="DarkList-Accent5">
    <w:name w:val="Dark List Accent 5"/>
    <w:basedOn w:val="TableNormal"/>
    <w:uiPriority w:val="70"/>
    <w:semiHidden/>
    <w:unhideWhenUsed/>
    <w:rsid w:val="002A5496"/>
    <w:pPr>
      <w:spacing w:before="0" w:after="0"/>
    </w:pPr>
    <w:rPr>
      <w:color w:val="FFFFFF" w:themeColor="background1"/>
    </w:rPr>
    <w:tblPr>
      <w:tblStyleRowBandSize w:val="1"/>
      <w:tblStyleColBandSize w:val="1"/>
    </w:tblPr>
    <w:tcPr>
      <w:shd w:val="clear" w:color="auto" w:fill="C0D48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7F3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BBB4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BBB4E" w:themeFill="accent5" w:themeFillShade="BF"/>
      </w:tcPr>
    </w:tblStylePr>
    <w:tblStylePr w:type="band1Vert">
      <w:tblPr/>
      <w:tcPr>
        <w:tcBorders>
          <w:top w:val="nil"/>
          <w:left w:val="nil"/>
          <w:bottom w:val="nil"/>
          <w:right w:val="nil"/>
          <w:insideH w:val="nil"/>
          <w:insideV w:val="nil"/>
        </w:tcBorders>
        <w:shd w:val="clear" w:color="auto" w:fill="9BBB4E" w:themeFill="accent5" w:themeFillShade="BF"/>
      </w:tcPr>
    </w:tblStylePr>
    <w:tblStylePr w:type="band1Horz">
      <w:tblPr/>
      <w:tcPr>
        <w:tcBorders>
          <w:top w:val="nil"/>
          <w:left w:val="nil"/>
          <w:bottom w:val="nil"/>
          <w:right w:val="nil"/>
          <w:insideH w:val="nil"/>
          <w:insideV w:val="nil"/>
        </w:tcBorders>
        <w:shd w:val="clear" w:color="auto" w:fill="9BBB4E" w:themeFill="accent5" w:themeFillShade="BF"/>
      </w:tcPr>
    </w:tblStylePr>
  </w:style>
  <w:style w:type="table" w:styleId="DarkList-Accent6">
    <w:name w:val="Dark List Accent 6"/>
    <w:basedOn w:val="TableNormal"/>
    <w:uiPriority w:val="70"/>
    <w:semiHidden/>
    <w:unhideWhenUsed/>
    <w:rsid w:val="002A5496"/>
    <w:pPr>
      <w:spacing w:before="0" w:after="0"/>
    </w:pPr>
    <w:rPr>
      <w:color w:val="FFFFFF" w:themeColor="background1"/>
    </w:rPr>
    <w:tblPr>
      <w:tblStyleRowBandSize w:val="1"/>
      <w:tblStyleColBandSize w:val="1"/>
    </w:tblPr>
    <w:tcPr>
      <w:shd w:val="clear" w:color="auto" w:fill="6FC19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694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49F7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49F70" w:themeFill="accent6" w:themeFillShade="BF"/>
      </w:tcPr>
    </w:tblStylePr>
    <w:tblStylePr w:type="band1Vert">
      <w:tblPr/>
      <w:tcPr>
        <w:tcBorders>
          <w:top w:val="nil"/>
          <w:left w:val="nil"/>
          <w:bottom w:val="nil"/>
          <w:right w:val="nil"/>
          <w:insideH w:val="nil"/>
          <w:insideV w:val="nil"/>
        </w:tcBorders>
        <w:shd w:val="clear" w:color="auto" w:fill="449F70" w:themeFill="accent6" w:themeFillShade="BF"/>
      </w:tcPr>
    </w:tblStylePr>
    <w:tblStylePr w:type="band1Horz">
      <w:tblPr/>
      <w:tcPr>
        <w:tcBorders>
          <w:top w:val="nil"/>
          <w:left w:val="nil"/>
          <w:bottom w:val="nil"/>
          <w:right w:val="nil"/>
          <w:insideH w:val="nil"/>
          <w:insideV w:val="nil"/>
        </w:tcBorders>
        <w:shd w:val="clear" w:color="auto" w:fill="449F70" w:themeFill="accent6" w:themeFillShade="BF"/>
      </w:tcPr>
    </w:tblStylePr>
  </w:style>
  <w:style w:type="paragraph" w:styleId="Date">
    <w:name w:val="Date"/>
    <w:basedOn w:val="Normal"/>
    <w:next w:val="Normal"/>
    <w:link w:val="DateChar"/>
    <w:uiPriority w:val="99"/>
    <w:semiHidden/>
    <w:unhideWhenUsed/>
    <w:rsid w:val="002A5496"/>
    <w:pPr>
      <w:suppressAutoHyphens w:val="0"/>
      <w:spacing w:before="90" w:after="160" w:line="259" w:lineRule="auto"/>
    </w:pPr>
    <w:rPr>
      <w:rFonts w:ascii="Arial Narrow" w:hAnsi="Arial Narrow" w:cs="Arial"/>
      <w:color w:val="auto"/>
    </w:rPr>
  </w:style>
  <w:style w:type="character" w:customStyle="1" w:styleId="DateChar">
    <w:name w:val="Date Char"/>
    <w:basedOn w:val="DefaultParagraphFont"/>
    <w:link w:val="Date"/>
    <w:uiPriority w:val="99"/>
    <w:semiHidden/>
    <w:rsid w:val="002A5496"/>
    <w:rPr>
      <w:rFonts w:ascii="Arial Narrow" w:hAnsi="Arial Narrow" w:cs="Arial"/>
      <w:color w:val="auto"/>
    </w:rPr>
  </w:style>
  <w:style w:type="paragraph" w:styleId="DocumentMap">
    <w:name w:val="Document Map"/>
    <w:basedOn w:val="Normal"/>
    <w:link w:val="DocumentMapChar"/>
    <w:uiPriority w:val="99"/>
    <w:semiHidden/>
    <w:unhideWhenUsed/>
    <w:rsid w:val="002A5496"/>
    <w:pPr>
      <w:suppressAutoHyphens w:val="0"/>
      <w:spacing w:before="90" w:after="0" w:line="280" w:lineRule="atLeast"/>
    </w:pPr>
    <w:rPr>
      <w:rFonts w:ascii="Arial Narrow" w:hAnsi="Arial Narrow" w:cs="Arial"/>
      <w:color w:val="auto"/>
      <w:sz w:val="16"/>
      <w:szCs w:val="16"/>
    </w:rPr>
  </w:style>
  <w:style w:type="character" w:customStyle="1" w:styleId="DocumentMapChar">
    <w:name w:val="Document Map Char"/>
    <w:basedOn w:val="DefaultParagraphFont"/>
    <w:link w:val="DocumentMap"/>
    <w:uiPriority w:val="99"/>
    <w:semiHidden/>
    <w:rsid w:val="002A5496"/>
    <w:rPr>
      <w:rFonts w:ascii="Arial Narrow" w:hAnsi="Arial Narrow" w:cs="Arial"/>
      <w:color w:val="auto"/>
      <w:sz w:val="16"/>
      <w:szCs w:val="16"/>
    </w:rPr>
  </w:style>
  <w:style w:type="paragraph" w:styleId="E-mailSignature">
    <w:name w:val="E-mail Signature"/>
    <w:basedOn w:val="Normal"/>
    <w:link w:val="E-mailSignatureChar"/>
    <w:uiPriority w:val="99"/>
    <w:semiHidden/>
    <w:unhideWhenUsed/>
    <w:rsid w:val="002A5496"/>
    <w:pPr>
      <w:suppressAutoHyphens w:val="0"/>
      <w:spacing w:before="90" w:after="0" w:line="280" w:lineRule="atLeast"/>
    </w:pPr>
    <w:rPr>
      <w:rFonts w:ascii="Arial Narrow" w:hAnsi="Arial Narrow" w:cs="Arial"/>
      <w:color w:val="auto"/>
    </w:rPr>
  </w:style>
  <w:style w:type="character" w:customStyle="1" w:styleId="E-mailSignatureChar">
    <w:name w:val="E-mail Signature Char"/>
    <w:basedOn w:val="DefaultParagraphFont"/>
    <w:link w:val="E-mailSignature"/>
    <w:uiPriority w:val="99"/>
    <w:semiHidden/>
    <w:rsid w:val="002A5496"/>
    <w:rPr>
      <w:rFonts w:ascii="Arial Narrow" w:hAnsi="Arial Narrow" w:cs="Arial"/>
      <w:color w:val="auto"/>
    </w:rPr>
  </w:style>
  <w:style w:type="character" w:styleId="Emphasis">
    <w:name w:val="Emphasis"/>
    <w:basedOn w:val="DefaultParagraphFont"/>
    <w:uiPriority w:val="20"/>
    <w:qFormat/>
    <w:rsid w:val="002A5496"/>
    <w:rPr>
      <w:i/>
      <w:iCs/>
    </w:rPr>
  </w:style>
  <w:style w:type="character" w:styleId="EndnoteReference">
    <w:name w:val="endnote reference"/>
    <w:basedOn w:val="DefaultParagraphFont"/>
    <w:uiPriority w:val="99"/>
    <w:semiHidden/>
    <w:unhideWhenUsed/>
    <w:rsid w:val="002A5496"/>
    <w:rPr>
      <w:vertAlign w:val="superscript"/>
    </w:rPr>
  </w:style>
  <w:style w:type="paragraph" w:styleId="EndnoteText">
    <w:name w:val="endnote text"/>
    <w:basedOn w:val="Normal"/>
    <w:link w:val="EndnoteTextChar"/>
    <w:uiPriority w:val="99"/>
    <w:semiHidden/>
    <w:unhideWhenUsed/>
    <w:rsid w:val="002A5496"/>
    <w:pPr>
      <w:suppressAutoHyphens w:val="0"/>
      <w:spacing w:before="90" w:after="0" w:line="280" w:lineRule="atLeast"/>
    </w:pPr>
    <w:rPr>
      <w:rFonts w:ascii="Arial Narrow" w:hAnsi="Arial Narrow" w:cs="Arial"/>
      <w:color w:val="auto"/>
      <w:sz w:val="20"/>
      <w:szCs w:val="20"/>
    </w:rPr>
  </w:style>
  <w:style w:type="character" w:customStyle="1" w:styleId="EndnoteTextChar">
    <w:name w:val="Endnote Text Char"/>
    <w:basedOn w:val="DefaultParagraphFont"/>
    <w:link w:val="EndnoteText"/>
    <w:uiPriority w:val="99"/>
    <w:semiHidden/>
    <w:rsid w:val="002A5496"/>
    <w:rPr>
      <w:rFonts w:ascii="Arial Narrow" w:hAnsi="Arial Narrow" w:cs="Arial"/>
      <w:color w:val="auto"/>
      <w:sz w:val="20"/>
      <w:szCs w:val="20"/>
    </w:rPr>
  </w:style>
  <w:style w:type="paragraph" w:styleId="EnvelopeAddress">
    <w:name w:val="envelope address"/>
    <w:basedOn w:val="Normal"/>
    <w:uiPriority w:val="99"/>
    <w:semiHidden/>
    <w:unhideWhenUsed/>
    <w:rsid w:val="002A5496"/>
    <w:pPr>
      <w:framePr w:w="7920" w:h="1980" w:hRule="exact" w:hSpace="180" w:wrap="auto" w:hAnchor="page" w:xAlign="center" w:yAlign="bottom"/>
      <w:suppressAutoHyphens w:val="0"/>
      <w:spacing w:before="90" w:after="0" w:line="280" w:lineRule="atLeast"/>
      <w:ind w:left="2880"/>
    </w:pPr>
    <w:rPr>
      <w:rFonts w:ascii="Arial Narrow" w:eastAsiaTheme="majorEastAsia" w:hAnsi="Arial Narrow" w:cs="Arial"/>
      <w:color w:val="auto"/>
      <w:sz w:val="24"/>
      <w:szCs w:val="24"/>
    </w:rPr>
  </w:style>
  <w:style w:type="paragraph" w:styleId="EnvelopeReturn">
    <w:name w:val="envelope return"/>
    <w:basedOn w:val="Normal"/>
    <w:uiPriority w:val="99"/>
    <w:semiHidden/>
    <w:unhideWhenUsed/>
    <w:rsid w:val="002A5496"/>
    <w:pPr>
      <w:suppressAutoHyphens w:val="0"/>
      <w:spacing w:before="90" w:after="0" w:line="280" w:lineRule="atLeast"/>
    </w:pPr>
    <w:rPr>
      <w:rFonts w:ascii="Arial Narrow" w:eastAsiaTheme="majorEastAsia" w:hAnsi="Arial Narrow" w:cs="Arial"/>
      <w:color w:val="auto"/>
      <w:sz w:val="20"/>
      <w:szCs w:val="20"/>
    </w:rPr>
  </w:style>
  <w:style w:type="table" w:styleId="GridTable1Light">
    <w:name w:val="Grid Table 1 Light"/>
    <w:basedOn w:val="TableNormal"/>
    <w:uiPriority w:val="46"/>
    <w:rsid w:val="002A5496"/>
    <w:pPr>
      <w:spacing w:before="0" w:after="0"/>
    </w:pPr>
    <w:rPr>
      <w:color w:val="aut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A5496"/>
    <w:pPr>
      <w:spacing w:before="0" w:after="0"/>
    </w:pPr>
    <w:rPr>
      <w:color w:val="auto"/>
    </w:rPr>
    <w:tblPr>
      <w:tblStyleRowBandSize w:val="1"/>
      <w:tblStyleColBandSize w:val="1"/>
      <w:tblBorders>
        <w:top w:val="single" w:sz="4" w:space="0" w:color="6399EB" w:themeColor="accent1" w:themeTint="66"/>
        <w:left w:val="single" w:sz="4" w:space="0" w:color="6399EB" w:themeColor="accent1" w:themeTint="66"/>
        <w:bottom w:val="single" w:sz="4" w:space="0" w:color="6399EB" w:themeColor="accent1" w:themeTint="66"/>
        <w:right w:val="single" w:sz="4" w:space="0" w:color="6399EB" w:themeColor="accent1" w:themeTint="66"/>
        <w:insideH w:val="single" w:sz="4" w:space="0" w:color="6399EB" w:themeColor="accent1" w:themeTint="66"/>
        <w:insideV w:val="single" w:sz="4" w:space="0" w:color="6399EB" w:themeColor="accent1" w:themeTint="66"/>
      </w:tblBorders>
    </w:tblPr>
    <w:tblStylePr w:type="firstRow">
      <w:rPr>
        <w:b/>
        <w:bCs/>
      </w:rPr>
      <w:tblPr/>
      <w:tcPr>
        <w:tcBorders>
          <w:bottom w:val="single" w:sz="12" w:space="0" w:color="1C68D9" w:themeColor="accent1" w:themeTint="99"/>
        </w:tcBorders>
      </w:tcPr>
    </w:tblStylePr>
    <w:tblStylePr w:type="lastRow">
      <w:rPr>
        <w:b/>
        <w:bCs/>
      </w:rPr>
      <w:tblPr/>
      <w:tcPr>
        <w:tcBorders>
          <w:top w:val="double" w:sz="2" w:space="0" w:color="1C68D9"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A5496"/>
    <w:pPr>
      <w:spacing w:before="0" w:after="0"/>
    </w:pPr>
    <w:rPr>
      <w:color w:val="auto"/>
    </w:rPr>
    <w:tblPr>
      <w:tblStyleRowBandSize w:val="1"/>
      <w:tblStyleColBandSize w:val="1"/>
      <w:tblBorders>
        <w:top w:val="single" w:sz="4" w:space="0" w:color="69F5FF" w:themeColor="accent2" w:themeTint="66"/>
        <w:left w:val="single" w:sz="4" w:space="0" w:color="69F5FF" w:themeColor="accent2" w:themeTint="66"/>
        <w:bottom w:val="single" w:sz="4" w:space="0" w:color="69F5FF" w:themeColor="accent2" w:themeTint="66"/>
        <w:right w:val="single" w:sz="4" w:space="0" w:color="69F5FF" w:themeColor="accent2" w:themeTint="66"/>
        <w:insideH w:val="single" w:sz="4" w:space="0" w:color="69F5FF" w:themeColor="accent2" w:themeTint="66"/>
        <w:insideV w:val="single" w:sz="4" w:space="0" w:color="69F5FF" w:themeColor="accent2" w:themeTint="66"/>
      </w:tblBorders>
    </w:tblPr>
    <w:tblStylePr w:type="firstRow">
      <w:rPr>
        <w:b/>
        <w:bCs/>
      </w:rPr>
      <w:tblPr/>
      <w:tcPr>
        <w:tcBorders>
          <w:bottom w:val="single" w:sz="12" w:space="0" w:color="1FF0FF" w:themeColor="accent2" w:themeTint="99"/>
        </w:tcBorders>
      </w:tcPr>
    </w:tblStylePr>
    <w:tblStylePr w:type="lastRow">
      <w:rPr>
        <w:b/>
        <w:bCs/>
      </w:rPr>
      <w:tblPr/>
      <w:tcPr>
        <w:tcBorders>
          <w:top w:val="double" w:sz="2" w:space="0" w:color="1FF0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A5496"/>
    <w:pPr>
      <w:spacing w:before="0" w:after="0"/>
    </w:pPr>
    <w:rPr>
      <w:color w:val="auto"/>
    </w:rPr>
    <w:tblPr>
      <w:tblStyleRowBandSize w:val="1"/>
      <w:tblStyleColBandSize w:val="1"/>
      <w:tblBorders>
        <w:top w:val="single" w:sz="4" w:space="0" w:color="C8ECFA" w:themeColor="accent3" w:themeTint="66"/>
        <w:left w:val="single" w:sz="4" w:space="0" w:color="C8ECFA" w:themeColor="accent3" w:themeTint="66"/>
        <w:bottom w:val="single" w:sz="4" w:space="0" w:color="C8ECFA" w:themeColor="accent3" w:themeTint="66"/>
        <w:right w:val="single" w:sz="4" w:space="0" w:color="C8ECFA" w:themeColor="accent3" w:themeTint="66"/>
        <w:insideH w:val="single" w:sz="4" w:space="0" w:color="C8ECFA" w:themeColor="accent3" w:themeTint="66"/>
        <w:insideV w:val="single" w:sz="4" w:space="0" w:color="C8ECFA" w:themeColor="accent3" w:themeTint="66"/>
      </w:tblBorders>
    </w:tblPr>
    <w:tblStylePr w:type="firstRow">
      <w:rPr>
        <w:b/>
        <w:bCs/>
      </w:rPr>
      <w:tblPr/>
      <w:tcPr>
        <w:tcBorders>
          <w:bottom w:val="single" w:sz="12" w:space="0" w:color="ADE3F8" w:themeColor="accent3" w:themeTint="99"/>
        </w:tcBorders>
      </w:tcPr>
    </w:tblStylePr>
    <w:tblStylePr w:type="lastRow">
      <w:rPr>
        <w:b/>
        <w:bCs/>
      </w:rPr>
      <w:tblPr/>
      <w:tcPr>
        <w:tcBorders>
          <w:top w:val="double" w:sz="2" w:space="0" w:color="ADE3F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A5496"/>
    <w:pPr>
      <w:spacing w:before="0" w:after="0"/>
    </w:pPr>
    <w:rPr>
      <w:color w:val="auto"/>
    </w:rPr>
    <w:tblPr>
      <w:tblStyleRowBandSize w:val="1"/>
      <w:tblStyleColBandSize w:val="1"/>
      <w:tblBorders>
        <w:top w:val="single" w:sz="4" w:space="0" w:color="D6DADF" w:themeColor="accent4" w:themeTint="66"/>
        <w:left w:val="single" w:sz="4" w:space="0" w:color="D6DADF" w:themeColor="accent4" w:themeTint="66"/>
        <w:bottom w:val="single" w:sz="4" w:space="0" w:color="D6DADF" w:themeColor="accent4" w:themeTint="66"/>
        <w:right w:val="single" w:sz="4" w:space="0" w:color="D6DADF" w:themeColor="accent4" w:themeTint="66"/>
        <w:insideH w:val="single" w:sz="4" w:space="0" w:color="D6DADF" w:themeColor="accent4" w:themeTint="66"/>
        <w:insideV w:val="single" w:sz="4" w:space="0" w:color="D6DADF" w:themeColor="accent4" w:themeTint="66"/>
      </w:tblBorders>
    </w:tblPr>
    <w:tblStylePr w:type="firstRow">
      <w:rPr>
        <w:b/>
        <w:bCs/>
      </w:rPr>
      <w:tblPr/>
      <w:tcPr>
        <w:tcBorders>
          <w:bottom w:val="single" w:sz="12" w:space="0" w:color="C2C7CF" w:themeColor="accent4" w:themeTint="99"/>
        </w:tcBorders>
      </w:tcPr>
    </w:tblStylePr>
    <w:tblStylePr w:type="lastRow">
      <w:rPr>
        <w:b/>
        <w:bCs/>
      </w:rPr>
      <w:tblPr/>
      <w:tcPr>
        <w:tcBorders>
          <w:top w:val="double" w:sz="2" w:space="0" w:color="C2C7C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A5496"/>
    <w:pPr>
      <w:spacing w:before="0" w:after="0"/>
    </w:pPr>
    <w:rPr>
      <w:color w:val="auto"/>
    </w:rPr>
    <w:tblPr>
      <w:tblStyleRowBandSize w:val="1"/>
      <w:tblStyleColBandSize w:val="1"/>
      <w:tblBorders>
        <w:top w:val="single" w:sz="4" w:space="0" w:color="E5EDD2" w:themeColor="accent5" w:themeTint="66"/>
        <w:left w:val="single" w:sz="4" w:space="0" w:color="E5EDD2" w:themeColor="accent5" w:themeTint="66"/>
        <w:bottom w:val="single" w:sz="4" w:space="0" w:color="E5EDD2" w:themeColor="accent5" w:themeTint="66"/>
        <w:right w:val="single" w:sz="4" w:space="0" w:color="E5EDD2" w:themeColor="accent5" w:themeTint="66"/>
        <w:insideH w:val="single" w:sz="4" w:space="0" w:color="E5EDD2" w:themeColor="accent5" w:themeTint="66"/>
        <w:insideV w:val="single" w:sz="4" w:space="0" w:color="E5EDD2" w:themeColor="accent5" w:themeTint="66"/>
      </w:tblBorders>
    </w:tblPr>
    <w:tblStylePr w:type="firstRow">
      <w:rPr>
        <w:b/>
        <w:bCs/>
      </w:rPr>
      <w:tblPr/>
      <w:tcPr>
        <w:tcBorders>
          <w:bottom w:val="single" w:sz="12" w:space="0" w:color="D9E5BB" w:themeColor="accent5" w:themeTint="99"/>
        </w:tcBorders>
      </w:tcPr>
    </w:tblStylePr>
    <w:tblStylePr w:type="lastRow">
      <w:rPr>
        <w:b/>
        <w:bCs/>
      </w:rPr>
      <w:tblPr/>
      <w:tcPr>
        <w:tcBorders>
          <w:top w:val="double" w:sz="2" w:space="0" w:color="D9E5B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A5496"/>
    <w:pPr>
      <w:spacing w:before="0" w:after="0"/>
    </w:pPr>
    <w:rPr>
      <w:color w:val="auto"/>
    </w:rPr>
    <w:tblPr>
      <w:tblStyleRowBandSize w:val="1"/>
      <w:tblStyleColBandSize w:val="1"/>
      <w:tblBorders>
        <w:top w:val="single" w:sz="4" w:space="0" w:color="C5E6D5" w:themeColor="accent6" w:themeTint="66"/>
        <w:left w:val="single" w:sz="4" w:space="0" w:color="C5E6D5" w:themeColor="accent6" w:themeTint="66"/>
        <w:bottom w:val="single" w:sz="4" w:space="0" w:color="C5E6D5" w:themeColor="accent6" w:themeTint="66"/>
        <w:right w:val="single" w:sz="4" w:space="0" w:color="C5E6D5" w:themeColor="accent6" w:themeTint="66"/>
        <w:insideH w:val="single" w:sz="4" w:space="0" w:color="C5E6D5" w:themeColor="accent6" w:themeTint="66"/>
        <w:insideV w:val="single" w:sz="4" w:space="0" w:color="C5E6D5" w:themeColor="accent6" w:themeTint="66"/>
      </w:tblBorders>
    </w:tblPr>
    <w:tblStylePr w:type="firstRow">
      <w:rPr>
        <w:b/>
        <w:bCs/>
      </w:rPr>
      <w:tblPr/>
      <w:tcPr>
        <w:tcBorders>
          <w:bottom w:val="single" w:sz="12" w:space="0" w:color="A8D9C0" w:themeColor="accent6" w:themeTint="99"/>
        </w:tcBorders>
      </w:tcPr>
    </w:tblStylePr>
    <w:tblStylePr w:type="lastRow">
      <w:rPr>
        <w:b/>
        <w:bCs/>
      </w:rPr>
      <w:tblPr/>
      <w:tcPr>
        <w:tcBorders>
          <w:top w:val="double" w:sz="2" w:space="0" w:color="A8D9C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A5496"/>
    <w:pPr>
      <w:spacing w:before="0" w:after="0"/>
    </w:pPr>
    <w:rPr>
      <w:color w:val="aut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A5496"/>
    <w:pPr>
      <w:spacing w:before="0" w:after="0"/>
    </w:pPr>
    <w:rPr>
      <w:color w:val="auto"/>
    </w:rPr>
    <w:tblPr>
      <w:tblStyleRowBandSize w:val="1"/>
      <w:tblStyleColBandSize w:val="1"/>
      <w:tblBorders>
        <w:top w:val="single" w:sz="2" w:space="0" w:color="1C68D9" w:themeColor="accent1" w:themeTint="99"/>
        <w:bottom w:val="single" w:sz="2" w:space="0" w:color="1C68D9" w:themeColor="accent1" w:themeTint="99"/>
        <w:insideH w:val="single" w:sz="2" w:space="0" w:color="1C68D9" w:themeColor="accent1" w:themeTint="99"/>
        <w:insideV w:val="single" w:sz="2" w:space="0" w:color="1C68D9" w:themeColor="accent1" w:themeTint="99"/>
      </w:tblBorders>
    </w:tblPr>
    <w:tblStylePr w:type="firstRow">
      <w:rPr>
        <w:b/>
        <w:bCs/>
      </w:rPr>
      <w:tblPr/>
      <w:tcPr>
        <w:tcBorders>
          <w:top w:val="nil"/>
          <w:bottom w:val="single" w:sz="12" w:space="0" w:color="1C68D9" w:themeColor="accent1" w:themeTint="99"/>
          <w:insideH w:val="nil"/>
          <w:insideV w:val="nil"/>
        </w:tcBorders>
        <w:shd w:val="clear" w:color="auto" w:fill="FFFFFF" w:themeFill="background1"/>
      </w:tcPr>
    </w:tblStylePr>
    <w:tblStylePr w:type="lastRow">
      <w:rPr>
        <w:b/>
        <w:bCs/>
      </w:rPr>
      <w:tblPr/>
      <w:tcPr>
        <w:tcBorders>
          <w:top w:val="double" w:sz="2" w:space="0" w:color="1C68D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 w:type="table" w:styleId="GridTable2-Accent2">
    <w:name w:val="Grid Table 2 Accent 2"/>
    <w:basedOn w:val="TableNormal"/>
    <w:uiPriority w:val="47"/>
    <w:rsid w:val="002A5496"/>
    <w:pPr>
      <w:spacing w:before="0" w:after="0"/>
    </w:pPr>
    <w:rPr>
      <w:color w:val="auto"/>
    </w:rPr>
    <w:tblPr>
      <w:tblStyleRowBandSize w:val="1"/>
      <w:tblStyleColBandSize w:val="1"/>
      <w:tblBorders>
        <w:top w:val="single" w:sz="2" w:space="0" w:color="1FF0FF" w:themeColor="accent2" w:themeTint="99"/>
        <w:bottom w:val="single" w:sz="2" w:space="0" w:color="1FF0FF" w:themeColor="accent2" w:themeTint="99"/>
        <w:insideH w:val="single" w:sz="2" w:space="0" w:color="1FF0FF" w:themeColor="accent2" w:themeTint="99"/>
        <w:insideV w:val="single" w:sz="2" w:space="0" w:color="1FF0FF" w:themeColor="accent2" w:themeTint="99"/>
      </w:tblBorders>
    </w:tblPr>
    <w:tblStylePr w:type="firstRow">
      <w:rPr>
        <w:b/>
        <w:bCs/>
      </w:rPr>
      <w:tblPr/>
      <w:tcPr>
        <w:tcBorders>
          <w:top w:val="nil"/>
          <w:bottom w:val="single" w:sz="12" w:space="0" w:color="1FF0FF" w:themeColor="accent2" w:themeTint="99"/>
          <w:insideH w:val="nil"/>
          <w:insideV w:val="nil"/>
        </w:tcBorders>
        <w:shd w:val="clear" w:color="auto" w:fill="FFFFFF" w:themeFill="background1"/>
      </w:tcPr>
    </w:tblStylePr>
    <w:tblStylePr w:type="lastRow">
      <w:rPr>
        <w:b/>
        <w:bCs/>
      </w:rPr>
      <w:tblPr/>
      <w:tcPr>
        <w:tcBorders>
          <w:top w:val="double" w:sz="2" w:space="0" w:color="1FF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FAFF" w:themeFill="accent2" w:themeFillTint="33"/>
      </w:tcPr>
    </w:tblStylePr>
    <w:tblStylePr w:type="band1Horz">
      <w:tblPr/>
      <w:tcPr>
        <w:shd w:val="clear" w:color="auto" w:fill="B4FAFF" w:themeFill="accent2" w:themeFillTint="33"/>
      </w:tcPr>
    </w:tblStylePr>
  </w:style>
  <w:style w:type="table" w:styleId="GridTable2-Accent3">
    <w:name w:val="Grid Table 2 Accent 3"/>
    <w:basedOn w:val="TableNormal"/>
    <w:uiPriority w:val="47"/>
    <w:rsid w:val="002A5496"/>
    <w:pPr>
      <w:spacing w:before="0" w:after="0"/>
    </w:pPr>
    <w:rPr>
      <w:color w:val="auto"/>
    </w:rPr>
    <w:tblPr>
      <w:tblStyleRowBandSize w:val="1"/>
      <w:tblStyleColBandSize w:val="1"/>
      <w:tblBorders>
        <w:top w:val="single" w:sz="2" w:space="0" w:color="ADE3F8" w:themeColor="accent3" w:themeTint="99"/>
        <w:bottom w:val="single" w:sz="2" w:space="0" w:color="ADE3F8" w:themeColor="accent3" w:themeTint="99"/>
        <w:insideH w:val="single" w:sz="2" w:space="0" w:color="ADE3F8" w:themeColor="accent3" w:themeTint="99"/>
        <w:insideV w:val="single" w:sz="2" w:space="0" w:color="ADE3F8" w:themeColor="accent3" w:themeTint="99"/>
      </w:tblBorders>
    </w:tblPr>
    <w:tblStylePr w:type="firstRow">
      <w:rPr>
        <w:b/>
        <w:bCs/>
      </w:rPr>
      <w:tblPr/>
      <w:tcPr>
        <w:tcBorders>
          <w:top w:val="nil"/>
          <w:bottom w:val="single" w:sz="12" w:space="0" w:color="ADE3F8" w:themeColor="accent3" w:themeTint="99"/>
          <w:insideH w:val="nil"/>
          <w:insideV w:val="nil"/>
        </w:tcBorders>
        <w:shd w:val="clear" w:color="auto" w:fill="FFFFFF" w:themeFill="background1"/>
      </w:tcPr>
    </w:tblStylePr>
    <w:tblStylePr w:type="lastRow">
      <w:rPr>
        <w:b/>
        <w:bCs/>
      </w:rPr>
      <w:tblPr/>
      <w:tcPr>
        <w:tcBorders>
          <w:top w:val="double" w:sz="2" w:space="0" w:color="ADE3F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5FC" w:themeFill="accent3" w:themeFillTint="33"/>
      </w:tcPr>
    </w:tblStylePr>
    <w:tblStylePr w:type="band1Horz">
      <w:tblPr/>
      <w:tcPr>
        <w:shd w:val="clear" w:color="auto" w:fill="E3F5FC" w:themeFill="accent3" w:themeFillTint="33"/>
      </w:tcPr>
    </w:tblStylePr>
  </w:style>
  <w:style w:type="table" w:styleId="GridTable2-Accent4">
    <w:name w:val="Grid Table 2 Accent 4"/>
    <w:basedOn w:val="TableNormal"/>
    <w:uiPriority w:val="47"/>
    <w:rsid w:val="002A5496"/>
    <w:pPr>
      <w:spacing w:before="0" w:after="0"/>
    </w:pPr>
    <w:rPr>
      <w:color w:val="auto"/>
    </w:rPr>
    <w:tblPr>
      <w:tblStyleRowBandSize w:val="1"/>
      <w:tblStyleColBandSize w:val="1"/>
      <w:tblBorders>
        <w:top w:val="single" w:sz="2" w:space="0" w:color="C2C7CF" w:themeColor="accent4" w:themeTint="99"/>
        <w:bottom w:val="single" w:sz="2" w:space="0" w:color="C2C7CF" w:themeColor="accent4" w:themeTint="99"/>
        <w:insideH w:val="single" w:sz="2" w:space="0" w:color="C2C7CF" w:themeColor="accent4" w:themeTint="99"/>
        <w:insideV w:val="single" w:sz="2" w:space="0" w:color="C2C7CF" w:themeColor="accent4" w:themeTint="99"/>
      </w:tblBorders>
    </w:tblPr>
    <w:tblStylePr w:type="firstRow">
      <w:rPr>
        <w:b/>
        <w:bCs/>
      </w:rPr>
      <w:tblPr/>
      <w:tcPr>
        <w:tcBorders>
          <w:top w:val="nil"/>
          <w:bottom w:val="single" w:sz="12" w:space="0" w:color="C2C7CF" w:themeColor="accent4" w:themeTint="99"/>
          <w:insideH w:val="nil"/>
          <w:insideV w:val="nil"/>
        </w:tcBorders>
        <w:shd w:val="clear" w:color="auto" w:fill="FFFFFF" w:themeFill="background1"/>
      </w:tcPr>
    </w:tblStylePr>
    <w:tblStylePr w:type="lastRow">
      <w:rPr>
        <w:b/>
        <w:bCs/>
      </w:rPr>
      <w:tblPr/>
      <w:tcPr>
        <w:tcBorders>
          <w:top w:val="double" w:sz="2" w:space="0" w:color="C2C7C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CEF" w:themeFill="accent4" w:themeFillTint="33"/>
      </w:tcPr>
    </w:tblStylePr>
    <w:tblStylePr w:type="band1Horz">
      <w:tblPr/>
      <w:tcPr>
        <w:shd w:val="clear" w:color="auto" w:fill="EAECEF" w:themeFill="accent4" w:themeFillTint="33"/>
      </w:tcPr>
    </w:tblStylePr>
  </w:style>
  <w:style w:type="table" w:styleId="GridTable2-Accent5">
    <w:name w:val="Grid Table 2 Accent 5"/>
    <w:basedOn w:val="TableNormal"/>
    <w:uiPriority w:val="47"/>
    <w:rsid w:val="002A5496"/>
    <w:pPr>
      <w:spacing w:before="0" w:after="0"/>
    </w:pPr>
    <w:rPr>
      <w:color w:val="auto"/>
    </w:rPr>
    <w:tblPr>
      <w:tblStyleRowBandSize w:val="1"/>
      <w:tblStyleColBandSize w:val="1"/>
      <w:tblBorders>
        <w:top w:val="single" w:sz="2" w:space="0" w:color="D9E5BB" w:themeColor="accent5" w:themeTint="99"/>
        <w:bottom w:val="single" w:sz="2" w:space="0" w:color="D9E5BB" w:themeColor="accent5" w:themeTint="99"/>
        <w:insideH w:val="single" w:sz="2" w:space="0" w:color="D9E5BB" w:themeColor="accent5" w:themeTint="99"/>
        <w:insideV w:val="single" w:sz="2" w:space="0" w:color="D9E5BB" w:themeColor="accent5" w:themeTint="99"/>
      </w:tblBorders>
    </w:tblPr>
    <w:tblStylePr w:type="firstRow">
      <w:rPr>
        <w:b/>
        <w:bCs/>
      </w:rPr>
      <w:tblPr/>
      <w:tcPr>
        <w:tcBorders>
          <w:top w:val="nil"/>
          <w:bottom w:val="single" w:sz="12" w:space="0" w:color="D9E5BB" w:themeColor="accent5" w:themeTint="99"/>
          <w:insideH w:val="nil"/>
          <w:insideV w:val="nil"/>
        </w:tcBorders>
        <w:shd w:val="clear" w:color="auto" w:fill="FFFFFF" w:themeFill="background1"/>
      </w:tcPr>
    </w:tblStylePr>
    <w:tblStylePr w:type="lastRow">
      <w:rPr>
        <w:b/>
        <w:bCs/>
      </w:rPr>
      <w:tblPr/>
      <w:tcPr>
        <w:tcBorders>
          <w:top w:val="double" w:sz="2" w:space="0" w:color="D9E5B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6E8" w:themeFill="accent5" w:themeFillTint="33"/>
      </w:tcPr>
    </w:tblStylePr>
    <w:tblStylePr w:type="band1Horz">
      <w:tblPr/>
      <w:tcPr>
        <w:shd w:val="clear" w:color="auto" w:fill="F2F6E8" w:themeFill="accent5" w:themeFillTint="33"/>
      </w:tcPr>
    </w:tblStylePr>
  </w:style>
  <w:style w:type="table" w:styleId="GridTable2-Accent6">
    <w:name w:val="Grid Table 2 Accent 6"/>
    <w:basedOn w:val="TableNormal"/>
    <w:uiPriority w:val="47"/>
    <w:rsid w:val="002A5496"/>
    <w:pPr>
      <w:spacing w:before="0" w:after="0"/>
    </w:pPr>
    <w:rPr>
      <w:color w:val="auto"/>
    </w:rPr>
    <w:tblPr>
      <w:tblStyleRowBandSize w:val="1"/>
      <w:tblStyleColBandSize w:val="1"/>
      <w:tblBorders>
        <w:top w:val="single" w:sz="2" w:space="0" w:color="A8D9C0" w:themeColor="accent6" w:themeTint="99"/>
        <w:bottom w:val="single" w:sz="2" w:space="0" w:color="A8D9C0" w:themeColor="accent6" w:themeTint="99"/>
        <w:insideH w:val="single" w:sz="2" w:space="0" w:color="A8D9C0" w:themeColor="accent6" w:themeTint="99"/>
        <w:insideV w:val="single" w:sz="2" w:space="0" w:color="A8D9C0" w:themeColor="accent6" w:themeTint="99"/>
      </w:tblBorders>
    </w:tblPr>
    <w:tblStylePr w:type="firstRow">
      <w:rPr>
        <w:b/>
        <w:bCs/>
      </w:rPr>
      <w:tblPr/>
      <w:tcPr>
        <w:tcBorders>
          <w:top w:val="nil"/>
          <w:bottom w:val="single" w:sz="12" w:space="0" w:color="A8D9C0" w:themeColor="accent6" w:themeTint="99"/>
          <w:insideH w:val="nil"/>
          <w:insideV w:val="nil"/>
        </w:tcBorders>
        <w:shd w:val="clear" w:color="auto" w:fill="FFFFFF" w:themeFill="background1"/>
      </w:tcPr>
    </w:tblStylePr>
    <w:tblStylePr w:type="lastRow">
      <w:rPr>
        <w:b/>
        <w:bCs/>
      </w:rPr>
      <w:tblPr/>
      <w:tcPr>
        <w:tcBorders>
          <w:top w:val="double" w:sz="2" w:space="0" w:color="A8D9C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2EA" w:themeFill="accent6" w:themeFillTint="33"/>
      </w:tcPr>
    </w:tblStylePr>
    <w:tblStylePr w:type="band1Horz">
      <w:tblPr/>
      <w:tcPr>
        <w:shd w:val="clear" w:color="auto" w:fill="E2F2EA" w:themeFill="accent6" w:themeFillTint="33"/>
      </w:tcPr>
    </w:tblStylePr>
  </w:style>
  <w:style w:type="table" w:styleId="GridTable3">
    <w:name w:val="Grid Table 3"/>
    <w:basedOn w:val="TableNormal"/>
    <w:uiPriority w:val="48"/>
    <w:rsid w:val="002A5496"/>
    <w:pPr>
      <w:spacing w:before="0" w:after="0"/>
    </w:pPr>
    <w:rPr>
      <w:color w:val="aut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A5496"/>
    <w:pPr>
      <w:spacing w:before="0" w:after="0"/>
    </w:pPr>
    <w:rPr>
      <w:color w:val="auto"/>
    </w:rPr>
    <w:tblPr>
      <w:tblStyleRowBandSize w:val="1"/>
      <w:tblStyleColBandSize w:val="1"/>
      <w:tblBorders>
        <w:top w:val="single" w:sz="4" w:space="0" w:color="1C68D9" w:themeColor="accent1" w:themeTint="99"/>
        <w:left w:val="single" w:sz="4" w:space="0" w:color="1C68D9" w:themeColor="accent1" w:themeTint="99"/>
        <w:bottom w:val="single" w:sz="4" w:space="0" w:color="1C68D9" w:themeColor="accent1" w:themeTint="99"/>
        <w:right w:val="single" w:sz="4" w:space="0" w:color="1C68D9" w:themeColor="accent1" w:themeTint="99"/>
        <w:insideH w:val="single" w:sz="4" w:space="0" w:color="1C68D9" w:themeColor="accent1" w:themeTint="99"/>
        <w:insideV w:val="single" w:sz="4" w:space="0" w:color="1C68D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CCF5" w:themeFill="accent1" w:themeFillTint="33"/>
      </w:tcPr>
    </w:tblStylePr>
    <w:tblStylePr w:type="band1Horz">
      <w:tblPr/>
      <w:tcPr>
        <w:shd w:val="clear" w:color="auto" w:fill="B1CCF5" w:themeFill="accent1" w:themeFillTint="33"/>
      </w:tcPr>
    </w:tblStylePr>
    <w:tblStylePr w:type="neCell">
      <w:tblPr/>
      <w:tcPr>
        <w:tcBorders>
          <w:bottom w:val="single" w:sz="4" w:space="0" w:color="1C68D9" w:themeColor="accent1" w:themeTint="99"/>
        </w:tcBorders>
      </w:tcPr>
    </w:tblStylePr>
    <w:tblStylePr w:type="nwCell">
      <w:tblPr/>
      <w:tcPr>
        <w:tcBorders>
          <w:bottom w:val="single" w:sz="4" w:space="0" w:color="1C68D9" w:themeColor="accent1" w:themeTint="99"/>
        </w:tcBorders>
      </w:tcPr>
    </w:tblStylePr>
    <w:tblStylePr w:type="seCell">
      <w:tblPr/>
      <w:tcPr>
        <w:tcBorders>
          <w:top w:val="single" w:sz="4" w:space="0" w:color="1C68D9" w:themeColor="accent1" w:themeTint="99"/>
        </w:tcBorders>
      </w:tcPr>
    </w:tblStylePr>
    <w:tblStylePr w:type="swCell">
      <w:tblPr/>
      <w:tcPr>
        <w:tcBorders>
          <w:top w:val="single" w:sz="4" w:space="0" w:color="1C68D9" w:themeColor="accent1" w:themeTint="99"/>
        </w:tcBorders>
      </w:tcPr>
    </w:tblStylePr>
  </w:style>
  <w:style w:type="table" w:styleId="GridTable3-Accent2">
    <w:name w:val="Grid Table 3 Accent 2"/>
    <w:basedOn w:val="TableNormal"/>
    <w:uiPriority w:val="48"/>
    <w:rsid w:val="002A5496"/>
    <w:pPr>
      <w:spacing w:before="0" w:after="0"/>
    </w:pPr>
    <w:rPr>
      <w:color w:val="auto"/>
    </w:rPr>
    <w:tblPr>
      <w:tblStyleRowBandSize w:val="1"/>
      <w:tblStyleColBandSize w:val="1"/>
      <w:tblBorders>
        <w:top w:val="single" w:sz="4" w:space="0" w:color="1FF0FF" w:themeColor="accent2" w:themeTint="99"/>
        <w:left w:val="single" w:sz="4" w:space="0" w:color="1FF0FF" w:themeColor="accent2" w:themeTint="99"/>
        <w:bottom w:val="single" w:sz="4" w:space="0" w:color="1FF0FF" w:themeColor="accent2" w:themeTint="99"/>
        <w:right w:val="single" w:sz="4" w:space="0" w:color="1FF0FF" w:themeColor="accent2" w:themeTint="99"/>
        <w:insideH w:val="single" w:sz="4" w:space="0" w:color="1FF0FF" w:themeColor="accent2" w:themeTint="99"/>
        <w:insideV w:val="single" w:sz="4" w:space="0" w:color="1FF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FAFF" w:themeFill="accent2" w:themeFillTint="33"/>
      </w:tcPr>
    </w:tblStylePr>
    <w:tblStylePr w:type="band1Horz">
      <w:tblPr/>
      <w:tcPr>
        <w:shd w:val="clear" w:color="auto" w:fill="B4FAFF" w:themeFill="accent2" w:themeFillTint="33"/>
      </w:tcPr>
    </w:tblStylePr>
    <w:tblStylePr w:type="neCell">
      <w:tblPr/>
      <w:tcPr>
        <w:tcBorders>
          <w:bottom w:val="single" w:sz="4" w:space="0" w:color="1FF0FF" w:themeColor="accent2" w:themeTint="99"/>
        </w:tcBorders>
      </w:tcPr>
    </w:tblStylePr>
    <w:tblStylePr w:type="nwCell">
      <w:tblPr/>
      <w:tcPr>
        <w:tcBorders>
          <w:bottom w:val="single" w:sz="4" w:space="0" w:color="1FF0FF" w:themeColor="accent2" w:themeTint="99"/>
        </w:tcBorders>
      </w:tcPr>
    </w:tblStylePr>
    <w:tblStylePr w:type="seCell">
      <w:tblPr/>
      <w:tcPr>
        <w:tcBorders>
          <w:top w:val="single" w:sz="4" w:space="0" w:color="1FF0FF" w:themeColor="accent2" w:themeTint="99"/>
        </w:tcBorders>
      </w:tcPr>
    </w:tblStylePr>
    <w:tblStylePr w:type="swCell">
      <w:tblPr/>
      <w:tcPr>
        <w:tcBorders>
          <w:top w:val="single" w:sz="4" w:space="0" w:color="1FF0FF" w:themeColor="accent2" w:themeTint="99"/>
        </w:tcBorders>
      </w:tcPr>
    </w:tblStylePr>
  </w:style>
  <w:style w:type="table" w:styleId="GridTable3-Accent3">
    <w:name w:val="Grid Table 3 Accent 3"/>
    <w:basedOn w:val="TableNormal"/>
    <w:uiPriority w:val="48"/>
    <w:rsid w:val="002A5496"/>
    <w:pPr>
      <w:spacing w:before="0" w:after="0"/>
    </w:pPr>
    <w:rPr>
      <w:color w:val="auto"/>
    </w:rPr>
    <w:tblPr>
      <w:tblStyleRowBandSize w:val="1"/>
      <w:tblStyleColBandSize w:val="1"/>
      <w:tblBorders>
        <w:top w:val="single" w:sz="4" w:space="0" w:color="ADE3F8" w:themeColor="accent3" w:themeTint="99"/>
        <w:left w:val="single" w:sz="4" w:space="0" w:color="ADE3F8" w:themeColor="accent3" w:themeTint="99"/>
        <w:bottom w:val="single" w:sz="4" w:space="0" w:color="ADE3F8" w:themeColor="accent3" w:themeTint="99"/>
        <w:right w:val="single" w:sz="4" w:space="0" w:color="ADE3F8" w:themeColor="accent3" w:themeTint="99"/>
        <w:insideH w:val="single" w:sz="4" w:space="0" w:color="ADE3F8" w:themeColor="accent3" w:themeTint="99"/>
        <w:insideV w:val="single" w:sz="4" w:space="0" w:color="ADE3F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5FC" w:themeFill="accent3" w:themeFillTint="33"/>
      </w:tcPr>
    </w:tblStylePr>
    <w:tblStylePr w:type="band1Horz">
      <w:tblPr/>
      <w:tcPr>
        <w:shd w:val="clear" w:color="auto" w:fill="E3F5FC" w:themeFill="accent3" w:themeFillTint="33"/>
      </w:tcPr>
    </w:tblStylePr>
    <w:tblStylePr w:type="neCell">
      <w:tblPr/>
      <w:tcPr>
        <w:tcBorders>
          <w:bottom w:val="single" w:sz="4" w:space="0" w:color="ADE3F8" w:themeColor="accent3" w:themeTint="99"/>
        </w:tcBorders>
      </w:tcPr>
    </w:tblStylePr>
    <w:tblStylePr w:type="nwCell">
      <w:tblPr/>
      <w:tcPr>
        <w:tcBorders>
          <w:bottom w:val="single" w:sz="4" w:space="0" w:color="ADE3F8" w:themeColor="accent3" w:themeTint="99"/>
        </w:tcBorders>
      </w:tcPr>
    </w:tblStylePr>
    <w:tblStylePr w:type="seCell">
      <w:tblPr/>
      <w:tcPr>
        <w:tcBorders>
          <w:top w:val="single" w:sz="4" w:space="0" w:color="ADE3F8" w:themeColor="accent3" w:themeTint="99"/>
        </w:tcBorders>
      </w:tcPr>
    </w:tblStylePr>
    <w:tblStylePr w:type="swCell">
      <w:tblPr/>
      <w:tcPr>
        <w:tcBorders>
          <w:top w:val="single" w:sz="4" w:space="0" w:color="ADE3F8" w:themeColor="accent3" w:themeTint="99"/>
        </w:tcBorders>
      </w:tcPr>
    </w:tblStylePr>
  </w:style>
  <w:style w:type="table" w:styleId="GridTable3-Accent4">
    <w:name w:val="Grid Table 3 Accent 4"/>
    <w:basedOn w:val="TableNormal"/>
    <w:uiPriority w:val="48"/>
    <w:rsid w:val="002A5496"/>
    <w:pPr>
      <w:spacing w:before="0" w:after="0"/>
    </w:pPr>
    <w:rPr>
      <w:color w:val="auto"/>
    </w:rPr>
    <w:tblPr>
      <w:tblStyleRowBandSize w:val="1"/>
      <w:tblStyleColBandSize w:val="1"/>
      <w:tblBorders>
        <w:top w:val="single" w:sz="4" w:space="0" w:color="C2C7CF" w:themeColor="accent4" w:themeTint="99"/>
        <w:left w:val="single" w:sz="4" w:space="0" w:color="C2C7CF" w:themeColor="accent4" w:themeTint="99"/>
        <w:bottom w:val="single" w:sz="4" w:space="0" w:color="C2C7CF" w:themeColor="accent4" w:themeTint="99"/>
        <w:right w:val="single" w:sz="4" w:space="0" w:color="C2C7CF" w:themeColor="accent4" w:themeTint="99"/>
        <w:insideH w:val="single" w:sz="4" w:space="0" w:color="C2C7CF" w:themeColor="accent4" w:themeTint="99"/>
        <w:insideV w:val="single" w:sz="4" w:space="0" w:color="C2C7C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CEF" w:themeFill="accent4" w:themeFillTint="33"/>
      </w:tcPr>
    </w:tblStylePr>
    <w:tblStylePr w:type="band1Horz">
      <w:tblPr/>
      <w:tcPr>
        <w:shd w:val="clear" w:color="auto" w:fill="EAECEF" w:themeFill="accent4" w:themeFillTint="33"/>
      </w:tcPr>
    </w:tblStylePr>
    <w:tblStylePr w:type="neCell">
      <w:tblPr/>
      <w:tcPr>
        <w:tcBorders>
          <w:bottom w:val="single" w:sz="4" w:space="0" w:color="C2C7CF" w:themeColor="accent4" w:themeTint="99"/>
        </w:tcBorders>
      </w:tcPr>
    </w:tblStylePr>
    <w:tblStylePr w:type="nwCell">
      <w:tblPr/>
      <w:tcPr>
        <w:tcBorders>
          <w:bottom w:val="single" w:sz="4" w:space="0" w:color="C2C7CF" w:themeColor="accent4" w:themeTint="99"/>
        </w:tcBorders>
      </w:tcPr>
    </w:tblStylePr>
    <w:tblStylePr w:type="seCell">
      <w:tblPr/>
      <w:tcPr>
        <w:tcBorders>
          <w:top w:val="single" w:sz="4" w:space="0" w:color="C2C7CF" w:themeColor="accent4" w:themeTint="99"/>
        </w:tcBorders>
      </w:tcPr>
    </w:tblStylePr>
    <w:tblStylePr w:type="swCell">
      <w:tblPr/>
      <w:tcPr>
        <w:tcBorders>
          <w:top w:val="single" w:sz="4" w:space="0" w:color="C2C7CF" w:themeColor="accent4" w:themeTint="99"/>
        </w:tcBorders>
      </w:tcPr>
    </w:tblStylePr>
  </w:style>
  <w:style w:type="table" w:styleId="GridTable3-Accent5">
    <w:name w:val="Grid Table 3 Accent 5"/>
    <w:basedOn w:val="TableNormal"/>
    <w:uiPriority w:val="48"/>
    <w:rsid w:val="002A5496"/>
    <w:pPr>
      <w:spacing w:before="0" w:after="0"/>
    </w:pPr>
    <w:rPr>
      <w:color w:val="auto"/>
    </w:rPr>
    <w:tblPr>
      <w:tblStyleRowBandSize w:val="1"/>
      <w:tblStyleColBandSize w:val="1"/>
      <w:tblBorders>
        <w:top w:val="single" w:sz="4" w:space="0" w:color="D9E5BB" w:themeColor="accent5" w:themeTint="99"/>
        <w:left w:val="single" w:sz="4" w:space="0" w:color="D9E5BB" w:themeColor="accent5" w:themeTint="99"/>
        <w:bottom w:val="single" w:sz="4" w:space="0" w:color="D9E5BB" w:themeColor="accent5" w:themeTint="99"/>
        <w:right w:val="single" w:sz="4" w:space="0" w:color="D9E5BB" w:themeColor="accent5" w:themeTint="99"/>
        <w:insideH w:val="single" w:sz="4" w:space="0" w:color="D9E5BB" w:themeColor="accent5" w:themeTint="99"/>
        <w:insideV w:val="single" w:sz="4" w:space="0" w:color="D9E5B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6E8" w:themeFill="accent5" w:themeFillTint="33"/>
      </w:tcPr>
    </w:tblStylePr>
    <w:tblStylePr w:type="band1Horz">
      <w:tblPr/>
      <w:tcPr>
        <w:shd w:val="clear" w:color="auto" w:fill="F2F6E8" w:themeFill="accent5" w:themeFillTint="33"/>
      </w:tcPr>
    </w:tblStylePr>
    <w:tblStylePr w:type="neCell">
      <w:tblPr/>
      <w:tcPr>
        <w:tcBorders>
          <w:bottom w:val="single" w:sz="4" w:space="0" w:color="D9E5BB" w:themeColor="accent5" w:themeTint="99"/>
        </w:tcBorders>
      </w:tcPr>
    </w:tblStylePr>
    <w:tblStylePr w:type="nwCell">
      <w:tblPr/>
      <w:tcPr>
        <w:tcBorders>
          <w:bottom w:val="single" w:sz="4" w:space="0" w:color="D9E5BB" w:themeColor="accent5" w:themeTint="99"/>
        </w:tcBorders>
      </w:tcPr>
    </w:tblStylePr>
    <w:tblStylePr w:type="seCell">
      <w:tblPr/>
      <w:tcPr>
        <w:tcBorders>
          <w:top w:val="single" w:sz="4" w:space="0" w:color="D9E5BB" w:themeColor="accent5" w:themeTint="99"/>
        </w:tcBorders>
      </w:tcPr>
    </w:tblStylePr>
    <w:tblStylePr w:type="swCell">
      <w:tblPr/>
      <w:tcPr>
        <w:tcBorders>
          <w:top w:val="single" w:sz="4" w:space="0" w:color="D9E5BB" w:themeColor="accent5" w:themeTint="99"/>
        </w:tcBorders>
      </w:tcPr>
    </w:tblStylePr>
  </w:style>
  <w:style w:type="table" w:styleId="GridTable3-Accent6">
    <w:name w:val="Grid Table 3 Accent 6"/>
    <w:basedOn w:val="TableNormal"/>
    <w:uiPriority w:val="48"/>
    <w:rsid w:val="002A5496"/>
    <w:pPr>
      <w:spacing w:before="0" w:after="0"/>
    </w:pPr>
    <w:rPr>
      <w:color w:val="auto"/>
    </w:rPr>
    <w:tblPr>
      <w:tblStyleRowBandSize w:val="1"/>
      <w:tblStyleColBandSize w:val="1"/>
      <w:tblBorders>
        <w:top w:val="single" w:sz="4" w:space="0" w:color="A8D9C0" w:themeColor="accent6" w:themeTint="99"/>
        <w:left w:val="single" w:sz="4" w:space="0" w:color="A8D9C0" w:themeColor="accent6" w:themeTint="99"/>
        <w:bottom w:val="single" w:sz="4" w:space="0" w:color="A8D9C0" w:themeColor="accent6" w:themeTint="99"/>
        <w:right w:val="single" w:sz="4" w:space="0" w:color="A8D9C0" w:themeColor="accent6" w:themeTint="99"/>
        <w:insideH w:val="single" w:sz="4" w:space="0" w:color="A8D9C0" w:themeColor="accent6" w:themeTint="99"/>
        <w:insideV w:val="single" w:sz="4" w:space="0" w:color="A8D9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2EA" w:themeFill="accent6" w:themeFillTint="33"/>
      </w:tcPr>
    </w:tblStylePr>
    <w:tblStylePr w:type="band1Horz">
      <w:tblPr/>
      <w:tcPr>
        <w:shd w:val="clear" w:color="auto" w:fill="E2F2EA" w:themeFill="accent6" w:themeFillTint="33"/>
      </w:tcPr>
    </w:tblStylePr>
    <w:tblStylePr w:type="neCell">
      <w:tblPr/>
      <w:tcPr>
        <w:tcBorders>
          <w:bottom w:val="single" w:sz="4" w:space="0" w:color="A8D9C0" w:themeColor="accent6" w:themeTint="99"/>
        </w:tcBorders>
      </w:tcPr>
    </w:tblStylePr>
    <w:tblStylePr w:type="nwCell">
      <w:tblPr/>
      <w:tcPr>
        <w:tcBorders>
          <w:bottom w:val="single" w:sz="4" w:space="0" w:color="A8D9C0" w:themeColor="accent6" w:themeTint="99"/>
        </w:tcBorders>
      </w:tcPr>
    </w:tblStylePr>
    <w:tblStylePr w:type="seCell">
      <w:tblPr/>
      <w:tcPr>
        <w:tcBorders>
          <w:top w:val="single" w:sz="4" w:space="0" w:color="A8D9C0" w:themeColor="accent6" w:themeTint="99"/>
        </w:tcBorders>
      </w:tcPr>
    </w:tblStylePr>
    <w:tblStylePr w:type="swCell">
      <w:tblPr/>
      <w:tcPr>
        <w:tcBorders>
          <w:top w:val="single" w:sz="4" w:space="0" w:color="A8D9C0" w:themeColor="accent6" w:themeTint="99"/>
        </w:tcBorders>
      </w:tcPr>
    </w:tblStylePr>
  </w:style>
  <w:style w:type="table" w:styleId="GridTable4">
    <w:name w:val="Grid Table 4"/>
    <w:basedOn w:val="TableNormal"/>
    <w:uiPriority w:val="49"/>
    <w:rsid w:val="002A5496"/>
    <w:pPr>
      <w:spacing w:before="0" w:after="0"/>
    </w:pPr>
    <w:rPr>
      <w:color w:val="aut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A5496"/>
    <w:pPr>
      <w:spacing w:before="0" w:after="0"/>
    </w:pPr>
    <w:rPr>
      <w:color w:val="auto"/>
    </w:rPr>
    <w:tblPr>
      <w:tblStyleRowBandSize w:val="1"/>
      <w:tblStyleColBandSize w:val="1"/>
      <w:tblBorders>
        <w:top w:val="single" w:sz="4" w:space="0" w:color="1C68D9" w:themeColor="accent1" w:themeTint="99"/>
        <w:left w:val="single" w:sz="4" w:space="0" w:color="1C68D9" w:themeColor="accent1" w:themeTint="99"/>
        <w:bottom w:val="single" w:sz="4" w:space="0" w:color="1C68D9" w:themeColor="accent1" w:themeTint="99"/>
        <w:right w:val="single" w:sz="4" w:space="0" w:color="1C68D9" w:themeColor="accent1" w:themeTint="99"/>
        <w:insideH w:val="single" w:sz="4" w:space="0" w:color="1C68D9" w:themeColor="accent1" w:themeTint="99"/>
        <w:insideV w:val="single" w:sz="4" w:space="0" w:color="1C68D9" w:themeColor="accent1" w:themeTint="99"/>
      </w:tblBorders>
    </w:tblPr>
    <w:tblStylePr w:type="firstRow">
      <w:rPr>
        <w:b/>
        <w:bCs/>
        <w:color w:val="FFFFFF" w:themeColor="background1"/>
      </w:rPr>
      <w:tblPr/>
      <w:tcPr>
        <w:tcBorders>
          <w:top w:val="single" w:sz="4" w:space="0" w:color="081E3E" w:themeColor="accent1"/>
          <w:left w:val="single" w:sz="4" w:space="0" w:color="081E3E" w:themeColor="accent1"/>
          <w:bottom w:val="single" w:sz="4" w:space="0" w:color="081E3E" w:themeColor="accent1"/>
          <w:right w:val="single" w:sz="4" w:space="0" w:color="081E3E" w:themeColor="accent1"/>
          <w:insideH w:val="nil"/>
          <w:insideV w:val="nil"/>
        </w:tcBorders>
        <w:shd w:val="clear" w:color="auto" w:fill="081E3E" w:themeFill="accent1"/>
      </w:tcPr>
    </w:tblStylePr>
    <w:tblStylePr w:type="lastRow">
      <w:rPr>
        <w:b/>
        <w:bCs/>
      </w:rPr>
      <w:tblPr/>
      <w:tcPr>
        <w:tcBorders>
          <w:top w:val="double" w:sz="4" w:space="0" w:color="081E3E" w:themeColor="accent1"/>
        </w:tcBorders>
      </w:tc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 w:type="table" w:styleId="GridTable4-Accent2">
    <w:name w:val="Grid Table 4 Accent 2"/>
    <w:basedOn w:val="TableNormal"/>
    <w:uiPriority w:val="49"/>
    <w:rsid w:val="002A5496"/>
    <w:pPr>
      <w:spacing w:before="0" w:after="0"/>
    </w:pPr>
    <w:rPr>
      <w:color w:val="auto"/>
    </w:rPr>
    <w:tblPr>
      <w:tblStyleRowBandSize w:val="1"/>
      <w:tblStyleColBandSize w:val="1"/>
      <w:tblBorders>
        <w:top w:val="single" w:sz="4" w:space="0" w:color="1FF0FF" w:themeColor="accent2" w:themeTint="99"/>
        <w:left w:val="single" w:sz="4" w:space="0" w:color="1FF0FF" w:themeColor="accent2" w:themeTint="99"/>
        <w:bottom w:val="single" w:sz="4" w:space="0" w:color="1FF0FF" w:themeColor="accent2" w:themeTint="99"/>
        <w:right w:val="single" w:sz="4" w:space="0" w:color="1FF0FF" w:themeColor="accent2" w:themeTint="99"/>
        <w:insideH w:val="single" w:sz="4" w:space="0" w:color="1FF0FF" w:themeColor="accent2" w:themeTint="99"/>
        <w:insideV w:val="single" w:sz="4" w:space="0" w:color="1FF0FF" w:themeColor="accent2" w:themeTint="99"/>
      </w:tblBorders>
    </w:tblPr>
    <w:tblStylePr w:type="firstRow">
      <w:rPr>
        <w:b/>
        <w:bCs/>
        <w:color w:val="FFFFFF" w:themeColor="background1"/>
      </w:rPr>
      <w:tblPr/>
      <w:tcPr>
        <w:tcBorders>
          <w:top w:val="single" w:sz="4" w:space="0" w:color="008089" w:themeColor="accent2"/>
          <w:left w:val="single" w:sz="4" w:space="0" w:color="008089" w:themeColor="accent2"/>
          <w:bottom w:val="single" w:sz="4" w:space="0" w:color="008089" w:themeColor="accent2"/>
          <w:right w:val="single" w:sz="4" w:space="0" w:color="008089" w:themeColor="accent2"/>
          <w:insideH w:val="nil"/>
          <w:insideV w:val="nil"/>
        </w:tcBorders>
        <w:shd w:val="clear" w:color="auto" w:fill="008089" w:themeFill="accent2"/>
      </w:tcPr>
    </w:tblStylePr>
    <w:tblStylePr w:type="lastRow">
      <w:rPr>
        <w:b/>
        <w:bCs/>
      </w:rPr>
      <w:tblPr/>
      <w:tcPr>
        <w:tcBorders>
          <w:top w:val="double" w:sz="4" w:space="0" w:color="008089" w:themeColor="accent2"/>
        </w:tcBorders>
      </w:tcPr>
    </w:tblStylePr>
    <w:tblStylePr w:type="firstCol">
      <w:rPr>
        <w:b/>
        <w:bCs/>
      </w:rPr>
    </w:tblStylePr>
    <w:tblStylePr w:type="lastCol">
      <w:rPr>
        <w:b/>
        <w:bCs/>
      </w:rPr>
    </w:tblStylePr>
    <w:tblStylePr w:type="band1Vert">
      <w:tblPr/>
      <w:tcPr>
        <w:shd w:val="clear" w:color="auto" w:fill="B4FAFF" w:themeFill="accent2" w:themeFillTint="33"/>
      </w:tcPr>
    </w:tblStylePr>
    <w:tblStylePr w:type="band1Horz">
      <w:tblPr/>
      <w:tcPr>
        <w:shd w:val="clear" w:color="auto" w:fill="B4FAFF" w:themeFill="accent2" w:themeFillTint="33"/>
      </w:tcPr>
    </w:tblStylePr>
  </w:style>
  <w:style w:type="table" w:styleId="GridTable4-Accent3">
    <w:name w:val="Grid Table 4 Accent 3"/>
    <w:basedOn w:val="TableNormal"/>
    <w:uiPriority w:val="49"/>
    <w:rsid w:val="002A5496"/>
    <w:pPr>
      <w:spacing w:before="0" w:after="0"/>
    </w:pPr>
    <w:rPr>
      <w:color w:val="auto"/>
    </w:rPr>
    <w:tblPr>
      <w:tblStyleRowBandSize w:val="1"/>
      <w:tblStyleColBandSize w:val="1"/>
      <w:tblBorders>
        <w:top w:val="single" w:sz="4" w:space="0" w:color="ADE3F8" w:themeColor="accent3" w:themeTint="99"/>
        <w:left w:val="single" w:sz="4" w:space="0" w:color="ADE3F8" w:themeColor="accent3" w:themeTint="99"/>
        <w:bottom w:val="single" w:sz="4" w:space="0" w:color="ADE3F8" w:themeColor="accent3" w:themeTint="99"/>
        <w:right w:val="single" w:sz="4" w:space="0" w:color="ADE3F8" w:themeColor="accent3" w:themeTint="99"/>
        <w:insideH w:val="single" w:sz="4" w:space="0" w:color="ADE3F8" w:themeColor="accent3" w:themeTint="99"/>
        <w:insideV w:val="single" w:sz="4" w:space="0" w:color="ADE3F8" w:themeColor="accent3" w:themeTint="99"/>
      </w:tblBorders>
    </w:tblPr>
    <w:tblStylePr w:type="firstRow">
      <w:rPr>
        <w:b/>
        <w:bCs/>
        <w:color w:val="FFFFFF" w:themeColor="background1"/>
      </w:rPr>
      <w:tblPr/>
      <w:tcPr>
        <w:tcBorders>
          <w:top w:val="single" w:sz="4" w:space="0" w:color="77D1F4" w:themeColor="accent3"/>
          <w:left w:val="single" w:sz="4" w:space="0" w:color="77D1F4" w:themeColor="accent3"/>
          <w:bottom w:val="single" w:sz="4" w:space="0" w:color="77D1F4" w:themeColor="accent3"/>
          <w:right w:val="single" w:sz="4" w:space="0" w:color="77D1F4" w:themeColor="accent3"/>
          <w:insideH w:val="nil"/>
          <w:insideV w:val="nil"/>
        </w:tcBorders>
        <w:shd w:val="clear" w:color="auto" w:fill="77D1F4" w:themeFill="accent3"/>
      </w:tcPr>
    </w:tblStylePr>
    <w:tblStylePr w:type="lastRow">
      <w:rPr>
        <w:b/>
        <w:bCs/>
      </w:rPr>
      <w:tblPr/>
      <w:tcPr>
        <w:tcBorders>
          <w:top w:val="double" w:sz="4" w:space="0" w:color="77D1F4" w:themeColor="accent3"/>
        </w:tcBorders>
      </w:tcPr>
    </w:tblStylePr>
    <w:tblStylePr w:type="firstCol">
      <w:rPr>
        <w:b/>
        <w:bCs/>
      </w:rPr>
    </w:tblStylePr>
    <w:tblStylePr w:type="lastCol">
      <w:rPr>
        <w:b/>
        <w:bCs/>
      </w:rPr>
    </w:tblStylePr>
    <w:tblStylePr w:type="band1Vert">
      <w:tblPr/>
      <w:tcPr>
        <w:shd w:val="clear" w:color="auto" w:fill="E3F5FC" w:themeFill="accent3" w:themeFillTint="33"/>
      </w:tcPr>
    </w:tblStylePr>
    <w:tblStylePr w:type="band1Horz">
      <w:tblPr/>
      <w:tcPr>
        <w:shd w:val="clear" w:color="auto" w:fill="E3F5FC" w:themeFill="accent3" w:themeFillTint="33"/>
      </w:tcPr>
    </w:tblStylePr>
  </w:style>
  <w:style w:type="table" w:styleId="GridTable4-Accent4">
    <w:name w:val="Grid Table 4 Accent 4"/>
    <w:basedOn w:val="TableNormal"/>
    <w:uiPriority w:val="49"/>
    <w:rsid w:val="002A5496"/>
    <w:pPr>
      <w:spacing w:before="0" w:after="0"/>
    </w:pPr>
    <w:rPr>
      <w:color w:val="auto"/>
    </w:rPr>
    <w:tblPr>
      <w:tblStyleRowBandSize w:val="1"/>
      <w:tblStyleColBandSize w:val="1"/>
      <w:tblBorders>
        <w:top w:val="single" w:sz="4" w:space="0" w:color="C2C7CF" w:themeColor="accent4" w:themeTint="99"/>
        <w:left w:val="single" w:sz="4" w:space="0" w:color="C2C7CF" w:themeColor="accent4" w:themeTint="99"/>
        <w:bottom w:val="single" w:sz="4" w:space="0" w:color="C2C7CF" w:themeColor="accent4" w:themeTint="99"/>
        <w:right w:val="single" w:sz="4" w:space="0" w:color="C2C7CF" w:themeColor="accent4" w:themeTint="99"/>
        <w:insideH w:val="single" w:sz="4" w:space="0" w:color="C2C7CF" w:themeColor="accent4" w:themeTint="99"/>
        <w:insideV w:val="single" w:sz="4" w:space="0" w:color="C2C7CF" w:themeColor="accent4" w:themeTint="99"/>
      </w:tblBorders>
    </w:tblPr>
    <w:tblStylePr w:type="firstRow">
      <w:rPr>
        <w:b/>
        <w:bCs/>
        <w:color w:val="FFFFFF" w:themeColor="background1"/>
      </w:rPr>
      <w:tblPr/>
      <w:tcPr>
        <w:tcBorders>
          <w:top w:val="single" w:sz="4" w:space="0" w:color="9AA3AF" w:themeColor="accent4"/>
          <w:left w:val="single" w:sz="4" w:space="0" w:color="9AA3AF" w:themeColor="accent4"/>
          <w:bottom w:val="single" w:sz="4" w:space="0" w:color="9AA3AF" w:themeColor="accent4"/>
          <w:right w:val="single" w:sz="4" w:space="0" w:color="9AA3AF" w:themeColor="accent4"/>
          <w:insideH w:val="nil"/>
          <w:insideV w:val="nil"/>
        </w:tcBorders>
        <w:shd w:val="clear" w:color="auto" w:fill="9AA3AF" w:themeFill="accent4"/>
      </w:tcPr>
    </w:tblStylePr>
    <w:tblStylePr w:type="lastRow">
      <w:rPr>
        <w:b/>
        <w:bCs/>
      </w:rPr>
      <w:tblPr/>
      <w:tcPr>
        <w:tcBorders>
          <w:top w:val="double" w:sz="4" w:space="0" w:color="9AA3AF" w:themeColor="accent4"/>
        </w:tcBorders>
      </w:tcPr>
    </w:tblStylePr>
    <w:tblStylePr w:type="firstCol">
      <w:rPr>
        <w:b/>
        <w:bCs/>
      </w:rPr>
    </w:tblStylePr>
    <w:tblStylePr w:type="lastCol">
      <w:rPr>
        <w:b/>
        <w:bCs/>
      </w:rPr>
    </w:tblStylePr>
    <w:tblStylePr w:type="band1Vert">
      <w:tblPr/>
      <w:tcPr>
        <w:shd w:val="clear" w:color="auto" w:fill="EAECEF" w:themeFill="accent4" w:themeFillTint="33"/>
      </w:tcPr>
    </w:tblStylePr>
    <w:tblStylePr w:type="band1Horz">
      <w:tblPr/>
      <w:tcPr>
        <w:shd w:val="clear" w:color="auto" w:fill="EAECEF" w:themeFill="accent4" w:themeFillTint="33"/>
      </w:tcPr>
    </w:tblStylePr>
  </w:style>
  <w:style w:type="table" w:styleId="GridTable4-Accent5">
    <w:name w:val="Grid Table 4 Accent 5"/>
    <w:basedOn w:val="TableNormal"/>
    <w:uiPriority w:val="49"/>
    <w:rsid w:val="002A5496"/>
    <w:pPr>
      <w:spacing w:before="0" w:after="0"/>
    </w:pPr>
    <w:rPr>
      <w:color w:val="auto"/>
    </w:rPr>
    <w:tblPr>
      <w:tblStyleRowBandSize w:val="1"/>
      <w:tblStyleColBandSize w:val="1"/>
      <w:tblBorders>
        <w:top w:val="single" w:sz="4" w:space="0" w:color="D9E5BB" w:themeColor="accent5" w:themeTint="99"/>
        <w:left w:val="single" w:sz="4" w:space="0" w:color="D9E5BB" w:themeColor="accent5" w:themeTint="99"/>
        <w:bottom w:val="single" w:sz="4" w:space="0" w:color="D9E5BB" w:themeColor="accent5" w:themeTint="99"/>
        <w:right w:val="single" w:sz="4" w:space="0" w:color="D9E5BB" w:themeColor="accent5" w:themeTint="99"/>
        <w:insideH w:val="single" w:sz="4" w:space="0" w:color="D9E5BB" w:themeColor="accent5" w:themeTint="99"/>
        <w:insideV w:val="single" w:sz="4" w:space="0" w:color="D9E5BB" w:themeColor="accent5" w:themeTint="99"/>
      </w:tblBorders>
    </w:tblPr>
    <w:tblStylePr w:type="firstRow">
      <w:rPr>
        <w:b/>
        <w:bCs/>
        <w:color w:val="FFFFFF" w:themeColor="background1"/>
      </w:rPr>
      <w:tblPr/>
      <w:tcPr>
        <w:tcBorders>
          <w:top w:val="single" w:sz="4" w:space="0" w:color="C0D48F" w:themeColor="accent5"/>
          <w:left w:val="single" w:sz="4" w:space="0" w:color="C0D48F" w:themeColor="accent5"/>
          <w:bottom w:val="single" w:sz="4" w:space="0" w:color="C0D48F" w:themeColor="accent5"/>
          <w:right w:val="single" w:sz="4" w:space="0" w:color="C0D48F" w:themeColor="accent5"/>
          <w:insideH w:val="nil"/>
          <w:insideV w:val="nil"/>
        </w:tcBorders>
        <w:shd w:val="clear" w:color="auto" w:fill="C0D48F" w:themeFill="accent5"/>
      </w:tcPr>
    </w:tblStylePr>
    <w:tblStylePr w:type="lastRow">
      <w:rPr>
        <w:b/>
        <w:bCs/>
      </w:rPr>
      <w:tblPr/>
      <w:tcPr>
        <w:tcBorders>
          <w:top w:val="double" w:sz="4" w:space="0" w:color="C0D48F" w:themeColor="accent5"/>
        </w:tcBorders>
      </w:tcPr>
    </w:tblStylePr>
    <w:tblStylePr w:type="firstCol">
      <w:rPr>
        <w:b/>
        <w:bCs/>
      </w:rPr>
    </w:tblStylePr>
    <w:tblStylePr w:type="lastCol">
      <w:rPr>
        <w:b/>
        <w:bCs/>
      </w:rPr>
    </w:tblStylePr>
    <w:tblStylePr w:type="band1Vert">
      <w:tblPr/>
      <w:tcPr>
        <w:shd w:val="clear" w:color="auto" w:fill="F2F6E8" w:themeFill="accent5" w:themeFillTint="33"/>
      </w:tcPr>
    </w:tblStylePr>
    <w:tblStylePr w:type="band1Horz">
      <w:tblPr/>
      <w:tcPr>
        <w:shd w:val="clear" w:color="auto" w:fill="F2F6E8" w:themeFill="accent5" w:themeFillTint="33"/>
      </w:tcPr>
    </w:tblStylePr>
  </w:style>
  <w:style w:type="table" w:styleId="GridTable4-Accent6">
    <w:name w:val="Grid Table 4 Accent 6"/>
    <w:basedOn w:val="TableNormal"/>
    <w:uiPriority w:val="49"/>
    <w:rsid w:val="002A5496"/>
    <w:pPr>
      <w:spacing w:before="0" w:after="0"/>
    </w:pPr>
    <w:rPr>
      <w:color w:val="auto"/>
    </w:rPr>
    <w:tblPr>
      <w:tblStyleRowBandSize w:val="1"/>
      <w:tblStyleColBandSize w:val="1"/>
      <w:tblBorders>
        <w:top w:val="single" w:sz="4" w:space="0" w:color="A8D9C0" w:themeColor="accent6" w:themeTint="99"/>
        <w:left w:val="single" w:sz="4" w:space="0" w:color="A8D9C0" w:themeColor="accent6" w:themeTint="99"/>
        <w:bottom w:val="single" w:sz="4" w:space="0" w:color="A8D9C0" w:themeColor="accent6" w:themeTint="99"/>
        <w:right w:val="single" w:sz="4" w:space="0" w:color="A8D9C0" w:themeColor="accent6" w:themeTint="99"/>
        <w:insideH w:val="single" w:sz="4" w:space="0" w:color="A8D9C0" w:themeColor="accent6" w:themeTint="99"/>
        <w:insideV w:val="single" w:sz="4" w:space="0" w:color="A8D9C0" w:themeColor="accent6" w:themeTint="99"/>
      </w:tblBorders>
    </w:tblPr>
    <w:tblStylePr w:type="firstRow">
      <w:rPr>
        <w:b/>
        <w:bCs/>
        <w:color w:val="FFFFFF" w:themeColor="background1"/>
      </w:rPr>
      <w:tblPr/>
      <w:tcPr>
        <w:tcBorders>
          <w:top w:val="single" w:sz="4" w:space="0" w:color="6FC197" w:themeColor="accent6"/>
          <w:left w:val="single" w:sz="4" w:space="0" w:color="6FC197" w:themeColor="accent6"/>
          <w:bottom w:val="single" w:sz="4" w:space="0" w:color="6FC197" w:themeColor="accent6"/>
          <w:right w:val="single" w:sz="4" w:space="0" w:color="6FC197" w:themeColor="accent6"/>
          <w:insideH w:val="nil"/>
          <w:insideV w:val="nil"/>
        </w:tcBorders>
        <w:shd w:val="clear" w:color="auto" w:fill="6FC197" w:themeFill="accent6"/>
      </w:tcPr>
    </w:tblStylePr>
    <w:tblStylePr w:type="lastRow">
      <w:rPr>
        <w:b/>
        <w:bCs/>
      </w:rPr>
      <w:tblPr/>
      <w:tcPr>
        <w:tcBorders>
          <w:top w:val="double" w:sz="4" w:space="0" w:color="6FC197" w:themeColor="accent6"/>
        </w:tcBorders>
      </w:tcPr>
    </w:tblStylePr>
    <w:tblStylePr w:type="firstCol">
      <w:rPr>
        <w:b/>
        <w:bCs/>
      </w:rPr>
    </w:tblStylePr>
    <w:tblStylePr w:type="lastCol">
      <w:rPr>
        <w:b/>
        <w:bCs/>
      </w:rPr>
    </w:tblStylePr>
    <w:tblStylePr w:type="band1Vert">
      <w:tblPr/>
      <w:tcPr>
        <w:shd w:val="clear" w:color="auto" w:fill="E2F2EA" w:themeFill="accent6" w:themeFillTint="33"/>
      </w:tcPr>
    </w:tblStylePr>
    <w:tblStylePr w:type="band1Horz">
      <w:tblPr/>
      <w:tcPr>
        <w:shd w:val="clear" w:color="auto" w:fill="E2F2EA" w:themeFill="accent6" w:themeFillTint="33"/>
      </w:tcPr>
    </w:tblStylePr>
  </w:style>
  <w:style w:type="table" w:styleId="GridTable5Dark">
    <w:name w:val="Grid Table 5 Dark"/>
    <w:basedOn w:val="TableNormal"/>
    <w:uiPriority w:val="50"/>
    <w:rsid w:val="002A5496"/>
    <w:pPr>
      <w:spacing w:before="0" w:after="0"/>
    </w:pPr>
    <w:rPr>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A5496"/>
    <w:pPr>
      <w:spacing w:before="0" w:after="0"/>
    </w:pPr>
    <w:rPr>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CC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81E3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81E3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81E3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81E3E" w:themeFill="accent1"/>
      </w:tcPr>
    </w:tblStylePr>
    <w:tblStylePr w:type="band1Vert">
      <w:tblPr/>
      <w:tcPr>
        <w:shd w:val="clear" w:color="auto" w:fill="6399EB" w:themeFill="accent1" w:themeFillTint="66"/>
      </w:tcPr>
    </w:tblStylePr>
    <w:tblStylePr w:type="band1Horz">
      <w:tblPr/>
      <w:tcPr>
        <w:shd w:val="clear" w:color="auto" w:fill="6399EB" w:themeFill="accent1" w:themeFillTint="66"/>
      </w:tcPr>
    </w:tblStylePr>
  </w:style>
  <w:style w:type="table" w:styleId="GridTable5Dark-Accent2">
    <w:name w:val="Grid Table 5 Dark Accent 2"/>
    <w:basedOn w:val="TableNormal"/>
    <w:uiPriority w:val="50"/>
    <w:rsid w:val="002A5496"/>
    <w:pPr>
      <w:spacing w:before="0" w:after="0"/>
    </w:pPr>
    <w:rPr>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FA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08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08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08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089" w:themeFill="accent2"/>
      </w:tcPr>
    </w:tblStylePr>
    <w:tblStylePr w:type="band1Vert">
      <w:tblPr/>
      <w:tcPr>
        <w:shd w:val="clear" w:color="auto" w:fill="69F5FF" w:themeFill="accent2" w:themeFillTint="66"/>
      </w:tcPr>
    </w:tblStylePr>
    <w:tblStylePr w:type="band1Horz">
      <w:tblPr/>
      <w:tcPr>
        <w:shd w:val="clear" w:color="auto" w:fill="69F5FF" w:themeFill="accent2" w:themeFillTint="66"/>
      </w:tcPr>
    </w:tblStylePr>
  </w:style>
  <w:style w:type="table" w:styleId="GridTable5Dark-Accent3">
    <w:name w:val="Grid Table 5 Dark Accent 3"/>
    <w:basedOn w:val="TableNormal"/>
    <w:uiPriority w:val="50"/>
    <w:rsid w:val="002A5496"/>
    <w:pPr>
      <w:spacing w:before="0" w:after="0"/>
    </w:pPr>
    <w:rPr>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5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7D1F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7D1F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7D1F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7D1F4" w:themeFill="accent3"/>
      </w:tcPr>
    </w:tblStylePr>
    <w:tblStylePr w:type="band1Vert">
      <w:tblPr/>
      <w:tcPr>
        <w:shd w:val="clear" w:color="auto" w:fill="C8ECFA" w:themeFill="accent3" w:themeFillTint="66"/>
      </w:tcPr>
    </w:tblStylePr>
    <w:tblStylePr w:type="band1Horz">
      <w:tblPr/>
      <w:tcPr>
        <w:shd w:val="clear" w:color="auto" w:fill="C8ECFA" w:themeFill="accent3" w:themeFillTint="66"/>
      </w:tcPr>
    </w:tblStylePr>
  </w:style>
  <w:style w:type="table" w:styleId="GridTable5Dark-Accent4">
    <w:name w:val="Grid Table 5 Dark Accent 4"/>
    <w:basedOn w:val="TableNormal"/>
    <w:uiPriority w:val="50"/>
    <w:rsid w:val="002A5496"/>
    <w:pPr>
      <w:spacing w:before="0" w:after="0"/>
    </w:pPr>
    <w:rPr>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CE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A3A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A3A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A3A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A3AF" w:themeFill="accent4"/>
      </w:tcPr>
    </w:tblStylePr>
    <w:tblStylePr w:type="band1Vert">
      <w:tblPr/>
      <w:tcPr>
        <w:shd w:val="clear" w:color="auto" w:fill="D6DADF" w:themeFill="accent4" w:themeFillTint="66"/>
      </w:tcPr>
    </w:tblStylePr>
    <w:tblStylePr w:type="band1Horz">
      <w:tblPr/>
      <w:tcPr>
        <w:shd w:val="clear" w:color="auto" w:fill="D6DADF" w:themeFill="accent4" w:themeFillTint="66"/>
      </w:tcPr>
    </w:tblStylePr>
  </w:style>
  <w:style w:type="table" w:styleId="GridTable5Dark-Accent5">
    <w:name w:val="Grid Table 5 Dark Accent 5"/>
    <w:basedOn w:val="TableNormal"/>
    <w:uiPriority w:val="50"/>
    <w:rsid w:val="002A5496"/>
    <w:pPr>
      <w:spacing w:before="0" w:after="0"/>
    </w:pPr>
    <w:rPr>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6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D48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D48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D48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D48F" w:themeFill="accent5"/>
      </w:tcPr>
    </w:tblStylePr>
    <w:tblStylePr w:type="band1Vert">
      <w:tblPr/>
      <w:tcPr>
        <w:shd w:val="clear" w:color="auto" w:fill="E5EDD2" w:themeFill="accent5" w:themeFillTint="66"/>
      </w:tcPr>
    </w:tblStylePr>
    <w:tblStylePr w:type="band1Horz">
      <w:tblPr/>
      <w:tcPr>
        <w:shd w:val="clear" w:color="auto" w:fill="E5EDD2" w:themeFill="accent5" w:themeFillTint="66"/>
      </w:tcPr>
    </w:tblStylePr>
  </w:style>
  <w:style w:type="table" w:styleId="GridTable5Dark-Accent6">
    <w:name w:val="Grid Table 5 Dark Accent 6"/>
    <w:basedOn w:val="TableNormal"/>
    <w:uiPriority w:val="50"/>
    <w:rsid w:val="002A5496"/>
    <w:pPr>
      <w:spacing w:before="0" w:after="0"/>
    </w:pPr>
    <w:rPr>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2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C19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C19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C19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C197" w:themeFill="accent6"/>
      </w:tcPr>
    </w:tblStylePr>
    <w:tblStylePr w:type="band1Vert">
      <w:tblPr/>
      <w:tcPr>
        <w:shd w:val="clear" w:color="auto" w:fill="C5E6D5" w:themeFill="accent6" w:themeFillTint="66"/>
      </w:tcPr>
    </w:tblStylePr>
    <w:tblStylePr w:type="band1Horz">
      <w:tblPr/>
      <w:tcPr>
        <w:shd w:val="clear" w:color="auto" w:fill="C5E6D5" w:themeFill="accent6" w:themeFillTint="66"/>
      </w:tcPr>
    </w:tblStylePr>
  </w:style>
  <w:style w:type="table" w:styleId="GridTable6Colorful">
    <w:name w:val="Grid Table 6 Colorful"/>
    <w:basedOn w:val="TableNormal"/>
    <w:uiPriority w:val="51"/>
    <w:rsid w:val="002A5496"/>
    <w:pPr>
      <w:spacing w:before="0"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A5496"/>
    <w:pPr>
      <w:spacing w:before="0" w:after="0"/>
    </w:pPr>
    <w:rPr>
      <w:color w:val="06162E" w:themeColor="accent1" w:themeShade="BF"/>
    </w:rPr>
    <w:tblPr>
      <w:tblStyleRowBandSize w:val="1"/>
      <w:tblStyleColBandSize w:val="1"/>
      <w:tblBorders>
        <w:top w:val="single" w:sz="4" w:space="0" w:color="1C68D9" w:themeColor="accent1" w:themeTint="99"/>
        <w:left w:val="single" w:sz="4" w:space="0" w:color="1C68D9" w:themeColor="accent1" w:themeTint="99"/>
        <w:bottom w:val="single" w:sz="4" w:space="0" w:color="1C68D9" w:themeColor="accent1" w:themeTint="99"/>
        <w:right w:val="single" w:sz="4" w:space="0" w:color="1C68D9" w:themeColor="accent1" w:themeTint="99"/>
        <w:insideH w:val="single" w:sz="4" w:space="0" w:color="1C68D9" w:themeColor="accent1" w:themeTint="99"/>
        <w:insideV w:val="single" w:sz="4" w:space="0" w:color="1C68D9" w:themeColor="accent1" w:themeTint="99"/>
      </w:tblBorders>
    </w:tblPr>
    <w:tblStylePr w:type="firstRow">
      <w:rPr>
        <w:b/>
        <w:bCs/>
      </w:rPr>
      <w:tblPr/>
      <w:tcPr>
        <w:tcBorders>
          <w:bottom w:val="single" w:sz="12" w:space="0" w:color="1C68D9" w:themeColor="accent1" w:themeTint="99"/>
        </w:tcBorders>
      </w:tcPr>
    </w:tblStylePr>
    <w:tblStylePr w:type="lastRow">
      <w:rPr>
        <w:b/>
        <w:bCs/>
      </w:rPr>
      <w:tblPr/>
      <w:tcPr>
        <w:tcBorders>
          <w:top w:val="double" w:sz="4" w:space="0" w:color="1C68D9" w:themeColor="accent1" w:themeTint="99"/>
        </w:tcBorders>
      </w:tc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 w:type="table" w:styleId="GridTable6Colorful-Accent2">
    <w:name w:val="Grid Table 6 Colorful Accent 2"/>
    <w:basedOn w:val="TableNormal"/>
    <w:uiPriority w:val="51"/>
    <w:rsid w:val="002A5496"/>
    <w:pPr>
      <w:spacing w:before="0" w:after="0"/>
    </w:pPr>
    <w:rPr>
      <w:color w:val="005F66" w:themeColor="accent2" w:themeShade="BF"/>
    </w:rPr>
    <w:tblPr>
      <w:tblStyleRowBandSize w:val="1"/>
      <w:tblStyleColBandSize w:val="1"/>
      <w:tblBorders>
        <w:top w:val="single" w:sz="4" w:space="0" w:color="1FF0FF" w:themeColor="accent2" w:themeTint="99"/>
        <w:left w:val="single" w:sz="4" w:space="0" w:color="1FF0FF" w:themeColor="accent2" w:themeTint="99"/>
        <w:bottom w:val="single" w:sz="4" w:space="0" w:color="1FF0FF" w:themeColor="accent2" w:themeTint="99"/>
        <w:right w:val="single" w:sz="4" w:space="0" w:color="1FF0FF" w:themeColor="accent2" w:themeTint="99"/>
        <w:insideH w:val="single" w:sz="4" w:space="0" w:color="1FF0FF" w:themeColor="accent2" w:themeTint="99"/>
        <w:insideV w:val="single" w:sz="4" w:space="0" w:color="1FF0FF" w:themeColor="accent2" w:themeTint="99"/>
      </w:tblBorders>
    </w:tblPr>
    <w:tblStylePr w:type="firstRow">
      <w:rPr>
        <w:b/>
        <w:bCs/>
      </w:rPr>
      <w:tblPr/>
      <w:tcPr>
        <w:tcBorders>
          <w:bottom w:val="single" w:sz="12" w:space="0" w:color="1FF0FF" w:themeColor="accent2" w:themeTint="99"/>
        </w:tcBorders>
      </w:tcPr>
    </w:tblStylePr>
    <w:tblStylePr w:type="lastRow">
      <w:rPr>
        <w:b/>
        <w:bCs/>
      </w:rPr>
      <w:tblPr/>
      <w:tcPr>
        <w:tcBorders>
          <w:top w:val="double" w:sz="4" w:space="0" w:color="1FF0FF" w:themeColor="accent2" w:themeTint="99"/>
        </w:tcBorders>
      </w:tcPr>
    </w:tblStylePr>
    <w:tblStylePr w:type="firstCol">
      <w:rPr>
        <w:b/>
        <w:bCs/>
      </w:rPr>
    </w:tblStylePr>
    <w:tblStylePr w:type="lastCol">
      <w:rPr>
        <w:b/>
        <w:bCs/>
      </w:rPr>
    </w:tblStylePr>
    <w:tblStylePr w:type="band1Vert">
      <w:tblPr/>
      <w:tcPr>
        <w:shd w:val="clear" w:color="auto" w:fill="B4FAFF" w:themeFill="accent2" w:themeFillTint="33"/>
      </w:tcPr>
    </w:tblStylePr>
    <w:tblStylePr w:type="band1Horz">
      <w:tblPr/>
      <w:tcPr>
        <w:shd w:val="clear" w:color="auto" w:fill="B4FAFF" w:themeFill="accent2" w:themeFillTint="33"/>
      </w:tcPr>
    </w:tblStylePr>
  </w:style>
  <w:style w:type="table" w:styleId="GridTable6Colorful-Accent3">
    <w:name w:val="Grid Table 6 Colorful Accent 3"/>
    <w:basedOn w:val="TableNormal"/>
    <w:uiPriority w:val="51"/>
    <w:rsid w:val="002A5496"/>
    <w:pPr>
      <w:spacing w:before="0" w:after="0"/>
    </w:pPr>
    <w:rPr>
      <w:color w:val="22B3ED" w:themeColor="accent3" w:themeShade="BF"/>
    </w:rPr>
    <w:tblPr>
      <w:tblStyleRowBandSize w:val="1"/>
      <w:tblStyleColBandSize w:val="1"/>
      <w:tblBorders>
        <w:top w:val="single" w:sz="4" w:space="0" w:color="ADE3F8" w:themeColor="accent3" w:themeTint="99"/>
        <w:left w:val="single" w:sz="4" w:space="0" w:color="ADE3F8" w:themeColor="accent3" w:themeTint="99"/>
        <w:bottom w:val="single" w:sz="4" w:space="0" w:color="ADE3F8" w:themeColor="accent3" w:themeTint="99"/>
        <w:right w:val="single" w:sz="4" w:space="0" w:color="ADE3F8" w:themeColor="accent3" w:themeTint="99"/>
        <w:insideH w:val="single" w:sz="4" w:space="0" w:color="ADE3F8" w:themeColor="accent3" w:themeTint="99"/>
        <w:insideV w:val="single" w:sz="4" w:space="0" w:color="ADE3F8" w:themeColor="accent3" w:themeTint="99"/>
      </w:tblBorders>
    </w:tblPr>
    <w:tblStylePr w:type="firstRow">
      <w:rPr>
        <w:b/>
        <w:bCs/>
      </w:rPr>
      <w:tblPr/>
      <w:tcPr>
        <w:tcBorders>
          <w:bottom w:val="single" w:sz="12" w:space="0" w:color="ADE3F8" w:themeColor="accent3" w:themeTint="99"/>
        </w:tcBorders>
      </w:tcPr>
    </w:tblStylePr>
    <w:tblStylePr w:type="lastRow">
      <w:rPr>
        <w:b/>
        <w:bCs/>
      </w:rPr>
      <w:tblPr/>
      <w:tcPr>
        <w:tcBorders>
          <w:top w:val="double" w:sz="4" w:space="0" w:color="ADE3F8" w:themeColor="accent3" w:themeTint="99"/>
        </w:tcBorders>
      </w:tcPr>
    </w:tblStylePr>
    <w:tblStylePr w:type="firstCol">
      <w:rPr>
        <w:b/>
        <w:bCs/>
      </w:rPr>
    </w:tblStylePr>
    <w:tblStylePr w:type="lastCol">
      <w:rPr>
        <w:b/>
        <w:bCs/>
      </w:rPr>
    </w:tblStylePr>
    <w:tblStylePr w:type="band1Vert">
      <w:tblPr/>
      <w:tcPr>
        <w:shd w:val="clear" w:color="auto" w:fill="E3F5FC" w:themeFill="accent3" w:themeFillTint="33"/>
      </w:tcPr>
    </w:tblStylePr>
    <w:tblStylePr w:type="band1Horz">
      <w:tblPr/>
      <w:tcPr>
        <w:shd w:val="clear" w:color="auto" w:fill="E3F5FC" w:themeFill="accent3" w:themeFillTint="33"/>
      </w:tcPr>
    </w:tblStylePr>
  </w:style>
  <w:style w:type="table" w:styleId="GridTable6Colorful-Accent4">
    <w:name w:val="Grid Table 6 Colorful Accent 4"/>
    <w:basedOn w:val="TableNormal"/>
    <w:uiPriority w:val="51"/>
    <w:rsid w:val="002A5496"/>
    <w:pPr>
      <w:spacing w:before="0" w:after="0"/>
    </w:pPr>
    <w:rPr>
      <w:color w:val="6D7989" w:themeColor="accent4" w:themeShade="BF"/>
    </w:rPr>
    <w:tblPr>
      <w:tblStyleRowBandSize w:val="1"/>
      <w:tblStyleColBandSize w:val="1"/>
      <w:tblBorders>
        <w:top w:val="single" w:sz="4" w:space="0" w:color="C2C7CF" w:themeColor="accent4" w:themeTint="99"/>
        <w:left w:val="single" w:sz="4" w:space="0" w:color="C2C7CF" w:themeColor="accent4" w:themeTint="99"/>
        <w:bottom w:val="single" w:sz="4" w:space="0" w:color="C2C7CF" w:themeColor="accent4" w:themeTint="99"/>
        <w:right w:val="single" w:sz="4" w:space="0" w:color="C2C7CF" w:themeColor="accent4" w:themeTint="99"/>
        <w:insideH w:val="single" w:sz="4" w:space="0" w:color="C2C7CF" w:themeColor="accent4" w:themeTint="99"/>
        <w:insideV w:val="single" w:sz="4" w:space="0" w:color="C2C7CF" w:themeColor="accent4" w:themeTint="99"/>
      </w:tblBorders>
    </w:tblPr>
    <w:tblStylePr w:type="firstRow">
      <w:rPr>
        <w:b/>
        <w:bCs/>
      </w:rPr>
      <w:tblPr/>
      <w:tcPr>
        <w:tcBorders>
          <w:bottom w:val="single" w:sz="12" w:space="0" w:color="C2C7CF" w:themeColor="accent4" w:themeTint="99"/>
        </w:tcBorders>
      </w:tcPr>
    </w:tblStylePr>
    <w:tblStylePr w:type="lastRow">
      <w:rPr>
        <w:b/>
        <w:bCs/>
      </w:rPr>
      <w:tblPr/>
      <w:tcPr>
        <w:tcBorders>
          <w:top w:val="double" w:sz="4" w:space="0" w:color="C2C7CF" w:themeColor="accent4" w:themeTint="99"/>
        </w:tcBorders>
      </w:tcPr>
    </w:tblStylePr>
    <w:tblStylePr w:type="firstCol">
      <w:rPr>
        <w:b/>
        <w:bCs/>
      </w:rPr>
    </w:tblStylePr>
    <w:tblStylePr w:type="lastCol">
      <w:rPr>
        <w:b/>
        <w:bCs/>
      </w:rPr>
    </w:tblStylePr>
    <w:tblStylePr w:type="band1Vert">
      <w:tblPr/>
      <w:tcPr>
        <w:shd w:val="clear" w:color="auto" w:fill="EAECEF" w:themeFill="accent4" w:themeFillTint="33"/>
      </w:tcPr>
    </w:tblStylePr>
    <w:tblStylePr w:type="band1Horz">
      <w:tblPr/>
      <w:tcPr>
        <w:shd w:val="clear" w:color="auto" w:fill="EAECEF" w:themeFill="accent4" w:themeFillTint="33"/>
      </w:tcPr>
    </w:tblStylePr>
  </w:style>
  <w:style w:type="table" w:styleId="GridTable6Colorful-Accent5">
    <w:name w:val="Grid Table 6 Colorful Accent 5"/>
    <w:basedOn w:val="TableNormal"/>
    <w:uiPriority w:val="51"/>
    <w:rsid w:val="002A5496"/>
    <w:pPr>
      <w:spacing w:before="0" w:after="0"/>
    </w:pPr>
    <w:rPr>
      <w:color w:val="9BBB4E" w:themeColor="accent5" w:themeShade="BF"/>
    </w:rPr>
    <w:tblPr>
      <w:tblStyleRowBandSize w:val="1"/>
      <w:tblStyleColBandSize w:val="1"/>
      <w:tblBorders>
        <w:top w:val="single" w:sz="4" w:space="0" w:color="D9E5BB" w:themeColor="accent5" w:themeTint="99"/>
        <w:left w:val="single" w:sz="4" w:space="0" w:color="D9E5BB" w:themeColor="accent5" w:themeTint="99"/>
        <w:bottom w:val="single" w:sz="4" w:space="0" w:color="D9E5BB" w:themeColor="accent5" w:themeTint="99"/>
        <w:right w:val="single" w:sz="4" w:space="0" w:color="D9E5BB" w:themeColor="accent5" w:themeTint="99"/>
        <w:insideH w:val="single" w:sz="4" w:space="0" w:color="D9E5BB" w:themeColor="accent5" w:themeTint="99"/>
        <w:insideV w:val="single" w:sz="4" w:space="0" w:color="D9E5BB" w:themeColor="accent5" w:themeTint="99"/>
      </w:tblBorders>
    </w:tblPr>
    <w:tblStylePr w:type="firstRow">
      <w:rPr>
        <w:b/>
        <w:bCs/>
      </w:rPr>
      <w:tblPr/>
      <w:tcPr>
        <w:tcBorders>
          <w:bottom w:val="single" w:sz="12" w:space="0" w:color="D9E5BB" w:themeColor="accent5" w:themeTint="99"/>
        </w:tcBorders>
      </w:tcPr>
    </w:tblStylePr>
    <w:tblStylePr w:type="lastRow">
      <w:rPr>
        <w:b/>
        <w:bCs/>
      </w:rPr>
      <w:tblPr/>
      <w:tcPr>
        <w:tcBorders>
          <w:top w:val="double" w:sz="4" w:space="0" w:color="D9E5BB" w:themeColor="accent5" w:themeTint="99"/>
        </w:tcBorders>
      </w:tcPr>
    </w:tblStylePr>
    <w:tblStylePr w:type="firstCol">
      <w:rPr>
        <w:b/>
        <w:bCs/>
      </w:rPr>
    </w:tblStylePr>
    <w:tblStylePr w:type="lastCol">
      <w:rPr>
        <w:b/>
        <w:bCs/>
      </w:rPr>
    </w:tblStylePr>
    <w:tblStylePr w:type="band1Vert">
      <w:tblPr/>
      <w:tcPr>
        <w:shd w:val="clear" w:color="auto" w:fill="F2F6E8" w:themeFill="accent5" w:themeFillTint="33"/>
      </w:tcPr>
    </w:tblStylePr>
    <w:tblStylePr w:type="band1Horz">
      <w:tblPr/>
      <w:tcPr>
        <w:shd w:val="clear" w:color="auto" w:fill="F2F6E8" w:themeFill="accent5" w:themeFillTint="33"/>
      </w:tcPr>
    </w:tblStylePr>
  </w:style>
  <w:style w:type="table" w:styleId="GridTable6Colorful-Accent6">
    <w:name w:val="Grid Table 6 Colorful Accent 6"/>
    <w:basedOn w:val="TableNormal"/>
    <w:uiPriority w:val="51"/>
    <w:rsid w:val="002A5496"/>
    <w:pPr>
      <w:spacing w:before="0" w:after="0"/>
    </w:pPr>
    <w:rPr>
      <w:color w:val="449F70" w:themeColor="accent6" w:themeShade="BF"/>
    </w:rPr>
    <w:tblPr>
      <w:tblStyleRowBandSize w:val="1"/>
      <w:tblStyleColBandSize w:val="1"/>
      <w:tblBorders>
        <w:top w:val="single" w:sz="4" w:space="0" w:color="A8D9C0" w:themeColor="accent6" w:themeTint="99"/>
        <w:left w:val="single" w:sz="4" w:space="0" w:color="A8D9C0" w:themeColor="accent6" w:themeTint="99"/>
        <w:bottom w:val="single" w:sz="4" w:space="0" w:color="A8D9C0" w:themeColor="accent6" w:themeTint="99"/>
        <w:right w:val="single" w:sz="4" w:space="0" w:color="A8D9C0" w:themeColor="accent6" w:themeTint="99"/>
        <w:insideH w:val="single" w:sz="4" w:space="0" w:color="A8D9C0" w:themeColor="accent6" w:themeTint="99"/>
        <w:insideV w:val="single" w:sz="4" w:space="0" w:color="A8D9C0" w:themeColor="accent6" w:themeTint="99"/>
      </w:tblBorders>
    </w:tblPr>
    <w:tblStylePr w:type="firstRow">
      <w:rPr>
        <w:b/>
        <w:bCs/>
      </w:rPr>
      <w:tblPr/>
      <w:tcPr>
        <w:tcBorders>
          <w:bottom w:val="single" w:sz="12" w:space="0" w:color="A8D9C0" w:themeColor="accent6" w:themeTint="99"/>
        </w:tcBorders>
      </w:tcPr>
    </w:tblStylePr>
    <w:tblStylePr w:type="lastRow">
      <w:rPr>
        <w:b/>
        <w:bCs/>
      </w:rPr>
      <w:tblPr/>
      <w:tcPr>
        <w:tcBorders>
          <w:top w:val="double" w:sz="4" w:space="0" w:color="A8D9C0" w:themeColor="accent6" w:themeTint="99"/>
        </w:tcBorders>
      </w:tcPr>
    </w:tblStylePr>
    <w:tblStylePr w:type="firstCol">
      <w:rPr>
        <w:b/>
        <w:bCs/>
      </w:rPr>
    </w:tblStylePr>
    <w:tblStylePr w:type="lastCol">
      <w:rPr>
        <w:b/>
        <w:bCs/>
      </w:rPr>
    </w:tblStylePr>
    <w:tblStylePr w:type="band1Vert">
      <w:tblPr/>
      <w:tcPr>
        <w:shd w:val="clear" w:color="auto" w:fill="E2F2EA" w:themeFill="accent6" w:themeFillTint="33"/>
      </w:tcPr>
    </w:tblStylePr>
    <w:tblStylePr w:type="band1Horz">
      <w:tblPr/>
      <w:tcPr>
        <w:shd w:val="clear" w:color="auto" w:fill="E2F2EA" w:themeFill="accent6" w:themeFillTint="33"/>
      </w:tcPr>
    </w:tblStylePr>
  </w:style>
  <w:style w:type="table" w:styleId="GridTable7Colorful">
    <w:name w:val="Grid Table 7 Colorful"/>
    <w:basedOn w:val="TableNormal"/>
    <w:uiPriority w:val="52"/>
    <w:rsid w:val="002A5496"/>
    <w:pPr>
      <w:spacing w:before="0"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A5496"/>
    <w:pPr>
      <w:spacing w:before="0" w:after="0"/>
    </w:pPr>
    <w:rPr>
      <w:color w:val="06162E" w:themeColor="accent1" w:themeShade="BF"/>
    </w:rPr>
    <w:tblPr>
      <w:tblStyleRowBandSize w:val="1"/>
      <w:tblStyleColBandSize w:val="1"/>
      <w:tblBorders>
        <w:top w:val="single" w:sz="4" w:space="0" w:color="1C68D9" w:themeColor="accent1" w:themeTint="99"/>
        <w:left w:val="single" w:sz="4" w:space="0" w:color="1C68D9" w:themeColor="accent1" w:themeTint="99"/>
        <w:bottom w:val="single" w:sz="4" w:space="0" w:color="1C68D9" w:themeColor="accent1" w:themeTint="99"/>
        <w:right w:val="single" w:sz="4" w:space="0" w:color="1C68D9" w:themeColor="accent1" w:themeTint="99"/>
        <w:insideH w:val="single" w:sz="4" w:space="0" w:color="1C68D9" w:themeColor="accent1" w:themeTint="99"/>
        <w:insideV w:val="single" w:sz="4" w:space="0" w:color="1C68D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CCF5" w:themeFill="accent1" w:themeFillTint="33"/>
      </w:tcPr>
    </w:tblStylePr>
    <w:tblStylePr w:type="band1Horz">
      <w:tblPr/>
      <w:tcPr>
        <w:shd w:val="clear" w:color="auto" w:fill="B1CCF5" w:themeFill="accent1" w:themeFillTint="33"/>
      </w:tcPr>
    </w:tblStylePr>
    <w:tblStylePr w:type="neCell">
      <w:tblPr/>
      <w:tcPr>
        <w:tcBorders>
          <w:bottom w:val="single" w:sz="4" w:space="0" w:color="1C68D9" w:themeColor="accent1" w:themeTint="99"/>
        </w:tcBorders>
      </w:tcPr>
    </w:tblStylePr>
    <w:tblStylePr w:type="nwCell">
      <w:tblPr/>
      <w:tcPr>
        <w:tcBorders>
          <w:bottom w:val="single" w:sz="4" w:space="0" w:color="1C68D9" w:themeColor="accent1" w:themeTint="99"/>
        </w:tcBorders>
      </w:tcPr>
    </w:tblStylePr>
    <w:tblStylePr w:type="seCell">
      <w:tblPr/>
      <w:tcPr>
        <w:tcBorders>
          <w:top w:val="single" w:sz="4" w:space="0" w:color="1C68D9" w:themeColor="accent1" w:themeTint="99"/>
        </w:tcBorders>
      </w:tcPr>
    </w:tblStylePr>
    <w:tblStylePr w:type="swCell">
      <w:tblPr/>
      <w:tcPr>
        <w:tcBorders>
          <w:top w:val="single" w:sz="4" w:space="0" w:color="1C68D9" w:themeColor="accent1" w:themeTint="99"/>
        </w:tcBorders>
      </w:tcPr>
    </w:tblStylePr>
  </w:style>
  <w:style w:type="table" w:styleId="GridTable7Colorful-Accent2">
    <w:name w:val="Grid Table 7 Colorful Accent 2"/>
    <w:basedOn w:val="TableNormal"/>
    <w:uiPriority w:val="52"/>
    <w:rsid w:val="002A5496"/>
    <w:pPr>
      <w:spacing w:before="0" w:after="0"/>
    </w:pPr>
    <w:rPr>
      <w:color w:val="005F66" w:themeColor="accent2" w:themeShade="BF"/>
    </w:rPr>
    <w:tblPr>
      <w:tblStyleRowBandSize w:val="1"/>
      <w:tblStyleColBandSize w:val="1"/>
      <w:tblBorders>
        <w:top w:val="single" w:sz="4" w:space="0" w:color="1FF0FF" w:themeColor="accent2" w:themeTint="99"/>
        <w:left w:val="single" w:sz="4" w:space="0" w:color="1FF0FF" w:themeColor="accent2" w:themeTint="99"/>
        <w:bottom w:val="single" w:sz="4" w:space="0" w:color="1FF0FF" w:themeColor="accent2" w:themeTint="99"/>
        <w:right w:val="single" w:sz="4" w:space="0" w:color="1FF0FF" w:themeColor="accent2" w:themeTint="99"/>
        <w:insideH w:val="single" w:sz="4" w:space="0" w:color="1FF0FF" w:themeColor="accent2" w:themeTint="99"/>
        <w:insideV w:val="single" w:sz="4" w:space="0" w:color="1FF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FAFF" w:themeFill="accent2" w:themeFillTint="33"/>
      </w:tcPr>
    </w:tblStylePr>
    <w:tblStylePr w:type="band1Horz">
      <w:tblPr/>
      <w:tcPr>
        <w:shd w:val="clear" w:color="auto" w:fill="B4FAFF" w:themeFill="accent2" w:themeFillTint="33"/>
      </w:tcPr>
    </w:tblStylePr>
    <w:tblStylePr w:type="neCell">
      <w:tblPr/>
      <w:tcPr>
        <w:tcBorders>
          <w:bottom w:val="single" w:sz="4" w:space="0" w:color="1FF0FF" w:themeColor="accent2" w:themeTint="99"/>
        </w:tcBorders>
      </w:tcPr>
    </w:tblStylePr>
    <w:tblStylePr w:type="nwCell">
      <w:tblPr/>
      <w:tcPr>
        <w:tcBorders>
          <w:bottom w:val="single" w:sz="4" w:space="0" w:color="1FF0FF" w:themeColor="accent2" w:themeTint="99"/>
        </w:tcBorders>
      </w:tcPr>
    </w:tblStylePr>
    <w:tblStylePr w:type="seCell">
      <w:tblPr/>
      <w:tcPr>
        <w:tcBorders>
          <w:top w:val="single" w:sz="4" w:space="0" w:color="1FF0FF" w:themeColor="accent2" w:themeTint="99"/>
        </w:tcBorders>
      </w:tcPr>
    </w:tblStylePr>
    <w:tblStylePr w:type="swCell">
      <w:tblPr/>
      <w:tcPr>
        <w:tcBorders>
          <w:top w:val="single" w:sz="4" w:space="0" w:color="1FF0FF" w:themeColor="accent2" w:themeTint="99"/>
        </w:tcBorders>
      </w:tcPr>
    </w:tblStylePr>
  </w:style>
  <w:style w:type="table" w:styleId="GridTable7Colorful-Accent3">
    <w:name w:val="Grid Table 7 Colorful Accent 3"/>
    <w:basedOn w:val="TableNormal"/>
    <w:uiPriority w:val="52"/>
    <w:rsid w:val="002A5496"/>
    <w:pPr>
      <w:spacing w:before="0" w:after="0"/>
    </w:pPr>
    <w:rPr>
      <w:color w:val="22B3ED" w:themeColor="accent3" w:themeShade="BF"/>
    </w:rPr>
    <w:tblPr>
      <w:tblStyleRowBandSize w:val="1"/>
      <w:tblStyleColBandSize w:val="1"/>
      <w:tblBorders>
        <w:top w:val="single" w:sz="4" w:space="0" w:color="ADE3F8" w:themeColor="accent3" w:themeTint="99"/>
        <w:left w:val="single" w:sz="4" w:space="0" w:color="ADE3F8" w:themeColor="accent3" w:themeTint="99"/>
        <w:bottom w:val="single" w:sz="4" w:space="0" w:color="ADE3F8" w:themeColor="accent3" w:themeTint="99"/>
        <w:right w:val="single" w:sz="4" w:space="0" w:color="ADE3F8" w:themeColor="accent3" w:themeTint="99"/>
        <w:insideH w:val="single" w:sz="4" w:space="0" w:color="ADE3F8" w:themeColor="accent3" w:themeTint="99"/>
        <w:insideV w:val="single" w:sz="4" w:space="0" w:color="ADE3F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5FC" w:themeFill="accent3" w:themeFillTint="33"/>
      </w:tcPr>
    </w:tblStylePr>
    <w:tblStylePr w:type="band1Horz">
      <w:tblPr/>
      <w:tcPr>
        <w:shd w:val="clear" w:color="auto" w:fill="E3F5FC" w:themeFill="accent3" w:themeFillTint="33"/>
      </w:tcPr>
    </w:tblStylePr>
    <w:tblStylePr w:type="neCell">
      <w:tblPr/>
      <w:tcPr>
        <w:tcBorders>
          <w:bottom w:val="single" w:sz="4" w:space="0" w:color="ADE3F8" w:themeColor="accent3" w:themeTint="99"/>
        </w:tcBorders>
      </w:tcPr>
    </w:tblStylePr>
    <w:tblStylePr w:type="nwCell">
      <w:tblPr/>
      <w:tcPr>
        <w:tcBorders>
          <w:bottom w:val="single" w:sz="4" w:space="0" w:color="ADE3F8" w:themeColor="accent3" w:themeTint="99"/>
        </w:tcBorders>
      </w:tcPr>
    </w:tblStylePr>
    <w:tblStylePr w:type="seCell">
      <w:tblPr/>
      <w:tcPr>
        <w:tcBorders>
          <w:top w:val="single" w:sz="4" w:space="0" w:color="ADE3F8" w:themeColor="accent3" w:themeTint="99"/>
        </w:tcBorders>
      </w:tcPr>
    </w:tblStylePr>
    <w:tblStylePr w:type="swCell">
      <w:tblPr/>
      <w:tcPr>
        <w:tcBorders>
          <w:top w:val="single" w:sz="4" w:space="0" w:color="ADE3F8" w:themeColor="accent3" w:themeTint="99"/>
        </w:tcBorders>
      </w:tcPr>
    </w:tblStylePr>
  </w:style>
  <w:style w:type="table" w:styleId="GridTable7Colorful-Accent4">
    <w:name w:val="Grid Table 7 Colorful Accent 4"/>
    <w:basedOn w:val="TableNormal"/>
    <w:uiPriority w:val="52"/>
    <w:rsid w:val="002A5496"/>
    <w:pPr>
      <w:spacing w:before="0" w:after="0"/>
    </w:pPr>
    <w:rPr>
      <w:color w:val="6D7989" w:themeColor="accent4" w:themeShade="BF"/>
    </w:rPr>
    <w:tblPr>
      <w:tblStyleRowBandSize w:val="1"/>
      <w:tblStyleColBandSize w:val="1"/>
      <w:tblBorders>
        <w:top w:val="single" w:sz="4" w:space="0" w:color="C2C7CF" w:themeColor="accent4" w:themeTint="99"/>
        <w:left w:val="single" w:sz="4" w:space="0" w:color="C2C7CF" w:themeColor="accent4" w:themeTint="99"/>
        <w:bottom w:val="single" w:sz="4" w:space="0" w:color="C2C7CF" w:themeColor="accent4" w:themeTint="99"/>
        <w:right w:val="single" w:sz="4" w:space="0" w:color="C2C7CF" w:themeColor="accent4" w:themeTint="99"/>
        <w:insideH w:val="single" w:sz="4" w:space="0" w:color="C2C7CF" w:themeColor="accent4" w:themeTint="99"/>
        <w:insideV w:val="single" w:sz="4" w:space="0" w:color="C2C7C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CEF" w:themeFill="accent4" w:themeFillTint="33"/>
      </w:tcPr>
    </w:tblStylePr>
    <w:tblStylePr w:type="band1Horz">
      <w:tblPr/>
      <w:tcPr>
        <w:shd w:val="clear" w:color="auto" w:fill="EAECEF" w:themeFill="accent4" w:themeFillTint="33"/>
      </w:tcPr>
    </w:tblStylePr>
    <w:tblStylePr w:type="neCell">
      <w:tblPr/>
      <w:tcPr>
        <w:tcBorders>
          <w:bottom w:val="single" w:sz="4" w:space="0" w:color="C2C7CF" w:themeColor="accent4" w:themeTint="99"/>
        </w:tcBorders>
      </w:tcPr>
    </w:tblStylePr>
    <w:tblStylePr w:type="nwCell">
      <w:tblPr/>
      <w:tcPr>
        <w:tcBorders>
          <w:bottom w:val="single" w:sz="4" w:space="0" w:color="C2C7CF" w:themeColor="accent4" w:themeTint="99"/>
        </w:tcBorders>
      </w:tcPr>
    </w:tblStylePr>
    <w:tblStylePr w:type="seCell">
      <w:tblPr/>
      <w:tcPr>
        <w:tcBorders>
          <w:top w:val="single" w:sz="4" w:space="0" w:color="C2C7CF" w:themeColor="accent4" w:themeTint="99"/>
        </w:tcBorders>
      </w:tcPr>
    </w:tblStylePr>
    <w:tblStylePr w:type="swCell">
      <w:tblPr/>
      <w:tcPr>
        <w:tcBorders>
          <w:top w:val="single" w:sz="4" w:space="0" w:color="C2C7CF" w:themeColor="accent4" w:themeTint="99"/>
        </w:tcBorders>
      </w:tcPr>
    </w:tblStylePr>
  </w:style>
  <w:style w:type="table" w:styleId="GridTable7Colorful-Accent5">
    <w:name w:val="Grid Table 7 Colorful Accent 5"/>
    <w:basedOn w:val="TableNormal"/>
    <w:uiPriority w:val="52"/>
    <w:rsid w:val="002A5496"/>
    <w:pPr>
      <w:spacing w:before="0" w:after="0"/>
    </w:pPr>
    <w:rPr>
      <w:color w:val="9BBB4E" w:themeColor="accent5" w:themeShade="BF"/>
    </w:rPr>
    <w:tblPr>
      <w:tblStyleRowBandSize w:val="1"/>
      <w:tblStyleColBandSize w:val="1"/>
      <w:tblBorders>
        <w:top w:val="single" w:sz="4" w:space="0" w:color="D9E5BB" w:themeColor="accent5" w:themeTint="99"/>
        <w:left w:val="single" w:sz="4" w:space="0" w:color="D9E5BB" w:themeColor="accent5" w:themeTint="99"/>
        <w:bottom w:val="single" w:sz="4" w:space="0" w:color="D9E5BB" w:themeColor="accent5" w:themeTint="99"/>
        <w:right w:val="single" w:sz="4" w:space="0" w:color="D9E5BB" w:themeColor="accent5" w:themeTint="99"/>
        <w:insideH w:val="single" w:sz="4" w:space="0" w:color="D9E5BB" w:themeColor="accent5" w:themeTint="99"/>
        <w:insideV w:val="single" w:sz="4" w:space="0" w:color="D9E5B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6E8" w:themeFill="accent5" w:themeFillTint="33"/>
      </w:tcPr>
    </w:tblStylePr>
    <w:tblStylePr w:type="band1Horz">
      <w:tblPr/>
      <w:tcPr>
        <w:shd w:val="clear" w:color="auto" w:fill="F2F6E8" w:themeFill="accent5" w:themeFillTint="33"/>
      </w:tcPr>
    </w:tblStylePr>
    <w:tblStylePr w:type="neCell">
      <w:tblPr/>
      <w:tcPr>
        <w:tcBorders>
          <w:bottom w:val="single" w:sz="4" w:space="0" w:color="D9E5BB" w:themeColor="accent5" w:themeTint="99"/>
        </w:tcBorders>
      </w:tcPr>
    </w:tblStylePr>
    <w:tblStylePr w:type="nwCell">
      <w:tblPr/>
      <w:tcPr>
        <w:tcBorders>
          <w:bottom w:val="single" w:sz="4" w:space="0" w:color="D9E5BB" w:themeColor="accent5" w:themeTint="99"/>
        </w:tcBorders>
      </w:tcPr>
    </w:tblStylePr>
    <w:tblStylePr w:type="seCell">
      <w:tblPr/>
      <w:tcPr>
        <w:tcBorders>
          <w:top w:val="single" w:sz="4" w:space="0" w:color="D9E5BB" w:themeColor="accent5" w:themeTint="99"/>
        </w:tcBorders>
      </w:tcPr>
    </w:tblStylePr>
    <w:tblStylePr w:type="swCell">
      <w:tblPr/>
      <w:tcPr>
        <w:tcBorders>
          <w:top w:val="single" w:sz="4" w:space="0" w:color="D9E5BB" w:themeColor="accent5" w:themeTint="99"/>
        </w:tcBorders>
      </w:tcPr>
    </w:tblStylePr>
  </w:style>
  <w:style w:type="table" w:styleId="GridTable7Colorful-Accent6">
    <w:name w:val="Grid Table 7 Colorful Accent 6"/>
    <w:basedOn w:val="TableNormal"/>
    <w:uiPriority w:val="52"/>
    <w:rsid w:val="002A5496"/>
    <w:pPr>
      <w:spacing w:before="0" w:after="0"/>
    </w:pPr>
    <w:rPr>
      <w:color w:val="449F70" w:themeColor="accent6" w:themeShade="BF"/>
    </w:rPr>
    <w:tblPr>
      <w:tblStyleRowBandSize w:val="1"/>
      <w:tblStyleColBandSize w:val="1"/>
      <w:tblBorders>
        <w:top w:val="single" w:sz="4" w:space="0" w:color="A8D9C0" w:themeColor="accent6" w:themeTint="99"/>
        <w:left w:val="single" w:sz="4" w:space="0" w:color="A8D9C0" w:themeColor="accent6" w:themeTint="99"/>
        <w:bottom w:val="single" w:sz="4" w:space="0" w:color="A8D9C0" w:themeColor="accent6" w:themeTint="99"/>
        <w:right w:val="single" w:sz="4" w:space="0" w:color="A8D9C0" w:themeColor="accent6" w:themeTint="99"/>
        <w:insideH w:val="single" w:sz="4" w:space="0" w:color="A8D9C0" w:themeColor="accent6" w:themeTint="99"/>
        <w:insideV w:val="single" w:sz="4" w:space="0" w:color="A8D9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2EA" w:themeFill="accent6" w:themeFillTint="33"/>
      </w:tcPr>
    </w:tblStylePr>
    <w:tblStylePr w:type="band1Horz">
      <w:tblPr/>
      <w:tcPr>
        <w:shd w:val="clear" w:color="auto" w:fill="E2F2EA" w:themeFill="accent6" w:themeFillTint="33"/>
      </w:tcPr>
    </w:tblStylePr>
    <w:tblStylePr w:type="neCell">
      <w:tblPr/>
      <w:tcPr>
        <w:tcBorders>
          <w:bottom w:val="single" w:sz="4" w:space="0" w:color="A8D9C0" w:themeColor="accent6" w:themeTint="99"/>
        </w:tcBorders>
      </w:tcPr>
    </w:tblStylePr>
    <w:tblStylePr w:type="nwCell">
      <w:tblPr/>
      <w:tcPr>
        <w:tcBorders>
          <w:bottom w:val="single" w:sz="4" w:space="0" w:color="A8D9C0" w:themeColor="accent6" w:themeTint="99"/>
        </w:tcBorders>
      </w:tcPr>
    </w:tblStylePr>
    <w:tblStylePr w:type="seCell">
      <w:tblPr/>
      <w:tcPr>
        <w:tcBorders>
          <w:top w:val="single" w:sz="4" w:space="0" w:color="A8D9C0" w:themeColor="accent6" w:themeTint="99"/>
        </w:tcBorders>
      </w:tcPr>
    </w:tblStylePr>
    <w:tblStylePr w:type="swCell">
      <w:tblPr/>
      <w:tcPr>
        <w:tcBorders>
          <w:top w:val="single" w:sz="4" w:space="0" w:color="A8D9C0" w:themeColor="accent6" w:themeTint="99"/>
        </w:tcBorders>
      </w:tcPr>
    </w:tblStylePr>
  </w:style>
  <w:style w:type="character" w:styleId="Hashtag">
    <w:name w:val="Hashtag"/>
    <w:basedOn w:val="DefaultParagraphFont"/>
    <w:uiPriority w:val="99"/>
    <w:semiHidden/>
    <w:unhideWhenUsed/>
    <w:rsid w:val="002A5496"/>
    <w:rPr>
      <w:color w:val="2B579A"/>
      <w:shd w:val="clear" w:color="auto" w:fill="E1DFDD"/>
    </w:rPr>
  </w:style>
  <w:style w:type="character" w:styleId="HTMLAcronym">
    <w:name w:val="HTML Acronym"/>
    <w:basedOn w:val="DefaultParagraphFont"/>
    <w:uiPriority w:val="99"/>
    <w:semiHidden/>
    <w:unhideWhenUsed/>
    <w:rsid w:val="002A5496"/>
  </w:style>
  <w:style w:type="paragraph" w:styleId="HTMLAddress">
    <w:name w:val="HTML Address"/>
    <w:basedOn w:val="Normal"/>
    <w:link w:val="HTMLAddressChar"/>
    <w:uiPriority w:val="99"/>
    <w:semiHidden/>
    <w:unhideWhenUsed/>
    <w:rsid w:val="002A5496"/>
    <w:pPr>
      <w:suppressAutoHyphens w:val="0"/>
      <w:spacing w:before="90" w:after="0" w:line="280" w:lineRule="atLeast"/>
    </w:pPr>
    <w:rPr>
      <w:rFonts w:ascii="Arial Narrow" w:hAnsi="Arial Narrow" w:cs="Arial"/>
      <w:i/>
      <w:iCs/>
      <w:color w:val="auto"/>
    </w:rPr>
  </w:style>
  <w:style w:type="character" w:customStyle="1" w:styleId="HTMLAddressChar">
    <w:name w:val="HTML Address Char"/>
    <w:basedOn w:val="DefaultParagraphFont"/>
    <w:link w:val="HTMLAddress"/>
    <w:uiPriority w:val="99"/>
    <w:semiHidden/>
    <w:rsid w:val="002A5496"/>
    <w:rPr>
      <w:rFonts w:ascii="Arial Narrow" w:hAnsi="Arial Narrow" w:cs="Arial"/>
      <w:i/>
      <w:iCs/>
      <w:color w:val="auto"/>
    </w:rPr>
  </w:style>
  <w:style w:type="character" w:styleId="HTMLCite">
    <w:name w:val="HTML Cite"/>
    <w:basedOn w:val="DefaultParagraphFont"/>
    <w:uiPriority w:val="99"/>
    <w:semiHidden/>
    <w:unhideWhenUsed/>
    <w:rsid w:val="002A5496"/>
    <w:rPr>
      <w:i/>
      <w:iCs/>
    </w:rPr>
  </w:style>
  <w:style w:type="character" w:styleId="HTMLCode">
    <w:name w:val="HTML Code"/>
    <w:basedOn w:val="DefaultParagraphFont"/>
    <w:uiPriority w:val="99"/>
    <w:semiHidden/>
    <w:unhideWhenUsed/>
    <w:rsid w:val="002A5496"/>
    <w:rPr>
      <w:rFonts w:ascii="Arial Narrow" w:hAnsi="Arial Narrow" w:cs="Arial"/>
      <w:sz w:val="20"/>
      <w:szCs w:val="20"/>
    </w:rPr>
  </w:style>
  <w:style w:type="character" w:styleId="HTMLDefinition">
    <w:name w:val="HTML Definition"/>
    <w:basedOn w:val="DefaultParagraphFont"/>
    <w:uiPriority w:val="99"/>
    <w:semiHidden/>
    <w:unhideWhenUsed/>
    <w:rsid w:val="002A5496"/>
    <w:rPr>
      <w:i/>
      <w:iCs/>
    </w:rPr>
  </w:style>
  <w:style w:type="character" w:styleId="HTMLKeyboard">
    <w:name w:val="HTML Keyboard"/>
    <w:basedOn w:val="DefaultParagraphFont"/>
    <w:uiPriority w:val="99"/>
    <w:semiHidden/>
    <w:unhideWhenUsed/>
    <w:rsid w:val="002A5496"/>
    <w:rPr>
      <w:rFonts w:ascii="Arial Narrow" w:hAnsi="Arial Narrow" w:cs="Arial"/>
      <w:sz w:val="20"/>
      <w:szCs w:val="20"/>
    </w:rPr>
  </w:style>
  <w:style w:type="paragraph" w:styleId="HTMLPreformatted">
    <w:name w:val="HTML Preformatted"/>
    <w:basedOn w:val="Normal"/>
    <w:link w:val="HTMLPreformattedChar"/>
    <w:uiPriority w:val="99"/>
    <w:semiHidden/>
    <w:unhideWhenUsed/>
    <w:rsid w:val="002A5496"/>
    <w:pPr>
      <w:suppressAutoHyphens w:val="0"/>
      <w:spacing w:before="90" w:after="0" w:line="280" w:lineRule="atLeast"/>
    </w:pPr>
    <w:rPr>
      <w:rFonts w:ascii="Arial Narrow" w:hAnsi="Arial Narrow" w:cs="Arial"/>
      <w:color w:val="auto"/>
      <w:sz w:val="20"/>
      <w:szCs w:val="20"/>
    </w:rPr>
  </w:style>
  <w:style w:type="character" w:customStyle="1" w:styleId="HTMLPreformattedChar">
    <w:name w:val="HTML Preformatted Char"/>
    <w:basedOn w:val="DefaultParagraphFont"/>
    <w:link w:val="HTMLPreformatted"/>
    <w:uiPriority w:val="99"/>
    <w:semiHidden/>
    <w:rsid w:val="002A5496"/>
    <w:rPr>
      <w:rFonts w:ascii="Arial Narrow" w:hAnsi="Arial Narrow" w:cs="Arial"/>
      <w:color w:val="auto"/>
      <w:sz w:val="20"/>
      <w:szCs w:val="20"/>
    </w:rPr>
  </w:style>
  <w:style w:type="character" w:styleId="HTMLSample">
    <w:name w:val="HTML Sample"/>
    <w:basedOn w:val="DefaultParagraphFont"/>
    <w:uiPriority w:val="99"/>
    <w:semiHidden/>
    <w:unhideWhenUsed/>
    <w:rsid w:val="002A5496"/>
    <w:rPr>
      <w:rFonts w:ascii="Arial Narrow" w:hAnsi="Arial Narrow" w:cs="Arial"/>
      <w:sz w:val="24"/>
      <w:szCs w:val="24"/>
    </w:rPr>
  </w:style>
  <w:style w:type="character" w:styleId="HTMLTypewriter">
    <w:name w:val="HTML Typewriter"/>
    <w:basedOn w:val="DefaultParagraphFont"/>
    <w:uiPriority w:val="99"/>
    <w:semiHidden/>
    <w:unhideWhenUsed/>
    <w:rsid w:val="002A5496"/>
    <w:rPr>
      <w:rFonts w:ascii="Arial Narrow" w:hAnsi="Arial Narrow" w:cs="Arial"/>
      <w:sz w:val="20"/>
      <w:szCs w:val="20"/>
    </w:rPr>
  </w:style>
  <w:style w:type="character" w:styleId="HTMLVariable">
    <w:name w:val="HTML Variable"/>
    <w:basedOn w:val="DefaultParagraphFont"/>
    <w:uiPriority w:val="99"/>
    <w:semiHidden/>
    <w:unhideWhenUsed/>
    <w:rsid w:val="002A5496"/>
    <w:rPr>
      <w:i/>
      <w:iCs/>
    </w:rPr>
  </w:style>
  <w:style w:type="paragraph" w:styleId="Index1">
    <w:name w:val="index 1"/>
    <w:basedOn w:val="Normal"/>
    <w:next w:val="Normal"/>
    <w:autoRedefine/>
    <w:uiPriority w:val="99"/>
    <w:semiHidden/>
    <w:unhideWhenUsed/>
    <w:rsid w:val="002A5496"/>
    <w:pPr>
      <w:suppressAutoHyphens w:val="0"/>
      <w:spacing w:before="90" w:after="0" w:line="280" w:lineRule="atLeast"/>
      <w:ind w:left="220" w:hanging="220"/>
    </w:pPr>
    <w:rPr>
      <w:rFonts w:ascii="Arial Narrow" w:hAnsi="Arial Narrow" w:cs="Arial"/>
      <w:color w:val="auto"/>
    </w:rPr>
  </w:style>
  <w:style w:type="paragraph" w:styleId="Index2">
    <w:name w:val="index 2"/>
    <w:basedOn w:val="Normal"/>
    <w:next w:val="Normal"/>
    <w:autoRedefine/>
    <w:uiPriority w:val="99"/>
    <w:semiHidden/>
    <w:unhideWhenUsed/>
    <w:rsid w:val="002A5496"/>
    <w:pPr>
      <w:suppressAutoHyphens w:val="0"/>
      <w:spacing w:before="90" w:after="0" w:line="280" w:lineRule="atLeast"/>
      <w:ind w:left="440" w:hanging="220"/>
    </w:pPr>
    <w:rPr>
      <w:rFonts w:ascii="Arial Narrow" w:hAnsi="Arial Narrow" w:cs="Arial"/>
      <w:color w:val="auto"/>
    </w:rPr>
  </w:style>
  <w:style w:type="paragraph" w:styleId="Index3">
    <w:name w:val="index 3"/>
    <w:basedOn w:val="Normal"/>
    <w:next w:val="Normal"/>
    <w:autoRedefine/>
    <w:uiPriority w:val="99"/>
    <w:semiHidden/>
    <w:unhideWhenUsed/>
    <w:rsid w:val="002A5496"/>
    <w:pPr>
      <w:suppressAutoHyphens w:val="0"/>
      <w:spacing w:before="90" w:after="0" w:line="280" w:lineRule="atLeast"/>
      <w:ind w:left="660" w:hanging="220"/>
    </w:pPr>
    <w:rPr>
      <w:rFonts w:ascii="Arial Narrow" w:hAnsi="Arial Narrow" w:cs="Arial"/>
      <w:color w:val="auto"/>
    </w:rPr>
  </w:style>
  <w:style w:type="paragraph" w:styleId="Index4">
    <w:name w:val="index 4"/>
    <w:basedOn w:val="Normal"/>
    <w:next w:val="Normal"/>
    <w:autoRedefine/>
    <w:uiPriority w:val="99"/>
    <w:semiHidden/>
    <w:unhideWhenUsed/>
    <w:rsid w:val="002A5496"/>
    <w:pPr>
      <w:suppressAutoHyphens w:val="0"/>
      <w:spacing w:before="90" w:after="0" w:line="280" w:lineRule="atLeast"/>
      <w:ind w:left="880" w:hanging="220"/>
    </w:pPr>
    <w:rPr>
      <w:rFonts w:ascii="Arial Narrow" w:hAnsi="Arial Narrow" w:cs="Arial"/>
      <w:color w:val="auto"/>
    </w:rPr>
  </w:style>
  <w:style w:type="paragraph" w:styleId="Index5">
    <w:name w:val="index 5"/>
    <w:basedOn w:val="Normal"/>
    <w:next w:val="Normal"/>
    <w:autoRedefine/>
    <w:uiPriority w:val="99"/>
    <w:semiHidden/>
    <w:unhideWhenUsed/>
    <w:rsid w:val="002A5496"/>
    <w:pPr>
      <w:suppressAutoHyphens w:val="0"/>
      <w:spacing w:before="90" w:after="0" w:line="280" w:lineRule="atLeast"/>
      <w:ind w:left="1100" w:hanging="220"/>
    </w:pPr>
    <w:rPr>
      <w:rFonts w:ascii="Arial Narrow" w:hAnsi="Arial Narrow" w:cs="Arial"/>
      <w:color w:val="auto"/>
    </w:rPr>
  </w:style>
  <w:style w:type="paragraph" w:styleId="Index6">
    <w:name w:val="index 6"/>
    <w:basedOn w:val="Normal"/>
    <w:next w:val="Normal"/>
    <w:autoRedefine/>
    <w:uiPriority w:val="99"/>
    <w:semiHidden/>
    <w:unhideWhenUsed/>
    <w:rsid w:val="002A5496"/>
    <w:pPr>
      <w:suppressAutoHyphens w:val="0"/>
      <w:spacing w:before="90" w:after="0" w:line="280" w:lineRule="atLeast"/>
      <w:ind w:left="1320" w:hanging="220"/>
    </w:pPr>
    <w:rPr>
      <w:rFonts w:ascii="Arial Narrow" w:hAnsi="Arial Narrow" w:cs="Arial"/>
      <w:color w:val="auto"/>
    </w:rPr>
  </w:style>
  <w:style w:type="paragraph" w:styleId="Index7">
    <w:name w:val="index 7"/>
    <w:basedOn w:val="Normal"/>
    <w:next w:val="Normal"/>
    <w:autoRedefine/>
    <w:uiPriority w:val="99"/>
    <w:semiHidden/>
    <w:unhideWhenUsed/>
    <w:rsid w:val="002A5496"/>
    <w:pPr>
      <w:suppressAutoHyphens w:val="0"/>
      <w:spacing w:before="90" w:after="0" w:line="280" w:lineRule="atLeast"/>
      <w:ind w:left="1540" w:hanging="220"/>
    </w:pPr>
    <w:rPr>
      <w:rFonts w:ascii="Arial Narrow" w:hAnsi="Arial Narrow" w:cs="Arial"/>
      <w:color w:val="auto"/>
    </w:rPr>
  </w:style>
  <w:style w:type="paragraph" w:styleId="Index8">
    <w:name w:val="index 8"/>
    <w:basedOn w:val="Normal"/>
    <w:next w:val="Normal"/>
    <w:autoRedefine/>
    <w:uiPriority w:val="99"/>
    <w:semiHidden/>
    <w:unhideWhenUsed/>
    <w:rsid w:val="002A5496"/>
    <w:pPr>
      <w:suppressAutoHyphens w:val="0"/>
      <w:spacing w:before="90" w:after="0" w:line="280" w:lineRule="atLeast"/>
      <w:ind w:left="1760" w:hanging="220"/>
    </w:pPr>
    <w:rPr>
      <w:rFonts w:ascii="Arial Narrow" w:hAnsi="Arial Narrow" w:cs="Arial"/>
      <w:color w:val="auto"/>
    </w:rPr>
  </w:style>
  <w:style w:type="paragraph" w:styleId="Index9">
    <w:name w:val="index 9"/>
    <w:basedOn w:val="Normal"/>
    <w:next w:val="Normal"/>
    <w:autoRedefine/>
    <w:uiPriority w:val="99"/>
    <w:semiHidden/>
    <w:unhideWhenUsed/>
    <w:rsid w:val="002A5496"/>
    <w:pPr>
      <w:suppressAutoHyphens w:val="0"/>
      <w:spacing w:before="90" w:after="0" w:line="280" w:lineRule="atLeast"/>
      <w:ind w:left="1980" w:hanging="220"/>
    </w:pPr>
    <w:rPr>
      <w:rFonts w:ascii="Arial Narrow" w:hAnsi="Arial Narrow" w:cs="Arial"/>
      <w:color w:val="auto"/>
    </w:rPr>
  </w:style>
  <w:style w:type="paragraph" w:styleId="IndexHeading">
    <w:name w:val="index heading"/>
    <w:basedOn w:val="Normal"/>
    <w:next w:val="Index1"/>
    <w:uiPriority w:val="99"/>
    <w:semiHidden/>
    <w:unhideWhenUsed/>
    <w:rsid w:val="002A5496"/>
    <w:pPr>
      <w:suppressAutoHyphens w:val="0"/>
      <w:spacing w:before="90" w:after="160" w:line="259" w:lineRule="auto"/>
    </w:pPr>
    <w:rPr>
      <w:rFonts w:ascii="Arial Narrow" w:eastAsiaTheme="majorEastAsia" w:hAnsi="Arial Narrow" w:cs="Arial"/>
      <w:b/>
      <w:bCs/>
      <w:color w:val="auto"/>
    </w:rPr>
  </w:style>
  <w:style w:type="character" w:styleId="IntenseEmphasis">
    <w:name w:val="Intense Emphasis"/>
    <w:basedOn w:val="DefaultParagraphFont"/>
    <w:uiPriority w:val="21"/>
    <w:qFormat/>
    <w:rsid w:val="002A5496"/>
    <w:rPr>
      <w:i/>
      <w:iCs/>
      <w:color w:val="081E3E" w:themeColor="accent1"/>
    </w:rPr>
  </w:style>
  <w:style w:type="paragraph" w:styleId="IntenseQuote">
    <w:name w:val="Intense Quote"/>
    <w:basedOn w:val="Normal"/>
    <w:next w:val="Normal"/>
    <w:link w:val="IntenseQuoteChar"/>
    <w:uiPriority w:val="30"/>
    <w:qFormat/>
    <w:rsid w:val="002A5496"/>
    <w:pPr>
      <w:pBdr>
        <w:top w:val="single" w:sz="4" w:space="10" w:color="081E3E" w:themeColor="accent1"/>
        <w:bottom w:val="single" w:sz="4" w:space="10" w:color="081E3E" w:themeColor="accent1"/>
      </w:pBdr>
      <w:suppressAutoHyphens w:val="0"/>
      <w:spacing w:before="360" w:after="360" w:line="259" w:lineRule="auto"/>
      <w:ind w:left="864" w:right="864"/>
      <w:jc w:val="center"/>
    </w:pPr>
    <w:rPr>
      <w:rFonts w:ascii="Arial Narrow" w:hAnsi="Arial Narrow" w:cs="Arial"/>
      <w:i/>
      <w:iCs/>
      <w:color w:val="081E3E" w:themeColor="accent1"/>
    </w:rPr>
  </w:style>
  <w:style w:type="character" w:customStyle="1" w:styleId="IntenseQuoteChar">
    <w:name w:val="Intense Quote Char"/>
    <w:basedOn w:val="DefaultParagraphFont"/>
    <w:link w:val="IntenseQuote"/>
    <w:uiPriority w:val="30"/>
    <w:rsid w:val="002A5496"/>
    <w:rPr>
      <w:rFonts w:ascii="Arial Narrow" w:hAnsi="Arial Narrow" w:cs="Arial"/>
      <w:i/>
      <w:iCs/>
      <w:color w:val="081E3E" w:themeColor="accent1"/>
    </w:rPr>
  </w:style>
  <w:style w:type="character" w:styleId="IntenseReference">
    <w:name w:val="Intense Reference"/>
    <w:basedOn w:val="DefaultParagraphFont"/>
    <w:uiPriority w:val="32"/>
    <w:qFormat/>
    <w:rsid w:val="002A5496"/>
    <w:rPr>
      <w:b/>
      <w:bCs/>
      <w:smallCaps/>
      <w:color w:val="081E3E" w:themeColor="accent1"/>
      <w:spacing w:val="5"/>
    </w:rPr>
  </w:style>
  <w:style w:type="table" w:styleId="LightGrid">
    <w:name w:val="Light Grid"/>
    <w:basedOn w:val="TableNormal"/>
    <w:uiPriority w:val="62"/>
    <w:semiHidden/>
    <w:unhideWhenUsed/>
    <w:rsid w:val="002A5496"/>
    <w:pPr>
      <w:spacing w:before="0" w:after="0"/>
    </w:pPr>
    <w:rPr>
      <w:color w:val="aut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A5496"/>
    <w:pPr>
      <w:spacing w:before="0" w:after="0"/>
    </w:pPr>
    <w:rPr>
      <w:color w:val="auto"/>
    </w:rPr>
    <w:tblPr>
      <w:tblStyleRowBandSize w:val="1"/>
      <w:tblStyleColBandSize w:val="1"/>
      <w:tblBorders>
        <w:top w:val="single" w:sz="8" w:space="0" w:color="081E3E" w:themeColor="accent1"/>
        <w:left w:val="single" w:sz="8" w:space="0" w:color="081E3E" w:themeColor="accent1"/>
        <w:bottom w:val="single" w:sz="8" w:space="0" w:color="081E3E" w:themeColor="accent1"/>
        <w:right w:val="single" w:sz="8" w:space="0" w:color="081E3E" w:themeColor="accent1"/>
        <w:insideH w:val="single" w:sz="8" w:space="0" w:color="081E3E" w:themeColor="accent1"/>
        <w:insideV w:val="single" w:sz="8" w:space="0" w:color="081E3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81E3E" w:themeColor="accent1"/>
          <w:left w:val="single" w:sz="8" w:space="0" w:color="081E3E" w:themeColor="accent1"/>
          <w:bottom w:val="single" w:sz="18" w:space="0" w:color="081E3E" w:themeColor="accent1"/>
          <w:right w:val="single" w:sz="8" w:space="0" w:color="081E3E" w:themeColor="accent1"/>
          <w:insideH w:val="nil"/>
          <w:insideV w:val="single" w:sz="8" w:space="0" w:color="081E3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81E3E" w:themeColor="accent1"/>
          <w:left w:val="single" w:sz="8" w:space="0" w:color="081E3E" w:themeColor="accent1"/>
          <w:bottom w:val="single" w:sz="8" w:space="0" w:color="081E3E" w:themeColor="accent1"/>
          <w:right w:val="single" w:sz="8" w:space="0" w:color="081E3E" w:themeColor="accent1"/>
          <w:insideH w:val="nil"/>
          <w:insideV w:val="single" w:sz="8" w:space="0" w:color="081E3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81E3E" w:themeColor="accent1"/>
          <w:left w:val="single" w:sz="8" w:space="0" w:color="081E3E" w:themeColor="accent1"/>
          <w:bottom w:val="single" w:sz="8" w:space="0" w:color="081E3E" w:themeColor="accent1"/>
          <w:right w:val="single" w:sz="8" w:space="0" w:color="081E3E" w:themeColor="accent1"/>
        </w:tcBorders>
      </w:tcPr>
    </w:tblStylePr>
    <w:tblStylePr w:type="band1Vert">
      <w:tblPr/>
      <w:tcPr>
        <w:tcBorders>
          <w:top w:val="single" w:sz="8" w:space="0" w:color="081E3E" w:themeColor="accent1"/>
          <w:left w:val="single" w:sz="8" w:space="0" w:color="081E3E" w:themeColor="accent1"/>
          <w:bottom w:val="single" w:sz="8" w:space="0" w:color="081E3E" w:themeColor="accent1"/>
          <w:right w:val="single" w:sz="8" w:space="0" w:color="081E3E" w:themeColor="accent1"/>
        </w:tcBorders>
        <w:shd w:val="clear" w:color="auto" w:fill="9EC0F2" w:themeFill="accent1" w:themeFillTint="3F"/>
      </w:tcPr>
    </w:tblStylePr>
    <w:tblStylePr w:type="band1Horz">
      <w:tblPr/>
      <w:tcPr>
        <w:tcBorders>
          <w:top w:val="single" w:sz="8" w:space="0" w:color="081E3E" w:themeColor="accent1"/>
          <w:left w:val="single" w:sz="8" w:space="0" w:color="081E3E" w:themeColor="accent1"/>
          <w:bottom w:val="single" w:sz="8" w:space="0" w:color="081E3E" w:themeColor="accent1"/>
          <w:right w:val="single" w:sz="8" w:space="0" w:color="081E3E" w:themeColor="accent1"/>
          <w:insideV w:val="single" w:sz="8" w:space="0" w:color="081E3E" w:themeColor="accent1"/>
        </w:tcBorders>
        <w:shd w:val="clear" w:color="auto" w:fill="9EC0F2" w:themeFill="accent1" w:themeFillTint="3F"/>
      </w:tcPr>
    </w:tblStylePr>
    <w:tblStylePr w:type="band2Horz">
      <w:tblPr/>
      <w:tcPr>
        <w:tcBorders>
          <w:top w:val="single" w:sz="8" w:space="0" w:color="081E3E" w:themeColor="accent1"/>
          <w:left w:val="single" w:sz="8" w:space="0" w:color="081E3E" w:themeColor="accent1"/>
          <w:bottom w:val="single" w:sz="8" w:space="0" w:color="081E3E" w:themeColor="accent1"/>
          <w:right w:val="single" w:sz="8" w:space="0" w:color="081E3E" w:themeColor="accent1"/>
          <w:insideV w:val="single" w:sz="8" w:space="0" w:color="081E3E" w:themeColor="accent1"/>
        </w:tcBorders>
      </w:tcPr>
    </w:tblStylePr>
  </w:style>
  <w:style w:type="table" w:styleId="LightGrid-Accent2">
    <w:name w:val="Light Grid Accent 2"/>
    <w:basedOn w:val="TableNormal"/>
    <w:uiPriority w:val="62"/>
    <w:semiHidden/>
    <w:unhideWhenUsed/>
    <w:rsid w:val="002A5496"/>
    <w:pPr>
      <w:spacing w:before="0" w:after="0"/>
    </w:pPr>
    <w:rPr>
      <w:color w:val="auto"/>
    </w:rPr>
    <w:tblPr>
      <w:tblStyleRowBandSize w:val="1"/>
      <w:tblStyleColBandSize w:val="1"/>
      <w:tblBorders>
        <w:top w:val="single" w:sz="8" w:space="0" w:color="008089" w:themeColor="accent2"/>
        <w:left w:val="single" w:sz="8" w:space="0" w:color="008089" w:themeColor="accent2"/>
        <w:bottom w:val="single" w:sz="8" w:space="0" w:color="008089" w:themeColor="accent2"/>
        <w:right w:val="single" w:sz="8" w:space="0" w:color="008089" w:themeColor="accent2"/>
        <w:insideH w:val="single" w:sz="8" w:space="0" w:color="008089" w:themeColor="accent2"/>
        <w:insideV w:val="single" w:sz="8" w:space="0" w:color="00808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089" w:themeColor="accent2"/>
          <w:left w:val="single" w:sz="8" w:space="0" w:color="008089" w:themeColor="accent2"/>
          <w:bottom w:val="single" w:sz="18" w:space="0" w:color="008089" w:themeColor="accent2"/>
          <w:right w:val="single" w:sz="8" w:space="0" w:color="008089" w:themeColor="accent2"/>
          <w:insideH w:val="nil"/>
          <w:insideV w:val="single" w:sz="8" w:space="0" w:color="00808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089" w:themeColor="accent2"/>
          <w:left w:val="single" w:sz="8" w:space="0" w:color="008089" w:themeColor="accent2"/>
          <w:bottom w:val="single" w:sz="8" w:space="0" w:color="008089" w:themeColor="accent2"/>
          <w:right w:val="single" w:sz="8" w:space="0" w:color="008089" w:themeColor="accent2"/>
          <w:insideH w:val="nil"/>
          <w:insideV w:val="single" w:sz="8" w:space="0" w:color="00808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089" w:themeColor="accent2"/>
          <w:left w:val="single" w:sz="8" w:space="0" w:color="008089" w:themeColor="accent2"/>
          <w:bottom w:val="single" w:sz="8" w:space="0" w:color="008089" w:themeColor="accent2"/>
          <w:right w:val="single" w:sz="8" w:space="0" w:color="008089" w:themeColor="accent2"/>
        </w:tcBorders>
      </w:tcPr>
    </w:tblStylePr>
    <w:tblStylePr w:type="band1Vert">
      <w:tblPr/>
      <w:tcPr>
        <w:tcBorders>
          <w:top w:val="single" w:sz="8" w:space="0" w:color="008089" w:themeColor="accent2"/>
          <w:left w:val="single" w:sz="8" w:space="0" w:color="008089" w:themeColor="accent2"/>
          <w:bottom w:val="single" w:sz="8" w:space="0" w:color="008089" w:themeColor="accent2"/>
          <w:right w:val="single" w:sz="8" w:space="0" w:color="008089" w:themeColor="accent2"/>
        </w:tcBorders>
        <w:shd w:val="clear" w:color="auto" w:fill="A2F8FF" w:themeFill="accent2" w:themeFillTint="3F"/>
      </w:tcPr>
    </w:tblStylePr>
    <w:tblStylePr w:type="band1Horz">
      <w:tblPr/>
      <w:tcPr>
        <w:tcBorders>
          <w:top w:val="single" w:sz="8" w:space="0" w:color="008089" w:themeColor="accent2"/>
          <w:left w:val="single" w:sz="8" w:space="0" w:color="008089" w:themeColor="accent2"/>
          <w:bottom w:val="single" w:sz="8" w:space="0" w:color="008089" w:themeColor="accent2"/>
          <w:right w:val="single" w:sz="8" w:space="0" w:color="008089" w:themeColor="accent2"/>
          <w:insideV w:val="single" w:sz="8" w:space="0" w:color="008089" w:themeColor="accent2"/>
        </w:tcBorders>
        <w:shd w:val="clear" w:color="auto" w:fill="A2F8FF" w:themeFill="accent2" w:themeFillTint="3F"/>
      </w:tcPr>
    </w:tblStylePr>
    <w:tblStylePr w:type="band2Horz">
      <w:tblPr/>
      <w:tcPr>
        <w:tcBorders>
          <w:top w:val="single" w:sz="8" w:space="0" w:color="008089" w:themeColor="accent2"/>
          <w:left w:val="single" w:sz="8" w:space="0" w:color="008089" w:themeColor="accent2"/>
          <w:bottom w:val="single" w:sz="8" w:space="0" w:color="008089" w:themeColor="accent2"/>
          <w:right w:val="single" w:sz="8" w:space="0" w:color="008089" w:themeColor="accent2"/>
          <w:insideV w:val="single" w:sz="8" w:space="0" w:color="008089" w:themeColor="accent2"/>
        </w:tcBorders>
      </w:tcPr>
    </w:tblStylePr>
  </w:style>
  <w:style w:type="table" w:styleId="LightGrid-Accent3">
    <w:name w:val="Light Grid Accent 3"/>
    <w:basedOn w:val="TableNormal"/>
    <w:uiPriority w:val="62"/>
    <w:semiHidden/>
    <w:unhideWhenUsed/>
    <w:rsid w:val="002A5496"/>
    <w:pPr>
      <w:spacing w:before="0" w:after="0"/>
    </w:pPr>
    <w:rPr>
      <w:color w:val="auto"/>
    </w:rPr>
    <w:tblPr>
      <w:tblStyleRowBandSize w:val="1"/>
      <w:tblStyleColBandSize w:val="1"/>
      <w:tblBorders>
        <w:top w:val="single" w:sz="8" w:space="0" w:color="77D1F4" w:themeColor="accent3"/>
        <w:left w:val="single" w:sz="8" w:space="0" w:color="77D1F4" w:themeColor="accent3"/>
        <w:bottom w:val="single" w:sz="8" w:space="0" w:color="77D1F4" w:themeColor="accent3"/>
        <w:right w:val="single" w:sz="8" w:space="0" w:color="77D1F4" w:themeColor="accent3"/>
        <w:insideH w:val="single" w:sz="8" w:space="0" w:color="77D1F4" w:themeColor="accent3"/>
        <w:insideV w:val="single" w:sz="8" w:space="0" w:color="77D1F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7D1F4" w:themeColor="accent3"/>
          <w:left w:val="single" w:sz="8" w:space="0" w:color="77D1F4" w:themeColor="accent3"/>
          <w:bottom w:val="single" w:sz="18" w:space="0" w:color="77D1F4" w:themeColor="accent3"/>
          <w:right w:val="single" w:sz="8" w:space="0" w:color="77D1F4" w:themeColor="accent3"/>
          <w:insideH w:val="nil"/>
          <w:insideV w:val="single" w:sz="8" w:space="0" w:color="77D1F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7D1F4" w:themeColor="accent3"/>
          <w:left w:val="single" w:sz="8" w:space="0" w:color="77D1F4" w:themeColor="accent3"/>
          <w:bottom w:val="single" w:sz="8" w:space="0" w:color="77D1F4" w:themeColor="accent3"/>
          <w:right w:val="single" w:sz="8" w:space="0" w:color="77D1F4" w:themeColor="accent3"/>
          <w:insideH w:val="nil"/>
          <w:insideV w:val="single" w:sz="8" w:space="0" w:color="77D1F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7D1F4" w:themeColor="accent3"/>
          <w:left w:val="single" w:sz="8" w:space="0" w:color="77D1F4" w:themeColor="accent3"/>
          <w:bottom w:val="single" w:sz="8" w:space="0" w:color="77D1F4" w:themeColor="accent3"/>
          <w:right w:val="single" w:sz="8" w:space="0" w:color="77D1F4" w:themeColor="accent3"/>
        </w:tcBorders>
      </w:tcPr>
    </w:tblStylePr>
    <w:tblStylePr w:type="band1Vert">
      <w:tblPr/>
      <w:tcPr>
        <w:tcBorders>
          <w:top w:val="single" w:sz="8" w:space="0" w:color="77D1F4" w:themeColor="accent3"/>
          <w:left w:val="single" w:sz="8" w:space="0" w:color="77D1F4" w:themeColor="accent3"/>
          <w:bottom w:val="single" w:sz="8" w:space="0" w:color="77D1F4" w:themeColor="accent3"/>
          <w:right w:val="single" w:sz="8" w:space="0" w:color="77D1F4" w:themeColor="accent3"/>
        </w:tcBorders>
        <w:shd w:val="clear" w:color="auto" w:fill="DDF3FC" w:themeFill="accent3" w:themeFillTint="3F"/>
      </w:tcPr>
    </w:tblStylePr>
    <w:tblStylePr w:type="band1Horz">
      <w:tblPr/>
      <w:tcPr>
        <w:tcBorders>
          <w:top w:val="single" w:sz="8" w:space="0" w:color="77D1F4" w:themeColor="accent3"/>
          <w:left w:val="single" w:sz="8" w:space="0" w:color="77D1F4" w:themeColor="accent3"/>
          <w:bottom w:val="single" w:sz="8" w:space="0" w:color="77D1F4" w:themeColor="accent3"/>
          <w:right w:val="single" w:sz="8" w:space="0" w:color="77D1F4" w:themeColor="accent3"/>
          <w:insideV w:val="single" w:sz="8" w:space="0" w:color="77D1F4" w:themeColor="accent3"/>
        </w:tcBorders>
        <w:shd w:val="clear" w:color="auto" w:fill="DDF3FC" w:themeFill="accent3" w:themeFillTint="3F"/>
      </w:tcPr>
    </w:tblStylePr>
    <w:tblStylePr w:type="band2Horz">
      <w:tblPr/>
      <w:tcPr>
        <w:tcBorders>
          <w:top w:val="single" w:sz="8" w:space="0" w:color="77D1F4" w:themeColor="accent3"/>
          <w:left w:val="single" w:sz="8" w:space="0" w:color="77D1F4" w:themeColor="accent3"/>
          <w:bottom w:val="single" w:sz="8" w:space="0" w:color="77D1F4" w:themeColor="accent3"/>
          <w:right w:val="single" w:sz="8" w:space="0" w:color="77D1F4" w:themeColor="accent3"/>
          <w:insideV w:val="single" w:sz="8" w:space="0" w:color="77D1F4" w:themeColor="accent3"/>
        </w:tcBorders>
      </w:tcPr>
    </w:tblStylePr>
  </w:style>
  <w:style w:type="table" w:styleId="LightGrid-Accent4">
    <w:name w:val="Light Grid Accent 4"/>
    <w:basedOn w:val="TableNormal"/>
    <w:uiPriority w:val="62"/>
    <w:semiHidden/>
    <w:unhideWhenUsed/>
    <w:rsid w:val="002A5496"/>
    <w:pPr>
      <w:spacing w:before="0" w:after="0"/>
    </w:pPr>
    <w:rPr>
      <w:color w:val="auto"/>
    </w:rPr>
    <w:tblPr>
      <w:tblStyleRowBandSize w:val="1"/>
      <w:tblStyleColBandSize w:val="1"/>
      <w:tblBorders>
        <w:top w:val="single" w:sz="8" w:space="0" w:color="9AA3AF" w:themeColor="accent4"/>
        <w:left w:val="single" w:sz="8" w:space="0" w:color="9AA3AF" w:themeColor="accent4"/>
        <w:bottom w:val="single" w:sz="8" w:space="0" w:color="9AA3AF" w:themeColor="accent4"/>
        <w:right w:val="single" w:sz="8" w:space="0" w:color="9AA3AF" w:themeColor="accent4"/>
        <w:insideH w:val="single" w:sz="8" w:space="0" w:color="9AA3AF" w:themeColor="accent4"/>
        <w:insideV w:val="single" w:sz="8" w:space="0" w:color="9AA3A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A3AF" w:themeColor="accent4"/>
          <w:left w:val="single" w:sz="8" w:space="0" w:color="9AA3AF" w:themeColor="accent4"/>
          <w:bottom w:val="single" w:sz="18" w:space="0" w:color="9AA3AF" w:themeColor="accent4"/>
          <w:right w:val="single" w:sz="8" w:space="0" w:color="9AA3AF" w:themeColor="accent4"/>
          <w:insideH w:val="nil"/>
          <w:insideV w:val="single" w:sz="8" w:space="0" w:color="9AA3A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A3AF" w:themeColor="accent4"/>
          <w:left w:val="single" w:sz="8" w:space="0" w:color="9AA3AF" w:themeColor="accent4"/>
          <w:bottom w:val="single" w:sz="8" w:space="0" w:color="9AA3AF" w:themeColor="accent4"/>
          <w:right w:val="single" w:sz="8" w:space="0" w:color="9AA3AF" w:themeColor="accent4"/>
          <w:insideH w:val="nil"/>
          <w:insideV w:val="single" w:sz="8" w:space="0" w:color="9AA3A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A3AF" w:themeColor="accent4"/>
          <w:left w:val="single" w:sz="8" w:space="0" w:color="9AA3AF" w:themeColor="accent4"/>
          <w:bottom w:val="single" w:sz="8" w:space="0" w:color="9AA3AF" w:themeColor="accent4"/>
          <w:right w:val="single" w:sz="8" w:space="0" w:color="9AA3AF" w:themeColor="accent4"/>
        </w:tcBorders>
      </w:tcPr>
    </w:tblStylePr>
    <w:tblStylePr w:type="band1Vert">
      <w:tblPr/>
      <w:tcPr>
        <w:tcBorders>
          <w:top w:val="single" w:sz="8" w:space="0" w:color="9AA3AF" w:themeColor="accent4"/>
          <w:left w:val="single" w:sz="8" w:space="0" w:color="9AA3AF" w:themeColor="accent4"/>
          <w:bottom w:val="single" w:sz="8" w:space="0" w:color="9AA3AF" w:themeColor="accent4"/>
          <w:right w:val="single" w:sz="8" w:space="0" w:color="9AA3AF" w:themeColor="accent4"/>
        </w:tcBorders>
        <w:shd w:val="clear" w:color="auto" w:fill="E5E8EB" w:themeFill="accent4" w:themeFillTint="3F"/>
      </w:tcPr>
    </w:tblStylePr>
    <w:tblStylePr w:type="band1Horz">
      <w:tblPr/>
      <w:tcPr>
        <w:tcBorders>
          <w:top w:val="single" w:sz="8" w:space="0" w:color="9AA3AF" w:themeColor="accent4"/>
          <w:left w:val="single" w:sz="8" w:space="0" w:color="9AA3AF" w:themeColor="accent4"/>
          <w:bottom w:val="single" w:sz="8" w:space="0" w:color="9AA3AF" w:themeColor="accent4"/>
          <w:right w:val="single" w:sz="8" w:space="0" w:color="9AA3AF" w:themeColor="accent4"/>
          <w:insideV w:val="single" w:sz="8" w:space="0" w:color="9AA3AF" w:themeColor="accent4"/>
        </w:tcBorders>
        <w:shd w:val="clear" w:color="auto" w:fill="E5E8EB" w:themeFill="accent4" w:themeFillTint="3F"/>
      </w:tcPr>
    </w:tblStylePr>
    <w:tblStylePr w:type="band2Horz">
      <w:tblPr/>
      <w:tcPr>
        <w:tcBorders>
          <w:top w:val="single" w:sz="8" w:space="0" w:color="9AA3AF" w:themeColor="accent4"/>
          <w:left w:val="single" w:sz="8" w:space="0" w:color="9AA3AF" w:themeColor="accent4"/>
          <w:bottom w:val="single" w:sz="8" w:space="0" w:color="9AA3AF" w:themeColor="accent4"/>
          <w:right w:val="single" w:sz="8" w:space="0" w:color="9AA3AF" w:themeColor="accent4"/>
          <w:insideV w:val="single" w:sz="8" w:space="0" w:color="9AA3AF" w:themeColor="accent4"/>
        </w:tcBorders>
      </w:tcPr>
    </w:tblStylePr>
  </w:style>
  <w:style w:type="table" w:styleId="LightGrid-Accent5">
    <w:name w:val="Light Grid Accent 5"/>
    <w:basedOn w:val="TableNormal"/>
    <w:uiPriority w:val="62"/>
    <w:semiHidden/>
    <w:unhideWhenUsed/>
    <w:rsid w:val="002A5496"/>
    <w:pPr>
      <w:spacing w:before="0" w:after="0"/>
    </w:pPr>
    <w:rPr>
      <w:color w:val="auto"/>
    </w:rPr>
    <w:tblPr>
      <w:tblStyleRowBandSize w:val="1"/>
      <w:tblStyleColBandSize w:val="1"/>
      <w:tblBorders>
        <w:top w:val="single" w:sz="8" w:space="0" w:color="C0D48F" w:themeColor="accent5"/>
        <w:left w:val="single" w:sz="8" w:space="0" w:color="C0D48F" w:themeColor="accent5"/>
        <w:bottom w:val="single" w:sz="8" w:space="0" w:color="C0D48F" w:themeColor="accent5"/>
        <w:right w:val="single" w:sz="8" w:space="0" w:color="C0D48F" w:themeColor="accent5"/>
        <w:insideH w:val="single" w:sz="8" w:space="0" w:color="C0D48F" w:themeColor="accent5"/>
        <w:insideV w:val="single" w:sz="8" w:space="0" w:color="C0D48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D48F" w:themeColor="accent5"/>
          <w:left w:val="single" w:sz="8" w:space="0" w:color="C0D48F" w:themeColor="accent5"/>
          <w:bottom w:val="single" w:sz="18" w:space="0" w:color="C0D48F" w:themeColor="accent5"/>
          <w:right w:val="single" w:sz="8" w:space="0" w:color="C0D48F" w:themeColor="accent5"/>
          <w:insideH w:val="nil"/>
          <w:insideV w:val="single" w:sz="8" w:space="0" w:color="C0D48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D48F" w:themeColor="accent5"/>
          <w:left w:val="single" w:sz="8" w:space="0" w:color="C0D48F" w:themeColor="accent5"/>
          <w:bottom w:val="single" w:sz="8" w:space="0" w:color="C0D48F" w:themeColor="accent5"/>
          <w:right w:val="single" w:sz="8" w:space="0" w:color="C0D48F" w:themeColor="accent5"/>
          <w:insideH w:val="nil"/>
          <w:insideV w:val="single" w:sz="8" w:space="0" w:color="C0D48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D48F" w:themeColor="accent5"/>
          <w:left w:val="single" w:sz="8" w:space="0" w:color="C0D48F" w:themeColor="accent5"/>
          <w:bottom w:val="single" w:sz="8" w:space="0" w:color="C0D48F" w:themeColor="accent5"/>
          <w:right w:val="single" w:sz="8" w:space="0" w:color="C0D48F" w:themeColor="accent5"/>
        </w:tcBorders>
      </w:tcPr>
    </w:tblStylePr>
    <w:tblStylePr w:type="band1Vert">
      <w:tblPr/>
      <w:tcPr>
        <w:tcBorders>
          <w:top w:val="single" w:sz="8" w:space="0" w:color="C0D48F" w:themeColor="accent5"/>
          <w:left w:val="single" w:sz="8" w:space="0" w:color="C0D48F" w:themeColor="accent5"/>
          <w:bottom w:val="single" w:sz="8" w:space="0" w:color="C0D48F" w:themeColor="accent5"/>
          <w:right w:val="single" w:sz="8" w:space="0" w:color="C0D48F" w:themeColor="accent5"/>
        </w:tcBorders>
        <w:shd w:val="clear" w:color="auto" w:fill="EFF4E3" w:themeFill="accent5" w:themeFillTint="3F"/>
      </w:tcPr>
    </w:tblStylePr>
    <w:tblStylePr w:type="band1Horz">
      <w:tblPr/>
      <w:tcPr>
        <w:tcBorders>
          <w:top w:val="single" w:sz="8" w:space="0" w:color="C0D48F" w:themeColor="accent5"/>
          <w:left w:val="single" w:sz="8" w:space="0" w:color="C0D48F" w:themeColor="accent5"/>
          <w:bottom w:val="single" w:sz="8" w:space="0" w:color="C0D48F" w:themeColor="accent5"/>
          <w:right w:val="single" w:sz="8" w:space="0" w:color="C0D48F" w:themeColor="accent5"/>
          <w:insideV w:val="single" w:sz="8" w:space="0" w:color="C0D48F" w:themeColor="accent5"/>
        </w:tcBorders>
        <w:shd w:val="clear" w:color="auto" w:fill="EFF4E3" w:themeFill="accent5" w:themeFillTint="3F"/>
      </w:tcPr>
    </w:tblStylePr>
    <w:tblStylePr w:type="band2Horz">
      <w:tblPr/>
      <w:tcPr>
        <w:tcBorders>
          <w:top w:val="single" w:sz="8" w:space="0" w:color="C0D48F" w:themeColor="accent5"/>
          <w:left w:val="single" w:sz="8" w:space="0" w:color="C0D48F" w:themeColor="accent5"/>
          <w:bottom w:val="single" w:sz="8" w:space="0" w:color="C0D48F" w:themeColor="accent5"/>
          <w:right w:val="single" w:sz="8" w:space="0" w:color="C0D48F" w:themeColor="accent5"/>
          <w:insideV w:val="single" w:sz="8" w:space="0" w:color="C0D48F" w:themeColor="accent5"/>
        </w:tcBorders>
      </w:tcPr>
    </w:tblStylePr>
  </w:style>
  <w:style w:type="table" w:styleId="LightGrid-Accent6">
    <w:name w:val="Light Grid Accent 6"/>
    <w:basedOn w:val="TableNormal"/>
    <w:uiPriority w:val="62"/>
    <w:semiHidden/>
    <w:unhideWhenUsed/>
    <w:rsid w:val="002A5496"/>
    <w:pPr>
      <w:spacing w:before="0" w:after="0"/>
    </w:pPr>
    <w:rPr>
      <w:color w:val="auto"/>
    </w:rPr>
    <w:tblPr>
      <w:tblStyleRowBandSize w:val="1"/>
      <w:tblStyleColBandSize w:val="1"/>
      <w:tblBorders>
        <w:top w:val="single" w:sz="8" w:space="0" w:color="6FC197" w:themeColor="accent6"/>
        <w:left w:val="single" w:sz="8" w:space="0" w:color="6FC197" w:themeColor="accent6"/>
        <w:bottom w:val="single" w:sz="8" w:space="0" w:color="6FC197" w:themeColor="accent6"/>
        <w:right w:val="single" w:sz="8" w:space="0" w:color="6FC197" w:themeColor="accent6"/>
        <w:insideH w:val="single" w:sz="8" w:space="0" w:color="6FC197" w:themeColor="accent6"/>
        <w:insideV w:val="single" w:sz="8" w:space="0" w:color="6FC19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197" w:themeColor="accent6"/>
          <w:left w:val="single" w:sz="8" w:space="0" w:color="6FC197" w:themeColor="accent6"/>
          <w:bottom w:val="single" w:sz="18" w:space="0" w:color="6FC197" w:themeColor="accent6"/>
          <w:right w:val="single" w:sz="8" w:space="0" w:color="6FC197" w:themeColor="accent6"/>
          <w:insideH w:val="nil"/>
          <w:insideV w:val="single" w:sz="8" w:space="0" w:color="6FC19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197" w:themeColor="accent6"/>
          <w:left w:val="single" w:sz="8" w:space="0" w:color="6FC197" w:themeColor="accent6"/>
          <w:bottom w:val="single" w:sz="8" w:space="0" w:color="6FC197" w:themeColor="accent6"/>
          <w:right w:val="single" w:sz="8" w:space="0" w:color="6FC197" w:themeColor="accent6"/>
          <w:insideH w:val="nil"/>
          <w:insideV w:val="single" w:sz="8" w:space="0" w:color="6FC19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197" w:themeColor="accent6"/>
          <w:left w:val="single" w:sz="8" w:space="0" w:color="6FC197" w:themeColor="accent6"/>
          <w:bottom w:val="single" w:sz="8" w:space="0" w:color="6FC197" w:themeColor="accent6"/>
          <w:right w:val="single" w:sz="8" w:space="0" w:color="6FC197" w:themeColor="accent6"/>
        </w:tcBorders>
      </w:tcPr>
    </w:tblStylePr>
    <w:tblStylePr w:type="band1Vert">
      <w:tblPr/>
      <w:tcPr>
        <w:tcBorders>
          <w:top w:val="single" w:sz="8" w:space="0" w:color="6FC197" w:themeColor="accent6"/>
          <w:left w:val="single" w:sz="8" w:space="0" w:color="6FC197" w:themeColor="accent6"/>
          <w:bottom w:val="single" w:sz="8" w:space="0" w:color="6FC197" w:themeColor="accent6"/>
          <w:right w:val="single" w:sz="8" w:space="0" w:color="6FC197" w:themeColor="accent6"/>
        </w:tcBorders>
        <w:shd w:val="clear" w:color="auto" w:fill="DBEFE5" w:themeFill="accent6" w:themeFillTint="3F"/>
      </w:tcPr>
    </w:tblStylePr>
    <w:tblStylePr w:type="band1Horz">
      <w:tblPr/>
      <w:tcPr>
        <w:tcBorders>
          <w:top w:val="single" w:sz="8" w:space="0" w:color="6FC197" w:themeColor="accent6"/>
          <w:left w:val="single" w:sz="8" w:space="0" w:color="6FC197" w:themeColor="accent6"/>
          <w:bottom w:val="single" w:sz="8" w:space="0" w:color="6FC197" w:themeColor="accent6"/>
          <w:right w:val="single" w:sz="8" w:space="0" w:color="6FC197" w:themeColor="accent6"/>
          <w:insideV w:val="single" w:sz="8" w:space="0" w:color="6FC197" w:themeColor="accent6"/>
        </w:tcBorders>
        <w:shd w:val="clear" w:color="auto" w:fill="DBEFE5" w:themeFill="accent6" w:themeFillTint="3F"/>
      </w:tcPr>
    </w:tblStylePr>
    <w:tblStylePr w:type="band2Horz">
      <w:tblPr/>
      <w:tcPr>
        <w:tcBorders>
          <w:top w:val="single" w:sz="8" w:space="0" w:color="6FC197" w:themeColor="accent6"/>
          <w:left w:val="single" w:sz="8" w:space="0" w:color="6FC197" w:themeColor="accent6"/>
          <w:bottom w:val="single" w:sz="8" w:space="0" w:color="6FC197" w:themeColor="accent6"/>
          <w:right w:val="single" w:sz="8" w:space="0" w:color="6FC197" w:themeColor="accent6"/>
          <w:insideV w:val="single" w:sz="8" w:space="0" w:color="6FC197" w:themeColor="accent6"/>
        </w:tcBorders>
      </w:tcPr>
    </w:tblStylePr>
  </w:style>
  <w:style w:type="table" w:styleId="LightList">
    <w:name w:val="Light List"/>
    <w:basedOn w:val="TableNormal"/>
    <w:uiPriority w:val="61"/>
    <w:semiHidden/>
    <w:unhideWhenUsed/>
    <w:rsid w:val="002A5496"/>
    <w:pPr>
      <w:spacing w:before="0" w:after="0"/>
    </w:pPr>
    <w:rPr>
      <w:color w:val="aut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A5496"/>
    <w:pPr>
      <w:spacing w:before="0" w:after="0"/>
    </w:pPr>
    <w:rPr>
      <w:color w:val="auto"/>
    </w:rPr>
    <w:tblPr>
      <w:tblStyleRowBandSize w:val="1"/>
      <w:tblStyleColBandSize w:val="1"/>
      <w:tblBorders>
        <w:top w:val="single" w:sz="8" w:space="0" w:color="081E3E" w:themeColor="accent1"/>
        <w:left w:val="single" w:sz="8" w:space="0" w:color="081E3E" w:themeColor="accent1"/>
        <w:bottom w:val="single" w:sz="8" w:space="0" w:color="081E3E" w:themeColor="accent1"/>
        <w:right w:val="single" w:sz="8" w:space="0" w:color="081E3E" w:themeColor="accent1"/>
      </w:tblBorders>
    </w:tblPr>
    <w:tblStylePr w:type="firstRow">
      <w:pPr>
        <w:spacing w:before="0" w:after="0" w:line="240" w:lineRule="auto"/>
      </w:pPr>
      <w:rPr>
        <w:b/>
        <w:bCs/>
        <w:color w:val="FFFFFF" w:themeColor="background1"/>
      </w:rPr>
      <w:tblPr/>
      <w:tcPr>
        <w:shd w:val="clear" w:color="auto" w:fill="081E3E" w:themeFill="accent1"/>
      </w:tcPr>
    </w:tblStylePr>
    <w:tblStylePr w:type="lastRow">
      <w:pPr>
        <w:spacing w:before="0" w:after="0" w:line="240" w:lineRule="auto"/>
      </w:pPr>
      <w:rPr>
        <w:b/>
        <w:bCs/>
      </w:rPr>
      <w:tblPr/>
      <w:tcPr>
        <w:tcBorders>
          <w:top w:val="double" w:sz="6" w:space="0" w:color="081E3E" w:themeColor="accent1"/>
          <w:left w:val="single" w:sz="8" w:space="0" w:color="081E3E" w:themeColor="accent1"/>
          <w:bottom w:val="single" w:sz="8" w:space="0" w:color="081E3E" w:themeColor="accent1"/>
          <w:right w:val="single" w:sz="8" w:space="0" w:color="081E3E" w:themeColor="accent1"/>
        </w:tcBorders>
      </w:tcPr>
    </w:tblStylePr>
    <w:tblStylePr w:type="firstCol">
      <w:rPr>
        <w:b/>
        <w:bCs/>
      </w:rPr>
    </w:tblStylePr>
    <w:tblStylePr w:type="lastCol">
      <w:rPr>
        <w:b/>
        <w:bCs/>
      </w:rPr>
    </w:tblStylePr>
    <w:tblStylePr w:type="band1Vert">
      <w:tblPr/>
      <w:tcPr>
        <w:tcBorders>
          <w:top w:val="single" w:sz="8" w:space="0" w:color="081E3E" w:themeColor="accent1"/>
          <w:left w:val="single" w:sz="8" w:space="0" w:color="081E3E" w:themeColor="accent1"/>
          <w:bottom w:val="single" w:sz="8" w:space="0" w:color="081E3E" w:themeColor="accent1"/>
          <w:right w:val="single" w:sz="8" w:space="0" w:color="081E3E" w:themeColor="accent1"/>
        </w:tcBorders>
      </w:tcPr>
    </w:tblStylePr>
    <w:tblStylePr w:type="band1Horz">
      <w:tblPr/>
      <w:tcPr>
        <w:tcBorders>
          <w:top w:val="single" w:sz="8" w:space="0" w:color="081E3E" w:themeColor="accent1"/>
          <w:left w:val="single" w:sz="8" w:space="0" w:color="081E3E" w:themeColor="accent1"/>
          <w:bottom w:val="single" w:sz="8" w:space="0" w:color="081E3E" w:themeColor="accent1"/>
          <w:right w:val="single" w:sz="8" w:space="0" w:color="081E3E" w:themeColor="accent1"/>
        </w:tcBorders>
      </w:tcPr>
    </w:tblStylePr>
  </w:style>
  <w:style w:type="table" w:styleId="LightList-Accent2">
    <w:name w:val="Light List Accent 2"/>
    <w:basedOn w:val="TableNormal"/>
    <w:uiPriority w:val="61"/>
    <w:semiHidden/>
    <w:unhideWhenUsed/>
    <w:rsid w:val="002A5496"/>
    <w:pPr>
      <w:spacing w:before="0" w:after="0"/>
    </w:pPr>
    <w:rPr>
      <w:color w:val="auto"/>
    </w:rPr>
    <w:tblPr>
      <w:tblStyleRowBandSize w:val="1"/>
      <w:tblStyleColBandSize w:val="1"/>
      <w:tblBorders>
        <w:top w:val="single" w:sz="8" w:space="0" w:color="008089" w:themeColor="accent2"/>
        <w:left w:val="single" w:sz="8" w:space="0" w:color="008089" w:themeColor="accent2"/>
        <w:bottom w:val="single" w:sz="8" w:space="0" w:color="008089" w:themeColor="accent2"/>
        <w:right w:val="single" w:sz="8" w:space="0" w:color="008089" w:themeColor="accent2"/>
      </w:tblBorders>
    </w:tblPr>
    <w:tblStylePr w:type="firstRow">
      <w:pPr>
        <w:spacing w:before="0" w:after="0" w:line="240" w:lineRule="auto"/>
      </w:pPr>
      <w:rPr>
        <w:b/>
        <w:bCs/>
        <w:color w:val="FFFFFF" w:themeColor="background1"/>
      </w:rPr>
      <w:tblPr/>
      <w:tcPr>
        <w:shd w:val="clear" w:color="auto" w:fill="008089" w:themeFill="accent2"/>
      </w:tcPr>
    </w:tblStylePr>
    <w:tblStylePr w:type="lastRow">
      <w:pPr>
        <w:spacing w:before="0" w:after="0" w:line="240" w:lineRule="auto"/>
      </w:pPr>
      <w:rPr>
        <w:b/>
        <w:bCs/>
      </w:rPr>
      <w:tblPr/>
      <w:tcPr>
        <w:tcBorders>
          <w:top w:val="double" w:sz="6" w:space="0" w:color="008089" w:themeColor="accent2"/>
          <w:left w:val="single" w:sz="8" w:space="0" w:color="008089" w:themeColor="accent2"/>
          <w:bottom w:val="single" w:sz="8" w:space="0" w:color="008089" w:themeColor="accent2"/>
          <w:right w:val="single" w:sz="8" w:space="0" w:color="008089" w:themeColor="accent2"/>
        </w:tcBorders>
      </w:tcPr>
    </w:tblStylePr>
    <w:tblStylePr w:type="firstCol">
      <w:rPr>
        <w:b/>
        <w:bCs/>
      </w:rPr>
    </w:tblStylePr>
    <w:tblStylePr w:type="lastCol">
      <w:rPr>
        <w:b/>
        <w:bCs/>
      </w:rPr>
    </w:tblStylePr>
    <w:tblStylePr w:type="band1Vert">
      <w:tblPr/>
      <w:tcPr>
        <w:tcBorders>
          <w:top w:val="single" w:sz="8" w:space="0" w:color="008089" w:themeColor="accent2"/>
          <w:left w:val="single" w:sz="8" w:space="0" w:color="008089" w:themeColor="accent2"/>
          <w:bottom w:val="single" w:sz="8" w:space="0" w:color="008089" w:themeColor="accent2"/>
          <w:right w:val="single" w:sz="8" w:space="0" w:color="008089" w:themeColor="accent2"/>
        </w:tcBorders>
      </w:tcPr>
    </w:tblStylePr>
    <w:tblStylePr w:type="band1Horz">
      <w:tblPr/>
      <w:tcPr>
        <w:tcBorders>
          <w:top w:val="single" w:sz="8" w:space="0" w:color="008089" w:themeColor="accent2"/>
          <w:left w:val="single" w:sz="8" w:space="0" w:color="008089" w:themeColor="accent2"/>
          <w:bottom w:val="single" w:sz="8" w:space="0" w:color="008089" w:themeColor="accent2"/>
          <w:right w:val="single" w:sz="8" w:space="0" w:color="008089" w:themeColor="accent2"/>
        </w:tcBorders>
      </w:tcPr>
    </w:tblStylePr>
  </w:style>
  <w:style w:type="table" w:styleId="LightList-Accent3">
    <w:name w:val="Light List Accent 3"/>
    <w:basedOn w:val="TableNormal"/>
    <w:uiPriority w:val="61"/>
    <w:semiHidden/>
    <w:unhideWhenUsed/>
    <w:rsid w:val="002A5496"/>
    <w:pPr>
      <w:spacing w:before="0" w:after="0"/>
    </w:pPr>
    <w:rPr>
      <w:color w:val="auto"/>
    </w:rPr>
    <w:tblPr>
      <w:tblStyleRowBandSize w:val="1"/>
      <w:tblStyleColBandSize w:val="1"/>
      <w:tblBorders>
        <w:top w:val="single" w:sz="8" w:space="0" w:color="77D1F4" w:themeColor="accent3"/>
        <w:left w:val="single" w:sz="8" w:space="0" w:color="77D1F4" w:themeColor="accent3"/>
        <w:bottom w:val="single" w:sz="8" w:space="0" w:color="77D1F4" w:themeColor="accent3"/>
        <w:right w:val="single" w:sz="8" w:space="0" w:color="77D1F4" w:themeColor="accent3"/>
      </w:tblBorders>
    </w:tblPr>
    <w:tblStylePr w:type="firstRow">
      <w:pPr>
        <w:spacing w:before="0" w:after="0" w:line="240" w:lineRule="auto"/>
      </w:pPr>
      <w:rPr>
        <w:b/>
        <w:bCs/>
        <w:color w:val="FFFFFF" w:themeColor="background1"/>
      </w:rPr>
      <w:tblPr/>
      <w:tcPr>
        <w:shd w:val="clear" w:color="auto" w:fill="77D1F4" w:themeFill="accent3"/>
      </w:tcPr>
    </w:tblStylePr>
    <w:tblStylePr w:type="lastRow">
      <w:pPr>
        <w:spacing w:before="0" w:after="0" w:line="240" w:lineRule="auto"/>
      </w:pPr>
      <w:rPr>
        <w:b/>
        <w:bCs/>
      </w:rPr>
      <w:tblPr/>
      <w:tcPr>
        <w:tcBorders>
          <w:top w:val="double" w:sz="6" w:space="0" w:color="77D1F4" w:themeColor="accent3"/>
          <w:left w:val="single" w:sz="8" w:space="0" w:color="77D1F4" w:themeColor="accent3"/>
          <w:bottom w:val="single" w:sz="8" w:space="0" w:color="77D1F4" w:themeColor="accent3"/>
          <w:right w:val="single" w:sz="8" w:space="0" w:color="77D1F4" w:themeColor="accent3"/>
        </w:tcBorders>
      </w:tcPr>
    </w:tblStylePr>
    <w:tblStylePr w:type="firstCol">
      <w:rPr>
        <w:b/>
        <w:bCs/>
      </w:rPr>
    </w:tblStylePr>
    <w:tblStylePr w:type="lastCol">
      <w:rPr>
        <w:b/>
        <w:bCs/>
      </w:rPr>
    </w:tblStylePr>
    <w:tblStylePr w:type="band1Vert">
      <w:tblPr/>
      <w:tcPr>
        <w:tcBorders>
          <w:top w:val="single" w:sz="8" w:space="0" w:color="77D1F4" w:themeColor="accent3"/>
          <w:left w:val="single" w:sz="8" w:space="0" w:color="77D1F4" w:themeColor="accent3"/>
          <w:bottom w:val="single" w:sz="8" w:space="0" w:color="77D1F4" w:themeColor="accent3"/>
          <w:right w:val="single" w:sz="8" w:space="0" w:color="77D1F4" w:themeColor="accent3"/>
        </w:tcBorders>
      </w:tcPr>
    </w:tblStylePr>
    <w:tblStylePr w:type="band1Horz">
      <w:tblPr/>
      <w:tcPr>
        <w:tcBorders>
          <w:top w:val="single" w:sz="8" w:space="0" w:color="77D1F4" w:themeColor="accent3"/>
          <w:left w:val="single" w:sz="8" w:space="0" w:color="77D1F4" w:themeColor="accent3"/>
          <w:bottom w:val="single" w:sz="8" w:space="0" w:color="77D1F4" w:themeColor="accent3"/>
          <w:right w:val="single" w:sz="8" w:space="0" w:color="77D1F4" w:themeColor="accent3"/>
        </w:tcBorders>
      </w:tcPr>
    </w:tblStylePr>
  </w:style>
  <w:style w:type="table" w:styleId="LightList-Accent4">
    <w:name w:val="Light List Accent 4"/>
    <w:basedOn w:val="TableNormal"/>
    <w:uiPriority w:val="61"/>
    <w:semiHidden/>
    <w:unhideWhenUsed/>
    <w:rsid w:val="002A5496"/>
    <w:pPr>
      <w:spacing w:before="0" w:after="0"/>
    </w:pPr>
    <w:rPr>
      <w:color w:val="auto"/>
    </w:rPr>
    <w:tblPr>
      <w:tblStyleRowBandSize w:val="1"/>
      <w:tblStyleColBandSize w:val="1"/>
      <w:tblBorders>
        <w:top w:val="single" w:sz="8" w:space="0" w:color="9AA3AF" w:themeColor="accent4"/>
        <w:left w:val="single" w:sz="8" w:space="0" w:color="9AA3AF" w:themeColor="accent4"/>
        <w:bottom w:val="single" w:sz="8" w:space="0" w:color="9AA3AF" w:themeColor="accent4"/>
        <w:right w:val="single" w:sz="8" w:space="0" w:color="9AA3AF" w:themeColor="accent4"/>
      </w:tblBorders>
    </w:tblPr>
    <w:tblStylePr w:type="firstRow">
      <w:pPr>
        <w:spacing w:before="0" w:after="0" w:line="240" w:lineRule="auto"/>
      </w:pPr>
      <w:rPr>
        <w:b/>
        <w:bCs/>
        <w:color w:val="FFFFFF" w:themeColor="background1"/>
      </w:rPr>
      <w:tblPr/>
      <w:tcPr>
        <w:shd w:val="clear" w:color="auto" w:fill="9AA3AF" w:themeFill="accent4"/>
      </w:tcPr>
    </w:tblStylePr>
    <w:tblStylePr w:type="lastRow">
      <w:pPr>
        <w:spacing w:before="0" w:after="0" w:line="240" w:lineRule="auto"/>
      </w:pPr>
      <w:rPr>
        <w:b/>
        <w:bCs/>
      </w:rPr>
      <w:tblPr/>
      <w:tcPr>
        <w:tcBorders>
          <w:top w:val="double" w:sz="6" w:space="0" w:color="9AA3AF" w:themeColor="accent4"/>
          <w:left w:val="single" w:sz="8" w:space="0" w:color="9AA3AF" w:themeColor="accent4"/>
          <w:bottom w:val="single" w:sz="8" w:space="0" w:color="9AA3AF" w:themeColor="accent4"/>
          <w:right w:val="single" w:sz="8" w:space="0" w:color="9AA3AF" w:themeColor="accent4"/>
        </w:tcBorders>
      </w:tcPr>
    </w:tblStylePr>
    <w:tblStylePr w:type="firstCol">
      <w:rPr>
        <w:b/>
        <w:bCs/>
      </w:rPr>
    </w:tblStylePr>
    <w:tblStylePr w:type="lastCol">
      <w:rPr>
        <w:b/>
        <w:bCs/>
      </w:rPr>
    </w:tblStylePr>
    <w:tblStylePr w:type="band1Vert">
      <w:tblPr/>
      <w:tcPr>
        <w:tcBorders>
          <w:top w:val="single" w:sz="8" w:space="0" w:color="9AA3AF" w:themeColor="accent4"/>
          <w:left w:val="single" w:sz="8" w:space="0" w:color="9AA3AF" w:themeColor="accent4"/>
          <w:bottom w:val="single" w:sz="8" w:space="0" w:color="9AA3AF" w:themeColor="accent4"/>
          <w:right w:val="single" w:sz="8" w:space="0" w:color="9AA3AF" w:themeColor="accent4"/>
        </w:tcBorders>
      </w:tcPr>
    </w:tblStylePr>
    <w:tblStylePr w:type="band1Horz">
      <w:tblPr/>
      <w:tcPr>
        <w:tcBorders>
          <w:top w:val="single" w:sz="8" w:space="0" w:color="9AA3AF" w:themeColor="accent4"/>
          <w:left w:val="single" w:sz="8" w:space="0" w:color="9AA3AF" w:themeColor="accent4"/>
          <w:bottom w:val="single" w:sz="8" w:space="0" w:color="9AA3AF" w:themeColor="accent4"/>
          <w:right w:val="single" w:sz="8" w:space="0" w:color="9AA3AF" w:themeColor="accent4"/>
        </w:tcBorders>
      </w:tcPr>
    </w:tblStylePr>
  </w:style>
  <w:style w:type="table" w:styleId="LightList-Accent5">
    <w:name w:val="Light List Accent 5"/>
    <w:basedOn w:val="TableNormal"/>
    <w:uiPriority w:val="61"/>
    <w:semiHidden/>
    <w:unhideWhenUsed/>
    <w:rsid w:val="002A5496"/>
    <w:pPr>
      <w:spacing w:before="0" w:after="0"/>
    </w:pPr>
    <w:rPr>
      <w:color w:val="auto"/>
    </w:rPr>
    <w:tblPr>
      <w:tblStyleRowBandSize w:val="1"/>
      <w:tblStyleColBandSize w:val="1"/>
      <w:tblBorders>
        <w:top w:val="single" w:sz="8" w:space="0" w:color="C0D48F" w:themeColor="accent5"/>
        <w:left w:val="single" w:sz="8" w:space="0" w:color="C0D48F" w:themeColor="accent5"/>
        <w:bottom w:val="single" w:sz="8" w:space="0" w:color="C0D48F" w:themeColor="accent5"/>
        <w:right w:val="single" w:sz="8" w:space="0" w:color="C0D48F" w:themeColor="accent5"/>
      </w:tblBorders>
    </w:tblPr>
    <w:tblStylePr w:type="firstRow">
      <w:pPr>
        <w:spacing w:before="0" w:after="0" w:line="240" w:lineRule="auto"/>
      </w:pPr>
      <w:rPr>
        <w:b/>
        <w:bCs/>
        <w:color w:val="FFFFFF" w:themeColor="background1"/>
      </w:rPr>
      <w:tblPr/>
      <w:tcPr>
        <w:shd w:val="clear" w:color="auto" w:fill="C0D48F" w:themeFill="accent5"/>
      </w:tcPr>
    </w:tblStylePr>
    <w:tblStylePr w:type="lastRow">
      <w:pPr>
        <w:spacing w:before="0" w:after="0" w:line="240" w:lineRule="auto"/>
      </w:pPr>
      <w:rPr>
        <w:b/>
        <w:bCs/>
      </w:rPr>
      <w:tblPr/>
      <w:tcPr>
        <w:tcBorders>
          <w:top w:val="double" w:sz="6" w:space="0" w:color="C0D48F" w:themeColor="accent5"/>
          <w:left w:val="single" w:sz="8" w:space="0" w:color="C0D48F" w:themeColor="accent5"/>
          <w:bottom w:val="single" w:sz="8" w:space="0" w:color="C0D48F" w:themeColor="accent5"/>
          <w:right w:val="single" w:sz="8" w:space="0" w:color="C0D48F" w:themeColor="accent5"/>
        </w:tcBorders>
      </w:tcPr>
    </w:tblStylePr>
    <w:tblStylePr w:type="firstCol">
      <w:rPr>
        <w:b/>
        <w:bCs/>
      </w:rPr>
    </w:tblStylePr>
    <w:tblStylePr w:type="lastCol">
      <w:rPr>
        <w:b/>
        <w:bCs/>
      </w:rPr>
    </w:tblStylePr>
    <w:tblStylePr w:type="band1Vert">
      <w:tblPr/>
      <w:tcPr>
        <w:tcBorders>
          <w:top w:val="single" w:sz="8" w:space="0" w:color="C0D48F" w:themeColor="accent5"/>
          <w:left w:val="single" w:sz="8" w:space="0" w:color="C0D48F" w:themeColor="accent5"/>
          <w:bottom w:val="single" w:sz="8" w:space="0" w:color="C0D48F" w:themeColor="accent5"/>
          <w:right w:val="single" w:sz="8" w:space="0" w:color="C0D48F" w:themeColor="accent5"/>
        </w:tcBorders>
      </w:tcPr>
    </w:tblStylePr>
    <w:tblStylePr w:type="band1Horz">
      <w:tblPr/>
      <w:tcPr>
        <w:tcBorders>
          <w:top w:val="single" w:sz="8" w:space="0" w:color="C0D48F" w:themeColor="accent5"/>
          <w:left w:val="single" w:sz="8" w:space="0" w:color="C0D48F" w:themeColor="accent5"/>
          <w:bottom w:val="single" w:sz="8" w:space="0" w:color="C0D48F" w:themeColor="accent5"/>
          <w:right w:val="single" w:sz="8" w:space="0" w:color="C0D48F" w:themeColor="accent5"/>
        </w:tcBorders>
      </w:tcPr>
    </w:tblStylePr>
  </w:style>
  <w:style w:type="table" w:styleId="LightList-Accent6">
    <w:name w:val="Light List Accent 6"/>
    <w:basedOn w:val="TableNormal"/>
    <w:uiPriority w:val="61"/>
    <w:semiHidden/>
    <w:unhideWhenUsed/>
    <w:rsid w:val="002A5496"/>
    <w:pPr>
      <w:spacing w:before="0" w:after="0"/>
    </w:pPr>
    <w:rPr>
      <w:color w:val="auto"/>
    </w:rPr>
    <w:tblPr>
      <w:tblStyleRowBandSize w:val="1"/>
      <w:tblStyleColBandSize w:val="1"/>
      <w:tblBorders>
        <w:top w:val="single" w:sz="8" w:space="0" w:color="6FC197" w:themeColor="accent6"/>
        <w:left w:val="single" w:sz="8" w:space="0" w:color="6FC197" w:themeColor="accent6"/>
        <w:bottom w:val="single" w:sz="8" w:space="0" w:color="6FC197" w:themeColor="accent6"/>
        <w:right w:val="single" w:sz="8" w:space="0" w:color="6FC197" w:themeColor="accent6"/>
      </w:tblBorders>
    </w:tblPr>
    <w:tblStylePr w:type="firstRow">
      <w:pPr>
        <w:spacing w:before="0" w:after="0" w:line="240" w:lineRule="auto"/>
      </w:pPr>
      <w:rPr>
        <w:b/>
        <w:bCs/>
        <w:color w:val="FFFFFF" w:themeColor="background1"/>
      </w:rPr>
      <w:tblPr/>
      <w:tcPr>
        <w:shd w:val="clear" w:color="auto" w:fill="6FC197" w:themeFill="accent6"/>
      </w:tcPr>
    </w:tblStylePr>
    <w:tblStylePr w:type="lastRow">
      <w:pPr>
        <w:spacing w:before="0" w:after="0" w:line="240" w:lineRule="auto"/>
      </w:pPr>
      <w:rPr>
        <w:b/>
        <w:bCs/>
      </w:rPr>
      <w:tblPr/>
      <w:tcPr>
        <w:tcBorders>
          <w:top w:val="double" w:sz="6" w:space="0" w:color="6FC197" w:themeColor="accent6"/>
          <w:left w:val="single" w:sz="8" w:space="0" w:color="6FC197" w:themeColor="accent6"/>
          <w:bottom w:val="single" w:sz="8" w:space="0" w:color="6FC197" w:themeColor="accent6"/>
          <w:right w:val="single" w:sz="8" w:space="0" w:color="6FC197" w:themeColor="accent6"/>
        </w:tcBorders>
      </w:tcPr>
    </w:tblStylePr>
    <w:tblStylePr w:type="firstCol">
      <w:rPr>
        <w:b/>
        <w:bCs/>
      </w:rPr>
    </w:tblStylePr>
    <w:tblStylePr w:type="lastCol">
      <w:rPr>
        <w:b/>
        <w:bCs/>
      </w:rPr>
    </w:tblStylePr>
    <w:tblStylePr w:type="band1Vert">
      <w:tblPr/>
      <w:tcPr>
        <w:tcBorders>
          <w:top w:val="single" w:sz="8" w:space="0" w:color="6FC197" w:themeColor="accent6"/>
          <w:left w:val="single" w:sz="8" w:space="0" w:color="6FC197" w:themeColor="accent6"/>
          <w:bottom w:val="single" w:sz="8" w:space="0" w:color="6FC197" w:themeColor="accent6"/>
          <w:right w:val="single" w:sz="8" w:space="0" w:color="6FC197" w:themeColor="accent6"/>
        </w:tcBorders>
      </w:tcPr>
    </w:tblStylePr>
    <w:tblStylePr w:type="band1Horz">
      <w:tblPr/>
      <w:tcPr>
        <w:tcBorders>
          <w:top w:val="single" w:sz="8" w:space="0" w:color="6FC197" w:themeColor="accent6"/>
          <w:left w:val="single" w:sz="8" w:space="0" w:color="6FC197" w:themeColor="accent6"/>
          <w:bottom w:val="single" w:sz="8" w:space="0" w:color="6FC197" w:themeColor="accent6"/>
          <w:right w:val="single" w:sz="8" w:space="0" w:color="6FC197" w:themeColor="accent6"/>
        </w:tcBorders>
      </w:tcPr>
    </w:tblStylePr>
  </w:style>
  <w:style w:type="table" w:styleId="LightShading">
    <w:name w:val="Light Shading"/>
    <w:basedOn w:val="TableNormal"/>
    <w:uiPriority w:val="60"/>
    <w:semiHidden/>
    <w:unhideWhenUsed/>
    <w:rsid w:val="002A5496"/>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A5496"/>
    <w:pPr>
      <w:spacing w:before="0" w:after="0"/>
    </w:pPr>
    <w:rPr>
      <w:color w:val="06162E" w:themeColor="accent1" w:themeShade="BF"/>
    </w:rPr>
    <w:tblPr>
      <w:tblStyleRowBandSize w:val="1"/>
      <w:tblStyleColBandSize w:val="1"/>
      <w:tblBorders>
        <w:top w:val="single" w:sz="8" w:space="0" w:color="081E3E" w:themeColor="accent1"/>
        <w:bottom w:val="single" w:sz="8" w:space="0" w:color="081E3E" w:themeColor="accent1"/>
      </w:tblBorders>
    </w:tblPr>
    <w:tblStylePr w:type="firstRow">
      <w:pPr>
        <w:spacing w:before="0" w:after="0" w:line="240" w:lineRule="auto"/>
      </w:pPr>
      <w:rPr>
        <w:b/>
        <w:bCs/>
      </w:rPr>
      <w:tblPr/>
      <w:tcPr>
        <w:tcBorders>
          <w:top w:val="single" w:sz="8" w:space="0" w:color="081E3E" w:themeColor="accent1"/>
          <w:left w:val="nil"/>
          <w:bottom w:val="single" w:sz="8" w:space="0" w:color="081E3E" w:themeColor="accent1"/>
          <w:right w:val="nil"/>
          <w:insideH w:val="nil"/>
          <w:insideV w:val="nil"/>
        </w:tcBorders>
      </w:tcPr>
    </w:tblStylePr>
    <w:tblStylePr w:type="lastRow">
      <w:pPr>
        <w:spacing w:before="0" w:after="0" w:line="240" w:lineRule="auto"/>
      </w:pPr>
      <w:rPr>
        <w:b/>
        <w:bCs/>
      </w:rPr>
      <w:tblPr/>
      <w:tcPr>
        <w:tcBorders>
          <w:top w:val="single" w:sz="8" w:space="0" w:color="081E3E" w:themeColor="accent1"/>
          <w:left w:val="nil"/>
          <w:bottom w:val="single" w:sz="8" w:space="0" w:color="081E3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C0F2" w:themeFill="accent1" w:themeFillTint="3F"/>
      </w:tcPr>
    </w:tblStylePr>
    <w:tblStylePr w:type="band1Horz">
      <w:tblPr/>
      <w:tcPr>
        <w:tcBorders>
          <w:left w:val="nil"/>
          <w:right w:val="nil"/>
          <w:insideH w:val="nil"/>
          <w:insideV w:val="nil"/>
        </w:tcBorders>
        <w:shd w:val="clear" w:color="auto" w:fill="9EC0F2" w:themeFill="accent1" w:themeFillTint="3F"/>
      </w:tcPr>
    </w:tblStylePr>
  </w:style>
  <w:style w:type="table" w:styleId="LightShading-Accent2">
    <w:name w:val="Light Shading Accent 2"/>
    <w:basedOn w:val="TableNormal"/>
    <w:uiPriority w:val="60"/>
    <w:semiHidden/>
    <w:unhideWhenUsed/>
    <w:rsid w:val="002A5496"/>
    <w:pPr>
      <w:spacing w:before="0" w:after="0"/>
    </w:pPr>
    <w:rPr>
      <w:color w:val="005F66" w:themeColor="accent2" w:themeShade="BF"/>
    </w:rPr>
    <w:tblPr>
      <w:tblStyleRowBandSize w:val="1"/>
      <w:tblStyleColBandSize w:val="1"/>
      <w:tblBorders>
        <w:top w:val="single" w:sz="8" w:space="0" w:color="008089" w:themeColor="accent2"/>
        <w:bottom w:val="single" w:sz="8" w:space="0" w:color="008089" w:themeColor="accent2"/>
      </w:tblBorders>
    </w:tblPr>
    <w:tblStylePr w:type="firstRow">
      <w:pPr>
        <w:spacing w:before="0" w:after="0" w:line="240" w:lineRule="auto"/>
      </w:pPr>
      <w:rPr>
        <w:b/>
        <w:bCs/>
      </w:rPr>
      <w:tblPr/>
      <w:tcPr>
        <w:tcBorders>
          <w:top w:val="single" w:sz="8" w:space="0" w:color="008089" w:themeColor="accent2"/>
          <w:left w:val="nil"/>
          <w:bottom w:val="single" w:sz="8" w:space="0" w:color="008089" w:themeColor="accent2"/>
          <w:right w:val="nil"/>
          <w:insideH w:val="nil"/>
          <w:insideV w:val="nil"/>
        </w:tcBorders>
      </w:tcPr>
    </w:tblStylePr>
    <w:tblStylePr w:type="lastRow">
      <w:pPr>
        <w:spacing w:before="0" w:after="0" w:line="240" w:lineRule="auto"/>
      </w:pPr>
      <w:rPr>
        <w:b/>
        <w:bCs/>
      </w:rPr>
      <w:tblPr/>
      <w:tcPr>
        <w:tcBorders>
          <w:top w:val="single" w:sz="8" w:space="0" w:color="008089" w:themeColor="accent2"/>
          <w:left w:val="nil"/>
          <w:bottom w:val="single" w:sz="8" w:space="0" w:color="0080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8FF" w:themeFill="accent2" w:themeFillTint="3F"/>
      </w:tcPr>
    </w:tblStylePr>
    <w:tblStylePr w:type="band1Horz">
      <w:tblPr/>
      <w:tcPr>
        <w:tcBorders>
          <w:left w:val="nil"/>
          <w:right w:val="nil"/>
          <w:insideH w:val="nil"/>
          <w:insideV w:val="nil"/>
        </w:tcBorders>
        <w:shd w:val="clear" w:color="auto" w:fill="A2F8FF" w:themeFill="accent2" w:themeFillTint="3F"/>
      </w:tcPr>
    </w:tblStylePr>
  </w:style>
  <w:style w:type="table" w:styleId="LightShading-Accent3">
    <w:name w:val="Light Shading Accent 3"/>
    <w:basedOn w:val="TableNormal"/>
    <w:uiPriority w:val="60"/>
    <w:semiHidden/>
    <w:unhideWhenUsed/>
    <w:rsid w:val="002A5496"/>
    <w:pPr>
      <w:spacing w:before="0" w:after="0"/>
    </w:pPr>
    <w:rPr>
      <w:color w:val="22B3ED" w:themeColor="accent3" w:themeShade="BF"/>
    </w:rPr>
    <w:tblPr>
      <w:tblStyleRowBandSize w:val="1"/>
      <w:tblStyleColBandSize w:val="1"/>
      <w:tblBorders>
        <w:top w:val="single" w:sz="8" w:space="0" w:color="77D1F4" w:themeColor="accent3"/>
        <w:bottom w:val="single" w:sz="8" w:space="0" w:color="77D1F4" w:themeColor="accent3"/>
      </w:tblBorders>
    </w:tblPr>
    <w:tblStylePr w:type="firstRow">
      <w:pPr>
        <w:spacing w:before="0" w:after="0" w:line="240" w:lineRule="auto"/>
      </w:pPr>
      <w:rPr>
        <w:b/>
        <w:bCs/>
      </w:rPr>
      <w:tblPr/>
      <w:tcPr>
        <w:tcBorders>
          <w:top w:val="single" w:sz="8" w:space="0" w:color="77D1F4" w:themeColor="accent3"/>
          <w:left w:val="nil"/>
          <w:bottom w:val="single" w:sz="8" w:space="0" w:color="77D1F4" w:themeColor="accent3"/>
          <w:right w:val="nil"/>
          <w:insideH w:val="nil"/>
          <w:insideV w:val="nil"/>
        </w:tcBorders>
      </w:tcPr>
    </w:tblStylePr>
    <w:tblStylePr w:type="lastRow">
      <w:pPr>
        <w:spacing w:before="0" w:after="0" w:line="240" w:lineRule="auto"/>
      </w:pPr>
      <w:rPr>
        <w:b/>
        <w:bCs/>
      </w:rPr>
      <w:tblPr/>
      <w:tcPr>
        <w:tcBorders>
          <w:top w:val="single" w:sz="8" w:space="0" w:color="77D1F4" w:themeColor="accent3"/>
          <w:left w:val="nil"/>
          <w:bottom w:val="single" w:sz="8" w:space="0" w:color="77D1F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3FC" w:themeFill="accent3" w:themeFillTint="3F"/>
      </w:tcPr>
    </w:tblStylePr>
    <w:tblStylePr w:type="band1Horz">
      <w:tblPr/>
      <w:tcPr>
        <w:tcBorders>
          <w:left w:val="nil"/>
          <w:right w:val="nil"/>
          <w:insideH w:val="nil"/>
          <w:insideV w:val="nil"/>
        </w:tcBorders>
        <w:shd w:val="clear" w:color="auto" w:fill="DDF3FC" w:themeFill="accent3" w:themeFillTint="3F"/>
      </w:tcPr>
    </w:tblStylePr>
  </w:style>
  <w:style w:type="table" w:styleId="LightShading-Accent4">
    <w:name w:val="Light Shading Accent 4"/>
    <w:basedOn w:val="TableNormal"/>
    <w:uiPriority w:val="60"/>
    <w:semiHidden/>
    <w:unhideWhenUsed/>
    <w:rsid w:val="002A5496"/>
    <w:pPr>
      <w:spacing w:before="0" w:after="0"/>
    </w:pPr>
    <w:rPr>
      <w:color w:val="6D7989" w:themeColor="accent4" w:themeShade="BF"/>
    </w:rPr>
    <w:tblPr>
      <w:tblStyleRowBandSize w:val="1"/>
      <w:tblStyleColBandSize w:val="1"/>
      <w:tblBorders>
        <w:top w:val="single" w:sz="8" w:space="0" w:color="9AA3AF" w:themeColor="accent4"/>
        <w:bottom w:val="single" w:sz="8" w:space="0" w:color="9AA3AF" w:themeColor="accent4"/>
      </w:tblBorders>
    </w:tblPr>
    <w:tblStylePr w:type="firstRow">
      <w:pPr>
        <w:spacing w:before="0" w:after="0" w:line="240" w:lineRule="auto"/>
      </w:pPr>
      <w:rPr>
        <w:b/>
        <w:bCs/>
      </w:rPr>
      <w:tblPr/>
      <w:tcPr>
        <w:tcBorders>
          <w:top w:val="single" w:sz="8" w:space="0" w:color="9AA3AF" w:themeColor="accent4"/>
          <w:left w:val="nil"/>
          <w:bottom w:val="single" w:sz="8" w:space="0" w:color="9AA3AF" w:themeColor="accent4"/>
          <w:right w:val="nil"/>
          <w:insideH w:val="nil"/>
          <w:insideV w:val="nil"/>
        </w:tcBorders>
      </w:tcPr>
    </w:tblStylePr>
    <w:tblStylePr w:type="lastRow">
      <w:pPr>
        <w:spacing w:before="0" w:after="0" w:line="240" w:lineRule="auto"/>
      </w:pPr>
      <w:rPr>
        <w:b/>
        <w:bCs/>
      </w:rPr>
      <w:tblPr/>
      <w:tcPr>
        <w:tcBorders>
          <w:top w:val="single" w:sz="8" w:space="0" w:color="9AA3AF" w:themeColor="accent4"/>
          <w:left w:val="nil"/>
          <w:bottom w:val="single" w:sz="8" w:space="0" w:color="9AA3A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8EB" w:themeFill="accent4" w:themeFillTint="3F"/>
      </w:tcPr>
    </w:tblStylePr>
    <w:tblStylePr w:type="band1Horz">
      <w:tblPr/>
      <w:tcPr>
        <w:tcBorders>
          <w:left w:val="nil"/>
          <w:right w:val="nil"/>
          <w:insideH w:val="nil"/>
          <w:insideV w:val="nil"/>
        </w:tcBorders>
        <w:shd w:val="clear" w:color="auto" w:fill="E5E8EB" w:themeFill="accent4" w:themeFillTint="3F"/>
      </w:tcPr>
    </w:tblStylePr>
  </w:style>
  <w:style w:type="table" w:styleId="LightShading-Accent5">
    <w:name w:val="Light Shading Accent 5"/>
    <w:basedOn w:val="TableNormal"/>
    <w:uiPriority w:val="60"/>
    <w:semiHidden/>
    <w:unhideWhenUsed/>
    <w:rsid w:val="002A5496"/>
    <w:pPr>
      <w:spacing w:before="0" w:after="0"/>
    </w:pPr>
    <w:rPr>
      <w:color w:val="9BBB4E" w:themeColor="accent5" w:themeShade="BF"/>
    </w:rPr>
    <w:tblPr>
      <w:tblStyleRowBandSize w:val="1"/>
      <w:tblStyleColBandSize w:val="1"/>
      <w:tblBorders>
        <w:top w:val="single" w:sz="8" w:space="0" w:color="C0D48F" w:themeColor="accent5"/>
        <w:bottom w:val="single" w:sz="8" w:space="0" w:color="C0D48F" w:themeColor="accent5"/>
      </w:tblBorders>
    </w:tblPr>
    <w:tblStylePr w:type="firstRow">
      <w:pPr>
        <w:spacing w:before="0" w:after="0" w:line="240" w:lineRule="auto"/>
      </w:pPr>
      <w:rPr>
        <w:b/>
        <w:bCs/>
      </w:rPr>
      <w:tblPr/>
      <w:tcPr>
        <w:tcBorders>
          <w:top w:val="single" w:sz="8" w:space="0" w:color="C0D48F" w:themeColor="accent5"/>
          <w:left w:val="nil"/>
          <w:bottom w:val="single" w:sz="8" w:space="0" w:color="C0D48F" w:themeColor="accent5"/>
          <w:right w:val="nil"/>
          <w:insideH w:val="nil"/>
          <w:insideV w:val="nil"/>
        </w:tcBorders>
      </w:tcPr>
    </w:tblStylePr>
    <w:tblStylePr w:type="lastRow">
      <w:pPr>
        <w:spacing w:before="0" w:after="0" w:line="240" w:lineRule="auto"/>
      </w:pPr>
      <w:rPr>
        <w:b/>
        <w:bCs/>
      </w:rPr>
      <w:tblPr/>
      <w:tcPr>
        <w:tcBorders>
          <w:top w:val="single" w:sz="8" w:space="0" w:color="C0D48F" w:themeColor="accent5"/>
          <w:left w:val="nil"/>
          <w:bottom w:val="single" w:sz="8" w:space="0" w:color="C0D48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4E3" w:themeFill="accent5" w:themeFillTint="3F"/>
      </w:tcPr>
    </w:tblStylePr>
    <w:tblStylePr w:type="band1Horz">
      <w:tblPr/>
      <w:tcPr>
        <w:tcBorders>
          <w:left w:val="nil"/>
          <w:right w:val="nil"/>
          <w:insideH w:val="nil"/>
          <w:insideV w:val="nil"/>
        </w:tcBorders>
        <w:shd w:val="clear" w:color="auto" w:fill="EFF4E3" w:themeFill="accent5" w:themeFillTint="3F"/>
      </w:tcPr>
    </w:tblStylePr>
  </w:style>
  <w:style w:type="table" w:styleId="LightShading-Accent6">
    <w:name w:val="Light Shading Accent 6"/>
    <w:basedOn w:val="TableNormal"/>
    <w:uiPriority w:val="60"/>
    <w:semiHidden/>
    <w:unhideWhenUsed/>
    <w:rsid w:val="002A5496"/>
    <w:pPr>
      <w:spacing w:before="0" w:after="0"/>
    </w:pPr>
    <w:rPr>
      <w:color w:val="449F70" w:themeColor="accent6" w:themeShade="BF"/>
    </w:rPr>
    <w:tblPr>
      <w:tblStyleRowBandSize w:val="1"/>
      <w:tblStyleColBandSize w:val="1"/>
      <w:tblBorders>
        <w:top w:val="single" w:sz="8" w:space="0" w:color="6FC197" w:themeColor="accent6"/>
        <w:bottom w:val="single" w:sz="8" w:space="0" w:color="6FC197" w:themeColor="accent6"/>
      </w:tblBorders>
    </w:tblPr>
    <w:tblStylePr w:type="firstRow">
      <w:pPr>
        <w:spacing w:before="0" w:after="0" w:line="240" w:lineRule="auto"/>
      </w:pPr>
      <w:rPr>
        <w:b/>
        <w:bCs/>
      </w:rPr>
      <w:tblPr/>
      <w:tcPr>
        <w:tcBorders>
          <w:top w:val="single" w:sz="8" w:space="0" w:color="6FC197" w:themeColor="accent6"/>
          <w:left w:val="nil"/>
          <w:bottom w:val="single" w:sz="8" w:space="0" w:color="6FC197" w:themeColor="accent6"/>
          <w:right w:val="nil"/>
          <w:insideH w:val="nil"/>
          <w:insideV w:val="nil"/>
        </w:tcBorders>
      </w:tcPr>
    </w:tblStylePr>
    <w:tblStylePr w:type="lastRow">
      <w:pPr>
        <w:spacing w:before="0" w:after="0" w:line="240" w:lineRule="auto"/>
      </w:pPr>
      <w:rPr>
        <w:b/>
        <w:bCs/>
      </w:rPr>
      <w:tblPr/>
      <w:tcPr>
        <w:tcBorders>
          <w:top w:val="single" w:sz="8" w:space="0" w:color="6FC197" w:themeColor="accent6"/>
          <w:left w:val="nil"/>
          <w:bottom w:val="single" w:sz="8" w:space="0" w:color="6FC19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FE5" w:themeFill="accent6" w:themeFillTint="3F"/>
      </w:tcPr>
    </w:tblStylePr>
    <w:tblStylePr w:type="band1Horz">
      <w:tblPr/>
      <w:tcPr>
        <w:tcBorders>
          <w:left w:val="nil"/>
          <w:right w:val="nil"/>
          <w:insideH w:val="nil"/>
          <w:insideV w:val="nil"/>
        </w:tcBorders>
        <w:shd w:val="clear" w:color="auto" w:fill="DBEFE5" w:themeFill="accent6" w:themeFillTint="3F"/>
      </w:tcPr>
    </w:tblStylePr>
  </w:style>
  <w:style w:type="character" w:styleId="LineNumber">
    <w:name w:val="line number"/>
    <w:basedOn w:val="DefaultParagraphFont"/>
    <w:uiPriority w:val="99"/>
    <w:semiHidden/>
    <w:unhideWhenUsed/>
    <w:rsid w:val="002A5496"/>
  </w:style>
  <w:style w:type="paragraph" w:styleId="List">
    <w:name w:val="List"/>
    <w:basedOn w:val="Normal"/>
    <w:uiPriority w:val="99"/>
    <w:semiHidden/>
    <w:unhideWhenUsed/>
    <w:rsid w:val="002A5496"/>
    <w:pPr>
      <w:suppressAutoHyphens w:val="0"/>
      <w:spacing w:before="90" w:after="160" w:line="259" w:lineRule="auto"/>
      <w:ind w:left="283" w:hanging="283"/>
      <w:contextualSpacing/>
    </w:pPr>
    <w:rPr>
      <w:rFonts w:ascii="Arial Narrow" w:hAnsi="Arial Narrow" w:cs="Arial"/>
      <w:color w:val="auto"/>
    </w:rPr>
  </w:style>
  <w:style w:type="paragraph" w:styleId="List2">
    <w:name w:val="List 2"/>
    <w:basedOn w:val="Normal"/>
    <w:uiPriority w:val="99"/>
    <w:semiHidden/>
    <w:unhideWhenUsed/>
    <w:rsid w:val="002A5496"/>
    <w:pPr>
      <w:suppressAutoHyphens w:val="0"/>
      <w:spacing w:before="90" w:after="160" w:line="259" w:lineRule="auto"/>
      <w:ind w:left="566" w:hanging="283"/>
      <w:contextualSpacing/>
    </w:pPr>
    <w:rPr>
      <w:rFonts w:ascii="Arial Narrow" w:hAnsi="Arial Narrow" w:cs="Arial"/>
      <w:color w:val="auto"/>
    </w:rPr>
  </w:style>
  <w:style w:type="paragraph" w:styleId="List3">
    <w:name w:val="List 3"/>
    <w:basedOn w:val="Normal"/>
    <w:uiPriority w:val="99"/>
    <w:semiHidden/>
    <w:unhideWhenUsed/>
    <w:rsid w:val="002A5496"/>
    <w:pPr>
      <w:suppressAutoHyphens w:val="0"/>
      <w:spacing w:before="90" w:after="160" w:line="259" w:lineRule="auto"/>
      <w:ind w:left="849" w:hanging="283"/>
      <w:contextualSpacing/>
    </w:pPr>
    <w:rPr>
      <w:rFonts w:ascii="Arial Narrow" w:hAnsi="Arial Narrow" w:cs="Arial"/>
      <w:color w:val="auto"/>
    </w:rPr>
  </w:style>
  <w:style w:type="paragraph" w:styleId="List4">
    <w:name w:val="List 4"/>
    <w:basedOn w:val="Normal"/>
    <w:uiPriority w:val="99"/>
    <w:semiHidden/>
    <w:unhideWhenUsed/>
    <w:rsid w:val="002A5496"/>
    <w:pPr>
      <w:suppressAutoHyphens w:val="0"/>
      <w:spacing w:before="90" w:after="160" w:line="259" w:lineRule="auto"/>
      <w:ind w:left="1132" w:hanging="283"/>
      <w:contextualSpacing/>
    </w:pPr>
    <w:rPr>
      <w:rFonts w:ascii="Arial Narrow" w:hAnsi="Arial Narrow" w:cs="Arial"/>
      <w:color w:val="auto"/>
    </w:rPr>
  </w:style>
  <w:style w:type="paragraph" w:styleId="List5">
    <w:name w:val="List 5"/>
    <w:basedOn w:val="Normal"/>
    <w:uiPriority w:val="99"/>
    <w:semiHidden/>
    <w:unhideWhenUsed/>
    <w:rsid w:val="002A5496"/>
    <w:pPr>
      <w:suppressAutoHyphens w:val="0"/>
      <w:spacing w:before="90" w:after="160" w:line="259" w:lineRule="auto"/>
      <w:ind w:left="1415" w:hanging="283"/>
      <w:contextualSpacing/>
    </w:pPr>
    <w:rPr>
      <w:rFonts w:ascii="Arial Narrow" w:hAnsi="Arial Narrow" w:cs="Arial"/>
      <w:color w:val="auto"/>
    </w:rPr>
  </w:style>
  <w:style w:type="paragraph" w:styleId="ListBullet">
    <w:name w:val="List Bullet"/>
    <w:aliases w:val="List Bullet Char1,List Bullet Char Char,List Bullet Char1 Char Char,List Bullet Char Char Char1 Char,List Bullet Char Char Char Char Char,List Bullet Char3,List Bullet Char2 Char,List Bullet Char2,List Bullet1,List Bullet Char Char1,l, Char"/>
    <w:basedOn w:val="Normal"/>
    <w:link w:val="ListBulletChar"/>
    <w:uiPriority w:val="99"/>
    <w:qFormat/>
    <w:rsid w:val="002A5496"/>
    <w:pPr>
      <w:suppressAutoHyphens w:val="0"/>
      <w:spacing w:before="70" w:after="70" w:line="280" w:lineRule="atLeast"/>
    </w:pPr>
    <w:rPr>
      <w:rFonts w:ascii="Arial Narrow" w:hAnsi="Arial Narrow" w:cs="Arial"/>
      <w:color w:val="auto"/>
    </w:rPr>
  </w:style>
  <w:style w:type="paragraph" w:styleId="ListBullet2">
    <w:name w:val="List Bullet 2"/>
    <w:aliases w:val=" Char2,Char2,2,Lista con viñetas 2,List Bullet 2 Char Char Char"/>
    <w:basedOn w:val="Normal"/>
    <w:uiPriority w:val="99"/>
    <w:qFormat/>
    <w:rsid w:val="002A5496"/>
    <w:pPr>
      <w:numPr>
        <w:ilvl w:val="1"/>
        <w:numId w:val="22"/>
      </w:numPr>
      <w:suppressAutoHyphens w:val="0"/>
      <w:spacing w:before="0" w:after="60" w:line="240" w:lineRule="atLeast"/>
      <w:ind w:left="0" w:firstLine="0"/>
    </w:pPr>
    <w:rPr>
      <w:rFonts w:ascii="Arial Narrow" w:hAnsi="Arial Narrow" w:cs="Arial"/>
      <w:color w:val="auto"/>
    </w:rPr>
  </w:style>
  <w:style w:type="paragraph" w:styleId="ListBullet3">
    <w:name w:val="List Bullet 3"/>
    <w:aliases w:val="Lista con viñetas 3"/>
    <w:basedOn w:val="Normal"/>
    <w:uiPriority w:val="99"/>
    <w:qFormat/>
    <w:rsid w:val="002A5496"/>
    <w:pPr>
      <w:numPr>
        <w:ilvl w:val="2"/>
        <w:numId w:val="22"/>
      </w:numPr>
      <w:suppressAutoHyphens w:val="0"/>
      <w:spacing w:before="0" w:after="60" w:line="240" w:lineRule="atLeast"/>
      <w:ind w:left="0" w:firstLine="0"/>
    </w:pPr>
    <w:rPr>
      <w:rFonts w:ascii="Arial Narrow" w:hAnsi="Arial Narrow" w:cs="Arial"/>
      <w:color w:val="auto"/>
    </w:rPr>
  </w:style>
  <w:style w:type="paragraph" w:styleId="ListBullet4">
    <w:name w:val="List Bullet 4"/>
    <w:basedOn w:val="Normal"/>
    <w:uiPriority w:val="99"/>
    <w:semiHidden/>
    <w:unhideWhenUsed/>
    <w:rsid w:val="002A5496"/>
    <w:pPr>
      <w:suppressAutoHyphens w:val="0"/>
      <w:spacing w:before="90" w:after="160" w:line="259" w:lineRule="auto"/>
      <w:contextualSpacing/>
    </w:pPr>
    <w:rPr>
      <w:rFonts w:ascii="Arial Narrow" w:hAnsi="Arial Narrow" w:cs="Arial"/>
      <w:color w:val="auto"/>
    </w:rPr>
  </w:style>
  <w:style w:type="paragraph" w:styleId="ListBullet5">
    <w:name w:val="List Bullet 5"/>
    <w:basedOn w:val="Normal"/>
    <w:uiPriority w:val="99"/>
    <w:semiHidden/>
    <w:unhideWhenUsed/>
    <w:rsid w:val="002A5496"/>
    <w:pPr>
      <w:suppressAutoHyphens w:val="0"/>
      <w:spacing w:before="90" w:after="160" w:line="259" w:lineRule="auto"/>
      <w:contextualSpacing/>
    </w:pPr>
    <w:rPr>
      <w:rFonts w:ascii="Arial Narrow" w:hAnsi="Arial Narrow" w:cs="Arial"/>
      <w:color w:val="auto"/>
    </w:rPr>
  </w:style>
  <w:style w:type="paragraph" w:styleId="ListContinue">
    <w:name w:val="List Continue"/>
    <w:basedOn w:val="Normal"/>
    <w:uiPriority w:val="99"/>
    <w:semiHidden/>
    <w:unhideWhenUsed/>
    <w:rsid w:val="002A5496"/>
    <w:pPr>
      <w:suppressAutoHyphens w:val="0"/>
      <w:spacing w:before="90" w:after="130" w:line="259" w:lineRule="auto"/>
      <w:ind w:left="283"/>
      <w:contextualSpacing/>
    </w:pPr>
    <w:rPr>
      <w:rFonts w:ascii="Arial Narrow" w:hAnsi="Arial Narrow" w:cs="Arial"/>
      <w:color w:val="auto"/>
    </w:rPr>
  </w:style>
  <w:style w:type="paragraph" w:styleId="ListContinue2">
    <w:name w:val="List Continue 2"/>
    <w:basedOn w:val="Normal"/>
    <w:uiPriority w:val="99"/>
    <w:semiHidden/>
    <w:unhideWhenUsed/>
    <w:rsid w:val="002A5496"/>
    <w:pPr>
      <w:suppressAutoHyphens w:val="0"/>
      <w:spacing w:before="90" w:after="130" w:line="259" w:lineRule="auto"/>
      <w:ind w:left="566"/>
      <w:contextualSpacing/>
    </w:pPr>
    <w:rPr>
      <w:rFonts w:ascii="Arial Narrow" w:hAnsi="Arial Narrow" w:cs="Arial"/>
      <w:color w:val="auto"/>
    </w:rPr>
  </w:style>
  <w:style w:type="paragraph" w:styleId="ListContinue3">
    <w:name w:val="List Continue 3"/>
    <w:basedOn w:val="Normal"/>
    <w:uiPriority w:val="99"/>
    <w:semiHidden/>
    <w:unhideWhenUsed/>
    <w:rsid w:val="002A5496"/>
    <w:pPr>
      <w:suppressAutoHyphens w:val="0"/>
      <w:spacing w:before="90" w:after="130" w:line="259" w:lineRule="auto"/>
      <w:ind w:left="849"/>
      <w:contextualSpacing/>
    </w:pPr>
    <w:rPr>
      <w:rFonts w:ascii="Arial Narrow" w:hAnsi="Arial Narrow" w:cs="Arial"/>
      <w:color w:val="auto"/>
    </w:rPr>
  </w:style>
  <w:style w:type="paragraph" w:styleId="ListContinue4">
    <w:name w:val="List Continue 4"/>
    <w:basedOn w:val="Normal"/>
    <w:uiPriority w:val="99"/>
    <w:semiHidden/>
    <w:unhideWhenUsed/>
    <w:rsid w:val="002A5496"/>
    <w:pPr>
      <w:suppressAutoHyphens w:val="0"/>
      <w:spacing w:before="90" w:after="130" w:line="259" w:lineRule="auto"/>
      <w:ind w:left="1132"/>
      <w:contextualSpacing/>
    </w:pPr>
    <w:rPr>
      <w:rFonts w:ascii="Arial Narrow" w:hAnsi="Arial Narrow" w:cs="Arial"/>
      <w:color w:val="auto"/>
    </w:rPr>
  </w:style>
  <w:style w:type="paragraph" w:styleId="ListContinue5">
    <w:name w:val="List Continue 5"/>
    <w:basedOn w:val="Normal"/>
    <w:uiPriority w:val="99"/>
    <w:semiHidden/>
    <w:unhideWhenUsed/>
    <w:rsid w:val="002A5496"/>
    <w:pPr>
      <w:suppressAutoHyphens w:val="0"/>
      <w:spacing w:before="90" w:after="130" w:line="259" w:lineRule="auto"/>
      <w:ind w:left="1415"/>
      <w:contextualSpacing/>
    </w:pPr>
    <w:rPr>
      <w:rFonts w:ascii="Arial Narrow" w:hAnsi="Arial Narrow" w:cs="Arial"/>
      <w:color w:val="auto"/>
    </w:rPr>
  </w:style>
  <w:style w:type="paragraph" w:styleId="ListNumber">
    <w:name w:val="List Number"/>
    <w:aliases w:val="List Number Special"/>
    <w:basedOn w:val="Normal"/>
    <w:uiPriority w:val="99"/>
    <w:qFormat/>
    <w:rsid w:val="002A5496"/>
    <w:pPr>
      <w:suppressAutoHyphens w:val="0"/>
      <w:spacing w:before="70" w:after="70" w:line="280" w:lineRule="atLeast"/>
    </w:pPr>
    <w:rPr>
      <w:rFonts w:ascii="Arial Narrow" w:hAnsi="Arial Narrow" w:cs="Arial"/>
      <w:color w:val="auto"/>
    </w:rPr>
  </w:style>
  <w:style w:type="paragraph" w:styleId="ListNumber2">
    <w:name w:val="List Number 2"/>
    <w:basedOn w:val="Normal"/>
    <w:uiPriority w:val="99"/>
    <w:qFormat/>
    <w:rsid w:val="002A5496"/>
    <w:pPr>
      <w:numPr>
        <w:ilvl w:val="1"/>
        <w:numId w:val="21"/>
      </w:numPr>
      <w:suppressAutoHyphens w:val="0"/>
      <w:spacing w:before="0" w:after="60" w:line="240" w:lineRule="atLeast"/>
      <w:ind w:left="0" w:firstLine="0"/>
    </w:pPr>
    <w:rPr>
      <w:rFonts w:ascii="Arial Narrow" w:hAnsi="Arial Narrow" w:cs="Arial"/>
      <w:color w:val="auto"/>
    </w:rPr>
  </w:style>
  <w:style w:type="paragraph" w:styleId="ListNumber3">
    <w:name w:val="List Number 3"/>
    <w:basedOn w:val="Normal"/>
    <w:uiPriority w:val="99"/>
    <w:qFormat/>
    <w:rsid w:val="002A5496"/>
    <w:pPr>
      <w:numPr>
        <w:ilvl w:val="2"/>
        <w:numId w:val="21"/>
      </w:numPr>
      <w:suppressAutoHyphens w:val="0"/>
      <w:spacing w:before="0" w:after="60" w:line="240" w:lineRule="atLeast"/>
      <w:ind w:left="0" w:firstLine="0"/>
    </w:pPr>
    <w:rPr>
      <w:rFonts w:ascii="Arial Narrow" w:hAnsi="Arial Narrow" w:cs="Arial"/>
      <w:color w:val="auto"/>
    </w:rPr>
  </w:style>
  <w:style w:type="paragraph" w:styleId="ListNumber4">
    <w:name w:val="List Number 4"/>
    <w:basedOn w:val="Normal"/>
    <w:uiPriority w:val="99"/>
    <w:semiHidden/>
    <w:unhideWhenUsed/>
    <w:rsid w:val="002A5496"/>
    <w:pPr>
      <w:suppressAutoHyphens w:val="0"/>
      <w:spacing w:before="90" w:after="160" w:line="259" w:lineRule="auto"/>
      <w:contextualSpacing/>
    </w:pPr>
    <w:rPr>
      <w:rFonts w:ascii="Arial Narrow" w:hAnsi="Arial Narrow" w:cs="Arial"/>
      <w:color w:val="auto"/>
    </w:rPr>
  </w:style>
  <w:style w:type="paragraph" w:styleId="ListNumber5">
    <w:name w:val="List Number 5"/>
    <w:basedOn w:val="Normal"/>
    <w:uiPriority w:val="99"/>
    <w:semiHidden/>
    <w:unhideWhenUsed/>
    <w:rsid w:val="002A5496"/>
    <w:pPr>
      <w:suppressAutoHyphens w:val="0"/>
      <w:spacing w:before="90" w:after="160" w:line="259" w:lineRule="auto"/>
      <w:contextualSpacing/>
    </w:pPr>
    <w:rPr>
      <w:rFonts w:ascii="Arial Narrow" w:hAnsi="Arial Narrow" w:cs="Arial"/>
      <w:color w:val="auto"/>
    </w:rPr>
  </w:style>
  <w:style w:type="table" w:styleId="ListTable1Light">
    <w:name w:val="List Table 1 Light"/>
    <w:basedOn w:val="TableNormal"/>
    <w:uiPriority w:val="46"/>
    <w:rsid w:val="002A5496"/>
    <w:pPr>
      <w:spacing w:before="0" w:after="0"/>
    </w:pPr>
    <w:rPr>
      <w:color w:val="auto"/>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A5496"/>
    <w:pPr>
      <w:spacing w:before="0" w:after="0"/>
    </w:pPr>
    <w:rPr>
      <w:color w:val="auto"/>
    </w:rPr>
    <w:tblPr>
      <w:tblStyleRowBandSize w:val="1"/>
      <w:tblStyleColBandSize w:val="1"/>
    </w:tblPr>
    <w:tblStylePr w:type="firstRow">
      <w:rPr>
        <w:b/>
        <w:bCs/>
      </w:rPr>
      <w:tblPr/>
      <w:tcPr>
        <w:tcBorders>
          <w:bottom w:val="single" w:sz="4" w:space="0" w:color="1C68D9" w:themeColor="accent1" w:themeTint="99"/>
        </w:tcBorders>
      </w:tcPr>
    </w:tblStylePr>
    <w:tblStylePr w:type="lastRow">
      <w:rPr>
        <w:b/>
        <w:bCs/>
      </w:rPr>
      <w:tblPr/>
      <w:tcPr>
        <w:tcBorders>
          <w:top w:val="single" w:sz="4" w:space="0" w:color="1C68D9" w:themeColor="accent1" w:themeTint="99"/>
        </w:tcBorders>
      </w:tc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 w:type="table" w:styleId="ListTable1Light-Accent2">
    <w:name w:val="List Table 1 Light Accent 2"/>
    <w:basedOn w:val="TableNormal"/>
    <w:uiPriority w:val="46"/>
    <w:rsid w:val="002A5496"/>
    <w:pPr>
      <w:spacing w:before="0" w:after="0"/>
    </w:pPr>
    <w:rPr>
      <w:color w:val="auto"/>
    </w:rPr>
    <w:tblPr>
      <w:tblStyleRowBandSize w:val="1"/>
      <w:tblStyleColBandSize w:val="1"/>
    </w:tblPr>
    <w:tblStylePr w:type="firstRow">
      <w:rPr>
        <w:b/>
        <w:bCs/>
      </w:rPr>
      <w:tblPr/>
      <w:tcPr>
        <w:tcBorders>
          <w:bottom w:val="single" w:sz="4" w:space="0" w:color="1FF0FF" w:themeColor="accent2" w:themeTint="99"/>
        </w:tcBorders>
      </w:tcPr>
    </w:tblStylePr>
    <w:tblStylePr w:type="lastRow">
      <w:rPr>
        <w:b/>
        <w:bCs/>
      </w:rPr>
      <w:tblPr/>
      <w:tcPr>
        <w:tcBorders>
          <w:top w:val="single" w:sz="4" w:space="0" w:color="1FF0FF" w:themeColor="accent2" w:themeTint="99"/>
        </w:tcBorders>
      </w:tcPr>
    </w:tblStylePr>
    <w:tblStylePr w:type="firstCol">
      <w:rPr>
        <w:b/>
        <w:bCs/>
      </w:rPr>
    </w:tblStylePr>
    <w:tblStylePr w:type="lastCol">
      <w:rPr>
        <w:b/>
        <w:bCs/>
      </w:rPr>
    </w:tblStylePr>
    <w:tblStylePr w:type="band1Vert">
      <w:tblPr/>
      <w:tcPr>
        <w:shd w:val="clear" w:color="auto" w:fill="B4FAFF" w:themeFill="accent2" w:themeFillTint="33"/>
      </w:tcPr>
    </w:tblStylePr>
    <w:tblStylePr w:type="band1Horz">
      <w:tblPr/>
      <w:tcPr>
        <w:shd w:val="clear" w:color="auto" w:fill="B4FAFF" w:themeFill="accent2" w:themeFillTint="33"/>
      </w:tcPr>
    </w:tblStylePr>
  </w:style>
  <w:style w:type="table" w:styleId="ListTable1Light-Accent3">
    <w:name w:val="List Table 1 Light Accent 3"/>
    <w:basedOn w:val="TableNormal"/>
    <w:uiPriority w:val="46"/>
    <w:rsid w:val="002A5496"/>
    <w:pPr>
      <w:spacing w:before="0" w:after="0"/>
    </w:pPr>
    <w:rPr>
      <w:color w:val="auto"/>
    </w:rPr>
    <w:tblPr>
      <w:tblStyleRowBandSize w:val="1"/>
      <w:tblStyleColBandSize w:val="1"/>
    </w:tblPr>
    <w:tblStylePr w:type="firstRow">
      <w:rPr>
        <w:b/>
        <w:bCs/>
      </w:rPr>
      <w:tblPr/>
      <w:tcPr>
        <w:tcBorders>
          <w:bottom w:val="single" w:sz="4" w:space="0" w:color="ADE3F8" w:themeColor="accent3" w:themeTint="99"/>
        </w:tcBorders>
      </w:tcPr>
    </w:tblStylePr>
    <w:tblStylePr w:type="lastRow">
      <w:rPr>
        <w:b/>
        <w:bCs/>
      </w:rPr>
      <w:tblPr/>
      <w:tcPr>
        <w:tcBorders>
          <w:top w:val="single" w:sz="4" w:space="0" w:color="ADE3F8" w:themeColor="accent3" w:themeTint="99"/>
        </w:tcBorders>
      </w:tcPr>
    </w:tblStylePr>
    <w:tblStylePr w:type="firstCol">
      <w:rPr>
        <w:b/>
        <w:bCs/>
      </w:rPr>
    </w:tblStylePr>
    <w:tblStylePr w:type="lastCol">
      <w:rPr>
        <w:b/>
        <w:bCs/>
      </w:rPr>
    </w:tblStylePr>
    <w:tblStylePr w:type="band1Vert">
      <w:tblPr/>
      <w:tcPr>
        <w:shd w:val="clear" w:color="auto" w:fill="E3F5FC" w:themeFill="accent3" w:themeFillTint="33"/>
      </w:tcPr>
    </w:tblStylePr>
    <w:tblStylePr w:type="band1Horz">
      <w:tblPr/>
      <w:tcPr>
        <w:shd w:val="clear" w:color="auto" w:fill="E3F5FC" w:themeFill="accent3" w:themeFillTint="33"/>
      </w:tcPr>
    </w:tblStylePr>
  </w:style>
  <w:style w:type="table" w:styleId="ListTable1Light-Accent4">
    <w:name w:val="List Table 1 Light Accent 4"/>
    <w:basedOn w:val="TableNormal"/>
    <w:uiPriority w:val="46"/>
    <w:rsid w:val="002A5496"/>
    <w:pPr>
      <w:spacing w:before="0" w:after="0"/>
    </w:pPr>
    <w:rPr>
      <w:color w:val="auto"/>
    </w:rPr>
    <w:tblPr>
      <w:tblStyleRowBandSize w:val="1"/>
      <w:tblStyleColBandSize w:val="1"/>
    </w:tblPr>
    <w:tblStylePr w:type="firstRow">
      <w:rPr>
        <w:b/>
        <w:bCs/>
      </w:rPr>
      <w:tblPr/>
      <w:tcPr>
        <w:tcBorders>
          <w:bottom w:val="single" w:sz="4" w:space="0" w:color="C2C7CF" w:themeColor="accent4" w:themeTint="99"/>
        </w:tcBorders>
      </w:tcPr>
    </w:tblStylePr>
    <w:tblStylePr w:type="lastRow">
      <w:rPr>
        <w:b/>
        <w:bCs/>
      </w:rPr>
      <w:tblPr/>
      <w:tcPr>
        <w:tcBorders>
          <w:top w:val="single" w:sz="4" w:space="0" w:color="C2C7CF" w:themeColor="accent4" w:themeTint="99"/>
        </w:tcBorders>
      </w:tcPr>
    </w:tblStylePr>
    <w:tblStylePr w:type="firstCol">
      <w:rPr>
        <w:b/>
        <w:bCs/>
      </w:rPr>
    </w:tblStylePr>
    <w:tblStylePr w:type="lastCol">
      <w:rPr>
        <w:b/>
        <w:bCs/>
      </w:rPr>
    </w:tblStylePr>
    <w:tblStylePr w:type="band1Vert">
      <w:tblPr/>
      <w:tcPr>
        <w:shd w:val="clear" w:color="auto" w:fill="EAECEF" w:themeFill="accent4" w:themeFillTint="33"/>
      </w:tcPr>
    </w:tblStylePr>
    <w:tblStylePr w:type="band1Horz">
      <w:tblPr/>
      <w:tcPr>
        <w:shd w:val="clear" w:color="auto" w:fill="EAECEF" w:themeFill="accent4" w:themeFillTint="33"/>
      </w:tcPr>
    </w:tblStylePr>
  </w:style>
  <w:style w:type="table" w:styleId="ListTable1Light-Accent5">
    <w:name w:val="List Table 1 Light Accent 5"/>
    <w:basedOn w:val="TableNormal"/>
    <w:uiPriority w:val="46"/>
    <w:rsid w:val="002A5496"/>
    <w:pPr>
      <w:spacing w:before="0" w:after="0"/>
    </w:pPr>
    <w:rPr>
      <w:color w:val="auto"/>
    </w:rPr>
    <w:tblPr>
      <w:tblStyleRowBandSize w:val="1"/>
      <w:tblStyleColBandSize w:val="1"/>
    </w:tblPr>
    <w:tblStylePr w:type="firstRow">
      <w:rPr>
        <w:b/>
        <w:bCs/>
      </w:rPr>
      <w:tblPr/>
      <w:tcPr>
        <w:tcBorders>
          <w:bottom w:val="single" w:sz="4" w:space="0" w:color="D9E5BB" w:themeColor="accent5" w:themeTint="99"/>
        </w:tcBorders>
      </w:tcPr>
    </w:tblStylePr>
    <w:tblStylePr w:type="lastRow">
      <w:rPr>
        <w:b/>
        <w:bCs/>
      </w:rPr>
      <w:tblPr/>
      <w:tcPr>
        <w:tcBorders>
          <w:top w:val="single" w:sz="4" w:space="0" w:color="D9E5BB" w:themeColor="accent5" w:themeTint="99"/>
        </w:tcBorders>
      </w:tcPr>
    </w:tblStylePr>
    <w:tblStylePr w:type="firstCol">
      <w:rPr>
        <w:b/>
        <w:bCs/>
      </w:rPr>
    </w:tblStylePr>
    <w:tblStylePr w:type="lastCol">
      <w:rPr>
        <w:b/>
        <w:bCs/>
      </w:rPr>
    </w:tblStylePr>
    <w:tblStylePr w:type="band1Vert">
      <w:tblPr/>
      <w:tcPr>
        <w:shd w:val="clear" w:color="auto" w:fill="F2F6E8" w:themeFill="accent5" w:themeFillTint="33"/>
      </w:tcPr>
    </w:tblStylePr>
    <w:tblStylePr w:type="band1Horz">
      <w:tblPr/>
      <w:tcPr>
        <w:shd w:val="clear" w:color="auto" w:fill="F2F6E8" w:themeFill="accent5" w:themeFillTint="33"/>
      </w:tcPr>
    </w:tblStylePr>
  </w:style>
  <w:style w:type="table" w:styleId="ListTable1Light-Accent6">
    <w:name w:val="List Table 1 Light Accent 6"/>
    <w:basedOn w:val="TableNormal"/>
    <w:uiPriority w:val="46"/>
    <w:rsid w:val="002A5496"/>
    <w:pPr>
      <w:spacing w:before="0" w:after="0"/>
    </w:pPr>
    <w:rPr>
      <w:color w:val="auto"/>
    </w:rPr>
    <w:tblPr>
      <w:tblStyleRowBandSize w:val="1"/>
      <w:tblStyleColBandSize w:val="1"/>
    </w:tblPr>
    <w:tblStylePr w:type="firstRow">
      <w:rPr>
        <w:b/>
        <w:bCs/>
      </w:rPr>
      <w:tblPr/>
      <w:tcPr>
        <w:tcBorders>
          <w:bottom w:val="single" w:sz="4" w:space="0" w:color="A8D9C0" w:themeColor="accent6" w:themeTint="99"/>
        </w:tcBorders>
      </w:tcPr>
    </w:tblStylePr>
    <w:tblStylePr w:type="lastRow">
      <w:rPr>
        <w:b/>
        <w:bCs/>
      </w:rPr>
      <w:tblPr/>
      <w:tcPr>
        <w:tcBorders>
          <w:top w:val="single" w:sz="4" w:space="0" w:color="A8D9C0" w:themeColor="accent6" w:themeTint="99"/>
        </w:tcBorders>
      </w:tcPr>
    </w:tblStylePr>
    <w:tblStylePr w:type="firstCol">
      <w:rPr>
        <w:b/>
        <w:bCs/>
      </w:rPr>
    </w:tblStylePr>
    <w:tblStylePr w:type="lastCol">
      <w:rPr>
        <w:b/>
        <w:bCs/>
      </w:rPr>
    </w:tblStylePr>
    <w:tblStylePr w:type="band1Vert">
      <w:tblPr/>
      <w:tcPr>
        <w:shd w:val="clear" w:color="auto" w:fill="E2F2EA" w:themeFill="accent6" w:themeFillTint="33"/>
      </w:tcPr>
    </w:tblStylePr>
    <w:tblStylePr w:type="band1Horz">
      <w:tblPr/>
      <w:tcPr>
        <w:shd w:val="clear" w:color="auto" w:fill="E2F2EA" w:themeFill="accent6" w:themeFillTint="33"/>
      </w:tcPr>
    </w:tblStylePr>
  </w:style>
  <w:style w:type="table" w:styleId="ListTable2">
    <w:name w:val="List Table 2"/>
    <w:basedOn w:val="TableNormal"/>
    <w:uiPriority w:val="47"/>
    <w:rsid w:val="002A5496"/>
    <w:pPr>
      <w:spacing w:before="0" w:after="0"/>
    </w:pPr>
    <w:rPr>
      <w:color w:val="auto"/>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A5496"/>
    <w:pPr>
      <w:spacing w:before="0" w:after="0"/>
    </w:pPr>
    <w:rPr>
      <w:color w:val="auto"/>
    </w:rPr>
    <w:tblPr>
      <w:tblStyleRowBandSize w:val="1"/>
      <w:tblStyleColBandSize w:val="1"/>
      <w:tblBorders>
        <w:top w:val="single" w:sz="4" w:space="0" w:color="1C68D9" w:themeColor="accent1" w:themeTint="99"/>
        <w:bottom w:val="single" w:sz="4" w:space="0" w:color="1C68D9" w:themeColor="accent1" w:themeTint="99"/>
        <w:insideH w:val="single" w:sz="4" w:space="0" w:color="1C68D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 w:type="table" w:styleId="ListTable2-Accent2">
    <w:name w:val="List Table 2 Accent 2"/>
    <w:basedOn w:val="TableNormal"/>
    <w:uiPriority w:val="47"/>
    <w:rsid w:val="002A5496"/>
    <w:pPr>
      <w:spacing w:before="0" w:after="0"/>
    </w:pPr>
    <w:rPr>
      <w:color w:val="auto"/>
    </w:rPr>
    <w:tblPr>
      <w:tblStyleRowBandSize w:val="1"/>
      <w:tblStyleColBandSize w:val="1"/>
      <w:tblBorders>
        <w:top w:val="single" w:sz="4" w:space="0" w:color="1FF0FF" w:themeColor="accent2" w:themeTint="99"/>
        <w:bottom w:val="single" w:sz="4" w:space="0" w:color="1FF0FF" w:themeColor="accent2" w:themeTint="99"/>
        <w:insideH w:val="single" w:sz="4" w:space="0" w:color="1FF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FAFF" w:themeFill="accent2" w:themeFillTint="33"/>
      </w:tcPr>
    </w:tblStylePr>
    <w:tblStylePr w:type="band1Horz">
      <w:tblPr/>
      <w:tcPr>
        <w:shd w:val="clear" w:color="auto" w:fill="B4FAFF" w:themeFill="accent2" w:themeFillTint="33"/>
      </w:tcPr>
    </w:tblStylePr>
  </w:style>
  <w:style w:type="table" w:styleId="ListTable2-Accent3">
    <w:name w:val="List Table 2 Accent 3"/>
    <w:basedOn w:val="TableNormal"/>
    <w:uiPriority w:val="47"/>
    <w:rsid w:val="002A5496"/>
    <w:pPr>
      <w:spacing w:before="0" w:after="0"/>
    </w:pPr>
    <w:rPr>
      <w:color w:val="auto"/>
    </w:rPr>
    <w:tblPr>
      <w:tblStyleRowBandSize w:val="1"/>
      <w:tblStyleColBandSize w:val="1"/>
      <w:tblBorders>
        <w:top w:val="single" w:sz="4" w:space="0" w:color="ADE3F8" w:themeColor="accent3" w:themeTint="99"/>
        <w:bottom w:val="single" w:sz="4" w:space="0" w:color="ADE3F8" w:themeColor="accent3" w:themeTint="99"/>
        <w:insideH w:val="single" w:sz="4" w:space="0" w:color="ADE3F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5FC" w:themeFill="accent3" w:themeFillTint="33"/>
      </w:tcPr>
    </w:tblStylePr>
    <w:tblStylePr w:type="band1Horz">
      <w:tblPr/>
      <w:tcPr>
        <w:shd w:val="clear" w:color="auto" w:fill="E3F5FC" w:themeFill="accent3" w:themeFillTint="33"/>
      </w:tcPr>
    </w:tblStylePr>
  </w:style>
  <w:style w:type="table" w:styleId="ListTable2-Accent4">
    <w:name w:val="List Table 2 Accent 4"/>
    <w:basedOn w:val="TableNormal"/>
    <w:uiPriority w:val="47"/>
    <w:rsid w:val="002A5496"/>
    <w:pPr>
      <w:spacing w:before="0" w:after="0"/>
    </w:pPr>
    <w:rPr>
      <w:color w:val="auto"/>
    </w:rPr>
    <w:tblPr>
      <w:tblStyleRowBandSize w:val="1"/>
      <w:tblStyleColBandSize w:val="1"/>
      <w:tblBorders>
        <w:top w:val="single" w:sz="4" w:space="0" w:color="C2C7CF" w:themeColor="accent4" w:themeTint="99"/>
        <w:bottom w:val="single" w:sz="4" w:space="0" w:color="C2C7CF" w:themeColor="accent4" w:themeTint="99"/>
        <w:insideH w:val="single" w:sz="4" w:space="0" w:color="C2C7C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CEF" w:themeFill="accent4" w:themeFillTint="33"/>
      </w:tcPr>
    </w:tblStylePr>
    <w:tblStylePr w:type="band1Horz">
      <w:tblPr/>
      <w:tcPr>
        <w:shd w:val="clear" w:color="auto" w:fill="EAECEF" w:themeFill="accent4" w:themeFillTint="33"/>
      </w:tcPr>
    </w:tblStylePr>
  </w:style>
  <w:style w:type="table" w:styleId="ListTable2-Accent5">
    <w:name w:val="List Table 2 Accent 5"/>
    <w:basedOn w:val="TableNormal"/>
    <w:uiPriority w:val="47"/>
    <w:rsid w:val="002A5496"/>
    <w:pPr>
      <w:spacing w:before="0" w:after="0"/>
    </w:pPr>
    <w:rPr>
      <w:color w:val="auto"/>
    </w:rPr>
    <w:tblPr>
      <w:tblStyleRowBandSize w:val="1"/>
      <w:tblStyleColBandSize w:val="1"/>
      <w:tblBorders>
        <w:top w:val="single" w:sz="4" w:space="0" w:color="D9E5BB" w:themeColor="accent5" w:themeTint="99"/>
        <w:bottom w:val="single" w:sz="4" w:space="0" w:color="D9E5BB" w:themeColor="accent5" w:themeTint="99"/>
        <w:insideH w:val="single" w:sz="4" w:space="0" w:color="D9E5B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6E8" w:themeFill="accent5" w:themeFillTint="33"/>
      </w:tcPr>
    </w:tblStylePr>
    <w:tblStylePr w:type="band1Horz">
      <w:tblPr/>
      <w:tcPr>
        <w:shd w:val="clear" w:color="auto" w:fill="F2F6E8" w:themeFill="accent5" w:themeFillTint="33"/>
      </w:tcPr>
    </w:tblStylePr>
  </w:style>
  <w:style w:type="table" w:styleId="ListTable2-Accent6">
    <w:name w:val="List Table 2 Accent 6"/>
    <w:basedOn w:val="TableNormal"/>
    <w:uiPriority w:val="47"/>
    <w:rsid w:val="002A5496"/>
    <w:pPr>
      <w:spacing w:before="0" w:after="0"/>
    </w:pPr>
    <w:rPr>
      <w:color w:val="auto"/>
    </w:rPr>
    <w:tblPr>
      <w:tblStyleRowBandSize w:val="1"/>
      <w:tblStyleColBandSize w:val="1"/>
      <w:tblBorders>
        <w:top w:val="single" w:sz="4" w:space="0" w:color="A8D9C0" w:themeColor="accent6" w:themeTint="99"/>
        <w:bottom w:val="single" w:sz="4" w:space="0" w:color="A8D9C0" w:themeColor="accent6" w:themeTint="99"/>
        <w:insideH w:val="single" w:sz="4" w:space="0" w:color="A8D9C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2EA" w:themeFill="accent6" w:themeFillTint="33"/>
      </w:tcPr>
    </w:tblStylePr>
    <w:tblStylePr w:type="band1Horz">
      <w:tblPr/>
      <w:tcPr>
        <w:shd w:val="clear" w:color="auto" w:fill="E2F2EA" w:themeFill="accent6" w:themeFillTint="33"/>
      </w:tcPr>
    </w:tblStylePr>
  </w:style>
  <w:style w:type="table" w:styleId="ListTable3">
    <w:name w:val="List Table 3"/>
    <w:basedOn w:val="TableNormal"/>
    <w:uiPriority w:val="48"/>
    <w:rsid w:val="002A5496"/>
    <w:pPr>
      <w:spacing w:before="0" w:after="0"/>
    </w:pPr>
    <w:rPr>
      <w:color w:val="auto"/>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A5496"/>
    <w:pPr>
      <w:spacing w:before="0" w:after="0"/>
    </w:pPr>
    <w:rPr>
      <w:color w:val="auto"/>
    </w:rPr>
    <w:tblPr>
      <w:tblStyleRowBandSize w:val="1"/>
      <w:tblStyleColBandSize w:val="1"/>
      <w:tblBorders>
        <w:top w:val="single" w:sz="4" w:space="0" w:color="081E3E" w:themeColor="accent1"/>
        <w:left w:val="single" w:sz="4" w:space="0" w:color="081E3E" w:themeColor="accent1"/>
        <w:bottom w:val="single" w:sz="4" w:space="0" w:color="081E3E" w:themeColor="accent1"/>
        <w:right w:val="single" w:sz="4" w:space="0" w:color="081E3E" w:themeColor="accent1"/>
      </w:tblBorders>
    </w:tblPr>
    <w:tblStylePr w:type="firstRow">
      <w:rPr>
        <w:b/>
        <w:bCs/>
        <w:color w:val="FFFFFF" w:themeColor="background1"/>
      </w:rPr>
      <w:tblPr/>
      <w:tcPr>
        <w:shd w:val="clear" w:color="auto" w:fill="081E3E" w:themeFill="accent1"/>
      </w:tcPr>
    </w:tblStylePr>
    <w:tblStylePr w:type="lastRow">
      <w:rPr>
        <w:b/>
        <w:bCs/>
      </w:rPr>
      <w:tblPr/>
      <w:tcPr>
        <w:tcBorders>
          <w:top w:val="double" w:sz="4" w:space="0" w:color="081E3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81E3E" w:themeColor="accent1"/>
          <w:right w:val="single" w:sz="4" w:space="0" w:color="081E3E" w:themeColor="accent1"/>
        </w:tcBorders>
      </w:tcPr>
    </w:tblStylePr>
    <w:tblStylePr w:type="band1Horz">
      <w:tblPr/>
      <w:tcPr>
        <w:tcBorders>
          <w:top w:val="single" w:sz="4" w:space="0" w:color="081E3E" w:themeColor="accent1"/>
          <w:bottom w:val="single" w:sz="4" w:space="0" w:color="081E3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81E3E" w:themeColor="accent1"/>
          <w:left w:val="nil"/>
        </w:tcBorders>
      </w:tcPr>
    </w:tblStylePr>
    <w:tblStylePr w:type="swCell">
      <w:tblPr/>
      <w:tcPr>
        <w:tcBorders>
          <w:top w:val="double" w:sz="4" w:space="0" w:color="081E3E" w:themeColor="accent1"/>
          <w:right w:val="nil"/>
        </w:tcBorders>
      </w:tcPr>
    </w:tblStylePr>
  </w:style>
  <w:style w:type="table" w:styleId="ListTable3-Accent2">
    <w:name w:val="List Table 3 Accent 2"/>
    <w:basedOn w:val="TableNormal"/>
    <w:uiPriority w:val="48"/>
    <w:rsid w:val="002A5496"/>
    <w:pPr>
      <w:spacing w:before="0" w:after="0"/>
    </w:pPr>
    <w:rPr>
      <w:color w:val="auto"/>
    </w:rPr>
    <w:tblPr>
      <w:tblStyleRowBandSize w:val="1"/>
      <w:tblStyleColBandSize w:val="1"/>
      <w:tblBorders>
        <w:top w:val="single" w:sz="4" w:space="0" w:color="008089" w:themeColor="accent2"/>
        <w:left w:val="single" w:sz="4" w:space="0" w:color="008089" w:themeColor="accent2"/>
        <w:bottom w:val="single" w:sz="4" w:space="0" w:color="008089" w:themeColor="accent2"/>
        <w:right w:val="single" w:sz="4" w:space="0" w:color="008089" w:themeColor="accent2"/>
      </w:tblBorders>
    </w:tblPr>
    <w:tblStylePr w:type="firstRow">
      <w:rPr>
        <w:b/>
        <w:bCs/>
        <w:color w:val="FFFFFF" w:themeColor="background1"/>
      </w:rPr>
      <w:tblPr/>
      <w:tcPr>
        <w:shd w:val="clear" w:color="auto" w:fill="008089" w:themeFill="accent2"/>
      </w:tcPr>
    </w:tblStylePr>
    <w:tblStylePr w:type="lastRow">
      <w:rPr>
        <w:b/>
        <w:bCs/>
      </w:rPr>
      <w:tblPr/>
      <w:tcPr>
        <w:tcBorders>
          <w:top w:val="double" w:sz="4" w:space="0" w:color="00808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089" w:themeColor="accent2"/>
          <w:right w:val="single" w:sz="4" w:space="0" w:color="008089" w:themeColor="accent2"/>
        </w:tcBorders>
      </w:tcPr>
    </w:tblStylePr>
    <w:tblStylePr w:type="band1Horz">
      <w:tblPr/>
      <w:tcPr>
        <w:tcBorders>
          <w:top w:val="single" w:sz="4" w:space="0" w:color="008089" w:themeColor="accent2"/>
          <w:bottom w:val="single" w:sz="4" w:space="0" w:color="00808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089" w:themeColor="accent2"/>
          <w:left w:val="nil"/>
        </w:tcBorders>
      </w:tcPr>
    </w:tblStylePr>
    <w:tblStylePr w:type="swCell">
      <w:tblPr/>
      <w:tcPr>
        <w:tcBorders>
          <w:top w:val="double" w:sz="4" w:space="0" w:color="008089" w:themeColor="accent2"/>
          <w:right w:val="nil"/>
        </w:tcBorders>
      </w:tcPr>
    </w:tblStylePr>
  </w:style>
  <w:style w:type="table" w:styleId="ListTable3-Accent3">
    <w:name w:val="List Table 3 Accent 3"/>
    <w:basedOn w:val="TableNormal"/>
    <w:uiPriority w:val="48"/>
    <w:rsid w:val="002A5496"/>
    <w:pPr>
      <w:spacing w:before="0" w:after="0"/>
    </w:pPr>
    <w:rPr>
      <w:color w:val="auto"/>
    </w:rPr>
    <w:tblPr>
      <w:tblStyleRowBandSize w:val="1"/>
      <w:tblStyleColBandSize w:val="1"/>
      <w:tblBorders>
        <w:top w:val="single" w:sz="4" w:space="0" w:color="77D1F4" w:themeColor="accent3"/>
        <w:left w:val="single" w:sz="4" w:space="0" w:color="77D1F4" w:themeColor="accent3"/>
        <w:bottom w:val="single" w:sz="4" w:space="0" w:color="77D1F4" w:themeColor="accent3"/>
        <w:right w:val="single" w:sz="4" w:space="0" w:color="77D1F4" w:themeColor="accent3"/>
      </w:tblBorders>
    </w:tblPr>
    <w:tblStylePr w:type="firstRow">
      <w:rPr>
        <w:b/>
        <w:bCs/>
        <w:color w:val="FFFFFF" w:themeColor="background1"/>
      </w:rPr>
      <w:tblPr/>
      <w:tcPr>
        <w:shd w:val="clear" w:color="auto" w:fill="77D1F4" w:themeFill="accent3"/>
      </w:tcPr>
    </w:tblStylePr>
    <w:tblStylePr w:type="lastRow">
      <w:rPr>
        <w:b/>
        <w:bCs/>
      </w:rPr>
      <w:tblPr/>
      <w:tcPr>
        <w:tcBorders>
          <w:top w:val="double" w:sz="4" w:space="0" w:color="77D1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7D1F4" w:themeColor="accent3"/>
          <w:right w:val="single" w:sz="4" w:space="0" w:color="77D1F4" w:themeColor="accent3"/>
        </w:tcBorders>
      </w:tcPr>
    </w:tblStylePr>
    <w:tblStylePr w:type="band1Horz">
      <w:tblPr/>
      <w:tcPr>
        <w:tcBorders>
          <w:top w:val="single" w:sz="4" w:space="0" w:color="77D1F4" w:themeColor="accent3"/>
          <w:bottom w:val="single" w:sz="4" w:space="0" w:color="77D1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7D1F4" w:themeColor="accent3"/>
          <w:left w:val="nil"/>
        </w:tcBorders>
      </w:tcPr>
    </w:tblStylePr>
    <w:tblStylePr w:type="swCell">
      <w:tblPr/>
      <w:tcPr>
        <w:tcBorders>
          <w:top w:val="double" w:sz="4" w:space="0" w:color="77D1F4" w:themeColor="accent3"/>
          <w:right w:val="nil"/>
        </w:tcBorders>
      </w:tcPr>
    </w:tblStylePr>
  </w:style>
  <w:style w:type="table" w:styleId="ListTable3-Accent4">
    <w:name w:val="List Table 3 Accent 4"/>
    <w:basedOn w:val="TableNormal"/>
    <w:uiPriority w:val="48"/>
    <w:rsid w:val="002A5496"/>
    <w:pPr>
      <w:spacing w:before="0" w:after="0"/>
    </w:pPr>
    <w:rPr>
      <w:color w:val="auto"/>
    </w:rPr>
    <w:tblPr>
      <w:tblStyleRowBandSize w:val="1"/>
      <w:tblStyleColBandSize w:val="1"/>
      <w:tblBorders>
        <w:top w:val="single" w:sz="4" w:space="0" w:color="9AA3AF" w:themeColor="accent4"/>
        <w:left w:val="single" w:sz="4" w:space="0" w:color="9AA3AF" w:themeColor="accent4"/>
        <w:bottom w:val="single" w:sz="4" w:space="0" w:color="9AA3AF" w:themeColor="accent4"/>
        <w:right w:val="single" w:sz="4" w:space="0" w:color="9AA3AF" w:themeColor="accent4"/>
      </w:tblBorders>
    </w:tblPr>
    <w:tblStylePr w:type="firstRow">
      <w:rPr>
        <w:b/>
        <w:bCs/>
        <w:color w:val="FFFFFF" w:themeColor="background1"/>
      </w:rPr>
      <w:tblPr/>
      <w:tcPr>
        <w:shd w:val="clear" w:color="auto" w:fill="9AA3AF" w:themeFill="accent4"/>
      </w:tcPr>
    </w:tblStylePr>
    <w:tblStylePr w:type="lastRow">
      <w:rPr>
        <w:b/>
        <w:bCs/>
      </w:rPr>
      <w:tblPr/>
      <w:tcPr>
        <w:tcBorders>
          <w:top w:val="double" w:sz="4" w:space="0" w:color="9AA3A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A3AF" w:themeColor="accent4"/>
          <w:right w:val="single" w:sz="4" w:space="0" w:color="9AA3AF" w:themeColor="accent4"/>
        </w:tcBorders>
      </w:tcPr>
    </w:tblStylePr>
    <w:tblStylePr w:type="band1Horz">
      <w:tblPr/>
      <w:tcPr>
        <w:tcBorders>
          <w:top w:val="single" w:sz="4" w:space="0" w:color="9AA3AF" w:themeColor="accent4"/>
          <w:bottom w:val="single" w:sz="4" w:space="0" w:color="9AA3A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A3AF" w:themeColor="accent4"/>
          <w:left w:val="nil"/>
        </w:tcBorders>
      </w:tcPr>
    </w:tblStylePr>
    <w:tblStylePr w:type="swCell">
      <w:tblPr/>
      <w:tcPr>
        <w:tcBorders>
          <w:top w:val="double" w:sz="4" w:space="0" w:color="9AA3AF" w:themeColor="accent4"/>
          <w:right w:val="nil"/>
        </w:tcBorders>
      </w:tcPr>
    </w:tblStylePr>
  </w:style>
  <w:style w:type="table" w:styleId="ListTable3-Accent5">
    <w:name w:val="List Table 3 Accent 5"/>
    <w:basedOn w:val="TableNormal"/>
    <w:uiPriority w:val="48"/>
    <w:rsid w:val="002A5496"/>
    <w:pPr>
      <w:spacing w:before="0" w:after="0"/>
    </w:pPr>
    <w:rPr>
      <w:color w:val="auto"/>
    </w:rPr>
    <w:tblPr>
      <w:tblStyleRowBandSize w:val="1"/>
      <w:tblStyleColBandSize w:val="1"/>
      <w:tblBorders>
        <w:top w:val="single" w:sz="4" w:space="0" w:color="C0D48F" w:themeColor="accent5"/>
        <w:left w:val="single" w:sz="4" w:space="0" w:color="C0D48F" w:themeColor="accent5"/>
        <w:bottom w:val="single" w:sz="4" w:space="0" w:color="C0D48F" w:themeColor="accent5"/>
        <w:right w:val="single" w:sz="4" w:space="0" w:color="C0D48F" w:themeColor="accent5"/>
      </w:tblBorders>
    </w:tblPr>
    <w:tblStylePr w:type="firstRow">
      <w:rPr>
        <w:b/>
        <w:bCs/>
        <w:color w:val="FFFFFF" w:themeColor="background1"/>
      </w:rPr>
      <w:tblPr/>
      <w:tcPr>
        <w:shd w:val="clear" w:color="auto" w:fill="C0D48F" w:themeFill="accent5"/>
      </w:tcPr>
    </w:tblStylePr>
    <w:tblStylePr w:type="lastRow">
      <w:rPr>
        <w:b/>
        <w:bCs/>
      </w:rPr>
      <w:tblPr/>
      <w:tcPr>
        <w:tcBorders>
          <w:top w:val="double" w:sz="4" w:space="0" w:color="C0D48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D48F" w:themeColor="accent5"/>
          <w:right w:val="single" w:sz="4" w:space="0" w:color="C0D48F" w:themeColor="accent5"/>
        </w:tcBorders>
      </w:tcPr>
    </w:tblStylePr>
    <w:tblStylePr w:type="band1Horz">
      <w:tblPr/>
      <w:tcPr>
        <w:tcBorders>
          <w:top w:val="single" w:sz="4" w:space="0" w:color="C0D48F" w:themeColor="accent5"/>
          <w:bottom w:val="single" w:sz="4" w:space="0" w:color="C0D48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D48F" w:themeColor="accent5"/>
          <w:left w:val="nil"/>
        </w:tcBorders>
      </w:tcPr>
    </w:tblStylePr>
    <w:tblStylePr w:type="swCell">
      <w:tblPr/>
      <w:tcPr>
        <w:tcBorders>
          <w:top w:val="double" w:sz="4" w:space="0" w:color="C0D48F" w:themeColor="accent5"/>
          <w:right w:val="nil"/>
        </w:tcBorders>
      </w:tcPr>
    </w:tblStylePr>
  </w:style>
  <w:style w:type="table" w:styleId="ListTable3-Accent6">
    <w:name w:val="List Table 3 Accent 6"/>
    <w:basedOn w:val="TableNormal"/>
    <w:uiPriority w:val="48"/>
    <w:rsid w:val="002A5496"/>
    <w:pPr>
      <w:spacing w:before="0" w:after="0"/>
    </w:pPr>
    <w:rPr>
      <w:color w:val="auto"/>
    </w:rPr>
    <w:tblPr>
      <w:tblStyleRowBandSize w:val="1"/>
      <w:tblStyleColBandSize w:val="1"/>
      <w:tblBorders>
        <w:top w:val="single" w:sz="4" w:space="0" w:color="6FC197" w:themeColor="accent6"/>
        <w:left w:val="single" w:sz="4" w:space="0" w:color="6FC197" w:themeColor="accent6"/>
        <w:bottom w:val="single" w:sz="4" w:space="0" w:color="6FC197" w:themeColor="accent6"/>
        <w:right w:val="single" w:sz="4" w:space="0" w:color="6FC197" w:themeColor="accent6"/>
      </w:tblBorders>
    </w:tblPr>
    <w:tblStylePr w:type="firstRow">
      <w:rPr>
        <w:b/>
        <w:bCs/>
        <w:color w:val="FFFFFF" w:themeColor="background1"/>
      </w:rPr>
      <w:tblPr/>
      <w:tcPr>
        <w:shd w:val="clear" w:color="auto" w:fill="6FC197" w:themeFill="accent6"/>
      </w:tcPr>
    </w:tblStylePr>
    <w:tblStylePr w:type="lastRow">
      <w:rPr>
        <w:b/>
        <w:bCs/>
      </w:rPr>
      <w:tblPr/>
      <w:tcPr>
        <w:tcBorders>
          <w:top w:val="double" w:sz="4" w:space="0" w:color="6FC19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C197" w:themeColor="accent6"/>
          <w:right w:val="single" w:sz="4" w:space="0" w:color="6FC197" w:themeColor="accent6"/>
        </w:tcBorders>
      </w:tcPr>
    </w:tblStylePr>
    <w:tblStylePr w:type="band1Horz">
      <w:tblPr/>
      <w:tcPr>
        <w:tcBorders>
          <w:top w:val="single" w:sz="4" w:space="0" w:color="6FC197" w:themeColor="accent6"/>
          <w:bottom w:val="single" w:sz="4" w:space="0" w:color="6FC19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C197" w:themeColor="accent6"/>
          <w:left w:val="nil"/>
        </w:tcBorders>
      </w:tcPr>
    </w:tblStylePr>
    <w:tblStylePr w:type="swCell">
      <w:tblPr/>
      <w:tcPr>
        <w:tcBorders>
          <w:top w:val="double" w:sz="4" w:space="0" w:color="6FC197" w:themeColor="accent6"/>
          <w:right w:val="nil"/>
        </w:tcBorders>
      </w:tcPr>
    </w:tblStylePr>
  </w:style>
  <w:style w:type="table" w:styleId="ListTable4">
    <w:name w:val="List Table 4"/>
    <w:basedOn w:val="TableNormal"/>
    <w:uiPriority w:val="49"/>
    <w:rsid w:val="002A5496"/>
    <w:pPr>
      <w:spacing w:before="0" w:after="0"/>
    </w:pPr>
    <w:rPr>
      <w:color w:val="aut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A5496"/>
    <w:pPr>
      <w:spacing w:before="0" w:after="0"/>
    </w:pPr>
    <w:rPr>
      <w:color w:val="auto"/>
    </w:rPr>
    <w:tblPr>
      <w:tblStyleRowBandSize w:val="1"/>
      <w:tblStyleColBandSize w:val="1"/>
      <w:tblBorders>
        <w:top w:val="single" w:sz="4" w:space="0" w:color="1C68D9" w:themeColor="accent1" w:themeTint="99"/>
        <w:left w:val="single" w:sz="4" w:space="0" w:color="1C68D9" w:themeColor="accent1" w:themeTint="99"/>
        <w:bottom w:val="single" w:sz="4" w:space="0" w:color="1C68D9" w:themeColor="accent1" w:themeTint="99"/>
        <w:right w:val="single" w:sz="4" w:space="0" w:color="1C68D9" w:themeColor="accent1" w:themeTint="99"/>
        <w:insideH w:val="single" w:sz="4" w:space="0" w:color="1C68D9" w:themeColor="accent1" w:themeTint="99"/>
      </w:tblBorders>
    </w:tblPr>
    <w:tblStylePr w:type="firstRow">
      <w:rPr>
        <w:b/>
        <w:bCs/>
        <w:color w:val="FFFFFF" w:themeColor="background1"/>
      </w:rPr>
      <w:tblPr/>
      <w:tcPr>
        <w:tcBorders>
          <w:top w:val="single" w:sz="4" w:space="0" w:color="081E3E" w:themeColor="accent1"/>
          <w:left w:val="single" w:sz="4" w:space="0" w:color="081E3E" w:themeColor="accent1"/>
          <w:bottom w:val="single" w:sz="4" w:space="0" w:color="081E3E" w:themeColor="accent1"/>
          <w:right w:val="single" w:sz="4" w:space="0" w:color="081E3E" w:themeColor="accent1"/>
          <w:insideH w:val="nil"/>
        </w:tcBorders>
        <w:shd w:val="clear" w:color="auto" w:fill="081E3E" w:themeFill="accent1"/>
      </w:tcPr>
    </w:tblStylePr>
    <w:tblStylePr w:type="lastRow">
      <w:rPr>
        <w:b/>
        <w:bCs/>
      </w:rPr>
      <w:tblPr/>
      <w:tcPr>
        <w:tcBorders>
          <w:top w:val="double" w:sz="4" w:space="0" w:color="1C68D9" w:themeColor="accent1" w:themeTint="99"/>
        </w:tcBorders>
      </w:tc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 w:type="table" w:styleId="ListTable4-Accent2">
    <w:name w:val="List Table 4 Accent 2"/>
    <w:basedOn w:val="TableNormal"/>
    <w:uiPriority w:val="49"/>
    <w:rsid w:val="002A5496"/>
    <w:pPr>
      <w:spacing w:before="0" w:after="0"/>
    </w:pPr>
    <w:rPr>
      <w:color w:val="auto"/>
    </w:rPr>
    <w:tblPr>
      <w:tblStyleRowBandSize w:val="1"/>
      <w:tblStyleColBandSize w:val="1"/>
      <w:tblBorders>
        <w:top w:val="single" w:sz="4" w:space="0" w:color="1FF0FF" w:themeColor="accent2" w:themeTint="99"/>
        <w:left w:val="single" w:sz="4" w:space="0" w:color="1FF0FF" w:themeColor="accent2" w:themeTint="99"/>
        <w:bottom w:val="single" w:sz="4" w:space="0" w:color="1FF0FF" w:themeColor="accent2" w:themeTint="99"/>
        <w:right w:val="single" w:sz="4" w:space="0" w:color="1FF0FF" w:themeColor="accent2" w:themeTint="99"/>
        <w:insideH w:val="single" w:sz="4" w:space="0" w:color="1FF0FF" w:themeColor="accent2" w:themeTint="99"/>
      </w:tblBorders>
    </w:tblPr>
    <w:tblStylePr w:type="firstRow">
      <w:rPr>
        <w:b/>
        <w:bCs/>
        <w:color w:val="FFFFFF" w:themeColor="background1"/>
      </w:rPr>
      <w:tblPr/>
      <w:tcPr>
        <w:tcBorders>
          <w:top w:val="single" w:sz="4" w:space="0" w:color="008089" w:themeColor="accent2"/>
          <w:left w:val="single" w:sz="4" w:space="0" w:color="008089" w:themeColor="accent2"/>
          <w:bottom w:val="single" w:sz="4" w:space="0" w:color="008089" w:themeColor="accent2"/>
          <w:right w:val="single" w:sz="4" w:space="0" w:color="008089" w:themeColor="accent2"/>
          <w:insideH w:val="nil"/>
        </w:tcBorders>
        <w:shd w:val="clear" w:color="auto" w:fill="008089" w:themeFill="accent2"/>
      </w:tcPr>
    </w:tblStylePr>
    <w:tblStylePr w:type="lastRow">
      <w:rPr>
        <w:b/>
        <w:bCs/>
      </w:rPr>
      <w:tblPr/>
      <w:tcPr>
        <w:tcBorders>
          <w:top w:val="double" w:sz="4" w:space="0" w:color="1FF0FF" w:themeColor="accent2" w:themeTint="99"/>
        </w:tcBorders>
      </w:tcPr>
    </w:tblStylePr>
    <w:tblStylePr w:type="firstCol">
      <w:rPr>
        <w:b/>
        <w:bCs/>
      </w:rPr>
    </w:tblStylePr>
    <w:tblStylePr w:type="lastCol">
      <w:rPr>
        <w:b/>
        <w:bCs/>
      </w:rPr>
    </w:tblStylePr>
    <w:tblStylePr w:type="band1Vert">
      <w:tblPr/>
      <w:tcPr>
        <w:shd w:val="clear" w:color="auto" w:fill="B4FAFF" w:themeFill="accent2" w:themeFillTint="33"/>
      </w:tcPr>
    </w:tblStylePr>
    <w:tblStylePr w:type="band1Horz">
      <w:tblPr/>
      <w:tcPr>
        <w:shd w:val="clear" w:color="auto" w:fill="B4FAFF" w:themeFill="accent2" w:themeFillTint="33"/>
      </w:tcPr>
    </w:tblStylePr>
  </w:style>
  <w:style w:type="table" w:styleId="ListTable4-Accent3">
    <w:name w:val="List Table 4 Accent 3"/>
    <w:basedOn w:val="TableNormal"/>
    <w:uiPriority w:val="49"/>
    <w:rsid w:val="002A5496"/>
    <w:pPr>
      <w:spacing w:before="0" w:after="0"/>
    </w:pPr>
    <w:rPr>
      <w:color w:val="auto"/>
    </w:rPr>
    <w:tblPr>
      <w:tblStyleRowBandSize w:val="1"/>
      <w:tblStyleColBandSize w:val="1"/>
      <w:tblBorders>
        <w:top w:val="single" w:sz="4" w:space="0" w:color="ADE3F8" w:themeColor="accent3" w:themeTint="99"/>
        <w:left w:val="single" w:sz="4" w:space="0" w:color="ADE3F8" w:themeColor="accent3" w:themeTint="99"/>
        <w:bottom w:val="single" w:sz="4" w:space="0" w:color="ADE3F8" w:themeColor="accent3" w:themeTint="99"/>
        <w:right w:val="single" w:sz="4" w:space="0" w:color="ADE3F8" w:themeColor="accent3" w:themeTint="99"/>
        <w:insideH w:val="single" w:sz="4" w:space="0" w:color="ADE3F8" w:themeColor="accent3" w:themeTint="99"/>
      </w:tblBorders>
    </w:tblPr>
    <w:tblStylePr w:type="firstRow">
      <w:rPr>
        <w:b/>
        <w:bCs/>
        <w:color w:val="FFFFFF" w:themeColor="background1"/>
      </w:rPr>
      <w:tblPr/>
      <w:tcPr>
        <w:tcBorders>
          <w:top w:val="single" w:sz="4" w:space="0" w:color="77D1F4" w:themeColor="accent3"/>
          <w:left w:val="single" w:sz="4" w:space="0" w:color="77D1F4" w:themeColor="accent3"/>
          <w:bottom w:val="single" w:sz="4" w:space="0" w:color="77D1F4" w:themeColor="accent3"/>
          <w:right w:val="single" w:sz="4" w:space="0" w:color="77D1F4" w:themeColor="accent3"/>
          <w:insideH w:val="nil"/>
        </w:tcBorders>
        <w:shd w:val="clear" w:color="auto" w:fill="77D1F4" w:themeFill="accent3"/>
      </w:tcPr>
    </w:tblStylePr>
    <w:tblStylePr w:type="lastRow">
      <w:rPr>
        <w:b/>
        <w:bCs/>
      </w:rPr>
      <w:tblPr/>
      <w:tcPr>
        <w:tcBorders>
          <w:top w:val="double" w:sz="4" w:space="0" w:color="ADE3F8" w:themeColor="accent3" w:themeTint="99"/>
        </w:tcBorders>
      </w:tcPr>
    </w:tblStylePr>
    <w:tblStylePr w:type="firstCol">
      <w:rPr>
        <w:b/>
        <w:bCs/>
      </w:rPr>
    </w:tblStylePr>
    <w:tblStylePr w:type="lastCol">
      <w:rPr>
        <w:b/>
        <w:bCs/>
      </w:rPr>
    </w:tblStylePr>
    <w:tblStylePr w:type="band1Vert">
      <w:tblPr/>
      <w:tcPr>
        <w:shd w:val="clear" w:color="auto" w:fill="E3F5FC" w:themeFill="accent3" w:themeFillTint="33"/>
      </w:tcPr>
    </w:tblStylePr>
    <w:tblStylePr w:type="band1Horz">
      <w:tblPr/>
      <w:tcPr>
        <w:shd w:val="clear" w:color="auto" w:fill="E3F5FC" w:themeFill="accent3" w:themeFillTint="33"/>
      </w:tcPr>
    </w:tblStylePr>
  </w:style>
  <w:style w:type="table" w:styleId="ListTable4-Accent4">
    <w:name w:val="List Table 4 Accent 4"/>
    <w:basedOn w:val="TableNormal"/>
    <w:uiPriority w:val="49"/>
    <w:rsid w:val="002A5496"/>
    <w:pPr>
      <w:spacing w:before="0" w:after="0"/>
    </w:pPr>
    <w:rPr>
      <w:color w:val="auto"/>
    </w:rPr>
    <w:tblPr>
      <w:tblStyleRowBandSize w:val="1"/>
      <w:tblStyleColBandSize w:val="1"/>
      <w:tblBorders>
        <w:top w:val="single" w:sz="4" w:space="0" w:color="C2C7CF" w:themeColor="accent4" w:themeTint="99"/>
        <w:left w:val="single" w:sz="4" w:space="0" w:color="C2C7CF" w:themeColor="accent4" w:themeTint="99"/>
        <w:bottom w:val="single" w:sz="4" w:space="0" w:color="C2C7CF" w:themeColor="accent4" w:themeTint="99"/>
        <w:right w:val="single" w:sz="4" w:space="0" w:color="C2C7CF" w:themeColor="accent4" w:themeTint="99"/>
        <w:insideH w:val="single" w:sz="4" w:space="0" w:color="C2C7CF" w:themeColor="accent4" w:themeTint="99"/>
      </w:tblBorders>
    </w:tblPr>
    <w:tblStylePr w:type="firstRow">
      <w:rPr>
        <w:b/>
        <w:bCs/>
        <w:color w:val="FFFFFF" w:themeColor="background1"/>
      </w:rPr>
      <w:tblPr/>
      <w:tcPr>
        <w:tcBorders>
          <w:top w:val="single" w:sz="4" w:space="0" w:color="9AA3AF" w:themeColor="accent4"/>
          <w:left w:val="single" w:sz="4" w:space="0" w:color="9AA3AF" w:themeColor="accent4"/>
          <w:bottom w:val="single" w:sz="4" w:space="0" w:color="9AA3AF" w:themeColor="accent4"/>
          <w:right w:val="single" w:sz="4" w:space="0" w:color="9AA3AF" w:themeColor="accent4"/>
          <w:insideH w:val="nil"/>
        </w:tcBorders>
        <w:shd w:val="clear" w:color="auto" w:fill="9AA3AF" w:themeFill="accent4"/>
      </w:tcPr>
    </w:tblStylePr>
    <w:tblStylePr w:type="lastRow">
      <w:rPr>
        <w:b/>
        <w:bCs/>
      </w:rPr>
      <w:tblPr/>
      <w:tcPr>
        <w:tcBorders>
          <w:top w:val="double" w:sz="4" w:space="0" w:color="C2C7CF" w:themeColor="accent4" w:themeTint="99"/>
        </w:tcBorders>
      </w:tcPr>
    </w:tblStylePr>
    <w:tblStylePr w:type="firstCol">
      <w:rPr>
        <w:b/>
        <w:bCs/>
      </w:rPr>
    </w:tblStylePr>
    <w:tblStylePr w:type="lastCol">
      <w:rPr>
        <w:b/>
        <w:bCs/>
      </w:rPr>
    </w:tblStylePr>
    <w:tblStylePr w:type="band1Vert">
      <w:tblPr/>
      <w:tcPr>
        <w:shd w:val="clear" w:color="auto" w:fill="EAECEF" w:themeFill="accent4" w:themeFillTint="33"/>
      </w:tcPr>
    </w:tblStylePr>
    <w:tblStylePr w:type="band1Horz">
      <w:tblPr/>
      <w:tcPr>
        <w:shd w:val="clear" w:color="auto" w:fill="EAECEF" w:themeFill="accent4" w:themeFillTint="33"/>
      </w:tcPr>
    </w:tblStylePr>
  </w:style>
  <w:style w:type="table" w:styleId="ListTable4-Accent5">
    <w:name w:val="List Table 4 Accent 5"/>
    <w:basedOn w:val="TableNormal"/>
    <w:uiPriority w:val="49"/>
    <w:rsid w:val="002A5496"/>
    <w:pPr>
      <w:spacing w:before="0" w:after="0"/>
    </w:pPr>
    <w:rPr>
      <w:color w:val="auto"/>
    </w:rPr>
    <w:tblPr>
      <w:tblStyleRowBandSize w:val="1"/>
      <w:tblStyleColBandSize w:val="1"/>
      <w:tblBorders>
        <w:top w:val="single" w:sz="4" w:space="0" w:color="D9E5BB" w:themeColor="accent5" w:themeTint="99"/>
        <w:left w:val="single" w:sz="4" w:space="0" w:color="D9E5BB" w:themeColor="accent5" w:themeTint="99"/>
        <w:bottom w:val="single" w:sz="4" w:space="0" w:color="D9E5BB" w:themeColor="accent5" w:themeTint="99"/>
        <w:right w:val="single" w:sz="4" w:space="0" w:color="D9E5BB" w:themeColor="accent5" w:themeTint="99"/>
        <w:insideH w:val="single" w:sz="4" w:space="0" w:color="D9E5BB" w:themeColor="accent5" w:themeTint="99"/>
      </w:tblBorders>
    </w:tblPr>
    <w:tblStylePr w:type="firstRow">
      <w:rPr>
        <w:b/>
        <w:bCs/>
        <w:color w:val="FFFFFF" w:themeColor="background1"/>
      </w:rPr>
      <w:tblPr/>
      <w:tcPr>
        <w:tcBorders>
          <w:top w:val="single" w:sz="4" w:space="0" w:color="C0D48F" w:themeColor="accent5"/>
          <w:left w:val="single" w:sz="4" w:space="0" w:color="C0D48F" w:themeColor="accent5"/>
          <w:bottom w:val="single" w:sz="4" w:space="0" w:color="C0D48F" w:themeColor="accent5"/>
          <w:right w:val="single" w:sz="4" w:space="0" w:color="C0D48F" w:themeColor="accent5"/>
          <w:insideH w:val="nil"/>
        </w:tcBorders>
        <w:shd w:val="clear" w:color="auto" w:fill="C0D48F" w:themeFill="accent5"/>
      </w:tcPr>
    </w:tblStylePr>
    <w:tblStylePr w:type="lastRow">
      <w:rPr>
        <w:b/>
        <w:bCs/>
      </w:rPr>
      <w:tblPr/>
      <w:tcPr>
        <w:tcBorders>
          <w:top w:val="double" w:sz="4" w:space="0" w:color="D9E5BB" w:themeColor="accent5" w:themeTint="99"/>
        </w:tcBorders>
      </w:tcPr>
    </w:tblStylePr>
    <w:tblStylePr w:type="firstCol">
      <w:rPr>
        <w:b/>
        <w:bCs/>
      </w:rPr>
    </w:tblStylePr>
    <w:tblStylePr w:type="lastCol">
      <w:rPr>
        <w:b/>
        <w:bCs/>
      </w:rPr>
    </w:tblStylePr>
    <w:tblStylePr w:type="band1Vert">
      <w:tblPr/>
      <w:tcPr>
        <w:shd w:val="clear" w:color="auto" w:fill="F2F6E8" w:themeFill="accent5" w:themeFillTint="33"/>
      </w:tcPr>
    </w:tblStylePr>
    <w:tblStylePr w:type="band1Horz">
      <w:tblPr/>
      <w:tcPr>
        <w:shd w:val="clear" w:color="auto" w:fill="F2F6E8" w:themeFill="accent5" w:themeFillTint="33"/>
      </w:tcPr>
    </w:tblStylePr>
  </w:style>
  <w:style w:type="table" w:styleId="ListTable4-Accent6">
    <w:name w:val="List Table 4 Accent 6"/>
    <w:basedOn w:val="TableNormal"/>
    <w:uiPriority w:val="49"/>
    <w:rsid w:val="002A5496"/>
    <w:pPr>
      <w:spacing w:before="0" w:after="0"/>
    </w:pPr>
    <w:rPr>
      <w:color w:val="auto"/>
    </w:rPr>
    <w:tblPr>
      <w:tblStyleRowBandSize w:val="1"/>
      <w:tblStyleColBandSize w:val="1"/>
      <w:tblBorders>
        <w:top w:val="single" w:sz="4" w:space="0" w:color="A8D9C0" w:themeColor="accent6" w:themeTint="99"/>
        <w:left w:val="single" w:sz="4" w:space="0" w:color="A8D9C0" w:themeColor="accent6" w:themeTint="99"/>
        <w:bottom w:val="single" w:sz="4" w:space="0" w:color="A8D9C0" w:themeColor="accent6" w:themeTint="99"/>
        <w:right w:val="single" w:sz="4" w:space="0" w:color="A8D9C0" w:themeColor="accent6" w:themeTint="99"/>
        <w:insideH w:val="single" w:sz="4" w:space="0" w:color="A8D9C0" w:themeColor="accent6" w:themeTint="99"/>
      </w:tblBorders>
    </w:tblPr>
    <w:tblStylePr w:type="firstRow">
      <w:rPr>
        <w:b/>
        <w:bCs/>
        <w:color w:val="FFFFFF" w:themeColor="background1"/>
      </w:rPr>
      <w:tblPr/>
      <w:tcPr>
        <w:tcBorders>
          <w:top w:val="single" w:sz="4" w:space="0" w:color="6FC197" w:themeColor="accent6"/>
          <w:left w:val="single" w:sz="4" w:space="0" w:color="6FC197" w:themeColor="accent6"/>
          <w:bottom w:val="single" w:sz="4" w:space="0" w:color="6FC197" w:themeColor="accent6"/>
          <w:right w:val="single" w:sz="4" w:space="0" w:color="6FC197" w:themeColor="accent6"/>
          <w:insideH w:val="nil"/>
        </w:tcBorders>
        <w:shd w:val="clear" w:color="auto" w:fill="6FC197" w:themeFill="accent6"/>
      </w:tcPr>
    </w:tblStylePr>
    <w:tblStylePr w:type="lastRow">
      <w:rPr>
        <w:b/>
        <w:bCs/>
      </w:rPr>
      <w:tblPr/>
      <w:tcPr>
        <w:tcBorders>
          <w:top w:val="double" w:sz="4" w:space="0" w:color="A8D9C0" w:themeColor="accent6" w:themeTint="99"/>
        </w:tcBorders>
      </w:tcPr>
    </w:tblStylePr>
    <w:tblStylePr w:type="firstCol">
      <w:rPr>
        <w:b/>
        <w:bCs/>
      </w:rPr>
    </w:tblStylePr>
    <w:tblStylePr w:type="lastCol">
      <w:rPr>
        <w:b/>
        <w:bCs/>
      </w:rPr>
    </w:tblStylePr>
    <w:tblStylePr w:type="band1Vert">
      <w:tblPr/>
      <w:tcPr>
        <w:shd w:val="clear" w:color="auto" w:fill="E2F2EA" w:themeFill="accent6" w:themeFillTint="33"/>
      </w:tcPr>
    </w:tblStylePr>
    <w:tblStylePr w:type="band1Horz">
      <w:tblPr/>
      <w:tcPr>
        <w:shd w:val="clear" w:color="auto" w:fill="E2F2EA" w:themeFill="accent6" w:themeFillTint="33"/>
      </w:tcPr>
    </w:tblStylePr>
  </w:style>
  <w:style w:type="table" w:styleId="ListTable5Dark">
    <w:name w:val="List Table 5 Dark"/>
    <w:basedOn w:val="TableNormal"/>
    <w:uiPriority w:val="50"/>
    <w:rsid w:val="002A5496"/>
    <w:pPr>
      <w:spacing w:before="0"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A5496"/>
    <w:pPr>
      <w:spacing w:before="0" w:after="0"/>
    </w:pPr>
    <w:rPr>
      <w:color w:val="FFFFFF" w:themeColor="background1"/>
    </w:rPr>
    <w:tblPr>
      <w:tblStyleRowBandSize w:val="1"/>
      <w:tblStyleColBandSize w:val="1"/>
      <w:tblBorders>
        <w:top w:val="single" w:sz="24" w:space="0" w:color="081E3E" w:themeColor="accent1"/>
        <w:left w:val="single" w:sz="24" w:space="0" w:color="081E3E" w:themeColor="accent1"/>
        <w:bottom w:val="single" w:sz="24" w:space="0" w:color="081E3E" w:themeColor="accent1"/>
        <w:right w:val="single" w:sz="24" w:space="0" w:color="081E3E" w:themeColor="accent1"/>
      </w:tblBorders>
    </w:tblPr>
    <w:tcPr>
      <w:shd w:val="clear" w:color="auto" w:fill="081E3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A5496"/>
    <w:pPr>
      <w:spacing w:before="0" w:after="0"/>
    </w:pPr>
    <w:rPr>
      <w:color w:val="FFFFFF" w:themeColor="background1"/>
    </w:rPr>
    <w:tblPr>
      <w:tblStyleRowBandSize w:val="1"/>
      <w:tblStyleColBandSize w:val="1"/>
      <w:tblBorders>
        <w:top w:val="single" w:sz="24" w:space="0" w:color="008089" w:themeColor="accent2"/>
        <w:left w:val="single" w:sz="24" w:space="0" w:color="008089" w:themeColor="accent2"/>
        <w:bottom w:val="single" w:sz="24" w:space="0" w:color="008089" w:themeColor="accent2"/>
        <w:right w:val="single" w:sz="24" w:space="0" w:color="008089" w:themeColor="accent2"/>
      </w:tblBorders>
    </w:tblPr>
    <w:tcPr>
      <w:shd w:val="clear" w:color="auto" w:fill="00808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A5496"/>
    <w:pPr>
      <w:spacing w:before="0" w:after="0"/>
    </w:pPr>
    <w:rPr>
      <w:color w:val="FFFFFF" w:themeColor="background1"/>
    </w:rPr>
    <w:tblPr>
      <w:tblStyleRowBandSize w:val="1"/>
      <w:tblStyleColBandSize w:val="1"/>
      <w:tblBorders>
        <w:top w:val="single" w:sz="24" w:space="0" w:color="77D1F4" w:themeColor="accent3"/>
        <w:left w:val="single" w:sz="24" w:space="0" w:color="77D1F4" w:themeColor="accent3"/>
        <w:bottom w:val="single" w:sz="24" w:space="0" w:color="77D1F4" w:themeColor="accent3"/>
        <w:right w:val="single" w:sz="24" w:space="0" w:color="77D1F4" w:themeColor="accent3"/>
      </w:tblBorders>
    </w:tblPr>
    <w:tcPr>
      <w:shd w:val="clear" w:color="auto" w:fill="77D1F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A5496"/>
    <w:pPr>
      <w:spacing w:before="0" w:after="0"/>
    </w:pPr>
    <w:rPr>
      <w:color w:val="FFFFFF" w:themeColor="background1"/>
    </w:rPr>
    <w:tblPr>
      <w:tblStyleRowBandSize w:val="1"/>
      <w:tblStyleColBandSize w:val="1"/>
      <w:tblBorders>
        <w:top w:val="single" w:sz="24" w:space="0" w:color="9AA3AF" w:themeColor="accent4"/>
        <w:left w:val="single" w:sz="24" w:space="0" w:color="9AA3AF" w:themeColor="accent4"/>
        <w:bottom w:val="single" w:sz="24" w:space="0" w:color="9AA3AF" w:themeColor="accent4"/>
        <w:right w:val="single" w:sz="24" w:space="0" w:color="9AA3AF" w:themeColor="accent4"/>
      </w:tblBorders>
    </w:tblPr>
    <w:tcPr>
      <w:shd w:val="clear" w:color="auto" w:fill="9AA3A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A5496"/>
    <w:pPr>
      <w:spacing w:before="0" w:after="0"/>
    </w:pPr>
    <w:rPr>
      <w:color w:val="FFFFFF" w:themeColor="background1"/>
    </w:rPr>
    <w:tblPr>
      <w:tblStyleRowBandSize w:val="1"/>
      <w:tblStyleColBandSize w:val="1"/>
      <w:tblBorders>
        <w:top w:val="single" w:sz="24" w:space="0" w:color="C0D48F" w:themeColor="accent5"/>
        <w:left w:val="single" w:sz="24" w:space="0" w:color="C0D48F" w:themeColor="accent5"/>
        <w:bottom w:val="single" w:sz="24" w:space="0" w:color="C0D48F" w:themeColor="accent5"/>
        <w:right w:val="single" w:sz="24" w:space="0" w:color="C0D48F" w:themeColor="accent5"/>
      </w:tblBorders>
    </w:tblPr>
    <w:tcPr>
      <w:shd w:val="clear" w:color="auto" w:fill="C0D48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A5496"/>
    <w:pPr>
      <w:spacing w:before="0" w:after="0"/>
    </w:pPr>
    <w:rPr>
      <w:color w:val="FFFFFF" w:themeColor="background1"/>
    </w:rPr>
    <w:tblPr>
      <w:tblStyleRowBandSize w:val="1"/>
      <w:tblStyleColBandSize w:val="1"/>
      <w:tblBorders>
        <w:top w:val="single" w:sz="24" w:space="0" w:color="6FC197" w:themeColor="accent6"/>
        <w:left w:val="single" w:sz="24" w:space="0" w:color="6FC197" w:themeColor="accent6"/>
        <w:bottom w:val="single" w:sz="24" w:space="0" w:color="6FC197" w:themeColor="accent6"/>
        <w:right w:val="single" w:sz="24" w:space="0" w:color="6FC197" w:themeColor="accent6"/>
      </w:tblBorders>
    </w:tblPr>
    <w:tcPr>
      <w:shd w:val="clear" w:color="auto" w:fill="6FC19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A5496"/>
    <w:pPr>
      <w:spacing w:before="0" w:after="0"/>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A5496"/>
    <w:pPr>
      <w:spacing w:before="0" w:after="0"/>
    </w:pPr>
    <w:rPr>
      <w:color w:val="06162E" w:themeColor="accent1" w:themeShade="BF"/>
    </w:rPr>
    <w:tblPr>
      <w:tblStyleRowBandSize w:val="1"/>
      <w:tblStyleColBandSize w:val="1"/>
      <w:tblBorders>
        <w:top w:val="single" w:sz="4" w:space="0" w:color="081E3E" w:themeColor="accent1"/>
        <w:bottom w:val="single" w:sz="4" w:space="0" w:color="081E3E" w:themeColor="accent1"/>
      </w:tblBorders>
    </w:tblPr>
    <w:tblStylePr w:type="firstRow">
      <w:rPr>
        <w:b/>
        <w:bCs/>
      </w:rPr>
      <w:tblPr/>
      <w:tcPr>
        <w:tcBorders>
          <w:bottom w:val="single" w:sz="4" w:space="0" w:color="081E3E" w:themeColor="accent1"/>
        </w:tcBorders>
      </w:tcPr>
    </w:tblStylePr>
    <w:tblStylePr w:type="lastRow">
      <w:rPr>
        <w:b/>
        <w:bCs/>
      </w:rPr>
      <w:tblPr/>
      <w:tcPr>
        <w:tcBorders>
          <w:top w:val="double" w:sz="4" w:space="0" w:color="081E3E" w:themeColor="accent1"/>
        </w:tcBorders>
      </w:tc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 w:type="table" w:styleId="ListTable6Colorful-Accent2">
    <w:name w:val="List Table 6 Colorful Accent 2"/>
    <w:basedOn w:val="TableNormal"/>
    <w:uiPriority w:val="51"/>
    <w:rsid w:val="002A5496"/>
    <w:pPr>
      <w:spacing w:before="0" w:after="0"/>
    </w:pPr>
    <w:rPr>
      <w:color w:val="005F66" w:themeColor="accent2" w:themeShade="BF"/>
    </w:rPr>
    <w:tblPr>
      <w:tblStyleRowBandSize w:val="1"/>
      <w:tblStyleColBandSize w:val="1"/>
      <w:tblBorders>
        <w:top w:val="single" w:sz="4" w:space="0" w:color="008089" w:themeColor="accent2"/>
        <w:bottom w:val="single" w:sz="4" w:space="0" w:color="008089" w:themeColor="accent2"/>
      </w:tblBorders>
    </w:tblPr>
    <w:tblStylePr w:type="firstRow">
      <w:rPr>
        <w:b/>
        <w:bCs/>
      </w:rPr>
      <w:tblPr/>
      <w:tcPr>
        <w:tcBorders>
          <w:bottom w:val="single" w:sz="4" w:space="0" w:color="008089" w:themeColor="accent2"/>
        </w:tcBorders>
      </w:tcPr>
    </w:tblStylePr>
    <w:tblStylePr w:type="lastRow">
      <w:rPr>
        <w:b/>
        <w:bCs/>
      </w:rPr>
      <w:tblPr/>
      <w:tcPr>
        <w:tcBorders>
          <w:top w:val="double" w:sz="4" w:space="0" w:color="008089" w:themeColor="accent2"/>
        </w:tcBorders>
      </w:tcPr>
    </w:tblStylePr>
    <w:tblStylePr w:type="firstCol">
      <w:rPr>
        <w:b/>
        <w:bCs/>
      </w:rPr>
    </w:tblStylePr>
    <w:tblStylePr w:type="lastCol">
      <w:rPr>
        <w:b/>
        <w:bCs/>
      </w:rPr>
    </w:tblStylePr>
    <w:tblStylePr w:type="band1Vert">
      <w:tblPr/>
      <w:tcPr>
        <w:shd w:val="clear" w:color="auto" w:fill="B4FAFF" w:themeFill="accent2" w:themeFillTint="33"/>
      </w:tcPr>
    </w:tblStylePr>
    <w:tblStylePr w:type="band1Horz">
      <w:tblPr/>
      <w:tcPr>
        <w:shd w:val="clear" w:color="auto" w:fill="B4FAFF" w:themeFill="accent2" w:themeFillTint="33"/>
      </w:tcPr>
    </w:tblStylePr>
  </w:style>
  <w:style w:type="table" w:styleId="ListTable6Colorful-Accent3">
    <w:name w:val="List Table 6 Colorful Accent 3"/>
    <w:basedOn w:val="TableNormal"/>
    <w:uiPriority w:val="51"/>
    <w:rsid w:val="002A5496"/>
    <w:pPr>
      <w:spacing w:before="0" w:after="0"/>
    </w:pPr>
    <w:rPr>
      <w:color w:val="22B3ED" w:themeColor="accent3" w:themeShade="BF"/>
    </w:rPr>
    <w:tblPr>
      <w:tblStyleRowBandSize w:val="1"/>
      <w:tblStyleColBandSize w:val="1"/>
      <w:tblBorders>
        <w:top w:val="single" w:sz="4" w:space="0" w:color="77D1F4" w:themeColor="accent3"/>
        <w:bottom w:val="single" w:sz="4" w:space="0" w:color="77D1F4" w:themeColor="accent3"/>
      </w:tblBorders>
    </w:tblPr>
    <w:tblStylePr w:type="firstRow">
      <w:rPr>
        <w:b/>
        <w:bCs/>
      </w:rPr>
      <w:tblPr/>
      <w:tcPr>
        <w:tcBorders>
          <w:bottom w:val="single" w:sz="4" w:space="0" w:color="77D1F4" w:themeColor="accent3"/>
        </w:tcBorders>
      </w:tcPr>
    </w:tblStylePr>
    <w:tblStylePr w:type="lastRow">
      <w:rPr>
        <w:b/>
        <w:bCs/>
      </w:rPr>
      <w:tblPr/>
      <w:tcPr>
        <w:tcBorders>
          <w:top w:val="double" w:sz="4" w:space="0" w:color="77D1F4" w:themeColor="accent3"/>
        </w:tcBorders>
      </w:tcPr>
    </w:tblStylePr>
    <w:tblStylePr w:type="firstCol">
      <w:rPr>
        <w:b/>
        <w:bCs/>
      </w:rPr>
    </w:tblStylePr>
    <w:tblStylePr w:type="lastCol">
      <w:rPr>
        <w:b/>
        <w:bCs/>
      </w:rPr>
    </w:tblStylePr>
    <w:tblStylePr w:type="band1Vert">
      <w:tblPr/>
      <w:tcPr>
        <w:shd w:val="clear" w:color="auto" w:fill="E3F5FC" w:themeFill="accent3" w:themeFillTint="33"/>
      </w:tcPr>
    </w:tblStylePr>
    <w:tblStylePr w:type="band1Horz">
      <w:tblPr/>
      <w:tcPr>
        <w:shd w:val="clear" w:color="auto" w:fill="E3F5FC" w:themeFill="accent3" w:themeFillTint="33"/>
      </w:tcPr>
    </w:tblStylePr>
  </w:style>
  <w:style w:type="table" w:styleId="ListTable6Colorful-Accent4">
    <w:name w:val="List Table 6 Colorful Accent 4"/>
    <w:basedOn w:val="TableNormal"/>
    <w:uiPriority w:val="51"/>
    <w:rsid w:val="002A5496"/>
    <w:pPr>
      <w:spacing w:before="0" w:after="0"/>
    </w:pPr>
    <w:rPr>
      <w:color w:val="6D7989" w:themeColor="accent4" w:themeShade="BF"/>
    </w:rPr>
    <w:tblPr>
      <w:tblStyleRowBandSize w:val="1"/>
      <w:tblStyleColBandSize w:val="1"/>
      <w:tblBorders>
        <w:top w:val="single" w:sz="4" w:space="0" w:color="9AA3AF" w:themeColor="accent4"/>
        <w:bottom w:val="single" w:sz="4" w:space="0" w:color="9AA3AF" w:themeColor="accent4"/>
      </w:tblBorders>
    </w:tblPr>
    <w:tblStylePr w:type="firstRow">
      <w:rPr>
        <w:b/>
        <w:bCs/>
      </w:rPr>
      <w:tblPr/>
      <w:tcPr>
        <w:tcBorders>
          <w:bottom w:val="single" w:sz="4" w:space="0" w:color="9AA3AF" w:themeColor="accent4"/>
        </w:tcBorders>
      </w:tcPr>
    </w:tblStylePr>
    <w:tblStylePr w:type="lastRow">
      <w:rPr>
        <w:b/>
        <w:bCs/>
      </w:rPr>
      <w:tblPr/>
      <w:tcPr>
        <w:tcBorders>
          <w:top w:val="double" w:sz="4" w:space="0" w:color="9AA3AF" w:themeColor="accent4"/>
        </w:tcBorders>
      </w:tcPr>
    </w:tblStylePr>
    <w:tblStylePr w:type="firstCol">
      <w:rPr>
        <w:b/>
        <w:bCs/>
      </w:rPr>
    </w:tblStylePr>
    <w:tblStylePr w:type="lastCol">
      <w:rPr>
        <w:b/>
        <w:bCs/>
      </w:rPr>
    </w:tblStylePr>
    <w:tblStylePr w:type="band1Vert">
      <w:tblPr/>
      <w:tcPr>
        <w:shd w:val="clear" w:color="auto" w:fill="EAECEF" w:themeFill="accent4" w:themeFillTint="33"/>
      </w:tcPr>
    </w:tblStylePr>
    <w:tblStylePr w:type="band1Horz">
      <w:tblPr/>
      <w:tcPr>
        <w:shd w:val="clear" w:color="auto" w:fill="EAECEF" w:themeFill="accent4" w:themeFillTint="33"/>
      </w:tcPr>
    </w:tblStylePr>
  </w:style>
  <w:style w:type="table" w:styleId="ListTable6Colorful-Accent5">
    <w:name w:val="List Table 6 Colorful Accent 5"/>
    <w:basedOn w:val="TableNormal"/>
    <w:uiPriority w:val="51"/>
    <w:rsid w:val="002A5496"/>
    <w:pPr>
      <w:spacing w:before="0" w:after="0"/>
    </w:pPr>
    <w:rPr>
      <w:color w:val="9BBB4E" w:themeColor="accent5" w:themeShade="BF"/>
    </w:rPr>
    <w:tblPr>
      <w:tblStyleRowBandSize w:val="1"/>
      <w:tblStyleColBandSize w:val="1"/>
      <w:tblBorders>
        <w:top w:val="single" w:sz="4" w:space="0" w:color="C0D48F" w:themeColor="accent5"/>
        <w:bottom w:val="single" w:sz="4" w:space="0" w:color="C0D48F" w:themeColor="accent5"/>
      </w:tblBorders>
    </w:tblPr>
    <w:tblStylePr w:type="firstRow">
      <w:rPr>
        <w:b/>
        <w:bCs/>
      </w:rPr>
      <w:tblPr/>
      <w:tcPr>
        <w:tcBorders>
          <w:bottom w:val="single" w:sz="4" w:space="0" w:color="C0D48F" w:themeColor="accent5"/>
        </w:tcBorders>
      </w:tcPr>
    </w:tblStylePr>
    <w:tblStylePr w:type="lastRow">
      <w:rPr>
        <w:b/>
        <w:bCs/>
      </w:rPr>
      <w:tblPr/>
      <w:tcPr>
        <w:tcBorders>
          <w:top w:val="double" w:sz="4" w:space="0" w:color="C0D48F" w:themeColor="accent5"/>
        </w:tcBorders>
      </w:tcPr>
    </w:tblStylePr>
    <w:tblStylePr w:type="firstCol">
      <w:rPr>
        <w:b/>
        <w:bCs/>
      </w:rPr>
    </w:tblStylePr>
    <w:tblStylePr w:type="lastCol">
      <w:rPr>
        <w:b/>
        <w:bCs/>
      </w:rPr>
    </w:tblStylePr>
    <w:tblStylePr w:type="band1Vert">
      <w:tblPr/>
      <w:tcPr>
        <w:shd w:val="clear" w:color="auto" w:fill="F2F6E8" w:themeFill="accent5" w:themeFillTint="33"/>
      </w:tcPr>
    </w:tblStylePr>
    <w:tblStylePr w:type="band1Horz">
      <w:tblPr/>
      <w:tcPr>
        <w:shd w:val="clear" w:color="auto" w:fill="F2F6E8" w:themeFill="accent5" w:themeFillTint="33"/>
      </w:tcPr>
    </w:tblStylePr>
  </w:style>
  <w:style w:type="table" w:styleId="ListTable6Colorful-Accent6">
    <w:name w:val="List Table 6 Colorful Accent 6"/>
    <w:basedOn w:val="TableNormal"/>
    <w:uiPriority w:val="51"/>
    <w:rsid w:val="002A5496"/>
    <w:pPr>
      <w:spacing w:before="0" w:after="0"/>
    </w:pPr>
    <w:rPr>
      <w:color w:val="449F70" w:themeColor="accent6" w:themeShade="BF"/>
    </w:rPr>
    <w:tblPr>
      <w:tblStyleRowBandSize w:val="1"/>
      <w:tblStyleColBandSize w:val="1"/>
      <w:tblBorders>
        <w:top w:val="single" w:sz="4" w:space="0" w:color="6FC197" w:themeColor="accent6"/>
        <w:bottom w:val="single" w:sz="4" w:space="0" w:color="6FC197" w:themeColor="accent6"/>
      </w:tblBorders>
    </w:tblPr>
    <w:tblStylePr w:type="firstRow">
      <w:rPr>
        <w:b/>
        <w:bCs/>
      </w:rPr>
      <w:tblPr/>
      <w:tcPr>
        <w:tcBorders>
          <w:bottom w:val="single" w:sz="4" w:space="0" w:color="6FC197" w:themeColor="accent6"/>
        </w:tcBorders>
      </w:tcPr>
    </w:tblStylePr>
    <w:tblStylePr w:type="lastRow">
      <w:rPr>
        <w:b/>
        <w:bCs/>
      </w:rPr>
      <w:tblPr/>
      <w:tcPr>
        <w:tcBorders>
          <w:top w:val="double" w:sz="4" w:space="0" w:color="6FC197" w:themeColor="accent6"/>
        </w:tcBorders>
      </w:tcPr>
    </w:tblStylePr>
    <w:tblStylePr w:type="firstCol">
      <w:rPr>
        <w:b/>
        <w:bCs/>
      </w:rPr>
    </w:tblStylePr>
    <w:tblStylePr w:type="lastCol">
      <w:rPr>
        <w:b/>
        <w:bCs/>
      </w:rPr>
    </w:tblStylePr>
    <w:tblStylePr w:type="band1Vert">
      <w:tblPr/>
      <w:tcPr>
        <w:shd w:val="clear" w:color="auto" w:fill="E2F2EA" w:themeFill="accent6" w:themeFillTint="33"/>
      </w:tcPr>
    </w:tblStylePr>
    <w:tblStylePr w:type="band1Horz">
      <w:tblPr/>
      <w:tcPr>
        <w:shd w:val="clear" w:color="auto" w:fill="E2F2EA" w:themeFill="accent6" w:themeFillTint="33"/>
      </w:tcPr>
    </w:tblStylePr>
  </w:style>
  <w:style w:type="table" w:styleId="ListTable7Colorful">
    <w:name w:val="List Table 7 Colorful"/>
    <w:basedOn w:val="TableNormal"/>
    <w:uiPriority w:val="52"/>
    <w:rsid w:val="002A5496"/>
    <w:pPr>
      <w:spacing w:before="0"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A5496"/>
    <w:pPr>
      <w:spacing w:before="0" w:after="0"/>
    </w:pPr>
    <w:rPr>
      <w:color w:val="06162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81E3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81E3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81E3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81E3E" w:themeColor="accent1"/>
        </w:tcBorders>
        <w:shd w:val="clear" w:color="auto" w:fill="FFFFFF" w:themeFill="background1"/>
      </w:tcPr>
    </w:tblStylePr>
    <w:tblStylePr w:type="band1Vert">
      <w:tblPr/>
      <w:tcPr>
        <w:shd w:val="clear" w:color="auto" w:fill="B1CCF5" w:themeFill="accent1" w:themeFillTint="33"/>
      </w:tcPr>
    </w:tblStylePr>
    <w:tblStylePr w:type="band1Horz">
      <w:tblPr/>
      <w:tcPr>
        <w:shd w:val="clear" w:color="auto" w:fill="B1CC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A5496"/>
    <w:pPr>
      <w:spacing w:before="0" w:after="0"/>
    </w:pPr>
    <w:rPr>
      <w:color w:val="005F6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08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08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08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089" w:themeColor="accent2"/>
        </w:tcBorders>
        <w:shd w:val="clear" w:color="auto" w:fill="FFFFFF" w:themeFill="background1"/>
      </w:tcPr>
    </w:tblStylePr>
    <w:tblStylePr w:type="band1Vert">
      <w:tblPr/>
      <w:tcPr>
        <w:shd w:val="clear" w:color="auto" w:fill="B4FAFF" w:themeFill="accent2" w:themeFillTint="33"/>
      </w:tcPr>
    </w:tblStylePr>
    <w:tblStylePr w:type="band1Horz">
      <w:tblPr/>
      <w:tcPr>
        <w:shd w:val="clear" w:color="auto" w:fill="B4FA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A5496"/>
    <w:pPr>
      <w:spacing w:before="0" w:after="0"/>
    </w:pPr>
    <w:rPr>
      <w:color w:val="22B3E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7D1F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7D1F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7D1F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7D1F4" w:themeColor="accent3"/>
        </w:tcBorders>
        <w:shd w:val="clear" w:color="auto" w:fill="FFFFFF" w:themeFill="background1"/>
      </w:tcPr>
    </w:tblStylePr>
    <w:tblStylePr w:type="band1Vert">
      <w:tblPr/>
      <w:tcPr>
        <w:shd w:val="clear" w:color="auto" w:fill="E3F5FC" w:themeFill="accent3" w:themeFillTint="33"/>
      </w:tcPr>
    </w:tblStylePr>
    <w:tblStylePr w:type="band1Horz">
      <w:tblPr/>
      <w:tcPr>
        <w:shd w:val="clear" w:color="auto" w:fill="E3F5F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A5496"/>
    <w:pPr>
      <w:spacing w:before="0" w:after="0"/>
    </w:pPr>
    <w:rPr>
      <w:color w:val="6D798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A3A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A3A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A3A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A3AF" w:themeColor="accent4"/>
        </w:tcBorders>
        <w:shd w:val="clear" w:color="auto" w:fill="FFFFFF" w:themeFill="background1"/>
      </w:tcPr>
    </w:tblStylePr>
    <w:tblStylePr w:type="band1Vert">
      <w:tblPr/>
      <w:tcPr>
        <w:shd w:val="clear" w:color="auto" w:fill="EAECEF" w:themeFill="accent4" w:themeFillTint="33"/>
      </w:tcPr>
    </w:tblStylePr>
    <w:tblStylePr w:type="band1Horz">
      <w:tblPr/>
      <w:tcPr>
        <w:shd w:val="clear" w:color="auto" w:fill="EAECE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A5496"/>
    <w:pPr>
      <w:spacing w:before="0" w:after="0"/>
    </w:pPr>
    <w:rPr>
      <w:color w:val="9BBB4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D48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D48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D48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D48F" w:themeColor="accent5"/>
        </w:tcBorders>
        <w:shd w:val="clear" w:color="auto" w:fill="FFFFFF" w:themeFill="background1"/>
      </w:tcPr>
    </w:tblStylePr>
    <w:tblStylePr w:type="band1Vert">
      <w:tblPr/>
      <w:tcPr>
        <w:shd w:val="clear" w:color="auto" w:fill="F2F6E8" w:themeFill="accent5" w:themeFillTint="33"/>
      </w:tcPr>
    </w:tblStylePr>
    <w:tblStylePr w:type="band1Horz">
      <w:tblPr/>
      <w:tcPr>
        <w:shd w:val="clear" w:color="auto" w:fill="F2F6E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A5496"/>
    <w:pPr>
      <w:spacing w:before="0" w:after="0"/>
    </w:pPr>
    <w:rPr>
      <w:color w:val="449F7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C19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C19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C19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C197" w:themeColor="accent6"/>
        </w:tcBorders>
        <w:shd w:val="clear" w:color="auto" w:fill="FFFFFF" w:themeFill="background1"/>
      </w:tcPr>
    </w:tblStylePr>
    <w:tblStylePr w:type="band1Vert">
      <w:tblPr/>
      <w:tcPr>
        <w:shd w:val="clear" w:color="auto" w:fill="E2F2EA" w:themeFill="accent6" w:themeFillTint="33"/>
      </w:tcPr>
    </w:tblStylePr>
    <w:tblStylePr w:type="band1Horz">
      <w:tblPr/>
      <w:tcPr>
        <w:shd w:val="clear" w:color="auto" w:fill="E2F2E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A5496"/>
    <w:pPr>
      <w:tabs>
        <w:tab w:val="left" w:pos="480"/>
        <w:tab w:val="left" w:pos="960"/>
        <w:tab w:val="left" w:pos="1440"/>
        <w:tab w:val="left" w:pos="1920"/>
        <w:tab w:val="left" w:pos="2400"/>
        <w:tab w:val="left" w:pos="2880"/>
        <w:tab w:val="left" w:pos="3360"/>
        <w:tab w:val="left" w:pos="3840"/>
        <w:tab w:val="left" w:pos="4320"/>
      </w:tabs>
      <w:spacing w:before="0" w:after="0" w:line="259" w:lineRule="auto"/>
    </w:pPr>
    <w:rPr>
      <w:rFonts w:ascii="Arial Narrow" w:hAnsi="Arial Narrow" w:cs="Arial"/>
      <w:color w:val="auto"/>
      <w:sz w:val="20"/>
      <w:szCs w:val="20"/>
    </w:rPr>
  </w:style>
  <w:style w:type="character" w:customStyle="1" w:styleId="MacroTextChar">
    <w:name w:val="Macro Text Char"/>
    <w:basedOn w:val="DefaultParagraphFont"/>
    <w:link w:val="MacroText"/>
    <w:uiPriority w:val="99"/>
    <w:semiHidden/>
    <w:rsid w:val="002A5496"/>
    <w:rPr>
      <w:rFonts w:ascii="Arial Narrow" w:hAnsi="Arial Narrow" w:cs="Arial"/>
      <w:color w:val="auto"/>
      <w:sz w:val="20"/>
      <w:szCs w:val="20"/>
    </w:rPr>
  </w:style>
  <w:style w:type="table" w:styleId="MediumGrid1">
    <w:name w:val="Medium Grid 1"/>
    <w:basedOn w:val="TableNormal"/>
    <w:uiPriority w:val="67"/>
    <w:semiHidden/>
    <w:unhideWhenUsed/>
    <w:rsid w:val="002A5496"/>
    <w:pPr>
      <w:spacing w:before="0" w:after="0"/>
    </w:pPr>
    <w:rPr>
      <w:color w:val="auto"/>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A5496"/>
    <w:pPr>
      <w:spacing w:before="0" w:after="0"/>
    </w:pPr>
    <w:rPr>
      <w:color w:val="auto"/>
    </w:rPr>
    <w:tblPr>
      <w:tblStyleRowBandSize w:val="1"/>
      <w:tblStyleColBandSize w:val="1"/>
      <w:tblBorders>
        <w:top w:val="single" w:sz="8" w:space="0" w:color="144C9F" w:themeColor="accent1" w:themeTint="BF"/>
        <w:left w:val="single" w:sz="8" w:space="0" w:color="144C9F" w:themeColor="accent1" w:themeTint="BF"/>
        <w:bottom w:val="single" w:sz="8" w:space="0" w:color="144C9F" w:themeColor="accent1" w:themeTint="BF"/>
        <w:right w:val="single" w:sz="8" w:space="0" w:color="144C9F" w:themeColor="accent1" w:themeTint="BF"/>
        <w:insideH w:val="single" w:sz="8" w:space="0" w:color="144C9F" w:themeColor="accent1" w:themeTint="BF"/>
        <w:insideV w:val="single" w:sz="8" w:space="0" w:color="144C9F" w:themeColor="accent1" w:themeTint="BF"/>
      </w:tblBorders>
    </w:tblPr>
    <w:tcPr>
      <w:shd w:val="clear" w:color="auto" w:fill="9EC0F2" w:themeFill="accent1" w:themeFillTint="3F"/>
    </w:tcPr>
    <w:tblStylePr w:type="firstRow">
      <w:rPr>
        <w:b/>
        <w:bCs/>
      </w:rPr>
    </w:tblStylePr>
    <w:tblStylePr w:type="lastRow">
      <w:rPr>
        <w:b/>
        <w:bCs/>
      </w:rPr>
      <w:tblPr/>
      <w:tcPr>
        <w:tcBorders>
          <w:top w:val="single" w:sz="18" w:space="0" w:color="144C9F" w:themeColor="accent1" w:themeTint="BF"/>
        </w:tcBorders>
      </w:tcPr>
    </w:tblStylePr>
    <w:tblStylePr w:type="firstCol">
      <w:rPr>
        <w:b/>
        <w:bCs/>
      </w:rPr>
    </w:tblStylePr>
    <w:tblStylePr w:type="lastCol">
      <w:rPr>
        <w:b/>
        <w:bCs/>
      </w:rPr>
    </w:tblStylePr>
    <w:tblStylePr w:type="band1Vert">
      <w:tblPr/>
      <w:tcPr>
        <w:shd w:val="clear" w:color="auto" w:fill="3C81E6" w:themeFill="accent1" w:themeFillTint="7F"/>
      </w:tcPr>
    </w:tblStylePr>
    <w:tblStylePr w:type="band1Horz">
      <w:tblPr/>
      <w:tcPr>
        <w:shd w:val="clear" w:color="auto" w:fill="3C81E6" w:themeFill="accent1" w:themeFillTint="7F"/>
      </w:tcPr>
    </w:tblStylePr>
  </w:style>
  <w:style w:type="table" w:styleId="MediumGrid1-Accent2">
    <w:name w:val="Medium Grid 1 Accent 2"/>
    <w:basedOn w:val="TableNormal"/>
    <w:uiPriority w:val="67"/>
    <w:semiHidden/>
    <w:unhideWhenUsed/>
    <w:rsid w:val="002A5496"/>
    <w:pPr>
      <w:spacing w:before="0" w:after="0"/>
    </w:pPr>
    <w:rPr>
      <w:color w:val="auto"/>
    </w:rPr>
    <w:tblPr>
      <w:tblStyleRowBandSize w:val="1"/>
      <w:tblStyleColBandSize w:val="1"/>
      <w:tblBorders>
        <w:top w:val="single" w:sz="8" w:space="0" w:color="00D6E6" w:themeColor="accent2" w:themeTint="BF"/>
        <w:left w:val="single" w:sz="8" w:space="0" w:color="00D6E6" w:themeColor="accent2" w:themeTint="BF"/>
        <w:bottom w:val="single" w:sz="8" w:space="0" w:color="00D6E6" w:themeColor="accent2" w:themeTint="BF"/>
        <w:right w:val="single" w:sz="8" w:space="0" w:color="00D6E6" w:themeColor="accent2" w:themeTint="BF"/>
        <w:insideH w:val="single" w:sz="8" w:space="0" w:color="00D6E6" w:themeColor="accent2" w:themeTint="BF"/>
        <w:insideV w:val="single" w:sz="8" w:space="0" w:color="00D6E6" w:themeColor="accent2" w:themeTint="BF"/>
      </w:tblBorders>
    </w:tblPr>
    <w:tcPr>
      <w:shd w:val="clear" w:color="auto" w:fill="A2F8FF" w:themeFill="accent2" w:themeFillTint="3F"/>
    </w:tcPr>
    <w:tblStylePr w:type="firstRow">
      <w:rPr>
        <w:b/>
        <w:bCs/>
      </w:rPr>
    </w:tblStylePr>
    <w:tblStylePr w:type="lastRow">
      <w:rPr>
        <w:b/>
        <w:bCs/>
      </w:rPr>
      <w:tblPr/>
      <w:tcPr>
        <w:tcBorders>
          <w:top w:val="single" w:sz="18" w:space="0" w:color="00D6E6" w:themeColor="accent2" w:themeTint="BF"/>
        </w:tcBorders>
      </w:tcPr>
    </w:tblStylePr>
    <w:tblStylePr w:type="firstCol">
      <w:rPr>
        <w:b/>
        <w:bCs/>
      </w:rPr>
    </w:tblStylePr>
    <w:tblStylePr w:type="lastCol">
      <w:rPr>
        <w:b/>
        <w:bCs/>
      </w:rPr>
    </w:tblStylePr>
    <w:tblStylePr w:type="band1Vert">
      <w:tblPr/>
      <w:tcPr>
        <w:shd w:val="clear" w:color="auto" w:fill="45F2FF" w:themeFill="accent2" w:themeFillTint="7F"/>
      </w:tcPr>
    </w:tblStylePr>
    <w:tblStylePr w:type="band1Horz">
      <w:tblPr/>
      <w:tcPr>
        <w:shd w:val="clear" w:color="auto" w:fill="45F2FF" w:themeFill="accent2" w:themeFillTint="7F"/>
      </w:tcPr>
    </w:tblStylePr>
  </w:style>
  <w:style w:type="table" w:styleId="MediumGrid1-Accent3">
    <w:name w:val="Medium Grid 1 Accent 3"/>
    <w:basedOn w:val="TableNormal"/>
    <w:uiPriority w:val="67"/>
    <w:semiHidden/>
    <w:unhideWhenUsed/>
    <w:rsid w:val="002A5496"/>
    <w:pPr>
      <w:spacing w:before="0" w:after="0"/>
    </w:pPr>
    <w:rPr>
      <w:color w:val="auto"/>
    </w:rPr>
    <w:tblPr>
      <w:tblStyleRowBandSize w:val="1"/>
      <w:tblStyleColBandSize w:val="1"/>
      <w:tblBorders>
        <w:top w:val="single" w:sz="8" w:space="0" w:color="98DCF6" w:themeColor="accent3" w:themeTint="BF"/>
        <w:left w:val="single" w:sz="8" w:space="0" w:color="98DCF6" w:themeColor="accent3" w:themeTint="BF"/>
        <w:bottom w:val="single" w:sz="8" w:space="0" w:color="98DCF6" w:themeColor="accent3" w:themeTint="BF"/>
        <w:right w:val="single" w:sz="8" w:space="0" w:color="98DCF6" w:themeColor="accent3" w:themeTint="BF"/>
        <w:insideH w:val="single" w:sz="8" w:space="0" w:color="98DCF6" w:themeColor="accent3" w:themeTint="BF"/>
        <w:insideV w:val="single" w:sz="8" w:space="0" w:color="98DCF6" w:themeColor="accent3" w:themeTint="BF"/>
      </w:tblBorders>
    </w:tblPr>
    <w:tcPr>
      <w:shd w:val="clear" w:color="auto" w:fill="DDF3FC" w:themeFill="accent3" w:themeFillTint="3F"/>
    </w:tcPr>
    <w:tblStylePr w:type="firstRow">
      <w:rPr>
        <w:b/>
        <w:bCs/>
      </w:rPr>
    </w:tblStylePr>
    <w:tblStylePr w:type="lastRow">
      <w:rPr>
        <w:b/>
        <w:bCs/>
      </w:rPr>
      <w:tblPr/>
      <w:tcPr>
        <w:tcBorders>
          <w:top w:val="single" w:sz="18" w:space="0" w:color="98DCF6" w:themeColor="accent3" w:themeTint="BF"/>
        </w:tcBorders>
      </w:tcPr>
    </w:tblStylePr>
    <w:tblStylePr w:type="firstCol">
      <w:rPr>
        <w:b/>
        <w:bCs/>
      </w:rPr>
    </w:tblStylePr>
    <w:tblStylePr w:type="lastCol">
      <w:rPr>
        <w:b/>
        <w:bCs/>
      </w:rPr>
    </w:tblStylePr>
    <w:tblStylePr w:type="band1Vert">
      <w:tblPr/>
      <w:tcPr>
        <w:shd w:val="clear" w:color="auto" w:fill="BBE7F9" w:themeFill="accent3" w:themeFillTint="7F"/>
      </w:tcPr>
    </w:tblStylePr>
    <w:tblStylePr w:type="band1Horz">
      <w:tblPr/>
      <w:tcPr>
        <w:shd w:val="clear" w:color="auto" w:fill="BBE7F9" w:themeFill="accent3" w:themeFillTint="7F"/>
      </w:tcPr>
    </w:tblStylePr>
  </w:style>
  <w:style w:type="table" w:styleId="MediumGrid1-Accent4">
    <w:name w:val="Medium Grid 1 Accent 4"/>
    <w:basedOn w:val="TableNormal"/>
    <w:uiPriority w:val="67"/>
    <w:semiHidden/>
    <w:unhideWhenUsed/>
    <w:rsid w:val="002A5496"/>
    <w:pPr>
      <w:spacing w:before="0" w:after="0"/>
    </w:pPr>
    <w:rPr>
      <w:color w:val="auto"/>
    </w:rPr>
    <w:tblPr>
      <w:tblStyleRowBandSize w:val="1"/>
      <w:tblStyleColBandSize w:val="1"/>
      <w:tblBorders>
        <w:top w:val="single" w:sz="8" w:space="0" w:color="B3BAC3" w:themeColor="accent4" w:themeTint="BF"/>
        <w:left w:val="single" w:sz="8" w:space="0" w:color="B3BAC3" w:themeColor="accent4" w:themeTint="BF"/>
        <w:bottom w:val="single" w:sz="8" w:space="0" w:color="B3BAC3" w:themeColor="accent4" w:themeTint="BF"/>
        <w:right w:val="single" w:sz="8" w:space="0" w:color="B3BAC3" w:themeColor="accent4" w:themeTint="BF"/>
        <w:insideH w:val="single" w:sz="8" w:space="0" w:color="B3BAC3" w:themeColor="accent4" w:themeTint="BF"/>
        <w:insideV w:val="single" w:sz="8" w:space="0" w:color="B3BAC3" w:themeColor="accent4" w:themeTint="BF"/>
      </w:tblBorders>
    </w:tblPr>
    <w:tcPr>
      <w:shd w:val="clear" w:color="auto" w:fill="E5E8EB" w:themeFill="accent4" w:themeFillTint="3F"/>
    </w:tcPr>
    <w:tblStylePr w:type="firstRow">
      <w:rPr>
        <w:b/>
        <w:bCs/>
      </w:rPr>
    </w:tblStylePr>
    <w:tblStylePr w:type="lastRow">
      <w:rPr>
        <w:b/>
        <w:bCs/>
      </w:rPr>
      <w:tblPr/>
      <w:tcPr>
        <w:tcBorders>
          <w:top w:val="single" w:sz="18" w:space="0" w:color="B3BAC3" w:themeColor="accent4" w:themeTint="BF"/>
        </w:tcBorders>
      </w:tcPr>
    </w:tblStylePr>
    <w:tblStylePr w:type="firstCol">
      <w:rPr>
        <w:b/>
        <w:bCs/>
      </w:rPr>
    </w:tblStylePr>
    <w:tblStylePr w:type="lastCol">
      <w:rPr>
        <w:b/>
        <w:bCs/>
      </w:rPr>
    </w:tblStylePr>
    <w:tblStylePr w:type="band1Vert">
      <w:tblPr/>
      <w:tcPr>
        <w:shd w:val="clear" w:color="auto" w:fill="CCD1D7" w:themeFill="accent4" w:themeFillTint="7F"/>
      </w:tcPr>
    </w:tblStylePr>
    <w:tblStylePr w:type="band1Horz">
      <w:tblPr/>
      <w:tcPr>
        <w:shd w:val="clear" w:color="auto" w:fill="CCD1D7" w:themeFill="accent4" w:themeFillTint="7F"/>
      </w:tcPr>
    </w:tblStylePr>
  </w:style>
  <w:style w:type="table" w:styleId="MediumGrid1-Accent5">
    <w:name w:val="Medium Grid 1 Accent 5"/>
    <w:basedOn w:val="TableNormal"/>
    <w:uiPriority w:val="67"/>
    <w:semiHidden/>
    <w:unhideWhenUsed/>
    <w:rsid w:val="002A5496"/>
    <w:pPr>
      <w:spacing w:before="0" w:after="0"/>
    </w:pPr>
    <w:rPr>
      <w:color w:val="auto"/>
    </w:rPr>
    <w:tblPr>
      <w:tblStyleRowBandSize w:val="1"/>
      <w:tblStyleColBandSize w:val="1"/>
      <w:tblBorders>
        <w:top w:val="single" w:sz="8" w:space="0" w:color="CFDEAA" w:themeColor="accent5" w:themeTint="BF"/>
        <w:left w:val="single" w:sz="8" w:space="0" w:color="CFDEAA" w:themeColor="accent5" w:themeTint="BF"/>
        <w:bottom w:val="single" w:sz="8" w:space="0" w:color="CFDEAA" w:themeColor="accent5" w:themeTint="BF"/>
        <w:right w:val="single" w:sz="8" w:space="0" w:color="CFDEAA" w:themeColor="accent5" w:themeTint="BF"/>
        <w:insideH w:val="single" w:sz="8" w:space="0" w:color="CFDEAA" w:themeColor="accent5" w:themeTint="BF"/>
        <w:insideV w:val="single" w:sz="8" w:space="0" w:color="CFDEAA" w:themeColor="accent5" w:themeTint="BF"/>
      </w:tblBorders>
    </w:tblPr>
    <w:tcPr>
      <w:shd w:val="clear" w:color="auto" w:fill="EFF4E3" w:themeFill="accent5" w:themeFillTint="3F"/>
    </w:tcPr>
    <w:tblStylePr w:type="firstRow">
      <w:rPr>
        <w:b/>
        <w:bCs/>
      </w:rPr>
    </w:tblStylePr>
    <w:tblStylePr w:type="lastRow">
      <w:rPr>
        <w:b/>
        <w:bCs/>
      </w:rPr>
      <w:tblPr/>
      <w:tcPr>
        <w:tcBorders>
          <w:top w:val="single" w:sz="18" w:space="0" w:color="CFDEAA" w:themeColor="accent5" w:themeTint="BF"/>
        </w:tcBorders>
      </w:tcPr>
    </w:tblStylePr>
    <w:tblStylePr w:type="firstCol">
      <w:rPr>
        <w:b/>
        <w:bCs/>
      </w:rPr>
    </w:tblStylePr>
    <w:tblStylePr w:type="lastCol">
      <w:rPr>
        <w:b/>
        <w:bCs/>
      </w:rPr>
    </w:tblStylePr>
    <w:tblStylePr w:type="band1Vert">
      <w:tblPr/>
      <w:tcPr>
        <w:shd w:val="clear" w:color="auto" w:fill="DFE9C7" w:themeFill="accent5" w:themeFillTint="7F"/>
      </w:tcPr>
    </w:tblStylePr>
    <w:tblStylePr w:type="band1Horz">
      <w:tblPr/>
      <w:tcPr>
        <w:shd w:val="clear" w:color="auto" w:fill="DFE9C7" w:themeFill="accent5" w:themeFillTint="7F"/>
      </w:tcPr>
    </w:tblStylePr>
  </w:style>
  <w:style w:type="table" w:styleId="MediumGrid1-Accent6">
    <w:name w:val="Medium Grid 1 Accent 6"/>
    <w:basedOn w:val="TableNormal"/>
    <w:uiPriority w:val="67"/>
    <w:semiHidden/>
    <w:unhideWhenUsed/>
    <w:rsid w:val="002A5496"/>
    <w:pPr>
      <w:spacing w:before="0" w:after="0"/>
    </w:pPr>
    <w:rPr>
      <w:color w:val="auto"/>
    </w:rPr>
    <w:tblPr>
      <w:tblStyleRowBandSize w:val="1"/>
      <w:tblStyleColBandSize w:val="1"/>
      <w:tblBorders>
        <w:top w:val="single" w:sz="8" w:space="0" w:color="93D0B0" w:themeColor="accent6" w:themeTint="BF"/>
        <w:left w:val="single" w:sz="8" w:space="0" w:color="93D0B0" w:themeColor="accent6" w:themeTint="BF"/>
        <w:bottom w:val="single" w:sz="8" w:space="0" w:color="93D0B0" w:themeColor="accent6" w:themeTint="BF"/>
        <w:right w:val="single" w:sz="8" w:space="0" w:color="93D0B0" w:themeColor="accent6" w:themeTint="BF"/>
        <w:insideH w:val="single" w:sz="8" w:space="0" w:color="93D0B0" w:themeColor="accent6" w:themeTint="BF"/>
        <w:insideV w:val="single" w:sz="8" w:space="0" w:color="93D0B0" w:themeColor="accent6" w:themeTint="BF"/>
      </w:tblBorders>
    </w:tblPr>
    <w:tcPr>
      <w:shd w:val="clear" w:color="auto" w:fill="DBEFE5" w:themeFill="accent6" w:themeFillTint="3F"/>
    </w:tcPr>
    <w:tblStylePr w:type="firstRow">
      <w:rPr>
        <w:b/>
        <w:bCs/>
      </w:rPr>
    </w:tblStylePr>
    <w:tblStylePr w:type="lastRow">
      <w:rPr>
        <w:b/>
        <w:bCs/>
      </w:rPr>
      <w:tblPr/>
      <w:tcPr>
        <w:tcBorders>
          <w:top w:val="single" w:sz="18" w:space="0" w:color="93D0B0" w:themeColor="accent6" w:themeTint="BF"/>
        </w:tcBorders>
      </w:tcPr>
    </w:tblStylePr>
    <w:tblStylePr w:type="firstCol">
      <w:rPr>
        <w:b/>
        <w:bCs/>
      </w:rPr>
    </w:tblStylePr>
    <w:tblStylePr w:type="lastCol">
      <w:rPr>
        <w:b/>
        <w:bCs/>
      </w:rPr>
    </w:tblStylePr>
    <w:tblStylePr w:type="band1Vert">
      <w:tblPr/>
      <w:tcPr>
        <w:shd w:val="clear" w:color="auto" w:fill="B7E0CB" w:themeFill="accent6" w:themeFillTint="7F"/>
      </w:tcPr>
    </w:tblStylePr>
    <w:tblStylePr w:type="band1Horz">
      <w:tblPr/>
      <w:tcPr>
        <w:shd w:val="clear" w:color="auto" w:fill="B7E0CB" w:themeFill="accent6" w:themeFillTint="7F"/>
      </w:tcPr>
    </w:tblStylePr>
  </w:style>
  <w:style w:type="table" w:styleId="MediumGrid2">
    <w:name w:val="Medium Grid 2"/>
    <w:basedOn w:val="TableNormal"/>
    <w:uiPriority w:val="68"/>
    <w:semiHidden/>
    <w:unhideWhenUsed/>
    <w:rsid w:val="002A5496"/>
    <w:pPr>
      <w:spacing w:before="0" w:after="0"/>
    </w:pPr>
    <w:rPr>
      <w:rFonts w:eastAsiaTheme="maj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A5496"/>
    <w:pPr>
      <w:spacing w:before="0" w:after="0"/>
    </w:pPr>
    <w:rPr>
      <w:rFonts w:eastAsiaTheme="majorEastAsia"/>
    </w:rPr>
    <w:tblPr>
      <w:tblStyleRowBandSize w:val="1"/>
      <w:tblStyleColBandSize w:val="1"/>
      <w:tblBorders>
        <w:top w:val="single" w:sz="8" w:space="0" w:color="081E3E" w:themeColor="accent1"/>
        <w:left w:val="single" w:sz="8" w:space="0" w:color="081E3E" w:themeColor="accent1"/>
        <w:bottom w:val="single" w:sz="8" w:space="0" w:color="081E3E" w:themeColor="accent1"/>
        <w:right w:val="single" w:sz="8" w:space="0" w:color="081E3E" w:themeColor="accent1"/>
        <w:insideH w:val="single" w:sz="8" w:space="0" w:color="081E3E" w:themeColor="accent1"/>
        <w:insideV w:val="single" w:sz="8" w:space="0" w:color="081E3E" w:themeColor="accent1"/>
      </w:tblBorders>
    </w:tblPr>
    <w:tcPr>
      <w:shd w:val="clear" w:color="auto" w:fill="9EC0F2" w:themeFill="accent1" w:themeFillTint="3F"/>
    </w:tcPr>
    <w:tblStylePr w:type="firstRow">
      <w:rPr>
        <w:b/>
        <w:bCs/>
        <w:color w:val="000000" w:themeColor="text1"/>
      </w:rPr>
      <w:tblPr/>
      <w:tcPr>
        <w:shd w:val="clear" w:color="auto" w:fill="D8E6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CCF5" w:themeFill="accent1" w:themeFillTint="33"/>
      </w:tcPr>
    </w:tblStylePr>
    <w:tblStylePr w:type="band1Vert">
      <w:tblPr/>
      <w:tcPr>
        <w:shd w:val="clear" w:color="auto" w:fill="3C81E6" w:themeFill="accent1" w:themeFillTint="7F"/>
      </w:tcPr>
    </w:tblStylePr>
    <w:tblStylePr w:type="band1Horz">
      <w:tblPr/>
      <w:tcPr>
        <w:tcBorders>
          <w:insideH w:val="single" w:sz="6" w:space="0" w:color="081E3E" w:themeColor="accent1"/>
          <w:insideV w:val="single" w:sz="6" w:space="0" w:color="081E3E" w:themeColor="accent1"/>
        </w:tcBorders>
        <w:shd w:val="clear" w:color="auto" w:fill="3C81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A5496"/>
    <w:pPr>
      <w:spacing w:before="0" w:after="0"/>
    </w:pPr>
    <w:rPr>
      <w:rFonts w:eastAsiaTheme="majorEastAsia"/>
    </w:rPr>
    <w:tblPr>
      <w:tblStyleRowBandSize w:val="1"/>
      <w:tblStyleColBandSize w:val="1"/>
      <w:tblBorders>
        <w:top w:val="single" w:sz="8" w:space="0" w:color="008089" w:themeColor="accent2"/>
        <w:left w:val="single" w:sz="8" w:space="0" w:color="008089" w:themeColor="accent2"/>
        <w:bottom w:val="single" w:sz="8" w:space="0" w:color="008089" w:themeColor="accent2"/>
        <w:right w:val="single" w:sz="8" w:space="0" w:color="008089" w:themeColor="accent2"/>
        <w:insideH w:val="single" w:sz="8" w:space="0" w:color="008089" w:themeColor="accent2"/>
        <w:insideV w:val="single" w:sz="8" w:space="0" w:color="008089" w:themeColor="accent2"/>
      </w:tblBorders>
    </w:tblPr>
    <w:tcPr>
      <w:shd w:val="clear" w:color="auto" w:fill="A2F8FF" w:themeFill="accent2" w:themeFillTint="3F"/>
    </w:tcPr>
    <w:tblStylePr w:type="firstRow">
      <w:rPr>
        <w:b/>
        <w:bCs/>
        <w:color w:val="000000" w:themeColor="text1"/>
      </w:rPr>
      <w:tblPr/>
      <w:tcPr>
        <w:shd w:val="clear" w:color="auto" w:fill="DAFC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FAFF" w:themeFill="accent2" w:themeFillTint="33"/>
      </w:tcPr>
    </w:tblStylePr>
    <w:tblStylePr w:type="band1Vert">
      <w:tblPr/>
      <w:tcPr>
        <w:shd w:val="clear" w:color="auto" w:fill="45F2FF" w:themeFill="accent2" w:themeFillTint="7F"/>
      </w:tcPr>
    </w:tblStylePr>
    <w:tblStylePr w:type="band1Horz">
      <w:tblPr/>
      <w:tcPr>
        <w:tcBorders>
          <w:insideH w:val="single" w:sz="6" w:space="0" w:color="008089" w:themeColor="accent2"/>
          <w:insideV w:val="single" w:sz="6" w:space="0" w:color="008089" w:themeColor="accent2"/>
        </w:tcBorders>
        <w:shd w:val="clear" w:color="auto" w:fill="45F2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A5496"/>
    <w:pPr>
      <w:spacing w:before="0" w:after="0"/>
    </w:pPr>
    <w:rPr>
      <w:rFonts w:eastAsiaTheme="majorEastAsia"/>
    </w:rPr>
    <w:tblPr>
      <w:tblStyleRowBandSize w:val="1"/>
      <w:tblStyleColBandSize w:val="1"/>
      <w:tblBorders>
        <w:top w:val="single" w:sz="8" w:space="0" w:color="77D1F4" w:themeColor="accent3"/>
        <w:left w:val="single" w:sz="8" w:space="0" w:color="77D1F4" w:themeColor="accent3"/>
        <w:bottom w:val="single" w:sz="8" w:space="0" w:color="77D1F4" w:themeColor="accent3"/>
        <w:right w:val="single" w:sz="8" w:space="0" w:color="77D1F4" w:themeColor="accent3"/>
        <w:insideH w:val="single" w:sz="8" w:space="0" w:color="77D1F4" w:themeColor="accent3"/>
        <w:insideV w:val="single" w:sz="8" w:space="0" w:color="77D1F4" w:themeColor="accent3"/>
      </w:tblBorders>
    </w:tblPr>
    <w:tcPr>
      <w:shd w:val="clear" w:color="auto" w:fill="DDF3FC" w:themeFill="accent3" w:themeFillTint="3F"/>
    </w:tcPr>
    <w:tblStylePr w:type="firstRow">
      <w:rPr>
        <w:b/>
        <w:bCs/>
        <w:color w:val="000000" w:themeColor="text1"/>
      </w:rPr>
      <w:tblPr/>
      <w:tcPr>
        <w:shd w:val="clear" w:color="auto" w:fill="F1FAF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5FC" w:themeFill="accent3" w:themeFillTint="33"/>
      </w:tcPr>
    </w:tblStylePr>
    <w:tblStylePr w:type="band1Vert">
      <w:tblPr/>
      <w:tcPr>
        <w:shd w:val="clear" w:color="auto" w:fill="BBE7F9" w:themeFill="accent3" w:themeFillTint="7F"/>
      </w:tcPr>
    </w:tblStylePr>
    <w:tblStylePr w:type="band1Horz">
      <w:tblPr/>
      <w:tcPr>
        <w:tcBorders>
          <w:insideH w:val="single" w:sz="6" w:space="0" w:color="77D1F4" w:themeColor="accent3"/>
          <w:insideV w:val="single" w:sz="6" w:space="0" w:color="77D1F4" w:themeColor="accent3"/>
        </w:tcBorders>
        <w:shd w:val="clear" w:color="auto" w:fill="BBE7F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A5496"/>
    <w:pPr>
      <w:spacing w:before="0" w:after="0"/>
    </w:pPr>
    <w:rPr>
      <w:rFonts w:eastAsiaTheme="majorEastAsia"/>
    </w:rPr>
    <w:tblPr>
      <w:tblStyleRowBandSize w:val="1"/>
      <w:tblStyleColBandSize w:val="1"/>
      <w:tblBorders>
        <w:top w:val="single" w:sz="8" w:space="0" w:color="9AA3AF" w:themeColor="accent4"/>
        <w:left w:val="single" w:sz="8" w:space="0" w:color="9AA3AF" w:themeColor="accent4"/>
        <w:bottom w:val="single" w:sz="8" w:space="0" w:color="9AA3AF" w:themeColor="accent4"/>
        <w:right w:val="single" w:sz="8" w:space="0" w:color="9AA3AF" w:themeColor="accent4"/>
        <w:insideH w:val="single" w:sz="8" w:space="0" w:color="9AA3AF" w:themeColor="accent4"/>
        <w:insideV w:val="single" w:sz="8" w:space="0" w:color="9AA3AF" w:themeColor="accent4"/>
      </w:tblBorders>
    </w:tblPr>
    <w:tcPr>
      <w:shd w:val="clear" w:color="auto" w:fill="E5E8EB" w:themeFill="accent4" w:themeFillTint="3F"/>
    </w:tcPr>
    <w:tblStylePr w:type="firstRow">
      <w:rPr>
        <w:b/>
        <w:bCs/>
        <w:color w:val="000000" w:themeColor="text1"/>
      </w:rPr>
      <w:tblPr/>
      <w:tcPr>
        <w:shd w:val="clear" w:color="auto" w:fill="F4F5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CEF" w:themeFill="accent4" w:themeFillTint="33"/>
      </w:tcPr>
    </w:tblStylePr>
    <w:tblStylePr w:type="band1Vert">
      <w:tblPr/>
      <w:tcPr>
        <w:shd w:val="clear" w:color="auto" w:fill="CCD1D7" w:themeFill="accent4" w:themeFillTint="7F"/>
      </w:tcPr>
    </w:tblStylePr>
    <w:tblStylePr w:type="band1Horz">
      <w:tblPr/>
      <w:tcPr>
        <w:tcBorders>
          <w:insideH w:val="single" w:sz="6" w:space="0" w:color="9AA3AF" w:themeColor="accent4"/>
          <w:insideV w:val="single" w:sz="6" w:space="0" w:color="9AA3AF" w:themeColor="accent4"/>
        </w:tcBorders>
        <w:shd w:val="clear" w:color="auto" w:fill="CCD1D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A5496"/>
    <w:pPr>
      <w:spacing w:before="0" w:after="0"/>
    </w:pPr>
    <w:rPr>
      <w:rFonts w:eastAsiaTheme="majorEastAsia"/>
    </w:rPr>
    <w:tblPr>
      <w:tblStyleRowBandSize w:val="1"/>
      <w:tblStyleColBandSize w:val="1"/>
      <w:tblBorders>
        <w:top w:val="single" w:sz="8" w:space="0" w:color="C0D48F" w:themeColor="accent5"/>
        <w:left w:val="single" w:sz="8" w:space="0" w:color="C0D48F" w:themeColor="accent5"/>
        <w:bottom w:val="single" w:sz="8" w:space="0" w:color="C0D48F" w:themeColor="accent5"/>
        <w:right w:val="single" w:sz="8" w:space="0" w:color="C0D48F" w:themeColor="accent5"/>
        <w:insideH w:val="single" w:sz="8" w:space="0" w:color="C0D48F" w:themeColor="accent5"/>
        <w:insideV w:val="single" w:sz="8" w:space="0" w:color="C0D48F" w:themeColor="accent5"/>
      </w:tblBorders>
    </w:tblPr>
    <w:tcPr>
      <w:shd w:val="clear" w:color="auto" w:fill="EFF4E3" w:themeFill="accent5" w:themeFillTint="3F"/>
    </w:tcPr>
    <w:tblStylePr w:type="firstRow">
      <w:rPr>
        <w:b/>
        <w:bCs/>
        <w:color w:val="000000" w:themeColor="text1"/>
      </w:rPr>
      <w:tblPr/>
      <w:tcPr>
        <w:shd w:val="clear" w:color="auto" w:fill="F8FA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6E8" w:themeFill="accent5" w:themeFillTint="33"/>
      </w:tcPr>
    </w:tblStylePr>
    <w:tblStylePr w:type="band1Vert">
      <w:tblPr/>
      <w:tcPr>
        <w:shd w:val="clear" w:color="auto" w:fill="DFE9C7" w:themeFill="accent5" w:themeFillTint="7F"/>
      </w:tcPr>
    </w:tblStylePr>
    <w:tblStylePr w:type="band1Horz">
      <w:tblPr/>
      <w:tcPr>
        <w:tcBorders>
          <w:insideH w:val="single" w:sz="6" w:space="0" w:color="C0D48F" w:themeColor="accent5"/>
          <w:insideV w:val="single" w:sz="6" w:space="0" w:color="C0D48F" w:themeColor="accent5"/>
        </w:tcBorders>
        <w:shd w:val="clear" w:color="auto" w:fill="DFE9C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A5496"/>
    <w:pPr>
      <w:spacing w:before="0" w:after="0"/>
    </w:pPr>
    <w:rPr>
      <w:rFonts w:eastAsiaTheme="majorEastAsia"/>
    </w:rPr>
    <w:tblPr>
      <w:tblStyleRowBandSize w:val="1"/>
      <w:tblStyleColBandSize w:val="1"/>
      <w:tblBorders>
        <w:top w:val="single" w:sz="8" w:space="0" w:color="6FC197" w:themeColor="accent6"/>
        <w:left w:val="single" w:sz="8" w:space="0" w:color="6FC197" w:themeColor="accent6"/>
        <w:bottom w:val="single" w:sz="8" w:space="0" w:color="6FC197" w:themeColor="accent6"/>
        <w:right w:val="single" w:sz="8" w:space="0" w:color="6FC197" w:themeColor="accent6"/>
        <w:insideH w:val="single" w:sz="8" w:space="0" w:color="6FC197" w:themeColor="accent6"/>
        <w:insideV w:val="single" w:sz="8" w:space="0" w:color="6FC197" w:themeColor="accent6"/>
      </w:tblBorders>
    </w:tblPr>
    <w:tcPr>
      <w:shd w:val="clear" w:color="auto" w:fill="DBEFE5" w:themeFill="accent6" w:themeFillTint="3F"/>
    </w:tcPr>
    <w:tblStylePr w:type="firstRow">
      <w:rPr>
        <w:b/>
        <w:bCs/>
        <w:color w:val="000000" w:themeColor="text1"/>
      </w:rPr>
      <w:tblPr/>
      <w:tcPr>
        <w:shd w:val="clear" w:color="auto" w:fill="F0F9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2EA" w:themeFill="accent6" w:themeFillTint="33"/>
      </w:tcPr>
    </w:tblStylePr>
    <w:tblStylePr w:type="band1Vert">
      <w:tblPr/>
      <w:tcPr>
        <w:shd w:val="clear" w:color="auto" w:fill="B7E0CB" w:themeFill="accent6" w:themeFillTint="7F"/>
      </w:tcPr>
    </w:tblStylePr>
    <w:tblStylePr w:type="band1Horz">
      <w:tblPr/>
      <w:tcPr>
        <w:tcBorders>
          <w:insideH w:val="single" w:sz="6" w:space="0" w:color="6FC197" w:themeColor="accent6"/>
          <w:insideV w:val="single" w:sz="6" w:space="0" w:color="6FC197" w:themeColor="accent6"/>
        </w:tcBorders>
        <w:shd w:val="clear" w:color="auto" w:fill="B7E0C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A5496"/>
    <w:pPr>
      <w:spacing w:before="0" w:after="0"/>
    </w:pPr>
    <w:rPr>
      <w:color w:val="au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A5496"/>
    <w:pPr>
      <w:spacing w:before="0" w:after="0"/>
    </w:pPr>
    <w:rPr>
      <w:color w:val="au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EC0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81E3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81E3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81E3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81E3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C81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C81E6" w:themeFill="accent1" w:themeFillTint="7F"/>
      </w:tcPr>
    </w:tblStylePr>
  </w:style>
  <w:style w:type="table" w:styleId="MediumGrid3-Accent2">
    <w:name w:val="Medium Grid 3 Accent 2"/>
    <w:basedOn w:val="TableNormal"/>
    <w:uiPriority w:val="69"/>
    <w:semiHidden/>
    <w:unhideWhenUsed/>
    <w:rsid w:val="002A5496"/>
    <w:pPr>
      <w:spacing w:before="0" w:after="0"/>
    </w:pPr>
    <w:rPr>
      <w:color w:val="au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08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08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08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08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5F2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5F2FF" w:themeFill="accent2" w:themeFillTint="7F"/>
      </w:tcPr>
    </w:tblStylePr>
  </w:style>
  <w:style w:type="table" w:styleId="MediumGrid3-Accent3">
    <w:name w:val="Medium Grid 3 Accent 3"/>
    <w:basedOn w:val="TableNormal"/>
    <w:uiPriority w:val="69"/>
    <w:semiHidden/>
    <w:unhideWhenUsed/>
    <w:rsid w:val="002A5496"/>
    <w:pPr>
      <w:spacing w:before="0" w:after="0"/>
    </w:pPr>
    <w:rPr>
      <w:color w:val="au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3F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7D1F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7D1F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7D1F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7D1F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E7F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E7F9" w:themeFill="accent3" w:themeFillTint="7F"/>
      </w:tcPr>
    </w:tblStylePr>
  </w:style>
  <w:style w:type="table" w:styleId="MediumGrid3-Accent4">
    <w:name w:val="Medium Grid 3 Accent 4"/>
    <w:basedOn w:val="TableNormal"/>
    <w:uiPriority w:val="69"/>
    <w:semiHidden/>
    <w:unhideWhenUsed/>
    <w:rsid w:val="002A5496"/>
    <w:pPr>
      <w:spacing w:before="0" w:after="0"/>
    </w:pPr>
    <w:rPr>
      <w:color w:val="au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8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A3A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A3A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A3A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A3A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D1D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D1D7" w:themeFill="accent4" w:themeFillTint="7F"/>
      </w:tcPr>
    </w:tblStylePr>
  </w:style>
  <w:style w:type="table" w:styleId="MediumGrid3-Accent5">
    <w:name w:val="Medium Grid 3 Accent 5"/>
    <w:basedOn w:val="TableNormal"/>
    <w:uiPriority w:val="69"/>
    <w:semiHidden/>
    <w:unhideWhenUsed/>
    <w:rsid w:val="002A5496"/>
    <w:pPr>
      <w:spacing w:before="0" w:after="0"/>
    </w:pPr>
    <w:rPr>
      <w:color w:val="au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4E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D48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D48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D48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D48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9C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9C7" w:themeFill="accent5" w:themeFillTint="7F"/>
      </w:tcPr>
    </w:tblStylePr>
  </w:style>
  <w:style w:type="table" w:styleId="MediumGrid3-Accent6">
    <w:name w:val="Medium Grid 3 Accent 6"/>
    <w:basedOn w:val="TableNormal"/>
    <w:uiPriority w:val="69"/>
    <w:semiHidden/>
    <w:unhideWhenUsed/>
    <w:rsid w:val="002A5496"/>
    <w:pPr>
      <w:spacing w:before="0" w:after="0"/>
    </w:pPr>
    <w:rPr>
      <w:color w:val="au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FE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C19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C19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C19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C19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E0C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E0CB" w:themeFill="accent6" w:themeFillTint="7F"/>
      </w:tcPr>
    </w:tblStylePr>
  </w:style>
  <w:style w:type="table" w:styleId="MediumList1">
    <w:name w:val="Medium List 1"/>
    <w:basedOn w:val="TableNormal"/>
    <w:uiPriority w:val="65"/>
    <w:semiHidden/>
    <w:unhideWhenUsed/>
    <w:rsid w:val="002A5496"/>
    <w:pPr>
      <w:spacing w:before="0"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81E3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A5496"/>
    <w:pPr>
      <w:spacing w:before="0" w:after="0"/>
    </w:pPr>
    <w:tblPr>
      <w:tblStyleRowBandSize w:val="1"/>
      <w:tblStyleColBandSize w:val="1"/>
      <w:tblBorders>
        <w:top w:val="single" w:sz="8" w:space="0" w:color="081E3E" w:themeColor="accent1"/>
        <w:bottom w:val="single" w:sz="8" w:space="0" w:color="081E3E" w:themeColor="accent1"/>
      </w:tblBorders>
    </w:tblPr>
    <w:tblStylePr w:type="firstRow">
      <w:rPr>
        <w:rFonts w:asciiTheme="majorHAnsi" w:eastAsiaTheme="majorEastAsia" w:hAnsiTheme="majorHAnsi" w:cstheme="majorBidi"/>
      </w:rPr>
      <w:tblPr/>
      <w:tcPr>
        <w:tcBorders>
          <w:top w:val="nil"/>
          <w:bottom w:val="single" w:sz="8" w:space="0" w:color="081E3E" w:themeColor="accent1"/>
        </w:tcBorders>
      </w:tcPr>
    </w:tblStylePr>
    <w:tblStylePr w:type="lastRow">
      <w:rPr>
        <w:b/>
        <w:bCs/>
        <w:color w:val="081E3E" w:themeColor="text2"/>
      </w:rPr>
      <w:tblPr/>
      <w:tcPr>
        <w:tcBorders>
          <w:top w:val="single" w:sz="8" w:space="0" w:color="081E3E" w:themeColor="accent1"/>
          <w:bottom w:val="single" w:sz="8" w:space="0" w:color="081E3E" w:themeColor="accent1"/>
        </w:tcBorders>
      </w:tcPr>
    </w:tblStylePr>
    <w:tblStylePr w:type="firstCol">
      <w:rPr>
        <w:b/>
        <w:bCs/>
      </w:rPr>
    </w:tblStylePr>
    <w:tblStylePr w:type="lastCol">
      <w:rPr>
        <w:b/>
        <w:bCs/>
      </w:rPr>
      <w:tblPr/>
      <w:tcPr>
        <w:tcBorders>
          <w:top w:val="single" w:sz="8" w:space="0" w:color="081E3E" w:themeColor="accent1"/>
          <w:bottom w:val="single" w:sz="8" w:space="0" w:color="081E3E" w:themeColor="accent1"/>
        </w:tcBorders>
      </w:tcPr>
    </w:tblStylePr>
    <w:tblStylePr w:type="band1Vert">
      <w:tblPr/>
      <w:tcPr>
        <w:shd w:val="clear" w:color="auto" w:fill="9EC0F2" w:themeFill="accent1" w:themeFillTint="3F"/>
      </w:tcPr>
    </w:tblStylePr>
    <w:tblStylePr w:type="band1Horz">
      <w:tblPr/>
      <w:tcPr>
        <w:shd w:val="clear" w:color="auto" w:fill="9EC0F2" w:themeFill="accent1" w:themeFillTint="3F"/>
      </w:tcPr>
    </w:tblStylePr>
  </w:style>
  <w:style w:type="table" w:styleId="MediumList1-Accent2">
    <w:name w:val="Medium List 1 Accent 2"/>
    <w:basedOn w:val="TableNormal"/>
    <w:uiPriority w:val="65"/>
    <w:semiHidden/>
    <w:unhideWhenUsed/>
    <w:rsid w:val="002A5496"/>
    <w:pPr>
      <w:spacing w:before="0" w:after="0"/>
    </w:pPr>
    <w:tblPr>
      <w:tblStyleRowBandSize w:val="1"/>
      <w:tblStyleColBandSize w:val="1"/>
      <w:tblBorders>
        <w:top w:val="single" w:sz="8" w:space="0" w:color="008089" w:themeColor="accent2"/>
        <w:bottom w:val="single" w:sz="8" w:space="0" w:color="008089" w:themeColor="accent2"/>
      </w:tblBorders>
    </w:tblPr>
    <w:tblStylePr w:type="firstRow">
      <w:rPr>
        <w:rFonts w:asciiTheme="majorHAnsi" w:eastAsiaTheme="majorEastAsia" w:hAnsiTheme="majorHAnsi" w:cstheme="majorBidi"/>
      </w:rPr>
      <w:tblPr/>
      <w:tcPr>
        <w:tcBorders>
          <w:top w:val="nil"/>
          <w:bottom w:val="single" w:sz="8" w:space="0" w:color="008089" w:themeColor="accent2"/>
        </w:tcBorders>
      </w:tcPr>
    </w:tblStylePr>
    <w:tblStylePr w:type="lastRow">
      <w:rPr>
        <w:b/>
        <w:bCs/>
        <w:color w:val="081E3E" w:themeColor="text2"/>
      </w:rPr>
      <w:tblPr/>
      <w:tcPr>
        <w:tcBorders>
          <w:top w:val="single" w:sz="8" w:space="0" w:color="008089" w:themeColor="accent2"/>
          <w:bottom w:val="single" w:sz="8" w:space="0" w:color="008089" w:themeColor="accent2"/>
        </w:tcBorders>
      </w:tcPr>
    </w:tblStylePr>
    <w:tblStylePr w:type="firstCol">
      <w:rPr>
        <w:b/>
        <w:bCs/>
      </w:rPr>
    </w:tblStylePr>
    <w:tblStylePr w:type="lastCol">
      <w:rPr>
        <w:b/>
        <w:bCs/>
      </w:rPr>
      <w:tblPr/>
      <w:tcPr>
        <w:tcBorders>
          <w:top w:val="single" w:sz="8" w:space="0" w:color="008089" w:themeColor="accent2"/>
          <w:bottom w:val="single" w:sz="8" w:space="0" w:color="008089" w:themeColor="accent2"/>
        </w:tcBorders>
      </w:tcPr>
    </w:tblStylePr>
    <w:tblStylePr w:type="band1Vert">
      <w:tblPr/>
      <w:tcPr>
        <w:shd w:val="clear" w:color="auto" w:fill="A2F8FF" w:themeFill="accent2" w:themeFillTint="3F"/>
      </w:tcPr>
    </w:tblStylePr>
    <w:tblStylePr w:type="band1Horz">
      <w:tblPr/>
      <w:tcPr>
        <w:shd w:val="clear" w:color="auto" w:fill="A2F8FF" w:themeFill="accent2" w:themeFillTint="3F"/>
      </w:tcPr>
    </w:tblStylePr>
  </w:style>
  <w:style w:type="table" w:styleId="MediumList1-Accent3">
    <w:name w:val="Medium List 1 Accent 3"/>
    <w:basedOn w:val="TableNormal"/>
    <w:uiPriority w:val="65"/>
    <w:semiHidden/>
    <w:unhideWhenUsed/>
    <w:rsid w:val="002A5496"/>
    <w:pPr>
      <w:spacing w:before="0" w:after="0"/>
    </w:pPr>
    <w:tblPr>
      <w:tblStyleRowBandSize w:val="1"/>
      <w:tblStyleColBandSize w:val="1"/>
      <w:tblBorders>
        <w:top w:val="single" w:sz="8" w:space="0" w:color="77D1F4" w:themeColor="accent3"/>
        <w:bottom w:val="single" w:sz="8" w:space="0" w:color="77D1F4" w:themeColor="accent3"/>
      </w:tblBorders>
    </w:tblPr>
    <w:tblStylePr w:type="firstRow">
      <w:rPr>
        <w:rFonts w:asciiTheme="majorHAnsi" w:eastAsiaTheme="majorEastAsia" w:hAnsiTheme="majorHAnsi" w:cstheme="majorBidi"/>
      </w:rPr>
      <w:tblPr/>
      <w:tcPr>
        <w:tcBorders>
          <w:top w:val="nil"/>
          <w:bottom w:val="single" w:sz="8" w:space="0" w:color="77D1F4" w:themeColor="accent3"/>
        </w:tcBorders>
      </w:tcPr>
    </w:tblStylePr>
    <w:tblStylePr w:type="lastRow">
      <w:rPr>
        <w:b/>
        <w:bCs/>
        <w:color w:val="081E3E" w:themeColor="text2"/>
      </w:rPr>
      <w:tblPr/>
      <w:tcPr>
        <w:tcBorders>
          <w:top w:val="single" w:sz="8" w:space="0" w:color="77D1F4" w:themeColor="accent3"/>
          <w:bottom w:val="single" w:sz="8" w:space="0" w:color="77D1F4" w:themeColor="accent3"/>
        </w:tcBorders>
      </w:tcPr>
    </w:tblStylePr>
    <w:tblStylePr w:type="firstCol">
      <w:rPr>
        <w:b/>
        <w:bCs/>
      </w:rPr>
    </w:tblStylePr>
    <w:tblStylePr w:type="lastCol">
      <w:rPr>
        <w:b/>
        <w:bCs/>
      </w:rPr>
      <w:tblPr/>
      <w:tcPr>
        <w:tcBorders>
          <w:top w:val="single" w:sz="8" w:space="0" w:color="77D1F4" w:themeColor="accent3"/>
          <w:bottom w:val="single" w:sz="8" w:space="0" w:color="77D1F4" w:themeColor="accent3"/>
        </w:tcBorders>
      </w:tcPr>
    </w:tblStylePr>
    <w:tblStylePr w:type="band1Vert">
      <w:tblPr/>
      <w:tcPr>
        <w:shd w:val="clear" w:color="auto" w:fill="DDF3FC" w:themeFill="accent3" w:themeFillTint="3F"/>
      </w:tcPr>
    </w:tblStylePr>
    <w:tblStylePr w:type="band1Horz">
      <w:tblPr/>
      <w:tcPr>
        <w:shd w:val="clear" w:color="auto" w:fill="DDF3FC" w:themeFill="accent3" w:themeFillTint="3F"/>
      </w:tcPr>
    </w:tblStylePr>
  </w:style>
  <w:style w:type="table" w:styleId="MediumList1-Accent4">
    <w:name w:val="Medium List 1 Accent 4"/>
    <w:basedOn w:val="TableNormal"/>
    <w:uiPriority w:val="65"/>
    <w:semiHidden/>
    <w:unhideWhenUsed/>
    <w:rsid w:val="002A5496"/>
    <w:pPr>
      <w:spacing w:before="0" w:after="0"/>
    </w:pPr>
    <w:tblPr>
      <w:tblStyleRowBandSize w:val="1"/>
      <w:tblStyleColBandSize w:val="1"/>
      <w:tblBorders>
        <w:top w:val="single" w:sz="8" w:space="0" w:color="9AA3AF" w:themeColor="accent4"/>
        <w:bottom w:val="single" w:sz="8" w:space="0" w:color="9AA3AF" w:themeColor="accent4"/>
      </w:tblBorders>
    </w:tblPr>
    <w:tblStylePr w:type="firstRow">
      <w:rPr>
        <w:rFonts w:asciiTheme="majorHAnsi" w:eastAsiaTheme="majorEastAsia" w:hAnsiTheme="majorHAnsi" w:cstheme="majorBidi"/>
      </w:rPr>
      <w:tblPr/>
      <w:tcPr>
        <w:tcBorders>
          <w:top w:val="nil"/>
          <w:bottom w:val="single" w:sz="8" w:space="0" w:color="9AA3AF" w:themeColor="accent4"/>
        </w:tcBorders>
      </w:tcPr>
    </w:tblStylePr>
    <w:tblStylePr w:type="lastRow">
      <w:rPr>
        <w:b/>
        <w:bCs/>
        <w:color w:val="081E3E" w:themeColor="text2"/>
      </w:rPr>
      <w:tblPr/>
      <w:tcPr>
        <w:tcBorders>
          <w:top w:val="single" w:sz="8" w:space="0" w:color="9AA3AF" w:themeColor="accent4"/>
          <w:bottom w:val="single" w:sz="8" w:space="0" w:color="9AA3AF" w:themeColor="accent4"/>
        </w:tcBorders>
      </w:tcPr>
    </w:tblStylePr>
    <w:tblStylePr w:type="firstCol">
      <w:rPr>
        <w:b/>
        <w:bCs/>
      </w:rPr>
    </w:tblStylePr>
    <w:tblStylePr w:type="lastCol">
      <w:rPr>
        <w:b/>
        <w:bCs/>
      </w:rPr>
      <w:tblPr/>
      <w:tcPr>
        <w:tcBorders>
          <w:top w:val="single" w:sz="8" w:space="0" w:color="9AA3AF" w:themeColor="accent4"/>
          <w:bottom w:val="single" w:sz="8" w:space="0" w:color="9AA3AF" w:themeColor="accent4"/>
        </w:tcBorders>
      </w:tcPr>
    </w:tblStylePr>
    <w:tblStylePr w:type="band1Vert">
      <w:tblPr/>
      <w:tcPr>
        <w:shd w:val="clear" w:color="auto" w:fill="E5E8EB" w:themeFill="accent4" w:themeFillTint="3F"/>
      </w:tcPr>
    </w:tblStylePr>
    <w:tblStylePr w:type="band1Horz">
      <w:tblPr/>
      <w:tcPr>
        <w:shd w:val="clear" w:color="auto" w:fill="E5E8EB" w:themeFill="accent4" w:themeFillTint="3F"/>
      </w:tcPr>
    </w:tblStylePr>
  </w:style>
  <w:style w:type="table" w:styleId="MediumList1-Accent5">
    <w:name w:val="Medium List 1 Accent 5"/>
    <w:basedOn w:val="TableNormal"/>
    <w:uiPriority w:val="65"/>
    <w:semiHidden/>
    <w:unhideWhenUsed/>
    <w:rsid w:val="002A5496"/>
    <w:pPr>
      <w:spacing w:before="0" w:after="0"/>
    </w:pPr>
    <w:tblPr>
      <w:tblStyleRowBandSize w:val="1"/>
      <w:tblStyleColBandSize w:val="1"/>
      <w:tblBorders>
        <w:top w:val="single" w:sz="8" w:space="0" w:color="C0D48F" w:themeColor="accent5"/>
        <w:bottom w:val="single" w:sz="8" w:space="0" w:color="C0D48F" w:themeColor="accent5"/>
      </w:tblBorders>
    </w:tblPr>
    <w:tblStylePr w:type="firstRow">
      <w:rPr>
        <w:rFonts w:asciiTheme="majorHAnsi" w:eastAsiaTheme="majorEastAsia" w:hAnsiTheme="majorHAnsi" w:cstheme="majorBidi"/>
      </w:rPr>
      <w:tblPr/>
      <w:tcPr>
        <w:tcBorders>
          <w:top w:val="nil"/>
          <w:bottom w:val="single" w:sz="8" w:space="0" w:color="C0D48F" w:themeColor="accent5"/>
        </w:tcBorders>
      </w:tcPr>
    </w:tblStylePr>
    <w:tblStylePr w:type="lastRow">
      <w:rPr>
        <w:b/>
        <w:bCs/>
        <w:color w:val="081E3E" w:themeColor="text2"/>
      </w:rPr>
      <w:tblPr/>
      <w:tcPr>
        <w:tcBorders>
          <w:top w:val="single" w:sz="8" w:space="0" w:color="C0D48F" w:themeColor="accent5"/>
          <w:bottom w:val="single" w:sz="8" w:space="0" w:color="C0D48F" w:themeColor="accent5"/>
        </w:tcBorders>
      </w:tcPr>
    </w:tblStylePr>
    <w:tblStylePr w:type="firstCol">
      <w:rPr>
        <w:b/>
        <w:bCs/>
      </w:rPr>
    </w:tblStylePr>
    <w:tblStylePr w:type="lastCol">
      <w:rPr>
        <w:b/>
        <w:bCs/>
      </w:rPr>
      <w:tblPr/>
      <w:tcPr>
        <w:tcBorders>
          <w:top w:val="single" w:sz="8" w:space="0" w:color="C0D48F" w:themeColor="accent5"/>
          <w:bottom w:val="single" w:sz="8" w:space="0" w:color="C0D48F" w:themeColor="accent5"/>
        </w:tcBorders>
      </w:tcPr>
    </w:tblStylePr>
    <w:tblStylePr w:type="band1Vert">
      <w:tblPr/>
      <w:tcPr>
        <w:shd w:val="clear" w:color="auto" w:fill="EFF4E3" w:themeFill="accent5" w:themeFillTint="3F"/>
      </w:tcPr>
    </w:tblStylePr>
    <w:tblStylePr w:type="band1Horz">
      <w:tblPr/>
      <w:tcPr>
        <w:shd w:val="clear" w:color="auto" w:fill="EFF4E3" w:themeFill="accent5" w:themeFillTint="3F"/>
      </w:tcPr>
    </w:tblStylePr>
  </w:style>
  <w:style w:type="table" w:styleId="MediumList1-Accent6">
    <w:name w:val="Medium List 1 Accent 6"/>
    <w:basedOn w:val="TableNormal"/>
    <w:uiPriority w:val="65"/>
    <w:semiHidden/>
    <w:unhideWhenUsed/>
    <w:rsid w:val="002A5496"/>
    <w:pPr>
      <w:spacing w:before="0" w:after="0"/>
    </w:pPr>
    <w:tblPr>
      <w:tblStyleRowBandSize w:val="1"/>
      <w:tblStyleColBandSize w:val="1"/>
      <w:tblBorders>
        <w:top w:val="single" w:sz="8" w:space="0" w:color="6FC197" w:themeColor="accent6"/>
        <w:bottom w:val="single" w:sz="8" w:space="0" w:color="6FC197" w:themeColor="accent6"/>
      </w:tblBorders>
    </w:tblPr>
    <w:tblStylePr w:type="firstRow">
      <w:rPr>
        <w:rFonts w:asciiTheme="majorHAnsi" w:eastAsiaTheme="majorEastAsia" w:hAnsiTheme="majorHAnsi" w:cstheme="majorBidi"/>
      </w:rPr>
      <w:tblPr/>
      <w:tcPr>
        <w:tcBorders>
          <w:top w:val="nil"/>
          <w:bottom w:val="single" w:sz="8" w:space="0" w:color="6FC197" w:themeColor="accent6"/>
        </w:tcBorders>
      </w:tcPr>
    </w:tblStylePr>
    <w:tblStylePr w:type="lastRow">
      <w:rPr>
        <w:b/>
        <w:bCs/>
        <w:color w:val="081E3E" w:themeColor="text2"/>
      </w:rPr>
      <w:tblPr/>
      <w:tcPr>
        <w:tcBorders>
          <w:top w:val="single" w:sz="8" w:space="0" w:color="6FC197" w:themeColor="accent6"/>
          <w:bottom w:val="single" w:sz="8" w:space="0" w:color="6FC197" w:themeColor="accent6"/>
        </w:tcBorders>
      </w:tcPr>
    </w:tblStylePr>
    <w:tblStylePr w:type="firstCol">
      <w:rPr>
        <w:b/>
        <w:bCs/>
      </w:rPr>
    </w:tblStylePr>
    <w:tblStylePr w:type="lastCol">
      <w:rPr>
        <w:b/>
        <w:bCs/>
      </w:rPr>
      <w:tblPr/>
      <w:tcPr>
        <w:tcBorders>
          <w:top w:val="single" w:sz="8" w:space="0" w:color="6FC197" w:themeColor="accent6"/>
          <w:bottom w:val="single" w:sz="8" w:space="0" w:color="6FC197" w:themeColor="accent6"/>
        </w:tcBorders>
      </w:tcPr>
    </w:tblStylePr>
    <w:tblStylePr w:type="band1Vert">
      <w:tblPr/>
      <w:tcPr>
        <w:shd w:val="clear" w:color="auto" w:fill="DBEFE5" w:themeFill="accent6" w:themeFillTint="3F"/>
      </w:tcPr>
    </w:tblStylePr>
    <w:tblStylePr w:type="band1Horz">
      <w:tblPr/>
      <w:tcPr>
        <w:shd w:val="clear" w:color="auto" w:fill="DBEFE5" w:themeFill="accent6" w:themeFillTint="3F"/>
      </w:tcPr>
    </w:tblStylePr>
  </w:style>
  <w:style w:type="table" w:styleId="MediumList2">
    <w:name w:val="Medium List 2"/>
    <w:basedOn w:val="TableNormal"/>
    <w:uiPriority w:val="66"/>
    <w:semiHidden/>
    <w:unhideWhenUsed/>
    <w:rsid w:val="002A5496"/>
    <w:pPr>
      <w:spacing w:before="0" w:after="0"/>
    </w:pPr>
    <w:rPr>
      <w:rFonts w:eastAsiaTheme="maj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A5496"/>
    <w:pPr>
      <w:spacing w:before="0" w:after="0"/>
    </w:pPr>
    <w:rPr>
      <w:rFonts w:eastAsiaTheme="majorEastAsia"/>
    </w:rPr>
    <w:tblPr>
      <w:tblStyleRowBandSize w:val="1"/>
      <w:tblStyleColBandSize w:val="1"/>
      <w:tblBorders>
        <w:top w:val="single" w:sz="8" w:space="0" w:color="081E3E" w:themeColor="accent1"/>
        <w:left w:val="single" w:sz="8" w:space="0" w:color="081E3E" w:themeColor="accent1"/>
        <w:bottom w:val="single" w:sz="8" w:space="0" w:color="081E3E" w:themeColor="accent1"/>
        <w:right w:val="single" w:sz="8" w:space="0" w:color="081E3E" w:themeColor="accent1"/>
      </w:tblBorders>
    </w:tblPr>
    <w:tblStylePr w:type="firstRow">
      <w:rPr>
        <w:sz w:val="24"/>
        <w:szCs w:val="24"/>
      </w:rPr>
      <w:tblPr/>
      <w:tcPr>
        <w:tcBorders>
          <w:top w:val="nil"/>
          <w:left w:val="nil"/>
          <w:bottom w:val="single" w:sz="24" w:space="0" w:color="081E3E" w:themeColor="accent1"/>
          <w:right w:val="nil"/>
          <w:insideH w:val="nil"/>
          <w:insideV w:val="nil"/>
        </w:tcBorders>
        <w:shd w:val="clear" w:color="auto" w:fill="FFFFFF" w:themeFill="background1"/>
      </w:tcPr>
    </w:tblStylePr>
    <w:tblStylePr w:type="lastRow">
      <w:tblPr/>
      <w:tcPr>
        <w:tcBorders>
          <w:top w:val="single" w:sz="8" w:space="0" w:color="081E3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81E3E" w:themeColor="accent1"/>
          <w:insideH w:val="nil"/>
          <w:insideV w:val="nil"/>
        </w:tcBorders>
        <w:shd w:val="clear" w:color="auto" w:fill="FFFFFF" w:themeFill="background1"/>
      </w:tcPr>
    </w:tblStylePr>
    <w:tblStylePr w:type="lastCol">
      <w:tblPr/>
      <w:tcPr>
        <w:tcBorders>
          <w:top w:val="nil"/>
          <w:left w:val="single" w:sz="8" w:space="0" w:color="081E3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C0F2" w:themeFill="accent1" w:themeFillTint="3F"/>
      </w:tcPr>
    </w:tblStylePr>
    <w:tblStylePr w:type="band1Horz">
      <w:tblPr/>
      <w:tcPr>
        <w:tcBorders>
          <w:top w:val="nil"/>
          <w:bottom w:val="nil"/>
          <w:insideH w:val="nil"/>
          <w:insideV w:val="nil"/>
        </w:tcBorders>
        <w:shd w:val="clear" w:color="auto" w:fill="9EC0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A5496"/>
    <w:pPr>
      <w:spacing w:before="0" w:after="0"/>
    </w:pPr>
    <w:rPr>
      <w:rFonts w:eastAsiaTheme="majorEastAsia"/>
    </w:rPr>
    <w:tblPr>
      <w:tblStyleRowBandSize w:val="1"/>
      <w:tblStyleColBandSize w:val="1"/>
      <w:tblBorders>
        <w:top w:val="single" w:sz="8" w:space="0" w:color="008089" w:themeColor="accent2"/>
        <w:left w:val="single" w:sz="8" w:space="0" w:color="008089" w:themeColor="accent2"/>
        <w:bottom w:val="single" w:sz="8" w:space="0" w:color="008089" w:themeColor="accent2"/>
        <w:right w:val="single" w:sz="8" w:space="0" w:color="008089" w:themeColor="accent2"/>
      </w:tblBorders>
    </w:tblPr>
    <w:tblStylePr w:type="firstRow">
      <w:rPr>
        <w:sz w:val="24"/>
        <w:szCs w:val="24"/>
      </w:rPr>
      <w:tblPr/>
      <w:tcPr>
        <w:tcBorders>
          <w:top w:val="nil"/>
          <w:left w:val="nil"/>
          <w:bottom w:val="single" w:sz="24" w:space="0" w:color="008089" w:themeColor="accent2"/>
          <w:right w:val="nil"/>
          <w:insideH w:val="nil"/>
          <w:insideV w:val="nil"/>
        </w:tcBorders>
        <w:shd w:val="clear" w:color="auto" w:fill="FFFFFF" w:themeFill="background1"/>
      </w:tcPr>
    </w:tblStylePr>
    <w:tblStylePr w:type="lastRow">
      <w:tblPr/>
      <w:tcPr>
        <w:tcBorders>
          <w:top w:val="single" w:sz="8" w:space="0" w:color="00808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089" w:themeColor="accent2"/>
          <w:insideH w:val="nil"/>
          <w:insideV w:val="nil"/>
        </w:tcBorders>
        <w:shd w:val="clear" w:color="auto" w:fill="FFFFFF" w:themeFill="background1"/>
      </w:tcPr>
    </w:tblStylePr>
    <w:tblStylePr w:type="lastCol">
      <w:tblPr/>
      <w:tcPr>
        <w:tcBorders>
          <w:top w:val="nil"/>
          <w:left w:val="single" w:sz="8" w:space="0" w:color="00808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8FF" w:themeFill="accent2" w:themeFillTint="3F"/>
      </w:tcPr>
    </w:tblStylePr>
    <w:tblStylePr w:type="band1Horz">
      <w:tblPr/>
      <w:tcPr>
        <w:tcBorders>
          <w:top w:val="nil"/>
          <w:bottom w:val="nil"/>
          <w:insideH w:val="nil"/>
          <w:insideV w:val="nil"/>
        </w:tcBorders>
        <w:shd w:val="clear" w:color="auto" w:fill="A2F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A5496"/>
    <w:pPr>
      <w:spacing w:before="0" w:after="0"/>
    </w:pPr>
    <w:rPr>
      <w:rFonts w:eastAsiaTheme="majorEastAsia"/>
    </w:rPr>
    <w:tblPr>
      <w:tblStyleRowBandSize w:val="1"/>
      <w:tblStyleColBandSize w:val="1"/>
      <w:tblBorders>
        <w:top w:val="single" w:sz="8" w:space="0" w:color="77D1F4" w:themeColor="accent3"/>
        <w:left w:val="single" w:sz="8" w:space="0" w:color="77D1F4" w:themeColor="accent3"/>
        <w:bottom w:val="single" w:sz="8" w:space="0" w:color="77D1F4" w:themeColor="accent3"/>
        <w:right w:val="single" w:sz="8" w:space="0" w:color="77D1F4" w:themeColor="accent3"/>
      </w:tblBorders>
    </w:tblPr>
    <w:tblStylePr w:type="firstRow">
      <w:rPr>
        <w:sz w:val="24"/>
        <w:szCs w:val="24"/>
      </w:rPr>
      <w:tblPr/>
      <w:tcPr>
        <w:tcBorders>
          <w:top w:val="nil"/>
          <w:left w:val="nil"/>
          <w:bottom w:val="single" w:sz="24" w:space="0" w:color="77D1F4" w:themeColor="accent3"/>
          <w:right w:val="nil"/>
          <w:insideH w:val="nil"/>
          <w:insideV w:val="nil"/>
        </w:tcBorders>
        <w:shd w:val="clear" w:color="auto" w:fill="FFFFFF" w:themeFill="background1"/>
      </w:tcPr>
    </w:tblStylePr>
    <w:tblStylePr w:type="lastRow">
      <w:tblPr/>
      <w:tcPr>
        <w:tcBorders>
          <w:top w:val="single" w:sz="8" w:space="0" w:color="77D1F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7D1F4" w:themeColor="accent3"/>
          <w:insideH w:val="nil"/>
          <w:insideV w:val="nil"/>
        </w:tcBorders>
        <w:shd w:val="clear" w:color="auto" w:fill="FFFFFF" w:themeFill="background1"/>
      </w:tcPr>
    </w:tblStylePr>
    <w:tblStylePr w:type="lastCol">
      <w:tblPr/>
      <w:tcPr>
        <w:tcBorders>
          <w:top w:val="nil"/>
          <w:left w:val="single" w:sz="8" w:space="0" w:color="77D1F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3FC" w:themeFill="accent3" w:themeFillTint="3F"/>
      </w:tcPr>
    </w:tblStylePr>
    <w:tblStylePr w:type="band1Horz">
      <w:tblPr/>
      <w:tcPr>
        <w:tcBorders>
          <w:top w:val="nil"/>
          <w:bottom w:val="nil"/>
          <w:insideH w:val="nil"/>
          <w:insideV w:val="nil"/>
        </w:tcBorders>
        <w:shd w:val="clear" w:color="auto" w:fill="DDF3F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A5496"/>
    <w:pPr>
      <w:spacing w:before="0" w:after="0"/>
    </w:pPr>
    <w:rPr>
      <w:rFonts w:eastAsiaTheme="majorEastAsia"/>
    </w:rPr>
    <w:tblPr>
      <w:tblStyleRowBandSize w:val="1"/>
      <w:tblStyleColBandSize w:val="1"/>
      <w:tblBorders>
        <w:top w:val="single" w:sz="8" w:space="0" w:color="9AA3AF" w:themeColor="accent4"/>
        <w:left w:val="single" w:sz="8" w:space="0" w:color="9AA3AF" w:themeColor="accent4"/>
        <w:bottom w:val="single" w:sz="8" w:space="0" w:color="9AA3AF" w:themeColor="accent4"/>
        <w:right w:val="single" w:sz="8" w:space="0" w:color="9AA3AF" w:themeColor="accent4"/>
      </w:tblBorders>
    </w:tblPr>
    <w:tblStylePr w:type="firstRow">
      <w:rPr>
        <w:sz w:val="24"/>
        <w:szCs w:val="24"/>
      </w:rPr>
      <w:tblPr/>
      <w:tcPr>
        <w:tcBorders>
          <w:top w:val="nil"/>
          <w:left w:val="nil"/>
          <w:bottom w:val="single" w:sz="24" w:space="0" w:color="9AA3AF" w:themeColor="accent4"/>
          <w:right w:val="nil"/>
          <w:insideH w:val="nil"/>
          <w:insideV w:val="nil"/>
        </w:tcBorders>
        <w:shd w:val="clear" w:color="auto" w:fill="FFFFFF" w:themeFill="background1"/>
      </w:tcPr>
    </w:tblStylePr>
    <w:tblStylePr w:type="lastRow">
      <w:tblPr/>
      <w:tcPr>
        <w:tcBorders>
          <w:top w:val="single" w:sz="8" w:space="0" w:color="9AA3A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A3AF" w:themeColor="accent4"/>
          <w:insideH w:val="nil"/>
          <w:insideV w:val="nil"/>
        </w:tcBorders>
        <w:shd w:val="clear" w:color="auto" w:fill="FFFFFF" w:themeFill="background1"/>
      </w:tcPr>
    </w:tblStylePr>
    <w:tblStylePr w:type="lastCol">
      <w:tblPr/>
      <w:tcPr>
        <w:tcBorders>
          <w:top w:val="nil"/>
          <w:left w:val="single" w:sz="8" w:space="0" w:color="9AA3A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8EB" w:themeFill="accent4" w:themeFillTint="3F"/>
      </w:tcPr>
    </w:tblStylePr>
    <w:tblStylePr w:type="band1Horz">
      <w:tblPr/>
      <w:tcPr>
        <w:tcBorders>
          <w:top w:val="nil"/>
          <w:bottom w:val="nil"/>
          <w:insideH w:val="nil"/>
          <w:insideV w:val="nil"/>
        </w:tcBorders>
        <w:shd w:val="clear" w:color="auto" w:fill="E5E8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A5496"/>
    <w:pPr>
      <w:spacing w:before="0" w:after="0"/>
    </w:pPr>
    <w:rPr>
      <w:rFonts w:eastAsiaTheme="majorEastAsia"/>
    </w:rPr>
    <w:tblPr>
      <w:tblStyleRowBandSize w:val="1"/>
      <w:tblStyleColBandSize w:val="1"/>
      <w:tblBorders>
        <w:top w:val="single" w:sz="8" w:space="0" w:color="C0D48F" w:themeColor="accent5"/>
        <w:left w:val="single" w:sz="8" w:space="0" w:color="C0D48F" w:themeColor="accent5"/>
        <w:bottom w:val="single" w:sz="8" w:space="0" w:color="C0D48F" w:themeColor="accent5"/>
        <w:right w:val="single" w:sz="8" w:space="0" w:color="C0D48F" w:themeColor="accent5"/>
      </w:tblBorders>
    </w:tblPr>
    <w:tblStylePr w:type="firstRow">
      <w:rPr>
        <w:sz w:val="24"/>
        <w:szCs w:val="24"/>
      </w:rPr>
      <w:tblPr/>
      <w:tcPr>
        <w:tcBorders>
          <w:top w:val="nil"/>
          <w:left w:val="nil"/>
          <w:bottom w:val="single" w:sz="24" w:space="0" w:color="C0D48F" w:themeColor="accent5"/>
          <w:right w:val="nil"/>
          <w:insideH w:val="nil"/>
          <w:insideV w:val="nil"/>
        </w:tcBorders>
        <w:shd w:val="clear" w:color="auto" w:fill="FFFFFF" w:themeFill="background1"/>
      </w:tcPr>
    </w:tblStylePr>
    <w:tblStylePr w:type="lastRow">
      <w:tblPr/>
      <w:tcPr>
        <w:tcBorders>
          <w:top w:val="single" w:sz="8" w:space="0" w:color="C0D48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D48F" w:themeColor="accent5"/>
          <w:insideH w:val="nil"/>
          <w:insideV w:val="nil"/>
        </w:tcBorders>
        <w:shd w:val="clear" w:color="auto" w:fill="FFFFFF" w:themeFill="background1"/>
      </w:tcPr>
    </w:tblStylePr>
    <w:tblStylePr w:type="lastCol">
      <w:tblPr/>
      <w:tcPr>
        <w:tcBorders>
          <w:top w:val="nil"/>
          <w:left w:val="single" w:sz="8" w:space="0" w:color="C0D48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4E3" w:themeFill="accent5" w:themeFillTint="3F"/>
      </w:tcPr>
    </w:tblStylePr>
    <w:tblStylePr w:type="band1Horz">
      <w:tblPr/>
      <w:tcPr>
        <w:tcBorders>
          <w:top w:val="nil"/>
          <w:bottom w:val="nil"/>
          <w:insideH w:val="nil"/>
          <w:insideV w:val="nil"/>
        </w:tcBorders>
        <w:shd w:val="clear" w:color="auto" w:fill="EFF4E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A5496"/>
    <w:pPr>
      <w:spacing w:before="0" w:after="0"/>
    </w:pPr>
    <w:rPr>
      <w:rFonts w:eastAsiaTheme="majorEastAsia"/>
    </w:rPr>
    <w:tblPr>
      <w:tblStyleRowBandSize w:val="1"/>
      <w:tblStyleColBandSize w:val="1"/>
      <w:tblBorders>
        <w:top w:val="single" w:sz="8" w:space="0" w:color="6FC197" w:themeColor="accent6"/>
        <w:left w:val="single" w:sz="8" w:space="0" w:color="6FC197" w:themeColor="accent6"/>
        <w:bottom w:val="single" w:sz="8" w:space="0" w:color="6FC197" w:themeColor="accent6"/>
        <w:right w:val="single" w:sz="8" w:space="0" w:color="6FC197" w:themeColor="accent6"/>
      </w:tblBorders>
    </w:tblPr>
    <w:tblStylePr w:type="firstRow">
      <w:rPr>
        <w:sz w:val="24"/>
        <w:szCs w:val="24"/>
      </w:rPr>
      <w:tblPr/>
      <w:tcPr>
        <w:tcBorders>
          <w:top w:val="nil"/>
          <w:left w:val="nil"/>
          <w:bottom w:val="single" w:sz="24" w:space="0" w:color="6FC197" w:themeColor="accent6"/>
          <w:right w:val="nil"/>
          <w:insideH w:val="nil"/>
          <w:insideV w:val="nil"/>
        </w:tcBorders>
        <w:shd w:val="clear" w:color="auto" w:fill="FFFFFF" w:themeFill="background1"/>
      </w:tcPr>
    </w:tblStylePr>
    <w:tblStylePr w:type="lastRow">
      <w:tblPr/>
      <w:tcPr>
        <w:tcBorders>
          <w:top w:val="single" w:sz="8" w:space="0" w:color="6FC19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C197" w:themeColor="accent6"/>
          <w:insideH w:val="nil"/>
          <w:insideV w:val="nil"/>
        </w:tcBorders>
        <w:shd w:val="clear" w:color="auto" w:fill="FFFFFF" w:themeFill="background1"/>
      </w:tcPr>
    </w:tblStylePr>
    <w:tblStylePr w:type="lastCol">
      <w:tblPr/>
      <w:tcPr>
        <w:tcBorders>
          <w:top w:val="nil"/>
          <w:left w:val="single" w:sz="8" w:space="0" w:color="6FC19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FE5" w:themeFill="accent6" w:themeFillTint="3F"/>
      </w:tcPr>
    </w:tblStylePr>
    <w:tblStylePr w:type="band1Horz">
      <w:tblPr/>
      <w:tcPr>
        <w:tcBorders>
          <w:top w:val="nil"/>
          <w:bottom w:val="nil"/>
          <w:insideH w:val="nil"/>
          <w:insideV w:val="nil"/>
        </w:tcBorders>
        <w:shd w:val="clear" w:color="auto" w:fill="DBEF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A5496"/>
    <w:pPr>
      <w:spacing w:before="0" w:after="0"/>
    </w:pPr>
    <w:rPr>
      <w:color w:val="auto"/>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A5496"/>
    <w:pPr>
      <w:spacing w:before="0" w:after="0"/>
    </w:pPr>
    <w:rPr>
      <w:color w:val="auto"/>
    </w:rPr>
    <w:tblPr>
      <w:tblStyleRowBandSize w:val="1"/>
      <w:tblStyleColBandSize w:val="1"/>
      <w:tblBorders>
        <w:top w:val="single" w:sz="8" w:space="0" w:color="144C9F" w:themeColor="accent1" w:themeTint="BF"/>
        <w:left w:val="single" w:sz="8" w:space="0" w:color="144C9F" w:themeColor="accent1" w:themeTint="BF"/>
        <w:bottom w:val="single" w:sz="8" w:space="0" w:color="144C9F" w:themeColor="accent1" w:themeTint="BF"/>
        <w:right w:val="single" w:sz="8" w:space="0" w:color="144C9F" w:themeColor="accent1" w:themeTint="BF"/>
        <w:insideH w:val="single" w:sz="8" w:space="0" w:color="144C9F" w:themeColor="accent1" w:themeTint="BF"/>
      </w:tblBorders>
    </w:tblPr>
    <w:tblStylePr w:type="firstRow">
      <w:pPr>
        <w:spacing w:before="0" w:after="0" w:line="240" w:lineRule="auto"/>
      </w:pPr>
      <w:rPr>
        <w:b/>
        <w:bCs/>
        <w:color w:val="FFFFFF" w:themeColor="background1"/>
      </w:rPr>
      <w:tblPr/>
      <w:tcPr>
        <w:tcBorders>
          <w:top w:val="single" w:sz="8" w:space="0" w:color="144C9F" w:themeColor="accent1" w:themeTint="BF"/>
          <w:left w:val="single" w:sz="8" w:space="0" w:color="144C9F" w:themeColor="accent1" w:themeTint="BF"/>
          <w:bottom w:val="single" w:sz="8" w:space="0" w:color="144C9F" w:themeColor="accent1" w:themeTint="BF"/>
          <w:right w:val="single" w:sz="8" w:space="0" w:color="144C9F" w:themeColor="accent1" w:themeTint="BF"/>
          <w:insideH w:val="nil"/>
          <w:insideV w:val="nil"/>
        </w:tcBorders>
        <w:shd w:val="clear" w:color="auto" w:fill="081E3E" w:themeFill="accent1"/>
      </w:tcPr>
    </w:tblStylePr>
    <w:tblStylePr w:type="lastRow">
      <w:pPr>
        <w:spacing w:before="0" w:after="0" w:line="240" w:lineRule="auto"/>
      </w:pPr>
      <w:rPr>
        <w:b/>
        <w:bCs/>
      </w:rPr>
      <w:tblPr/>
      <w:tcPr>
        <w:tcBorders>
          <w:top w:val="double" w:sz="6" w:space="0" w:color="144C9F" w:themeColor="accent1" w:themeTint="BF"/>
          <w:left w:val="single" w:sz="8" w:space="0" w:color="144C9F" w:themeColor="accent1" w:themeTint="BF"/>
          <w:bottom w:val="single" w:sz="8" w:space="0" w:color="144C9F" w:themeColor="accent1" w:themeTint="BF"/>
          <w:right w:val="single" w:sz="8" w:space="0" w:color="144C9F" w:themeColor="accent1" w:themeTint="BF"/>
          <w:insideH w:val="nil"/>
          <w:insideV w:val="nil"/>
        </w:tcBorders>
      </w:tcPr>
    </w:tblStylePr>
    <w:tblStylePr w:type="firstCol">
      <w:rPr>
        <w:b/>
        <w:bCs/>
      </w:rPr>
    </w:tblStylePr>
    <w:tblStylePr w:type="lastCol">
      <w:rPr>
        <w:b/>
        <w:bCs/>
      </w:rPr>
    </w:tblStylePr>
    <w:tblStylePr w:type="band1Vert">
      <w:tblPr/>
      <w:tcPr>
        <w:shd w:val="clear" w:color="auto" w:fill="9EC0F2" w:themeFill="accent1" w:themeFillTint="3F"/>
      </w:tcPr>
    </w:tblStylePr>
    <w:tblStylePr w:type="band1Horz">
      <w:tblPr/>
      <w:tcPr>
        <w:tcBorders>
          <w:insideH w:val="nil"/>
          <w:insideV w:val="nil"/>
        </w:tcBorders>
        <w:shd w:val="clear" w:color="auto" w:fill="9EC0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A5496"/>
    <w:pPr>
      <w:spacing w:before="0" w:after="0"/>
    </w:pPr>
    <w:rPr>
      <w:color w:val="auto"/>
    </w:rPr>
    <w:tblPr>
      <w:tblStyleRowBandSize w:val="1"/>
      <w:tblStyleColBandSize w:val="1"/>
      <w:tblBorders>
        <w:top w:val="single" w:sz="8" w:space="0" w:color="00D6E6" w:themeColor="accent2" w:themeTint="BF"/>
        <w:left w:val="single" w:sz="8" w:space="0" w:color="00D6E6" w:themeColor="accent2" w:themeTint="BF"/>
        <w:bottom w:val="single" w:sz="8" w:space="0" w:color="00D6E6" w:themeColor="accent2" w:themeTint="BF"/>
        <w:right w:val="single" w:sz="8" w:space="0" w:color="00D6E6" w:themeColor="accent2" w:themeTint="BF"/>
        <w:insideH w:val="single" w:sz="8" w:space="0" w:color="00D6E6" w:themeColor="accent2" w:themeTint="BF"/>
      </w:tblBorders>
    </w:tblPr>
    <w:tblStylePr w:type="firstRow">
      <w:pPr>
        <w:spacing w:before="0" w:after="0" w:line="240" w:lineRule="auto"/>
      </w:pPr>
      <w:rPr>
        <w:b/>
        <w:bCs/>
        <w:color w:val="FFFFFF" w:themeColor="background1"/>
      </w:rPr>
      <w:tblPr/>
      <w:tcPr>
        <w:tcBorders>
          <w:top w:val="single" w:sz="8" w:space="0" w:color="00D6E6" w:themeColor="accent2" w:themeTint="BF"/>
          <w:left w:val="single" w:sz="8" w:space="0" w:color="00D6E6" w:themeColor="accent2" w:themeTint="BF"/>
          <w:bottom w:val="single" w:sz="8" w:space="0" w:color="00D6E6" w:themeColor="accent2" w:themeTint="BF"/>
          <w:right w:val="single" w:sz="8" w:space="0" w:color="00D6E6" w:themeColor="accent2" w:themeTint="BF"/>
          <w:insideH w:val="nil"/>
          <w:insideV w:val="nil"/>
        </w:tcBorders>
        <w:shd w:val="clear" w:color="auto" w:fill="008089" w:themeFill="accent2"/>
      </w:tcPr>
    </w:tblStylePr>
    <w:tblStylePr w:type="lastRow">
      <w:pPr>
        <w:spacing w:before="0" w:after="0" w:line="240" w:lineRule="auto"/>
      </w:pPr>
      <w:rPr>
        <w:b/>
        <w:bCs/>
      </w:rPr>
      <w:tblPr/>
      <w:tcPr>
        <w:tcBorders>
          <w:top w:val="double" w:sz="6" w:space="0" w:color="00D6E6" w:themeColor="accent2" w:themeTint="BF"/>
          <w:left w:val="single" w:sz="8" w:space="0" w:color="00D6E6" w:themeColor="accent2" w:themeTint="BF"/>
          <w:bottom w:val="single" w:sz="8" w:space="0" w:color="00D6E6" w:themeColor="accent2" w:themeTint="BF"/>
          <w:right w:val="single" w:sz="8" w:space="0" w:color="00D6E6" w:themeColor="accent2" w:themeTint="BF"/>
          <w:insideH w:val="nil"/>
          <w:insideV w:val="nil"/>
        </w:tcBorders>
      </w:tcPr>
    </w:tblStylePr>
    <w:tblStylePr w:type="firstCol">
      <w:rPr>
        <w:b/>
        <w:bCs/>
      </w:rPr>
    </w:tblStylePr>
    <w:tblStylePr w:type="lastCol">
      <w:rPr>
        <w:b/>
        <w:bCs/>
      </w:rPr>
    </w:tblStylePr>
    <w:tblStylePr w:type="band1Vert">
      <w:tblPr/>
      <w:tcPr>
        <w:shd w:val="clear" w:color="auto" w:fill="A2F8FF" w:themeFill="accent2" w:themeFillTint="3F"/>
      </w:tcPr>
    </w:tblStylePr>
    <w:tblStylePr w:type="band1Horz">
      <w:tblPr/>
      <w:tcPr>
        <w:tcBorders>
          <w:insideH w:val="nil"/>
          <w:insideV w:val="nil"/>
        </w:tcBorders>
        <w:shd w:val="clear" w:color="auto" w:fill="A2F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A5496"/>
    <w:pPr>
      <w:spacing w:before="0" w:after="0"/>
    </w:pPr>
    <w:rPr>
      <w:color w:val="auto"/>
    </w:rPr>
    <w:tblPr>
      <w:tblStyleRowBandSize w:val="1"/>
      <w:tblStyleColBandSize w:val="1"/>
      <w:tblBorders>
        <w:top w:val="single" w:sz="8" w:space="0" w:color="98DCF6" w:themeColor="accent3" w:themeTint="BF"/>
        <w:left w:val="single" w:sz="8" w:space="0" w:color="98DCF6" w:themeColor="accent3" w:themeTint="BF"/>
        <w:bottom w:val="single" w:sz="8" w:space="0" w:color="98DCF6" w:themeColor="accent3" w:themeTint="BF"/>
        <w:right w:val="single" w:sz="8" w:space="0" w:color="98DCF6" w:themeColor="accent3" w:themeTint="BF"/>
        <w:insideH w:val="single" w:sz="8" w:space="0" w:color="98DCF6" w:themeColor="accent3" w:themeTint="BF"/>
      </w:tblBorders>
    </w:tblPr>
    <w:tblStylePr w:type="firstRow">
      <w:pPr>
        <w:spacing w:before="0" w:after="0" w:line="240" w:lineRule="auto"/>
      </w:pPr>
      <w:rPr>
        <w:b/>
        <w:bCs/>
        <w:color w:val="FFFFFF" w:themeColor="background1"/>
      </w:rPr>
      <w:tblPr/>
      <w:tcPr>
        <w:tcBorders>
          <w:top w:val="single" w:sz="8" w:space="0" w:color="98DCF6" w:themeColor="accent3" w:themeTint="BF"/>
          <w:left w:val="single" w:sz="8" w:space="0" w:color="98DCF6" w:themeColor="accent3" w:themeTint="BF"/>
          <w:bottom w:val="single" w:sz="8" w:space="0" w:color="98DCF6" w:themeColor="accent3" w:themeTint="BF"/>
          <w:right w:val="single" w:sz="8" w:space="0" w:color="98DCF6" w:themeColor="accent3" w:themeTint="BF"/>
          <w:insideH w:val="nil"/>
          <w:insideV w:val="nil"/>
        </w:tcBorders>
        <w:shd w:val="clear" w:color="auto" w:fill="77D1F4" w:themeFill="accent3"/>
      </w:tcPr>
    </w:tblStylePr>
    <w:tblStylePr w:type="lastRow">
      <w:pPr>
        <w:spacing w:before="0" w:after="0" w:line="240" w:lineRule="auto"/>
      </w:pPr>
      <w:rPr>
        <w:b/>
        <w:bCs/>
      </w:rPr>
      <w:tblPr/>
      <w:tcPr>
        <w:tcBorders>
          <w:top w:val="double" w:sz="6" w:space="0" w:color="98DCF6" w:themeColor="accent3" w:themeTint="BF"/>
          <w:left w:val="single" w:sz="8" w:space="0" w:color="98DCF6" w:themeColor="accent3" w:themeTint="BF"/>
          <w:bottom w:val="single" w:sz="8" w:space="0" w:color="98DCF6" w:themeColor="accent3" w:themeTint="BF"/>
          <w:right w:val="single" w:sz="8" w:space="0" w:color="98DCF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DF3FC" w:themeFill="accent3" w:themeFillTint="3F"/>
      </w:tcPr>
    </w:tblStylePr>
    <w:tblStylePr w:type="band1Horz">
      <w:tblPr/>
      <w:tcPr>
        <w:tcBorders>
          <w:insideH w:val="nil"/>
          <w:insideV w:val="nil"/>
        </w:tcBorders>
        <w:shd w:val="clear" w:color="auto" w:fill="DDF3FC"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A5496"/>
    <w:pPr>
      <w:spacing w:before="0" w:after="0"/>
    </w:pPr>
    <w:rPr>
      <w:color w:val="auto"/>
    </w:rPr>
    <w:tblPr>
      <w:tblStyleRowBandSize w:val="1"/>
      <w:tblStyleColBandSize w:val="1"/>
      <w:tblBorders>
        <w:top w:val="single" w:sz="8" w:space="0" w:color="B3BAC3" w:themeColor="accent4" w:themeTint="BF"/>
        <w:left w:val="single" w:sz="8" w:space="0" w:color="B3BAC3" w:themeColor="accent4" w:themeTint="BF"/>
        <w:bottom w:val="single" w:sz="8" w:space="0" w:color="B3BAC3" w:themeColor="accent4" w:themeTint="BF"/>
        <w:right w:val="single" w:sz="8" w:space="0" w:color="B3BAC3" w:themeColor="accent4" w:themeTint="BF"/>
        <w:insideH w:val="single" w:sz="8" w:space="0" w:color="B3BAC3" w:themeColor="accent4" w:themeTint="BF"/>
      </w:tblBorders>
    </w:tblPr>
    <w:tblStylePr w:type="firstRow">
      <w:pPr>
        <w:spacing w:before="0" w:after="0" w:line="240" w:lineRule="auto"/>
      </w:pPr>
      <w:rPr>
        <w:b/>
        <w:bCs/>
        <w:color w:val="FFFFFF" w:themeColor="background1"/>
      </w:rPr>
      <w:tblPr/>
      <w:tcPr>
        <w:tcBorders>
          <w:top w:val="single" w:sz="8" w:space="0" w:color="B3BAC3" w:themeColor="accent4" w:themeTint="BF"/>
          <w:left w:val="single" w:sz="8" w:space="0" w:color="B3BAC3" w:themeColor="accent4" w:themeTint="BF"/>
          <w:bottom w:val="single" w:sz="8" w:space="0" w:color="B3BAC3" w:themeColor="accent4" w:themeTint="BF"/>
          <w:right w:val="single" w:sz="8" w:space="0" w:color="B3BAC3" w:themeColor="accent4" w:themeTint="BF"/>
          <w:insideH w:val="nil"/>
          <w:insideV w:val="nil"/>
        </w:tcBorders>
        <w:shd w:val="clear" w:color="auto" w:fill="9AA3AF" w:themeFill="accent4"/>
      </w:tcPr>
    </w:tblStylePr>
    <w:tblStylePr w:type="lastRow">
      <w:pPr>
        <w:spacing w:before="0" w:after="0" w:line="240" w:lineRule="auto"/>
      </w:pPr>
      <w:rPr>
        <w:b/>
        <w:bCs/>
      </w:rPr>
      <w:tblPr/>
      <w:tcPr>
        <w:tcBorders>
          <w:top w:val="double" w:sz="6" w:space="0" w:color="B3BAC3" w:themeColor="accent4" w:themeTint="BF"/>
          <w:left w:val="single" w:sz="8" w:space="0" w:color="B3BAC3" w:themeColor="accent4" w:themeTint="BF"/>
          <w:bottom w:val="single" w:sz="8" w:space="0" w:color="B3BAC3" w:themeColor="accent4" w:themeTint="BF"/>
          <w:right w:val="single" w:sz="8" w:space="0" w:color="B3B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E8EB" w:themeFill="accent4" w:themeFillTint="3F"/>
      </w:tcPr>
    </w:tblStylePr>
    <w:tblStylePr w:type="band1Horz">
      <w:tblPr/>
      <w:tcPr>
        <w:tcBorders>
          <w:insideH w:val="nil"/>
          <w:insideV w:val="nil"/>
        </w:tcBorders>
        <w:shd w:val="clear" w:color="auto" w:fill="E5E8E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A5496"/>
    <w:pPr>
      <w:spacing w:before="0" w:after="0"/>
    </w:pPr>
    <w:rPr>
      <w:color w:val="auto"/>
    </w:rPr>
    <w:tblPr>
      <w:tblStyleRowBandSize w:val="1"/>
      <w:tblStyleColBandSize w:val="1"/>
      <w:tblBorders>
        <w:top w:val="single" w:sz="8" w:space="0" w:color="CFDEAA" w:themeColor="accent5" w:themeTint="BF"/>
        <w:left w:val="single" w:sz="8" w:space="0" w:color="CFDEAA" w:themeColor="accent5" w:themeTint="BF"/>
        <w:bottom w:val="single" w:sz="8" w:space="0" w:color="CFDEAA" w:themeColor="accent5" w:themeTint="BF"/>
        <w:right w:val="single" w:sz="8" w:space="0" w:color="CFDEAA" w:themeColor="accent5" w:themeTint="BF"/>
        <w:insideH w:val="single" w:sz="8" w:space="0" w:color="CFDEAA" w:themeColor="accent5" w:themeTint="BF"/>
      </w:tblBorders>
    </w:tblPr>
    <w:tblStylePr w:type="firstRow">
      <w:pPr>
        <w:spacing w:before="0" w:after="0" w:line="240" w:lineRule="auto"/>
      </w:pPr>
      <w:rPr>
        <w:b/>
        <w:bCs/>
        <w:color w:val="FFFFFF" w:themeColor="background1"/>
      </w:rPr>
      <w:tblPr/>
      <w:tcPr>
        <w:tcBorders>
          <w:top w:val="single" w:sz="8" w:space="0" w:color="CFDEAA" w:themeColor="accent5" w:themeTint="BF"/>
          <w:left w:val="single" w:sz="8" w:space="0" w:color="CFDEAA" w:themeColor="accent5" w:themeTint="BF"/>
          <w:bottom w:val="single" w:sz="8" w:space="0" w:color="CFDEAA" w:themeColor="accent5" w:themeTint="BF"/>
          <w:right w:val="single" w:sz="8" w:space="0" w:color="CFDEAA" w:themeColor="accent5" w:themeTint="BF"/>
          <w:insideH w:val="nil"/>
          <w:insideV w:val="nil"/>
        </w:tcBorders>
        <w:shd w:val="clear" w:color="auto" w:fill="C0D48F" w:themeFill="accent5"/>
      </w:tcPr>
    </w:tblStylePr>
    <w:tblStylePr w:type="lastRow">
      <w:pPr>
        <w:spacing w:before="0" w:after="0" w:line="240" w:lineRule="auto"/>
      </w:pPr>
      <w:rPr>
        <w:b/>
        <w:bCs/>
      </w:rPr>
      <w:tblPr/>
      <w:tcPr>
        <w:tcBorders>
          <w:top w:val="double" w:sz="6" w:space="0" w:color="CFDEAA" w:themeColor="accent5" w:themeTint="BF"/>
          <w:left w:val="single" w:sz="8" w:space="0" w:color="CFDEAA" w:themeColor="accent5" w:themeTint="BF"/>
          <w:bottom w:val="single" w:sz="8" w:space="0" w:color="CFDEAA" w:themeColor="accent5" w:themeTint="BF"/>
          <w:right w:val="single" w:sz="8" w:space="0" w:color="CFDEAA"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4E3" w:themeFill="accent5" w:themeFillTint="3F"/>
      </w:tcPr>
    </w:tblStylePr>
    <w:tblStylePr w:type="band1Horz">
      <w:tblPr/>
      <w:tcPr>
        <w:tcBorders>
          <w:insideH w:val="nil"/>
          <w:insideV w:val="nil"/>
        </w:tcBorders>
        <w:shd w:val="clear" w:color="auto" w:fill="EFF4E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A5496"/>
    <w:pPr>
      <w:spacing w:before="0" w:after="0"/>
    </w:pPr>
    <w:rPr>
      <w:color w:val="auto"/>
    </w:rPr>
    <w:tblPr>
      <w:tblStyleRowBandSize w:val="1"/>
      <w:tblStyleColBandSize w:val="1"/>
      <w:tblBorders>
        <w:top w:val="single" w:sz="8" w:space="0" w:color="93D0B0" w:themeColor="accent6" w:themeTint="BF"/>
        <w:left w:val="single" w:sz="8" w:space="0" w:color="93D0B0" w:themeColor="accent6" w:themeTint="BF"/>
        <w:bottom w:val="single" w:sz="8" w:space="0" w:color="93D0B0" w:themeColor="accent6" w:themeTint="BF"/>
        <w:right w:val="single" w:sz="8" w:space="0" w:color="93D0B0" w:themeColor="accent6" w:themeTint="BF"/>
        <w:insideH w:val="single" w:sz="8" w:space="0" w:color="93D0B0" w:themeColor="accent6" w:themeTint="BF"/>
      </w:tblBorders>
    </w:tblPr>
    <w:tblStylePr w:type="firstRow">
      <w:pPr>
        <w:spacing w:before="0" w:after="0" w:line="240" w:lineRule="auto"/>
      </w:pPr>
      <w:rPr>
        <w:b/>
        <w:bCs/>
        <w:color w:val="FFFFFF" w:themeColor="background1"/>
      </w:rPr>
      <w:tblPr/>
      <w:tcPr>
        <w:tcBorders>
          <w:top w:val="single" w:sz="8" w:space="0" w:color="93D0B0" w:themeColor="accent6" w:themeTint="BF"/>
          <w:left w:val="single" w:sz="8" w:space="0" w:color="93D0B0" w:themeColor="accent6" w:themeTint="BF"/>
          <w:bottom w:val="single" w:sz="8" w:space="0" w:color="93D0B0" w:themeColor="accent6" w:themeTint="BF"/>
          <w:right w:val="single" w:sz="8" w:space="0" w:color="93D0B0" w:themeColor="accent6" w:themeTint="BF"/>
          <w:insideH w:val="nil"/>
          <w:insideV w:val="nil"/>
        </w:tcBorders>
        <w:shd w:val="clear" w:color="auto" w:fill="6FC197" w:themeFill="accent6"/>
      </w:tcPr>
    </w:tblStylePr>
    <w:tblStylePr w:type="lastRow">
      <w:pPr>
        <w:spacing w:before="0" w:after="0" w:line="240" w:lineRule="auto"/>
      </w:pPr>
      <w:rPr>
        <w:b/>
        <w:bCs/>
      </w:rPr>
      <w:tblPr/>
      <w:tcPr>
        <w:tcBorders>
          <w:top w:val="double" w:sz="6" w:space="0" w:color="93D0B0" w:themeColor="accent6" w:themeTint="BF"/>
          <w:left w:val="single" w:sz="8" w:space="0" w:color="93D0B0" w:themeColor="accent6" w:themeTint="BF"/>
          <w:bottom w:val="single" w:sz="8" w:space="0" w:color="93D0B0" w:themeColor="accent6" w:themeTint="BF"/>
          <w:right w:val="single" w:sz="8" w:space="0" w:color="93D0B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FE5" w:themeFill="accent6" w:themeFillTint="3F"/>
      </w:tcPr>
    </w:tblStylePr>
    <w:tblStylePr w:type="band1Horz">
      <w:tblPr/>
      <w:tcPr>
        <w:tcBorders>
          <w:insideH w:val="nil"/>
          <w:insideV w:val="nil"/>
        </w:tcBorders>
        <w:shd w:val="clear" w:color="auto" w:fill="DBEFE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A5496"/>
    <w:pPr>
      <w:spacing w:before="0" w:after="0"/>
    </w:pPr>
    <w:rPr>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2A5496"/>
    <w:pPr>
      <w:spacing w:before="0" w:after="0"/>
    </w:pPr>
    <w:rPr>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81E3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81E3E" w:themeFill="accent1"/>
      </w:tcPr>
    </w:tblStylePr>
    <w:tblStylePr w:type="lastCol">
      <w:rPr>
        <w:b/>
        <w:bCs/>
        <w:color w:val="FFFFFF" w:themeColor="background1"/>
      </w:rPr>
      <w:tblPr/>
      <w:tcPr>
        <w:tcBorders>
          <w:left w:val="nil"/>
          <w:right w:val="nil"/>
          <w:insideH w:val="nil"/>
          <w:insideV w:val="nil"/>
        </w:tcBorders>
        <w:shd w:val="clear" w:color="auto" w:fill="081E3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2A5496"/>
    <w:pPr>
      <w:spacing w:before="0" w:after="0"/>
    </w:pPr>
    <w:rPr>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08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089" w:themeFill="accent2"/>
      </w:tcPr>
    </w:tblStylePr>
    <w:tblStylePr w:type="lastCol">
      <w:rPr>
        <w:b/>
        <w:bCs/>
        <w:color w:val="FFFFFF" w:themeColor="background1"/>
      </w:rPr>
      <w:tblPr/>
      <w:tcPr>
        <w:tcBorders>
          <w:left w:val="nil"/>
          <w:right w:val="nil"/>
          <w:insideH w:val="nil"/>
          <w:insideV w:val="nil"/>
        </w:tcBorders>
        <w:shd w:val="clear" w:color="auto" w:fill="00808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2A5496"/>
    <w:pPr>
      <w:spacing w:before="0" w:after="0"/>
    </w:pPr>
    <w:rPr>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7D1F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7D1F4" w:themeFill="accent3"/>
      </w:tcPr>
    </w:tblStylePr>
    <w:tblStylePr w:type="lastCol">
      <w:rPr>
        <w:b/>
        <w:bCs/>
        <w:color w:val="FFFFFF" w:themeColor="background1"/>
      </w:rPr>
      <w:tblPr/>
      <w:tcPr>
        <w:tcBorders>
          <w:left w:val="nil"/>
          <w:right w:val="nil"/>
          <w:insideH w:val="nil"/>
          <w:insideV w:val="nil"/>
        </w:tcBorders>
        <w:shd w:val="clear" w:color="auto" w:fill="77D1F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2A5496"/>
    <w:pPr>
      <w:spacing w:before="0" w:after="0"/>
    </w:pPr>
    <w:rPr>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A3A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A3AF" w:themeFill="accent4"/>
      </w:tcPr>
    </w:tblStylePr>
    <w:tblStylePr w:type="lastCol">
      <w:rPr>
        <w:b/>
        <w:bCs/>
        <w:color w:val="FFFFFF" w:themeColor="background1"/>
      </w:rPr>
      <w:tblPr/>
      <w:tcPr>
        <w:tcBorders>
          <w:left w:val="nil"/>
          <w:right w:val="nil"/>
          <w:insideH w:val="nil"/>
          <w:insideV w:val="nil"/>
        </w:tcBorders>
        <w:shd w:val="clear" w:color="auto" w:fill="9AA3A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2A5496"/>
    <w:pPr>
      <w:spacing w:before="0" w:after="0"/>
    </w:pPr>
    <w:rPr>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D48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D48F" w:themeFill="accent5"/>
      </w:tcPr>
    </w:tblStylePr>
    <w:tblStylePr w:type="lastCol">
      <w:rPr>
        <w:b/>
        <w:bCs/>
        <w:color w:val="FFFFFF" w:themeColor="background1"/>
      </w:rPr>
      <w:tblPr/>
      <w:tcPr>
        <w:tcBorders>
          <w:left w:val="nil"/>
          <w:right w:val="nil"/>
          <w:insideH w:val="nil"/>
          <w:insideV w:val="nil"/>
        </w:tcBorders>
        <w:shd w:val="clear" w:color="auto" w:fill="C0D48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2A5496"/>
    <w:pPr>
      <w:spacing w:before="0" w:after="0"/>
    </w:pPr>
    <w:rPr>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C19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C197" w:themeFill="accent6"/>
      </w:tcPr>
    </w:tblStylePr>
    <w:tblStylePr w:type="lastCol">
      <w:rPr>
        <w:b/>
        <w:bCs/>
        <w:color w:val="FFFFFF" w:themeColor="background1"/>
      </w:rPr>
      <w:tblPr/>
      <w:tcPr>
        <w:tcBorders>
          <w:left w:val="nil"/>
          <w:right w:val="nil"/>
          <w:insideH w:val="nil"/>
          <w:insideV w:val="nil"/>
        </w:tcBorders>
        <w:shd w:val="clear" w:color="auto" w:fill="6FC19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unhideWhenUsed/>
    <w:rsid w:val="002A5496"/>
    <w:rPr>
      <w:color w:val="2B579A"/>
      <w:shd w:val="clear" w:color="auto" w:fill="E1DFDD"/>
    </w:rPr>
  </w:style>
  <w:style w:type="paragraph" w:styleId="MessageHeader">
    <w:name w:val="Message Header"/>
    <w:basedOn w:val="Normal"/>
    <w:link w:val="MessageHeaderChar"/>
    <w:uiPriority w:val="99"/>
    <w:semiHidden/>
    <w:unhideWhenUsed/>
    <w:rsid w:val="002A5496"/>
    <w:pPr>
      <w:pBdr>
        <w:top w:val="single" w:sz="6" w:space="1" w:color="auto"/>
        <w:left w:val="single" w:sz="6" w:space="1" w:color="auto"/>
        <w:bottom w:val="single" w:sz="6" w:space="1" w:color="auto"/>
        <w:right w:val="single" w:sz="6" w:space="1" w:color="auto"/>
      </w:pBdr>
      <w:shd w:val="pct20" w:color="auto" w:fill="auto"/>
      <w:suppressAutoHyphens w:val="0"/>
      <w:spacing w:before="90" w:after="0" w:line="280" w:lineRule="atLeast"/>
      <w:ind w:left="1134" w:hanging="1134"/>
    </w:pPr>
    <w:rPr>
      <w:rFonts w:ascii="Arial Narrow" w:eastAsiaTheme="majorEastAsia" w:hAnsi="Arial Narrow" w:cs="Arial"/>
      <w:color w:val="auto"/>
      <w:sz w:val="24"/>
      <w:szCs w:val="24"/>
    </w:rPr>
  </w:style>
  <w:style w:type="character" w:customStyle="1" w:styleId="MessageHeaderChar">
    <w:name w:val="Message Header Char"/>
    <w:basedOn w:val="DefaultParagraphFont"/>
    <w:link w:val="MessageHeader"/>
    <w:uiPriority w:val="99"/>
    <w:semiHidden/>
    <w:rsid w:val="002A5496"/>
    <w:rPr>
      <w:rFonts w:ascii="Arial Narrow" w:eastAsiaTheme="majorEastAsia" w:hAnsi="Arial Narrow" w:cs="Arial"/>
      <w:color w:val="auto"/>
      <w:sz w:val="24"/>
      <w:szCs w:val="24"/>
      <w:shd w:val="pct20" w:color="auto" w:fill="auto"/>
    </w:rPr>
  </w:style>
  <w:style w:type="paragraph" w:styleId="NormalWeb">
    <w:name w:val="Normal (Web)"/>
    <w:basedOn w:val="Normal"/>
    <w:uiPriority w:val="99"/>
    <w:semiHidden/>
    <w:unhideWhenUsed/>
    <w:rsid w:val="002A5496"/>
    <w:pPr>
      <w:suppressAutoHyphens w:val="0"/>
      <w:spacing w:before="90" w:after="160" w:line="259" w:lineRule="auto"/>
    </w:pPr>
    <w:rPr>
      <w:rFonts w:ascii="Arial Narrow" w:hAnsi="Arial Narrow" w:cs="Arial"/>
      <w:color w:val="auto"/>
      <w:sz w:val="24"/>
      <w:szCs w:val="24"/>
    </w:rPr>
  </w:style>
  <w:style w:type="paragraph" w:styleId="NormalIndent">
    <w:name w:val="Normal Indent"/>
    <w:basedOn w:val="Normal"/>
    <w:uiPriority w:val="99"/>
    <w:semiHidden/>
    <w:unhideWhenUsed/>
    <w:rsid w:val="002A5496"/>
    <w:pPr>
      <w:suppressAutoHyphens w:val="0"/>
      <w:spacing w:before="90" w:after="160" w:line="259" w:lineRule="auto"/>
      <w:ind w:left="720"/>
    </w:pPr>
    <w:rPr>
      <w:rFonts w:ascii="Arial Narrow" w:hAnsi="Arial Narrow" w:cs="Arial"/>
      <w:color w:val="auto"/>
    </w:rPr>
  </w:style>
  <w:style w:type="paragraph" w:styleId="NoteHeading">
    <w:name w:val="Note Heading"/>
    <w:basedOn w:val="Normal"/>
    <w:next w:val="Normal"/>
    <w:link w:val="NoteHeadingChar"/>
    <w:uiPriority w:val="99"/>
    <w:semiHidden/>
    <w:unhideWhenUsed/>
    <w:rsid w:val="002A5496"/>
    <w:pPr>
      <w:suppressAutoHyphens w:val="0"/>
      <w:spacing w:before="90" w:after="0" w:line="280" w:lineRule="atLeast"/>
    </w:pPr>
    <w:rPr>
      <w:rFonts w:ascii="Arial Narrow" w:hAnsi="Arial Narrow" w:cs="Arial"/>
      <w:color w:val="auto"/>
    </w:rPr>
  </w:style>
  <w:style w:type="character" w:customStyle="1" w:styleId="NoteHeadingChar">
    <w:name w:val="Note Heading Char"/>
    <w:basedOn w:val="DefaultParagraphFont"/>
    <w:link w:val="NoteHeading"/>
    <w:uiPriority w:val="99"/>
    <w:semiHidden/>
    <w:rsid w:val="002A5496"/>
    <w:rPr>
      <w:rFonts w:ascii="Arial Narrow" w:hAnsi="Arial Narrow" w:cs="Arial"/>
      <w:color w:val="auto"/>
    </w:rPr>
  </w:style>
  <w:style w:type="table" w:styleId="PlainTable1">
    <w:name w:val="Plain Table 1"/>
    <w:basedOn w:val="TableNormal"/>
    <w:uiPriority w:val="41"/>
    <w:rsid w:val="002A5496"/>
    <w:pPr>
      <w:spacing w:before="0" w:after="0"/>
    </w:pPr>
    <w:rPr>
      <w:color w:val="aut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A5496"/>
    <w:pPr>
      <w:spacing w:before="0" w:after="0"/>
    </w:pPr>
    <w:rPr>
      <w:color w:val="aut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A5496"/>
    <w:pPr>
      <w:spacing w:before="0" w:after="0"/>
    </w:pPr>
    <w:rPr>
      <w:color w:val="auto"/>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A5496"/>
    <w:pPr>
      <w:spacing w:before="0" w:after="0"/>
    </w:pPr>
    <w:rPr>
      <w:color w:val="auto"/>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A5496"/>
    <w:pPr>
      <w:spacing w:before="0" w:after="0"/>
    </w:pPr>
    <w:rPr>
      <w:color w:val="aut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A5496"/>
    <w:pPr>
      <w:suppressAutoHyphens w:val="0"/>
      <w:spacing w:before="90" w:after="0" w:line="280" w:lineRule="atLeast"/>
    </w:pPr>
    <w:rPr>
      <w:rFonts w:ascii="Arial Narrow" w:hAnsi="Arial Narrow" w:cs="Arial"/>
      <w:color w:val="auto"/>
      <w:sz w:val="21"/>
      <w:szCs w:val="21"/>
    </w:rPr>
  </w:style>
  <w:style w:type="character" w:customStyle="1" w:styleId="PlainTextChar">
    <w:name w:val="Plain Text Char"/>
    <w:basedOn w:val="DefaultParagraphFont"/>
    <w:link w:val="PlainText"/>
    <w:uiPriority w:val="99"/>
    <w:semiHidden/>
    <w:rsid w:val="002A5496"/>
    <w:rPr>
      <w:rFonts w:ascii="Arial Narrow" w:hAnsi="Arial Narrow" w:cs="Arial"/>
      <w:color w:val="auto"/>
      <w:sz w:val="21"/>
      <w:szCs w:val="21"/>
    </w:rPr>
  </w:style>
  <w:style w:type="paragraph" w:styleId="Salutation">
    <w:name w:val="Salutation"/>
    <w:basedOn w:val="Normal"/>
    <w:next w:val="Normal"/>
    <w:link w:val="SalutationChar"/>
    <w:uiPriority w:val="99"/>
    <w:semiHidden/>
    <w:unhideWhenUsed/>
    <w:rsid w:val="002A5496"/>
    <w:pPr>
      <w:suppressAutoHyphens w:val="0"/>
      <w:spacing w:before="90" w:after="160" w:line="259" w:lineRule="auto"/>
    </w:pPr>
    <w:rPr>
      <w:rFonts w:ascii="Arial Narrow" w:hAnsi="Arial Narrow" w:cs="Arial"/>
      <w:color w:val="auto"/>
    </w:rPr>
  </w:style>
  <w:style w:type="character" w:customStyle="1" w:styleId="SalutationChar">
    <w:name w:val="Salutation Char"/>
    <w:basedOn w:val="DefaultParagraphFont"/>
    <w:link w:val="Salutation"/>
    <w:uiPriority w:val="99"/>
    <w:semiHidden/>
    <w:rsid w:val="002A5496"/>
    <w:rPr>
      <w:rFonts w:ascii="Arial Narrow" w:hAnsi="Arial Narrow" w:cs="Arial"/>
      <w:color w:val="auto"/>
    </w:rPr>
  </w:style>
  <w:style w:type="paragraph" w:styleId="Signature">
    <w:name w:val="Signature"/>
    <w:basedOn w:val="Normal"/>
    <w:link w:val="SignatureChar"/>
    <w:uiPriority w:val="99"/>
    <w:semiHidden/>
    <w:unhideWhenUsed/>
    <w:rsid w:val="002A5496"/>
    <w:pPr>
      <w:suppressAutoHyphens w:val="0"/>
      <w:spacing w:before="90" w:after="0" w:line="280" w:lineRule="atLeast"/>
      <w:ind w:left="4252"/>
    </w:pPr>
    <w:rPr>
      <w:rFonts w:ascii="Arial Narrow" w:hAnsi="Arial Narrow" w:cs="Arial"/>
      <w:color w:val="auto"/>
    </w:rPr>
  </w:style>
  <w:style w:type="character" w:customStyle="1" w:styleId="SignatureChar">
    <w:name w:val="Signature Char"/>
    <w:basedOn w:val="DefaultParagraphFont"/>
    <w:link w:val="Signature"/>
    <w:uiPriority w:val="99"/>
    <w:semiHidden/>
    <w:rsid w:val="002A5496"/>
    <w:rPr>
      <w:rFonts w:ascii="Arial Narrow" w:hAnsi="Arial Narrow" w:cs="Arial"/>
      <w:color w:val="auto"/>
    </w:rPr>
  </w:style>
  <w:style w:type="character" w:styleId="SmartHyperlink">
    <w:name w:val="Smart Hyperlink"/>
    <w:basedOn w:val="DefaultParagraphFont"/>
    <w:uiPriority w:val="99"/>
    <w:semiHidden/>
    <w:unhideWhenUsed/>
    <w:rsid w:val="002A5496"/>
    <w:rPr>
      <w:u w:val="dotted"/>
    </w:rPr>
  </w:style>
  <w:style w:type="character" w:customStyle="1" w:styleId="SmartLink1">
    <w:name w:val="SmartLink1"/>
    <w:basedOn w:val="DefaultParagraphFont"/>
    <w:uiPriority w:val="99"/>
    <w:semiHidden/>
    <w:unhideWhenUsed/>
    <w:rsid w:val="002A5496"/>
    <w:rPr>
      <w:color w:val="0000FF"/>
      <w:u w:val="single"/>
      <w:shd w:val="clear" w:color="auto" w:fill="F3F2F1"/>
    </w:rPr>
  </w:style>
  <w:style w:type="character" w:styleId="SubtleEmphasis">
    <w:name w:val="Subtle Emphasis"/>
    <w:basedOn w:val="DefaultParagraphFont"/>
    <w:uiPriority w:val="19"/>
    <w:qFormat/>
    <w:rsid w:val="002A5496"/>
    <w:rPr>
      <w:i/>
      <w:iCs/>
      <w:color w:val="404040" w:themeColor="text1" w:themeTint="BF"/>
    </w:rPr>
  </w:style>
  <w:style w:type="character" w:styleId="SubtleReference">
    <w:name w:val="Subtle Reference"/>
    <w:basedOn w:val="DefaultParagraphFont"/>
    <w:uiPriority w:val="31"/>
    <w:qFormat/>
    <w:rsid w:val="002A5496"/>
    <w:rPr>
      <w:smallCaps/>
      <w:color w:val="5A5A5A" w:themeColor="text1" w:themeTint="A5"/>
    </w:rPr>
  </w:style>
  <w:style w:type="table" w:styleId="Table3Deffects1">
    <w:name w:val="Table 3D effects 1"/>
    <w:basedOn w:val="TableNormal"/>
    <w:uiPriority w:val="99"/>
    <w:semiHidden/>
    <w:unhideWhenUsed/>
    <w:rsid w:val="002A5496"/>
    <w:pPr>
      <w:spacing w:before="0" w:after="160" w:line="259"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A5496"/>
    <w:pPr>
      <w:spacing w:before="0" w:after="160" w:line="259"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A5496"/>
    <w:pPr>
      <w:spacing w:before="0" w:after="160" w:line="259"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A5496"/>
    <w:pPr>
      <w:spacing w:before="0" w:after="160" w:line="259"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A5496"/>
    <w:pPr>
      <w:spacing w:before="0" w:after="160" w:line="259"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A5496"/>
    <w:pPr>
      <w:spacing w:before="0" w:after="160" w:line="259"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A5496"/>
    <w:pPr>
      <w:spacing w:before="0" w:after="160" w:line="259"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A5496"/>
    <w:pPr>
      <w:spacing w:before="0" w:after="160" w:line="259"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A5496"/>
    <w:pPr>
      <w:spacing w:before="0" w:after="160" w:line="259"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A5496"/>
    <w:pPr>
      <w:spacing w:before="0" w:after="160" w:line="259"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A5496"/>
    <w:pPr>
      <w:spacing w:before="0" w:after="160" w:line="259"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A5496"/>
    <w:pPr>
      <w:spacing w:before="0" w:after="160" w:line="259"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A5496"/>
    <w:pPr>
      <w:spacing w:before="0" w:after="160" w:line="259"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A5496"/>
    <w:pPr>
      <w:spacing w:before="0" w:after="160" w:line="259"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A5496"/>
    <w:pPr>
      <w:spacing w:before="0" w:after="160" w:line="259"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A5496"/>
    <w:pPr>
      <w:spacing w:before="0" w:after="160" w:line="259" w:lineRule="auto"/>
    </w:pPr>
    <w:rPr>
      <w:color w:val="aut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A5496"/>
    <w:pPr>
      <w:spacing w:before="0" w:after="160" w:line="259"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A5496"/>
    <w:pPr>
      <w:spacing w:before="0" w:after="160" w:line="259"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A5496"/>
    <w:pPr>
      <w:spacing w:before="0" w:after="160" w:line="259"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A5496"/>
    <w:pPr>
      <w:spacing w:before="0" w:after="160" w:line="259"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A5496"/>
    <w:pPr>
      <w:spacing w:before="0" w:after="160" w:line="259"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A5496"/>
    <w:pPr>
      <w:spacing w:before="0" w:after="160" w:line="259"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A5496"/>
    <w:pPr>
      <w:spacing w:before="0" w:after="160" w:line="259"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A5496"/>
    <w:pPr>
      <w:spacing w:before="0" w:after="160" w:line="259"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A5496"/>
    <w:pPr>
      <w:spacing w:before="0" w:after="160" w:line="259"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A5496"/>
    <w:pPr>
      <w:spacing w:before="0" w:after="0"/>
    </w:pPr>
    <w:rPr>
      <w:color w:val="aut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A5496"/>
    <w:pPr>
      <w:spacing w:before="0" w:after="160" w:line="259" w:lineRule="auto"/>
    </w:pPr>
    <w:rPr>
      <w:color w:val="aut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A5496"/>
    <w:pPr>
      <w:spacing w:before="0" w:after="160" w:line="259" w:lineRule="auto"/>
    </w:pPr>
    <w:rPr>
      <w:color w:val="auto"/>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A5496"/>
    <w:pPr>
      <w:spacing w:before="0" w:after="160" w:line="259"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A5496"/>
    <w:pPr>
      <w:spacing w:before="0" w:after="160" w:line="259"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A5496"/>
    <w:pPr>
      <w:spacing w:before="0" w:after="160" w:line="259"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A5496"/>
    <w:pPr>
      <w:spacing w:before="0" w:after="160" w:line="259"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A5496"/>
    <w:pPr>
      <w:spacing w:before="0" w:after="160" w:line="259" w:lineRule="auto"/>
    </w:pPr>
    <w:rPr>
      <w:color w:val="aut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A5496"/>
    <w:pPr>
      <w:spacing w:before="0" w:after="160" w:line="259" w:lineRule="auto"/>
    </w:pPr>
    <w:rPr>
      <w:color w:val="aut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unhideWhenUsed/>
    <w:rsid w:val="002A5496"/>
    <w:pPr>
      <w:tabs>
        <w:tab w:val="right" w:pos="7643"/>
      </w:tabs>
      <w:suppressAutoHyphens w:val="0"/>
      <w:spacing w:before="90" w:after="0" w:line="259" w:lineRule="auto"/>
      <w:ind w:left="1164" w:right="851" w:hanging="1164"/>
    </w:pPr>
    <w:rPr>
      <w:rFonts w:ascii="Arial Narrow" w:hAnsi="Arial Narrow" w:cs="Arial"/>
      <w:color w:val="auto"/>
    </w:rPr>
  </w:style>
  <w:style w:type="table" w:styleId="TableProfessional">
    <w:name w:val="Table Professional"/>
    <w:basedOn w:val="TableNormal"/>
    <w:uiPriority w:val="99"/>
    <w:semiHidden/>
    <w:unhideWhenUsed/>
    <w:rsid w:val="002A5496"/>
    <w:pPr>
      <w:spacing w:before="0" w:after="160" w:line="259"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A5496"/>
    <w:pPr>
      <w:spacing w:before="0" w:after="160" w:line="259"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A5496"/>
    <w:pPr>
      <w:spacing w:before="0" w:after="160" w:line="259" w:lineRule="auto"/>
    </w:pPr>
    <w:rPr>
      <w:color w:val="auto"/>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A5496"/>
    <w:pPr>
      <w:spacing w:before="0" w:after="160" w:line="259"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A5496"/>
    <w:pPr>
      <w:spacing w:before="0" w:after="160" w:line="259" w:lineRule="auto"/>
    </w:pPr>
    <w:rPr>
      <w:color w:val="auto"/>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A5496"/>
    <w:pPr>
      <w:spacing w:before="0" w:after="160" w:line="259" w:lineRule="auto"/>
    </w:pPr>
    <w:rPr>
      <w:color w:val="auto"/>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A5496"/>
    <w:pPr>
      <w:spacing w:before="0" w:after="160" w:line="259"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A5496"/>
    <w:pPr>
      <w:spacing w:before="0" w:after="160" w:line="259"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A5496"/>
    <w:pPr>
      <w:spacing w:before="0" w:after="160" w:line="259"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A5496"/>
    <w:pPr>
      <w:spacing w:before="0" w:after="160" w:line="259"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A5496"/>
    <w:pPr>
      <w:suppressAutoHyphens w:val="0"/>
      <w:spacing w:before="120" w:after="160" w:line="259" w:lineRule="auto"/>
    </w:pPr>
    <w:rPr>
      <w:rFonts w:ascii="Arial Narrow" w:eastAsiaTheme="majorEastAsia" w:hAnsi="Arial Narrow" w:cs="Arial"/>
      <w:b/>
      <w:bCs/>
      <w:color w:val="auto"/>
      <w:sz w:val="24"/>
      <w:szCs w:val="24"/>
    </w:rPr>
  </w:style>
  <w:style w:type="paragraph" w:styleId="TOC4">
    <w:name w:val="toc 4"/>
    <w:basedOn w:val="Normal"/>
    <w:next w:val="Normal"/>
    <w:uiPriority w:val="39"/>
    <w:rsid w:val="002A5496"/>
    <w:pPr>
      <w:tabs>
        <w:tab w:val="right" w:pos="7643"/>
      </w:tabs>
      <w:suppressAutoHyphens w:val="0"/>
      <w:spacing w:before="0" w:after="60" w:line="280" w:lineRule="atLeast"/>
      <w:ind w:left="1684" w:right="851" w:hanging="561"/>
      <w:contextualSpacing/>
    </w:pPr>
    <w:rPr>
      <w:rFonts w:ascii="Arial Narrow" w:hAnsi="Arial Narrow"/>
      <w:noProof/>
      <w:color w:val="000100"/>
      <w:sz w:val="20"/>
    </w:rPr>
  </w:style>
  <w:style w:type="paragraph" w:styleId="TOC5">
    <w:name w:val="toc 5"/>
    <w:basedOn w:val="Normal"/>
    <w:next w:val="Normal"/>
    <w:uiPriority w:val="39"/>
    <w:rsid w:val="002A5496"/>
    <w:pPr>
      <w:tabs>
        <w:tab w:val="right" w:pos="7643"/>
      </w:tabs>
      <w:suppressAutoHyphens w:val="0"/>
      <w:spacing w:before="90" w:after="32" w:line="280" w:lineRule="atLeast"/>
      <w:ind w:left="454" w:right="851" w:hanging="454"/>
    </w:pPr>
    <w:rPr>
      <w:rFonts w:ascii="Arial Narrow" w:hAnsi="Arial Narrow"/>
      <w:noProof/>
      <w:color w:val="000100"/>
      <w:spacing w:val="-4"/>
      <w:sz w:val="21"/>
    </w:rPr>
  </w:style>
  <w:style w:type="paragraph" w:styleId="TOC6">
    <w:name w:val="toc 6"/>
    <w:basedOn w:val="Normal"/>
    <w:next w:val="Normal"/>
    <w:uiPriority w:val="39"/>
    <w:rsid w:val="002A5496"/>
    <w:pPr>
      <w:numPr>
        <w:ilvl w:val="5"/>
        <w:numId w:val="27"/>
      </w:numPr>
      <w:pBdr>
        <w:bottom w:val="single" w:sz="4" w:space="1" w:color="auto"/>
        <w:between w:val="single" w:sz="4" w:space="1" w:color="auto"/>
      </w:pBdr>
      <w:tabs>
        <w:tab w:val="right" w:pos="7643"/>
      </w:tabs>
      <w:suppressAutoHyphens w:val="0"/>
      <w:spacing w:before="240" w:after="0" w:line="240" w:lineRule="exact"/>
      <w:ind w:left="0" w:right="851" w:firstLine="0"/>
    </w:pPr>
    <w:rPr>
      <w:rFonts w:ascii="Arial Narrow" w:hAnsi="Arial Narrow"/>
      <w:noProof/>
      <w:color w:val="000100"/>
      <w:sz w:val="20"/>
    </w:rPr>
  </w:style>
  <w:style w:type="paragraph" w:styleId="TOC7">
    <w:name w:val="toc 7"/>
    <w:basedOn w:val="Normal"/>
    <w:next w:val="Normal"/>
    <w:uiPriority w:val="39"/>
    <w:rsid w:val="002A5496"/>
    <w:pPr>
      <w:keepNext/>
      <w:numPr>
        <w:ilvl w:val="6"/>
        <w:numId w:val="27"/>
      </w:numPr>
      <w:tabs>
        <w:tab w:val="right" w:pos="7643"/>
      </w:tabs>
      <w:suppressAutoHyphens w:val="0"/>
      <w:spacing w:before="240" w:after="0" w:line="240" w:lineRule="exact"/>
      <w:ind w:right="851"/>
      <w:contextualSpacing/>
    </w:pPr>
    <w:rPr>
      <w:rFonts w:ascii="Yu Gothic Medium" w:eastAsia="Yu Gothic Medium" w:hAnsi="Yu Gothic Medium"/>
      <w:b/>
      <w:color w:val="000100"/>
      <w:sz w:val="24"/>
    </w:rPr>
  </w:style>
  <w:style w:type="paragraph" w:styleId="TOC8">
    <w:name w:val="toc 8"/>
    <w:basedOn w:val="Normal"/>
    <w:next w:val="Normal"/>
    <w:uiPriority w:val="39"/>
    <w:rsid w:val="002A5496"/>
    <w:pPr>
      <w:tabs>
        <w:tab w:val="right" w:pos="7643"/>
      </w:tabs>
      <w:suppressAutoHyphens w:val="0"/>
      <w:spacing w:before="90" w:after="100" w:line="280" w:lineRule="atLeast"/>
      <w:ind w:right="851"/>
      <w:contextualSpacing/>
    </w:pPr>
    <w:rPr>
      <w:rFonts w:ascii="Arial Narrow" w:hAnsi="Arial Narrow"/>
      <w:noProof/>
      <w:color w:val="000100"/>
      <w:sz w:val="18"/>
    </w:rPr>
  </w:style>
  <w:style w:type="paragraph" w:styleId="TOC9">
    <w:name w:val="toc 9"/>
    <w:basedOn w:val="Normal"/>
    <w:next w:val="Normal"/>
    <w:uiPriority w:val="39"/>
    <w:rsid w:val="002A5496"/>
    <w:pPr>
      <w:tabs>
        <w:tab w:val="right" w:pos="7643"/>
      </w:tabs>
      <w:suppressAutoHyphens w:val="0"/>
      <w:spacing w:before="90" w:after="100" w:line="280" w:lineRule="atLeast"/>
      <w:ind w:right="851"/>
    </w:pPr>
    <w:rPr>
      <w:rFonts w:ascii="Arial Narrow" w:hAnsi="Arial Narrow"/>
      <w:color w:val="000100"/>
      <w:spacing w:val="-4"/>
      <w:sz w:val="19"/>
    </w:rPr>
  </w:style>
  <w:style w:type="numbering" w:customStyle="1" w:styleId="aaclstStyleBullets">
    <w:name w:val="aac_lstStyle_Bullets"/>
    <w:uiPriority w:val="99"/>
    <w:rsid w:val="002A5496"/>
    <w:pPr>
      <w:numPr>
        <w:numId w:val="18"/>
      </w:numPr>
    </w:pPr>
  </w:style>
  <w:style w:type="numbering" w:customStyle="1" w:styleId="aaclstStyleListNumber">
    <w:name w:val="aac_lstStyle_ListNumber"/>
    <w:uiPriority w:val="99"/>
    <w:rsid w:val="002A5496"/>
    <w:pPr>
      <w:numPr>
        <w:numId w:val="19"/>
      </w:numPr>
    </w:pPr>
  </w:style>
  <w:style w:type="numbering" w:customStyle="1" w:styleId="aaclstStyleHeadingNumbered">
    <w:name w:val="aac_lstStyle_HeadingNumbered"/>
    <w:uiPriority w:val="99"/>
    <w:rsid w:val="002A5496"/>
    <w:pPr>
      <w:numPr>
        <w:numId w:val="20"/>
      </w:numPr>
    </w:pPr>
  </w:style>
  <w:style w:type="paragraph" w:customStyle="1" w:styleId="Normal-nospace">
    <w:name w:val="Normal - no space"/>
    <w:basedOn w:val="Normal"/>
    <w:qFormat/>
    <w:rsid w:val="002A5496"/>
    <w:pPr>
      <w:suppressAutoHyphens w:val="0"/>
      <w:spacing w:before="0" w:after="0" w:line="280" w:lineRule="atLeast"/>
    </w:pPr>
    <w:rPr>
      <w:rFonts w:ascii="Arial Narrow" w:hAnsi="Arial Narrow" w:cs="Arial"/>
      <w:color w:val="000100"/>
    </w:rPr>
  </w:style>
  <w:style w:type="paragraph" w:customStyle="1" w:styleId="Heading2ES">
    <w:name w:val="Heading 2 (ES)"/>
    <w:basedOn w:val="Heading2nonumber"/>
    <w:next w:val="BodyText"/>
    <w:qFormat/>
    <w:rsid w:val="002A5496"/>
    <w:rPr>
      <w:color w:val="6C3F99"/>
    </w:rPr>
  </w:style>
  <w:style w:type="paragraph" w:customStyle="1" w:styleId="Heading3ES">
    <w:name w:val="Heading 3 (ES)"/>
    <w:basedOn w:val="Heading3nonumber"/>
    <w:next w:val="BodyText"/>
    <w:qFormat/>
    <w:rsid w:val="002A5496"/>
  </w:style>
  <w:style w:type="paragraph" w:customStyle="1" w:styleId="Heading4ES">
    <w:name w:val="Heading 4 (ES)"/>
    <w:basedOn w:val="Heading4nonumber"/>
    <w:next w:val="BodyText"/>
    <w:qFormat/>
    <w:rsid w:val="002A5496"/>
  </w:style>
  <w:style w:type="numbering" w:customStyle="1" w:styleId="aaclstStyleHeadingsES">
    <w:name w:val="aac_lstStyle_HeadingsES"/>
    <w:uiPriority w:val="99"/>
    <w:rsid w:val="002A5496"/>
    <w:pPr>
      <w:numPr>
        <w:numId w:val="23"/>
      </w:numPr>
    </w:pPr>
  </w:style>
  <w:style w:type="paragraph" w:customStyle="1" w:styleId="Header-CompanyName">
    <w:name w:val="Header-Company Name"/>
    <w:basedOn w:val="Normal-nospace"/>
    <w:qFormat/>
    <w:rsid w:val="002A5496"/>
    <w:pPr>
      <w:spacing w:before="100" w:line="240" w:lineRule="auto"/>
      <w:jc w:val="right"/>
    </w:pPr>
    <w:rPr>
      <w:sz w:val="14"/>
    </w:rPr>
  </w:style>
  <w:style w:type="paragraph" w:customStyle="1" w:styleId="CpTitle">
    <w:name w:val="Cp Title"/>
    <w:basedOn w:val="Normal-nospace"/>
    <w:next w:val="CpSubTitle"/>
    <w:qFormat/>
    <w:rsid w:val="002A5496"/>
    <w:pPr>
      <w:spacing w:after="400" w:line="168" w:lineRule="auto"/>
    </w:pPr>
    <w:rPr>
      <w:rFonts w:ascii="Yu Gothic Medium" w:hAnsi="Yu Gothic Medium"/>
      <w:b/>
      <w:color w:val="FFFFFF" w:themeColor="background1"/>
      <w:sz w:val="80"/>
    </w:rPr>
  </w:style>
  <w:style w:type="paragraph" w:customStyle="1" w:styleId="CpSubTitle">
    <w:name w:val="Cp SubTitle"/>
    <w:basedOn w:val="Normalrgb"/>
    <w:qFormat/>
    <w:rsid w:val="002A5496"/>
    <w:pPr>
      <w:spacing w:after="400" w:line="168" w:lineRule="auto"/>
    </w:pPr>
    <w:rPr>
      <w:rFonts w:ascii="Yu Gothic Medium" w:hAnsi="Yu Gothic Medium"/>
      <w:sz w:val="48"/>
    </w:rPr>
  </w:style>
  <w:style w:type="numbering" w:customStyle="1" w:styleId="aaclstStyleAppendices">
    <w:name w:val="aac_lstStyle_Appendices"/>
    <w:uiPriority w:val="99"/>
    <w:rsid w:val="002A5496"/>
    <w:pPr>
      <w:numPr>
        <w:numId w:val="24"/>
      </w:numPr>
    </w:pPr>
  </w:style>
  <w:style w:type="paragraph" w:customStyle="1" w:styleId="CpReportDate">
    <w:name w:val="Cp Report Date"/>
    <w:basedOn w:val="Normal-nospace"/>
    <w:qFormat/>
    <w:rsid w:val="002A5496"/>
    <w:pPr>
      <w:spacing w:before="90" w:line="240" w:lineRule="auto"/>
    </w:pPr>
    <w:rPr>
      <w:rFonts w:ascii="Yu Gothic Medium" w:eastAsia="Yu Gothic Medium" w:hAnsi="Yu Gothic Medium"/>
      <w:color w:val="FFFFFF"/>
    </w:rPr>
  </w:style>
  <w:style w:type="paragraph" w:customStyle="1" w:styleId="CpReportTo">
    <w:name w:val="Cp Report To"/>
    <w:basedOn w:val="Normalrgb"/>
    <w:qFormat/>
    <w:rsid w:val="002A5496"/>
    <w:pPr>
      <w:spacing w:before="90" w:line="260" w:lineRule="exact"/>
    </w:pPr>
    <w:rPr>
      <w:rFonts w:ascii="Yu Gothic Medium" w:eastAsia="Yu Gothic Medium" w:hAnsi="Yu Gothic Medium"/>
      <w:sz w:val="20"/>
    </w:rPr>
  </w:style>
  <w:style w:type="paragraph" w:customStyle="1" w:styleId="CpClientName">
    <w:name w:val="Cp Client Name"/>
    <w:basedOn w:val="Normalrgb"/>
    <w:qFormat/>
    <w:rsid w:val="002A5496"/>
    <w:pPr>
      <w:spacing w:before="90" w:line="260" w:lineRule="exact"/>
    </w:pPr>
    <w:rPr>
      <w:rFonts w:ascii="Yu Gothic Medium" w:eastAsia="Yu Gothic Medium" w:hAnsi="Yu Gothic Medium"/>
      <w:sz w:val="20"/>
    </w:rPr>
  </w:style>
  <w:style w:type="paragraph" w:customStyle="1" w:styleId="Style1">
    <w:name w:val="Style1"/>
    <w:basedOn w:val="Normal-nospace"/>
    <w:qFormat/>
    <w:rsid w:val="002A5496"/>
    <w:pPr>
      <w:spacing w:after="400" w:line="216" w:lineRule="auto"/>
    </w:pPr>
    <w:rPr>
      <w:rFonts w:ascii="Yu Gothic Medium" w:hAnsi="Yu Gothic Medium"/>
      <w:b/>
      <w:color w:val="FF0000"/>
      <w:sz w:val="80"/>
    </w:rPr>
  </w:style>
  <w:style w:type="numbering" w:customStyle="1" w:styleId="lstStyleBullets">
    <w:name w:val="lstStyle_Bullets"/>
    <w:uiPriority w:val="99"/>
    <w:rsid w:val="002A5496"/>
  </w:style>
  <w:style w:type="numbering" w:customStyle="1" w:styleId="lstStyleListNumber">
    <w:name w:val="lstStyle_ListNumber"/>
    <w:uiPriority w:val="99"/>
    <w:rsid w:val="002A5496"/>
    <w:pPr>
      <w:numPr>
        <w:numId w:val="25"/>
      </w:numPr>
    </w:pPr>
  </w:style>
  <w:style w:type="paragraph" w:customStyle="1" w:styleId="spacer">
    <w:name w:val="spacer"/>
    <w:basedOn w:val="Normal-nospace"/>
    <w:qFormat/>
    <w:rsid w:val="002A5496"/>
    <w:pPr>
      <w:spacing w:line="240" w:lineRule="auto"/>
    </w:pPr>
    <w:rPr>
      <w:sz w:val="4"/>
    </w:rPr>
  </w:style>
  <w:style w:type="paragraph" w:customStyle="1" w:styleId="spacertbl">
    <w:name w:val="spacer_tbl"/>
    <w:basedOn w:val="spacer"/>
    <w:qFormat/>
    <w:rsid w:val="002A5496"/>
  </w:style>
  <w:style w:type="paragraph" w:customStyle="1" w:styleId="tagchapterBanner">
    <w:name w:val="tag_chapterBanner"/>
    <w:basedOn w:val="spacer"/>
    <w:qFormat/>
    <w:rsid w:val="002A5496"/>
    <w:pPr>
      <w:keepNext/>
      <w:pageBreakBefore/>
    </w:pPr>
  </w:style>
  <w:style w:type="paragraph" w:customStyle="1" w:styleId="HeadingChapter">
    <w:name w:val="Heading (Chapter)"/>
    <w:basedOn w:val="Normal-nospace"/>
    <w:qFormat/>
    <w:rsid w:val="002A5496"/>
    <w:pPr>
      <w:spacing w:line="1960" w:lineRule="exact"/>
      <w:ind w:left="216" w:right="62"/>
      <w:jc w:val="right"/>
    </w:pPr>
    <w:rPr>
      <w:rFonts w:ascii="Yu Gothic Medium" w:hAnsi="Yu Gothic Medium"/>
      <w:color w:val="FFFEFF"/>
      <w:sz w:val="160"/>
    </w:rPr>
  </w:style>
  <w:style w:type="paragraph" w:customStyle="1" w:styleId="Heading1ES">
    <w:name w:val="Heading 1 (ES)"/>
    <w:basedOn w:val="Heading1nonumber"/>
    <w:next w:val="Introduction"/>
    <w:qFormat/>
    <w:rsid w:val="002A5496"/>
  </w:style>
  <w:style w:type="paragraph" w:customStyle="1" w:styleId="tagexecBanner">
    <w:name w:val="tag_execBanner"/>
    <w:basedOn w:val="spacer"/>
    <w:qFormat/>
    <w:rsid w:val="002A5496"/>
    <w:pPr>
      <w:keepNext/>
      <w:pageBreakBefore/>
    </w:pPr>
  </w:style>
  <w:style w:type="paragraph" w:customStyle="1" w:styleId="HeadingAppendix">
    <w:name w:val="Heading (Appendix)"/>
    <w:basedOn w:val="HeadingChapter"/>
    <w:qFormat/>
    <w:rsid w:val="002A5496"/>
  </w:style>
  <w:style w:type="paragraph" w:customStyle="1" w:styleId="tagappendixChapter">
    <w:name w:val="tag_appendixChapter"/>
    <w:basedOn w:val="spacer"/>
    <w:qFormat/>
    <w:rsid w:val="002A5496"/>
    <w:pPr>
      <w:keepNext/>
      <w:pageBreakBefore/>
    </w:pPr>
  </w:style>
  <w:style w:type="paragraph" w:customStyle="1" w:styleId="tagcoverPage">
    <w:name w:val="tag_coverPage"/>
    <w:basedOn w:val="spacer"/>
    <w:qFormat/>
    <w:rsid w:val="002A5496"/>
    <w:rPr>
      <w:b/>
      <w:bCs/>
    </w:rPr>
  </w:style>
  <w:style w:type="paragraph" w:customStyle="1" w:styleId="tagcontactsPage-Front">
    <w:name w:val="tag_contactsPage-Front"/>
    <w:basedOn w:val="spacer"/>
    <w:qFormat/>
    <w:rsid w:val="002A5496"/>
    <w:pPr>
      <w:keepNext/>
      <w:pageBreakBefore/>
    </w:pPr>
  </w:style>
  <w:style w:type="paragraph" w:customStyle="1" w:styleId="tagcontactsPage-Back">
    <w:name w:val="tag_contactsPage-Back"/>
    <w:basedOn w:val="spacer"/>
    <w:qFormat/>
    <w:rsid w:val="002A5496"/>
  </w:style>
  <w:style w:type="paragraph" w:customStyle="1" w:styleId="tagpartBanner">
    <w:name w:val="tag_partBanner"/>
    <w:basedOn w:val="spacer"/>
    <w:qFormat/>
    <w:rsid w:val="002A5496"/>
    <w:pPr>
      <w:keepNext/>
      <w:pageBreakBefore/>
    </w:pPr>
  </w:style>
  <w:style w:type="paragraph" w:customStyle="1" w:styleId="tagappendixPart">
    <w:name w:val="tag_appendixPart"/>
    <w:basedOn w:val="spacer"/>
    <w:qFormat/>
    <w:rsid w:val="002A5496"/>
  </w:style>
  <w:style w:type="paragraph" w:customStyle="1" w:styleId="Tabletextsmall">
    <w:name w:val="Table text (small)"/>
    <w:basedOn w:val="Normal-nospace"/>
    <w:qFormat/>
    <w:rsid w:val="002A5496"/>
    <w:pPr>
      <w:spacing w:before="40" w:line="192" w:lineRule="auto"/>
      <w:ind w:left="40" w:right="119"/>
    </w:pPr>
    <w:rPr>
      <w:rFonts w:ascii="Yu Gothic Medium" w:eastAsia="Yu Gothic Medium" w:hAnsi="Yu Gothic Medium"/>
      <w:spacing w:val="-12"/>
      <w:sz w:val="15"/>
    </w:rPr>
  </w:style>
  <w:style w:type="paragraph" w:customStyle="1" w:styleId="Tableunitsrow">
    <w:name w:val="Table units row"/>
    <w:basedOn w:val="Normal-nospace"/>
    <w:qFormat/>
    <w:rsid w:val="002A5496"/>
    <w:pPr>
      <w:spacing w:before="60" w:line="240" w:lineRule="atLeast"/>
      <w:ind w:left="40" w:right="119"/>
    </w:pPr>
    <w:rPr>
      <w:sz w:val="20"/>
    </w:rPr>
  </w:style>
  <w:style w:type="paragraph" w:customStyle="1" w:styleId="CpAboutAcilAllen">
    <w:name w:val="Cp About Acil Allen"/>
    <w:basedOn w:val="Normalrgb"/>
    <w:qFormat/>
    <w:rsid w:val="002A5496"/>
    <w:pPr>
      <w:spacing w:after="100" w:line="240" w:lineRule="auto"/>
    </w:pPr>
    <w:rPr>
      <w:sz w:val="24"/>
    </w:rPr>
  </w:style>
  <w:style w:type="paragraph" w:customStyle="1" w:styleId="CpDisclaimer">
    <w:name w:val="Cp Disclaimer"/>
    <w:basedOn w:val="Normalrgb"/>
    <w:qFormat/>
    <w:rsid w:val="002A5496"/>
    <w:pPr>
      <w:spacing w:after="100" w:line="240" w:lineRule="auto"/>
      <w:ind w:right="323"/>
    </w:pPr>
    <w:rPr>
      <w:sz w:val="14"/>
    </w:rPr>
  </w:style>
  <w:style w:type="paragraph" w:customStyle="1" w:styleId="CpDisclaimer9pt">
    <w:name w:val="Cp Disclaimer 9pt"/>
    <w:basedOn w:val="Normalrgb"/>
    <w:qFormat/>
    <w:rsid w:val="002A5496"/>
    <w:pPr>
      <w:spacing w:after="100" w:line="240" w:lineRule="auto"/>
    </w:pPr>
    <w:rPr>
      <w:sz w:val="18"/>
    </w:rPr>
  </w:style>
  <w:style w:type="paragraph" w:customStyle="1" w:styleId="Part-HeadingBanner">
    <w:name w:val="Part - Heading (Banner)"/>
    <w:basedOn w:val="Normal-nospace"/>
    <w:next w:val="Part-SubHeadBanner"/>
    <w:qFormat/>
    <w:rsid w:val="002A5496"/>
    <w:pPr>
      <w:spacing w:line="192" w:lineRule="auto"/>
    </w:pPr>
    <w:rPr>
      <w:rFonts w:ascii="Yu Gothic Medium" w:hAnsi="Yu Gothic Medium"/>
      <w:b/>
      <w:color w:val="FFFEFF"/>
      <w:sz w:val="52"/>
    </w:rPr>
  </w:style>
  <w:style w:type="paragraph" w:customStyle="1" w:styleId="Part-SubHeadBanner">
    <w:name w:val="Part - SubHead (Banner)"/>
    <w:basedOn w:val="Normalrgb"/>
    <w:qFormat/>
    <w:rsid w:val="002A5496"/>
    <w:pPr>
      <w:spacing w:line="192" w:lineRule="auto"/>
    </w:pPr>
    <w:rPr>
      <w:rFonts w:ascii="Yu Gothic Medium" w:hAnsi="Yu Gothic Medium"/>
      <w:b/>
      <w:sz w:val="52"/>
    </w:rPr>
  </w:style>
  <w:style w:type="paragraph" w:customStyle="1" w:styleId="Partxx">
    <w:name w:val="Part xx"/>
    <w:basedOn w:val="spacer"/>
    <w:qFormat/>
    <w:rsid w:val="002A5496"/>
    <w:rPr>
      <w:color w:val="140134"/>
    </w:rPr>
  </w:style>
  <w:style w:type="paragraph" w:customStyle="1" w:styleId="Part-Number">
    <w:name w:val="Part - Number"/>
    <w:basedOn w:val="BodyText"/>
    <w:qFormat/>
    <w:rsid w:val="002A5496"/>
    <w:pPr>
      <w:suppressAutoHyphens w:val="0"/>
      <w:spacing w:before="24" w:after="0" w:line="1600" w:lineRule="exact"/>
      <w:jc w:val="right"/>
    </w:pPr>
    <w:rPr>
      <w:rFonts w:ascii="Yu Gothic Medium" w:eastAsia="Yu Gothic Medium" w:hAnsi="Yu Gothic Medium" w:cs="Arial"/>
      <w:color w:val="FFFEFF"/>
      <w:position w:val="-16"/>
      <w:sz w:val="160"/>
    </w:rPr>
  </w:style>
  <w:style w:type="paragraph" w:customStyle="1" w:styleId="App-DividerHeading">
    <w:name w:val="App - Divider (Heading)"/>
    <w:basedOn w:val="Part-HeadingBanner"/>
    <w:next w:val="App-DividerSubHeading"/>
    <w:qFormat/>
    <w:rsid w:val="002A5496"/>
  </w:style>
  <w:style w:type="paragraph" w:customStyle="1" w:styleId="App-DividerSubHeading">
    <w:name w:val="App - Divider (Sub Heading)"/>
    <w:basedOn w:val="Part-SubHeadBanner"/>
    <w:qFormat/>
    <w:rsid w:val="002A5496"/>
    <w:rPr>
      <w:color w:val="140034"/>
    </w:rPr>
  </w:style>
  <w:style w:type="paragraph" w:customStyle="1" w:styleId="CpContactDetails">
    <w:name w:val="Cp Contact Details"/>
    <w:basedOn w:val="Normal"/>
    <w:qFormat/>
    <w:rsid w:val="002A5496"/>
    <w:pPr>
      <w:suppressAutoHyphens w:val="0"/>
      <w:spacing w:before="0" w:after="0" w:line="250" w:lineRule="exact"/>
    </w:pPr>
    <w:rPr>
      <w:rFonts w:ascii="Arial Narrow" w:hAnsi="Arial Narrow" w:cs="Arial"/>
      <w:color w:val="FFFEFF"/>
    </w:rPr>
  </w:style>
  <w:style w:type="paragraph" w:customStyle="1" w:styleId="LetterHeading1">
    <w:name w:val="Letter Heading 1"/>
    <w:basedOn w:val="BodyText"/>
    <w:next w:val="BodyText"/>
    <w:qFormat/>
    <w:rsid w:val="002A5496"/>
    <w:pPr>
      <w:keepNext/>
      <w:suppressAutoHyphens w:val="0"/>
      <w:spacing w:before="90" w:after="130" w:line="280" w:lineRule="atLeast"/>
    </w:pPr>
    <w:rPr>
      <w:rFonts w:ascii="Arial Narrow" w:hAnsi="Arial Narrow" w:cs="Arial"/>
      <w:b/>
      <w:color w:val="000100"/>
    </w:rPr>
  </w:style>
  <w:style w:type="paragraph" w:customStyle="1" w:styleId="LetterDate">
    <w:name w:val="LetterDate"/>
    <w:basedOn w:val="Normal-nospace"/>
    <w:next w:val="LetterRef"/>
    <w:qFormat/>
    <w:rsid w:val="002A5496"/>
    <w:pPr>
      <w:spacing w:before="600" w:line="280" w:lineRule="exact"/>
    </w:pPr>
  </w:style>
  <w:style w:type="paragraph" w:customStyle="1" w:styleId="LetterRef">
    <w:name w:val="LetterRef"/>
    <w:basedOn w:val="Normal-nospace"/>
    <w:next w:val="LetterName"/>
    <w:qFormat/>
    <w:rsid w:val="002A5496"/>
    <w:pPr>
      <w:spacing w:before="40" w:after="600"/>
    </w:pPr>
  </w:style>
  <w:style w:type="paragraph" w:customStyle="1" w:styleId="LetterName">
    <w:name w:val="LetterName"/>
    <w:basedOn w:val="Normal-nospace"/>
    <w:next w:val="LetterTitle"/>
    <w:qFormat/>
    <w:rsid w:val="002A5496"/>
    <w:pPr>
      <w:spacing w:line="280" w:lineRule="exact"/>
    </w:pPr>
  </w:style>
  <w:style w:type="paragraph" w:customStyle="1" w:styleId="LetterTitle">
    <w:name w:val="LetterTitle"/>
    <w:basedOn w:val="Normal-nospace"/>
    <w:next w:val="LetterCompany"/>
    <w:qFormat/>
    <w:rsid w:val="002A5496"/>
    <w:pPr>
      <w:spacing w:line="280" w:lineRule="exact"/>
    </w:pPr>
  </w:style>
  <w:style w:type="paragraph" w:customStyle="1" w:styleId="LetterCompany">
    <w:name w:val="LetterCompany"/>
    <w:basedOn w:val="Normal-nospace"/>
    <w:next w:val="LetterAddress"/>
    <w:qFormat/>
    <w:rsid w:val="002A5496"/>
    <w:pPr>
      <w:spacing w:line="280" w:lineRule="exact"/>
    </w:pPr>
  </w:style>
  <w:style w:type="paragraph" w:customStyle="1" w:styleId="LetterAddress">
    <w:name w:val="LetterAddress"/>
    <w:basedOn w:val="Normal-nospace"/>
    <w:next w:val="LetterCityStatePostcode"/>
    <w:qFormat/>
    <w:rsid w:val="002A5496"/>
    <w:pPr>
      <w:spacing w:line="280" w:lineRule="exact"/>
    </w:pPr>
  </w:style>
  <w:style w:type="paragraph" w:customStyle="1" w:styleId="LetterCityStatePostcode">
    <w:name w:val="LetterCityStatePostcode"/>
    <w:basedOn w:val="Normal-nospace"/>
    <w:next w:val="LetterSubject"/>
    <w:qFormat/>
    <w:rsid w:val="002A5496"/>
    <w:pPr>
      <w:spacing w:line="280" w:lineRule="exact"/>
    </w:pPr>
  </w:style>
  <w:style w:type="paragraph" w:customStyle="1" w:styleId="LetterSubject">
    <w:name w:val="LetterSubject"/>
    <w:basedOn w:val="Normal-nospace"/>
    <w:next w:val="BodyText"/>
    <w:qFormat/>
    <w:rsid w:val="002A5496"/>
    <w:pPr>
      <w:spacing w:before="400" w:after="200" w:line="260" w:lineRule="exact"/>
    </w:pPr>
    <w:rPr>
      <w:b/>
      <w:sz w:val="24"/>
    </w:rPr>
  </w:style>
  <w:style w:type="paragraph" w:customStyle="1" w:styleId="SignatureBlock">
    <w:name w:val="Signature Block"/>
    <w:basedOn w:val="Normal-nospace"/>
    <w:qFormat/>
    <w:rsid w:val="002A5496"/>
    <w:pPr>
      <w:keepNext/>
      <w:keepLines/>
      <w:spacing w:line="240" w:lineRule="auto"/>
    </w:pPr>
  </w:style>
  <w:style w:type="paragraph" w:customStyle="1" w:styleId="StationeryConfidentiality">
    <w:name w:val="Stationery Confidentiality"/>
    <w:basedOn w:val="Normal-nospace"/>
    <w:qFormat/>
    <w:rsid w:val="002A5496"/>
    <w:pPr>
      <w:keepNext/>
      <w:spacing w:before="120" w:after="120" w:line="280" w:lineRule="exact"/>
    </w:pPr>
    <w:rPr>
      <w:i/>
    </w:rPr>
  </w:style>
  <w:style w:type="paragraph" w:customStyle="1" w:styleId="StationeryContact">
    <w:name w:val="StationeryContact"/>
    <w:basedOn w:val="Normal-nospace"/>
    <w:qFormat/>
    <w:rsid w:val="002A5496"/>
    <w:pPr>
      <w:spacing w:line="240" w:lineRule="auto"/>
    </w:pPr>
  </w:style>
  <w:style w:type="paragraph" w:customStyle="1" w:styleId="StationeryType">
    <w:name w:val="StationeryType"/>
    <w:basedOn w:val="Normal-nospace"/>
    <w:qFormat/>
    <w:rsid w:val="002A5496"/>
    <w:pPr>
      <w:spacing w:before="90" w:after="84" w:line="240" w:lineRule="auto"/>
    </w:pPr>
    <w:rPr>
      <w:b/>
      <w:color w:val="FFFEFF"/>
      <w:sz w:val="24"/>
    </w:rPr>
  </w:style>
  <w:style w:type="paragraph" w:customStyle="1" w:styleId="StationeryLabel">
    <w:name w:val="StationeryLabel"/>
    <w:basedOn w:val="Normal-nospace"/>
    <w:qFormat/>
    <w:rsid w:val="002A5496"/>
    <w:pPr>
      <w:spacing w:line="240" w:lineRule="auto"/>
    </w:pPr>
    <w:rPr>
      <w:b/>
      <w:spacing w:val="8"/>
    </w:rPr>
  </w:style>
  <w:style w:type="paragraph" w:customStyle="1" w:styleId="StationeryRefMemo">
    <w:name w:val="StationeryRef_Memo"/>
    <w:basedOn w:val="StationeryContact"/>
    <w:qFormat/>
    <w:rsid w:val="002A5496"/>
  </w:style>
  <w:style w:type="paragraph" w:customStyle="1" w:styleId="FooterLetter">
    <w:name w:val="Footer (Letter)"/>
    <w:basedOn w:val="Normal"/>
    <w:qFormat/>
    <w:rsid w:val="002A5496"/>
    <w:pPr>
      <w:suppressAutoHyphens w:val="0"/>
      <w:spacing w:before="26" w:after="0"/>
    </w:pPr>
    <w:rPr>
      <w:rFonts w:ascii="Arial Narrow" w:hAnsi="Arial Narrow"/>
      <w:color w:val="000100"/>
      <w:sz w:val="16"/>
    </w:rPr>
  </w:style>
  <w:style w:type="paragraph" w:customStyle="1" w:styleId="FooterLetter-Contact">
    <w:name w:val="Footer (Letter-Contact)"/>
    <w:basedOn w:val="FooterLetter"/>
    <w:qFormat/>
    <w:rsid w:val="002A5496"/>
    <w:pPr>
      <w:spacing w:before="20" w:after="20"/>
      <w:jc w:val="right"/>
    </w:pPr>
    <w:rPr>
      <w:color w:val="6C3E99"/>
    </w:rPr>
  </w:style>
  <w:style w:type="paragraph" w:customStyle="1" w:styleId="FooterText0">
    <w:name w:val="Footer (Text)"/>
    <w:basedOn w:val="Footer"/>
    <w:qFormat/>
    <w:rsid w:val="002A5496"/>
    <w:pPr>
      <w:tabs>
        <w:tab w:val="clear" w:pos="4513"/>
        <w:tab w:val="clear" w:pos="9026"/>
        <w:tab w:val="right" w:pos="9360"/>
      </w:tabs>
      <w:suppressAutoHyphens w:val="0"/>
      <w:jc w:val="right"/>
    </w:pPr>
    <w:rPr>
      <w:rFonts w:ascii="Yu Gothic Medium" w:eastAsia="Yu Gothic Medium" w:hAnsi="Yu Gothic Medium"/>
      <w:color w:val="000100"/>
      <w:spacing w:val="6"/>
      <w:sz w:val="15"/>
    </w:rPr>
  </w:style>
  <w:style w:type="paragraph" w:customStyle="1" w:styleId="TOCGeneral">
    <w:name w:val="TOC General"/>
    <w:basedOn w:val="Normal"/>
    <w:qFormat/>
    <w:rsid w:val="002A5496"/>
    <w:pPr>
      <w:suppressAutoHyphens w:val="0"/>
      <w:spacing w:before="0" w:after="0"/>
    </w:pPr>
    <w:rPr>
      <w:rFonts w:ascii="Arial Narrow" w:hAnsi="Arial Narrow"/>
      <w:vanish/>
      <w:color w:val="000100"/>
      <w:sz w:val="8"/>
    </w:rPr>
  </w:style>
  <w:style w:type="numbering" w:customStyle="1" w:styleId="TOCList">
    <w:name w:val="TOC List"/>
    <w:uiPriority w:val="99"/>
    <w:rsid w:val="002A5496"/>
    <w:pPr>
      <w:numPr>
        <w:numId w:val="26"/>
      </w:numPr>
    </w:pPr>
  </w:style>
  <w:style w:type="paragraph" w:customStyle="1" w:styleId="FooterLetter-Logo">
    <w:name w:val="Footer (Letter-Logo)"/>
    <w:basedOn w:val="FooterLetter-Contact"/>
    <w:qFormat/>
    <w:rsid w:val="002A5496"/>
    <w:rPr>
      <w:lang w:val="en-US"/>
    </w:rPr>
  </w:style>
  <w:style w:type="paragraph" w:customStyle="1" w:styleId="Headingglossary">
    <w:name w:val="Heading (glossary)"/>
    <w:basedOn w:val="Heading1nonumber"/>
    <w:qFormat/>
    <w:rsid w:val="002A5496"/>
  </w:style>
  <w:style w:type="character" w:customStyle="1" w:styleId="CaptionLabel">
    <w:name w:val="Caption Label"/>
    <w:basedOn w:val="DefaultParagraphFont"/>
    <w:uiPriority w:val="1"/>
    <w:qFormat/>
    <w:rsid w:val="002A5496"/>
    <w:rPr>
      <w:rFonts w:ascii="Yu Gothic Medium" w:hAnsi="Yu Gothic Medium"/>
      <w:b/>
      <w:color w:val="000100"/>
    </w:rPr>
  </w:style>
  <w:style w:type="paragraph" w:customStyle="1" w:styleId="BoxListBullet">
    <w:name w:val="Box List Bullet"/>
    <w:basedOn w:val="BoxText"/>
    <w:qFormat/>
    <w:rsid w:val="002A5496"/>
    <w:pPr>
      <w:numPr>
        <w:numId w:val="28"/>
      </w:numPr>
      <w:ind w:left="0" w:firstLine="0"/>
    </w:pPr>
  </w:style>
  <w:style w:type="paragraph" w:customStyle="1" w:styleId="BoxListBullet2">
    <w:name w:val="Box List Bullet 2"/>
    <w:basedOn w:val="BoxText"/>
    <w:qFormat/>
    <w:rsid w:val="002A5496"/>
    <w:pPr>
      <w:numPr>
        <w:ilvl w:val="1"/>
        <w:numId w:val="28"/>
      </w:numPr>
      <w:spacing w:before="0"/>
      <w:ind w:left="0" w:firstLine="0"/>
    </w:pPr>
  </w:style>
  <w:style w:type="paragraph" w:customStyle="1" w:styleId="BoxListBullet3">
    <w:name w:val="Box List Bullet 3"/>
    <w:basedOn w:val="BoxText"/>
    <w:qFormat/>
    <w:rsid w:val="002A5496"/>
    <w:pPr>
      <w:numPr>
        <w:ilvl w:val="2"/>
        <w:numId w:val="28"/>
      </w:numPr>
      <w:spacing w:before="0"/>
      <w:ind w:left="0" w:firstLine="0"/>
    </w:pPr>
  </w:style>
  <w:style w:type="numbering" w:customStyle="1" w:styleId="aaclstStyleBoxListBullets">
    <w:name w:val="aac_lstStyle_BoxListBullets"/>
    <w:uiPriority w:val="99"/>
    <w:rsid w:val="002A5496"/>
    <w:pPr>
      <w:numPr>
        <w:numId w:val="28"/>
      </w:numPr>
    </w:pPr>
  </w:style>
  <w:style w:type="paragraph" w:customStyle="1" w:styleId="BoxListNumber">
    <w:name w:val="Box List Number"/>
    <w:basedOn w:val="BoxText"/>
    <w:qFormat/>
    <w:rsid w:val="002A5496"/>
    <w:pPr>
      <w:numPr>
        <w:numId w:val="32"/>
      </w:numPr>
      <w:ind w:left="0" w:firstLine="0"/>
    </w:pPr>
  </w:style>
  <w:style w:type="paragraph" w:customStyle="1" w:styleId="BoxText">
    <w:name w:val="Box Text"/>
    <w:basedOn w:val="BodyText2"/>
    <w:qFormat/>
    <w:rsid w:val="002A5496"/>
    <w:pPr>
      <w:keepNext/>
      <w:spacing w:before="60" w:after="60" w:line="192" w:lineRule="auto"/>
    </w:pPr>
    <w:rPr>
      <w:rFonts w:cstheme="minorBidi"/>
      <w:color w:val="000100"/>
    </w:rPr>
  </w:style>
  <w:style w:type="paragraph" w:customStyle="1" w:styleId="BoxListNumber2">
    <w:name w:val="Box List Number 2"/>
    <w:basedOn w:val="BoxText"/>
    <w:qFormat/>
    <w:rsid w:val="002A5496"/>
    <w:pPr>
      <w:numPr>
        <w:ilvl w:val="1"/>
        <w:numId w:val="32"/>
      </w:numPr>
      <w:spacing w:before="0"/>
      <w:ind w:left="0" w:firstLine="0"/>
    </w:pPr>
  </w:style>
  <w:style w:type="paragraph" w:customStyle="1" w:styleId="BoxListNumber3">
    <w:name w:val="Box List Number 3"/>
    <w:basedOn w:val="BoxText"/>
    <w:qFormat/>
    <w:rsid w:val="002A5496"/>
    <w:pPr>
      <w:numPr>
        <w:ilvl w:val="2"/>
        <w:numId w:val="32"/>
      </w:numPr>
      <w:spacing w:before="0"/>
      <w:ind w:left="0" w:firstLine="0"/>
    </w:pPr>
  </w:style>
  <w:style w:type="paragraph" w:customStyle="1" w:styleId="BoxQuote">
    <w:name w:val="Box Quote"/>
    <w:basedOn w:val="BoxText"/>
    <w:qFormat/>
    <w:rsid w:val="002A5496"/>
    <w:pPr>
      <w:numPr>
        <w:ilvl w:val="3"/>
        <w:numId w:val="28"/>
      </w:numPr>
      <w:spacing w:before="120"/>
    </w:pPr>
    <w:rPr>
      <w:i/>
      <w:color w:val="595959" w:themeColor="text1" w:themeTint="A6"/>
    </w:rPr>
  </w:style>
  <w:style w:type="paragraph" w:customStyle="1" w:styleId="BoxQuoteListBullet">
    <w:name w:val="Box Quote List Bullet"/>
    <w:basedOn w:val="BoxText"/>
    <w:qFormat/>
    <w:rsid w:val="002A5496"/>
    <w:pPr>
      <w:numPr>
        <w:ilvl w:val="4"/>
        <w:numId w:val="28"/>
      </w:numPr>
      <w:ind w:left="0" w:right="400" w:firstLine="0"/>
    </w:pPr>
    <w:rPr>
      <w:i/>
      <w:color w:val="404040" w:themeColor="text1" w:themeTint="BF"/>
    </w:rPr>
  </w:style>
  <w:style w:type="paragraph" w:customStyle="1" w:styleId="BoxQuoteSource">
    <w:name w:val="Box Quote Source"/>
    <w:basedOn w:val="BoxText"/>
    <w:qFormat/>
    <w:rsid w:val="002A5496"/>
    <w:pPr>
      <w:spacing w:before="90"/>
      <w:ind w:right="400"/>
      <w:jc w:val="right"/>
    </w:pPr>
    <w:rPr>
      <w:i/>
      <w:color w:val="595959" w:themeColor="text1" w:themeTint="A6"/>
    </w:rPr>
  </w:style>
  <w:style w:type="paragraph" w:customStyle="1" w:styleId="BoxSideHeading1">
    <w:name w:val="Box Side Heading 1"/>
    <w:basedOn w:val="BoxText"/>
    <w:next w:val="BoxText"/>
    <w:qFormat/>
    <w:rsid w:val="002A5496"/>
    <w:pPr>
      <w:spacing w:before="0"/>
    </w:pPr>
    <w:rPr>
      <w:b/>
      <w:spacing w:val="-4"/>
    </w:rPr>
  </w:style>
  <w:style w:type="paragraph" w:customStyle="1" w:styleId="BoxSideHeading2">
    <w:name w:val="Box Side Heading 2"/>
    <w:basedOn w:val="BoxText"/>
    <w:next w:val="BoxText"/>
    <w:qFormat/>
    <w:rsid w:val="002A5496"/>
    <w:pPr>
      <w:spacing w:before="0"/>
    </w:pPr>
    <w:rPr>
      <w:i/>
    </w:rPr>
  </w:style>
  <w:style w:type="paragraph" w:customStyle="1" w:styleId="BoxTextBoldItalic">
    <w:name w:val="Box Text (Bold Italic)"/>
    <w:basedOn w:val="Normal"/>
    <w:qFormat/>
    <w:rsid w:val="002A5496"/>
    <w:pPr>
      <w:suppressAutoHyphens w:val="0"/>
      <w:spacing w:before="90" w:after="61" w:line="240" w:lineRule="atLeast"/>
    </w:pPr>
    <w:rPr>
      <w:rFonts w:ascii="Arial Narrow" w:hAnsi="Arial Narrow"/>
      <w:b/>
      <w:i/>
      <w:color w:val="000100"/>
      <w:sz w:val="20"/>
    </w:rPr>
  </w:style>
  <w:style w:type="paragraph" w:customStyle="1" w:styleId="BoxTextHeading">
    <w:name w:val="Box Text Heading"/>
    <w:basedOn w:val="Normal"/>
    <w:qFormat/>
    <w:rsid w:val="002A5496"/>
    <w:pPr>
      <w:keepNext/>
      <w:suppressAutoHyphens w:val="0"/>
      <w:spacing w:before="90" w:after="61" w:line="240" w:lineRule="atLeast"/>
      <w:ind w:left="442"/>
    </w:pPr>
    <w:rPr>
      <w:rFonts w:ascii="Arial Narrow" w:hAnsi="Arial Narrow"/>
      <w:b/>
      <w:color w:val="000100"/>
      <w:sz w:val="20"/>
    </w:rPr>
  </w:style>
  <w:style w:type="numbering" w:customStyle="1" w:styleId="aacTableListBulletssmall">
    <w:name w:val="aac Table List Bullets (small)"/>
    <w:uiPriority w:val="99"/>
    <w:rsid w:val="002A5496"/>
    <w:pPr>
      <w:numPr>
        <w:numId w:val="29"/>
      </w:numPr>
    </w:pPr>
  </w:style>
  <w:style w:type="numbering" w:customStyle="1" w:styleId="aacTableListNumbers">
    <w:name w:val="aac Table List Numbers"/>
    <w:uiPriority w:val="99"/>
    <w:rsid w:val="002A5496"/>
    <w:pPr>
      <w:numPr>
        <w:numId w:val="30"/>
      </w:numPr>
    </w:pPr>
  </w:style>
  <w:style w:type="numbering" w:customStyle="1" w:styleId="aacTableListNumberssmall">
    <w:name w:val="aac Table List Numbers (small)"/>
    <w:uiPriority w:val="99"/>
    <w:rsid w:val="002A5496"/>
    <w:pPr>
      <w:numPr>
        <w:numId w:val="31"/>
      </w:numPr>
    </w:pPr>
  </w:style>
  <w:style w:type="paragraph" w:customStyle="1" w:styleId="Tablelistbulletsmall">
    <w:name w:val="Table list bullet (small)"/>
    <w:basedOn w:val="Tabletextsmall"/>
    <w:qFormat/>
    <w:rsid w:val="002A5496"/>
    <w:pPr>
      <w:numPr>
        <w:numId w:val="39"/>
      </w:numPr>
      <w:spacing w:after="40"/>
      <w:ind w:left="0" w:right="85" w:firstLine="0"/>
    </w:pPr>
    <w:rPr>
      <w:rFonts w:cstheme="minorBidi"/>
    </w:rPr>
  </w:style>
  <w:style w:type="paragraph" w:customStyle="1" w:styleId="Tablelistbullet2small">
    <w:name w:val="Table list bullet 2 (small)"/>
    <w:basedOn w:val="Tabletextsmall"/>
    <w:qFormat/>
    <w:rsid w:val="002A5496"/>
    <w:pPr>
      <w:numPr>
        <w:ilvl w:val="1"/>
        <w:numId w:val="39"/>
      </w:numPr>
      <w:tabs>
        <w:tab w:val="clear" w:pos="320"/>
      </w:tabs>
      <w:spacing w:before="0" w:after="40"/>
      <w:ind w:left="0" w:right="85" w:firstLine="0"/>
    </w:pPr>
    <w:rPr>
      <w:rFonts w:cstheme="minorBidi"/>
    </w:rPr>
  </w:style>
  <w:style w:type="paragraph" w:customStyle="1" w:styleId="Tablelistbullet3small">
    <w:name w:val="Table list bullet 3 (small)"/>
    <w:basedOn w:val="Tabletextsmall"/>
    <w:qFormat/>
    <w:rsid w:val="002A5496"/>
    <w:pPr>
      <w:numPr>
        <w:ilvl w:val="2"/>
        <w:numId w:val="39"/>
      </w:numPr>
      <w:spacing w:before="0" w:after="40"/>
      <w:ind w:left="0" w:right="85" w:firstLine="0"/>
    </w:pPr>
    <w:rPr>
      <w:rFonts w:cstheme="minorBidi"/>
    </w:rPr>
  </w:style>
  <w:style w:type="paragraph" w:customStyle="1" w:styleId="Tablelistnumber">
    <w:name w:val="Table list number"/>
    <w:basedOn w:val="Tabletext"/>
    <w:qFormat/>
    <w:rsid w:val="002A5496"/>
    <w:pPr>
      <w:numPr>
        <w:numId w:val="38"/>
      </w:numPr>
      <w:spacing w:before="40" w:after="40"/>
      <w:ind w:left="0" w:firstLine="0"/>
    </w:pPr>
    <w:rPr>
      <w:rFonts w:cstheme="minorBidi"/>
    </w:rPr>
  </w:style>
  <w:style w:type="paragraph" w:customStyle="1" w:styleId="Tablelistnumbersmall">
    <w:name w:val="Table list number (small)"/>
    <w:basedOn w:val="Tabletextsmall"/>
    <w:qFormat/>
    <w:rsid w:val="002A5496"/>
    <w:pPr>
      <w:numPr>
        <w:numId w:val="40"/>
      </w:numPr>
      <w:spacing w:after="40"/>
      <w:ind w:left="0" w:right="85" w:firstLine="0"/>
    </w:pPr>
    <w:rPr>
      <w:rFonts w:cstheme="minorBidi"/>
    </w:rPr>
  </w:style>
  <w:style w:type="paragraph" w:customStyle="1" w:styleId="Tablelistnumber2">
    <w:name w:val="Table list number 2"/>
    <w:basedOn w:val="Tabletext"/>
    <w:qFormat/>
    <w:rsid w:val="002A5496"/>
    <w:pPr>
      <w:numPr>
        <w:ilvl w:val="1"/>
        <w:numId w:val="38"/>
      </w:numPr>
      <w:spacing w:before="0" w:after="40"/>
      <w:ind w:left="0" w:firstLine="0"/>
    </w:pPr>
    <w:rPr>
      <w:rFonts w:cstheme="minorBidi"/>
    </w:rPr>
  </w:style>
  <w:style w:type="paragraph" w:customStyle="1" w:styleId="Tablelistnumber2small">
    <w:name w:val="Table list number 2 (small)"/>
    <w:basedOn w:val="Tabletextsmall"/>
    <w:qFormat/>
    <w:rsid w:val="002A5496"/>
    <w:pPr>
      <w:numPr>
        <w:ilvl w:val="1"/>
        <w:numId w:val="40"/>
      </w:numPr>
      <w:spacing w:before="0" w:after="40"/>
      <w:ind w:left="0" w:right="85" w:firstLine="0"/>
    </w:pPr>
    <w:rPr>
      <w:rFonts w:cstheme="minorBidi"/>
    </w:rPr>
  </w:style>
  <w:style w:type="paragraph" w:customStyle="1" w:styleId="Tablelistnumber3">
    <w:name w:val="Table list number 3"/>
    <w:basedOn w:val="Tabletext"/>
    <w:qFormat/>
    <w:rsid w:val="002A5496"/>
    <w:pPr>
      <w:numPr>
        <w:ilvl w:val="2"/>
        <w:numId w:val="38"/>
      </w:numPr>
      <w:spacing w:before="0" w:after="40"/>
      <w:ind w:left="0" w:firstLine="0"/>
    </w:pPr>
    <w:rPr>
      <w:rFonts w:cstheme="minorBidi"/>
    </w:rPr>
  </w:style>
  <w:style w:type="paragraph" w:customStyle="1" w:styleId="Tablelistnumber3small">
    <w:name w:val="Table list number 3 (small)"/>
    <w:basedOn w:val="Tabletextsmall"/>
    <w:qFormat/>
    <w:rsid w:val="002A5496"/>
    <w:pPr>
      <w:numPr>
        <w:ilvl w:val="2"/>
        <w:numId w:val="40"/>
      </w:numPr>
      <w:spacing w:before="0" w:after="40"/>
      <w:ind w:left="0" w:right="85" w:firstLine="0"/>
    </w:pPr>
    <w:rPr>
      <w:rFonts w:cstheme="minorBidi"/>
    </w:rPr>
  </w:style>
  <w:style w:type="numbering" w:customStyle="1" w:styleId="aaclstStyleBoxListNumbers">
    <w:name w:val="aac_lstStyle_BoxListNumbers"/>
    <w:uiPriority w:val="99"/>
    <w:rsid w:val="002A5496"/>
    <w:pPr>
      <w:numPr>
        <w:numId w:val="32"/>
      </w:numPr>
    </w:pPr>
  </w:style>
  <w:style w:type="paragraph" w:customStyle="1" w:styleId="Tablesideheading1">
    <w:name w:val="Table side heading 1"/>
    <w:basedOn w:val="Tabletext"/>
    <w:next w:val="Tabletext"/>
    <w:qFormat/>
    <w:rsid w:val="002A5496"/>
    <w:rPr>
      <w:rFonts w:cstheme="minorBidi"/>
      <w:b/>
      <w:spacing w:val="3"/>
    </w:rPr>
  </w:style>
  <w:style w:type="paragraph" w:customStyle="1" w:styleId="Tablesideheading1small">
    <w:name w:val="Table side heading 1 (small)"/>
    <w:basedOn w:val="Tablesideheading1"/>
    <w:qFormat/>
    <w:rsid w:val="002A5496"/>
    <w:pPr>
      <w:spacing w:before="40" w:line="180" w:lineRule="exact"/>
    </w:pPr>
    <w:rPr>
      <w:spacing w:val="-10"/>
      <w:sz w:val="15"/>
    </w:rPr>
  </w:style>
  <w:style w:type="paragraph" w:customStyle="1" w:styleId="Tablesideheading2">
    <w:name w:val="Table side heading 2"/>
    <w:basedOn w:val="Tabletext"/>
    <w:qFormat/>
    <w:rsid w:val="002A5496"/>
    <w:rPr>
      <w:rFonts w:cstheme="minorBidi"/>
      <w:b/>
      <w:i/>
    </w:rPr>
  </w:style>
  <w:style w:type="paragraph" w:customStyle="1" w:styleId="Tablesideheading2small">
    <w:name w:val="Table side heading 2 (small)"/>
    <w:basedOn w:val="Tablesideheading2"/>
    <w:qFormat/>
    <w:rsid w:val="002A5496"/>
    <w:pPr>
      <w:spacing w:line="180" w:lineRule="exact"/>
    </w:pPr>
    <w:rPr>
      <w:spacing w:val="-10"/>
      <w:sz w:val="15"/>
    </w:rPr>
  </w:style>
  <w:style w:type="paragraph" w:customStyle="1" w:styleId="Note">
    <w:name w:val="Note"/>
    <w:basedOn w:val="Tabletext"/>
    <w:rsid w:val="002A5496"/>
    <w:pPr>
      <w:keepNext/>
      <w:keepLines/>
      <w:spacing w:before="80" w:after="80" w:line="240" w:lineRule="auto"/>
      <w:ind w:right="80"/>
    </w:pPr>
    <w:rPr>
      <w:rFonts w:eastAsia="Times New Roman" w:cs="Times New Roman"/>
      <w:sz w:val="16"/>
      <w:szCs w:val="24"/>
    </w:rPr>
  </w:style>
  <w:style w:type="paragraph" w:customStyle="1" w:styleId="SideNoteItalicRight">
    <w:name w:val="SideNote (Italic Right)"/>
    <w:basedOn w:val="Normal"/>
    <w:qFormat/>
    <w:rsid w:val="002A5496"/>
    <w:pPr>
      <w:suppressAutoHyphens w:val="0"/>
      <w:spacing w:before="80" w:after="120" w:line="520" w:lineRule="exact"/>
      <w:contextualSpacing/>
      <w:jc w:val="right"/>
    </w:pPr>
    <w:rPr>
      <w:rFonts w:ascii="Yu Gothic Medium" w:hAnsi="Yu Gothic Medium"/>
      <w:b/>
      <w:i/>
      <w:color w:val="6C3F99"/>
      <w:sz w:val="36"/>
    </w:rPr>
  </w:style>
  <w:style w:type="paragraph" w:customStyle="1" w:styleId="EmphasisTextCentre">
    <w:name w:val="Emphasis Text (Centre)"/>
    <w:basedOn w:val="EmphasisTextLeft"/>
    <w:next w:val="BodyText"/>
    <w:qFormat/>
    <w:rsid w:val="002A5496"/>
    <w:pPr>
      <w:jc w:val="center"/>
    </w:pPr>
  </w:style>
  <w:style w:type="paragraph" w:customStyle="1" w:styleId="EmphasisTextLeft">
    <w:name w:val="Emphasis Text (Left)"/>
    <w:basedOn w:val="Normal-nospace"/>
    <w:next w:val="BodyText"/>
    <w:qFormat/>
    <w:rsid w:val="002A5496"/>
    <w:pPr>
      <w:spacing w:before="80" w:after="120" w:line="520" w:lineRule="exact"/>
      <w:contextualSpacing/>
    </w:pPr>
    <w:rPr>
      <w:rFonts w:ascii="Yu Gothic Medium" w:hAnsi="Yu Gothic Medium"/>
      <w:b/>
      <w:color w:val="000000"/>
      <w:sz w:val="36"/>
    </w:rPr>
  </w:style>
  <w:style w:type="paragraph" w:customStyle="1" w:styleId="EmphasisTextRight">
    <w:name w:val="Emphasis Text (Right)"/>
    <w:basedOn w:val="EmphasisTextLeft"/>
    <w:next w:val="BodyText"/>
    <w:qFormat/>
    <w:rsid w:val="002A5496"/>
    <w:pPr>
      <w:jc w:val="right"/>
    </w:pPr>
  </w:style>
  <w:style w:type="paragraph" w:customStyle="1" w:styleId="SideNoteBullet">
    <w:name w:val="SideNote Bullet"/>
    <w:basedOn w:val="EmphasisTextLeft"/>
    <w:rsid w:val="002A5496"/>
    <w:pPr>
      <w:numPr>
        <w:ilvl w:val="1"/>
        <w:numId w:val="33"/>
      </w:numPr>
      <w:spacing w:before="0" w:after="64"/>
      <w:ind w:left="0" w:firstLine="0"/>
    </w:pPr>
  </w:style>
  <w:style w:type="paragraph" w:customStyle="1" w:styleId="SideNoteDash">
    <w:name w:val="SideNote Dash"/>
    <w:basedOn w:val="EmphasisTextLeft"/>
    <w:qFormat/>
    <w:rsid w:val="002A5496"/>
    <w:pPr>
      <w:numPr>
        <w:numId w:val="33"/>
      </w:numPr>
      <w:tabs>
        <w:tab w:val="clear" w:pos="60"/>
      </w:tabs>
      <w:ind w:left="0" w:firstLine="0"/>
    </w:pPr>
  </w:style>
  <w:style w:type="paragraph" w:customStyle="1" w:styleId="PullOutTitle">
    <w:name w:val="PullOut Title"/>
    <w:basedOn w:val="Normal-nospace"/>
    <w:qFormat/>
    <w:rsid w:val="002A5496"/>
    <w:pPr>
      <w:spacing w:before="90"/>
    </w:pPr>
    <w:rPr>
      <w:rFonts w:cstheme="minorBidi"/>
      <w:b/>
    </w:rPr>
  </w:style>
  <w:style w:type="table" w:customStyle="1" w:styleId="aacTableBanded-Odd-Grey">
    <w:name w:val="aac Table (Banded-Odd-Grey)"/>
    <w:basedOn w:val="TableNormal"/>
    <w:uiPriority w:val="99"/>
    <w:rsid w:val="002A5496"/>
    <w:pPr>
      <w:spacing w:before="60" w:after="0" w:line="240" w:lineRule="atLeast"/>
      <w:ind w:right="119"/>
    </w:pPr>
    <w:rPr>
      <w:rFonts w:ascii="Arial Narrow" w:hAnsi="Arial Narrow"/>
      <w:color w:val="auto"/>
    </w:rPr>
    <w:tblPr>
      <w:tblStyleRowBandSize w:val="1"/>
      <w:tblBorders>
        <w:bottom w:val="single" w:sz="4" w:space="0" w:color="auto"/>
        <w:insideH w:val="single" w:sz="4" w:space="0" w:color="auto"/>
      </w:tblBorders>
      <w:tblCellMar>
        <w:left w:w="0" w:type="dxa"/>
        <w:right w:w="0" w:type="dxa"/>
      </w:tblCellMar>
    </w:tblPr>
    <w:tblStylePr w:type="firstRow">
      <w:tblPr/>
      <w:tcPr>
        <w:shd w:val="clear" w:color="auto" w:fill="140034"/>
      </w:tcPr>
    </w:tblStylePr>
    <w:tblStylePr w:type="band1Horz">
      <w:tblPr/>
      <w:tcPr>
        <w:shd w:val="clear" w:color="auto" w:fill="F4F4F4"/>
      </w:tcPr>
    </w:tblStylePr>
  </w:style>
  <w:style w:type="table" w:customStyle="1" w:styleId="aacTableBanded-Even-Grey">
    <w:name w:val="aac Table (Banded-Even-Grey)"/>
    <w:basedOn w:val="TableNormal"/>
    <w:uiPriority w:val="99"/>
    <w:rsid w:val="002A5496"/>
    <w:pPr>
      <w:spacing w:before="0" w:after="0"/>
    </w:pPr>
    <w:rPr>
      <w:rFonts w:ascii="Arial Narrow" w:hAnsi="Arial Narrow"/>
      <w:color w:val="auto"/>
    </w:rPr>
    <w:tblPr>
      <w:tblStyleRowBandSize w:val="1"/>
      <w:tblBorders>
        <w:bottom w:val="single" w:sz="4" w:space="0" w:color="auto"/>
        <w:insideH w:val="single" w:sz="4" w:space="0" w:color="auto"/>
      </w:tblBorders>
      <w:tblCellMar>
        <w:left w:w="0" w:type="dxa"/>
        <w:right w:w="0" w:type="dxa"/>
      </w:tblCellMar>
    </w:tblPr>
    <w:tblStylePr w:type="firstRow">
      <w:tblPr/>
      <w:tcPr>
        <w:shd w:val="clear" w:color="auto" w:fill="140034"/>
      </w:tcPr>
    </w:tblStylePr>
    <w:tblStylePr w:type="band2Horz">
      <w:tblPr/>
      <w:tcPr>
        <w:shd w:val="clear" w:color="auto" w:fill="F4F4F4"/>
      </w:tcPr>
    </w:tblStylePr>
  </w:style>
  <w:style w:type="numbering" w:customStyle="1" w:styleId="aaHeadingnonumberList">
    <w:name w:val="aa Heading (no number) List"/>
    <w:uiPriority w:val="99"/>
    <w:rsid w:val="002A5496"/>
    <w:pPr>
      <w:numPr>
        <w:numId w:val="34"/>
      </w:numPr>
    </w:pPr>
  </w:style>
  <w:style w:type="paragraph" w:customStyle="1" w:styleId="Heading1AP">
    <w:name w:val="Heading 1 (AP)"/>
    <w:basedOn w:val="Heading1nonumber"/>
    <w:next w:val="Introduction"/>
    <w:qFormat/>
    <w:rsid w:val="002A5496"/>
    <w:pPr>
      <w:numPr>
        <w:numId w:val="44"/>
      </w:numPr>
      <w:ind w:firstLine="0"/>
    </w:pPr>
  </w:style>
  <w:style w:type="paragraph" w:customStyle="1" w:styleId="Heading2AP">
    <w:name w:val="Heading 2 (AP)"/>
    <w:basedOn w:val="Heading2nonumber"/>
    <w:next w:val="BodyText"/>
    <w:qFormat/>
    <w:rsid w:val="002A5496"/>
    <w:pPr>
      <w:numPr>
        <w:ilvl w:val="1"/>
        <w:numId w:val="44"/>
      </w:numPr>
      <w:ind w:firstLine="0"/>
    </w:pPr>
    <w:rPr>
      <w:color w:val="6C3F99"/>
    </w:rPr>
  </w:style>
  <w:style w:type="paragraph" w:customStyle="1" w:styleId="Heading3AP">
    <w:name w:val="Heading 3 (AP)"/>
    <w:basedOn w:val="Heading3nonumber"/>
    <w:next w:val="BodyText"/>
    <w:qFormat/>
    <w:rsid w:val="002A5496"/>
    <w:pPr>
      <w:numPr>
        <w:ilvl w:val="2"/>
        <w:numId w:val="44"/>
      </w:numPr>
      <w:tabs>
        <w:tab w:val="clear" w:pos="1000"/>
      </w:tabs>
      <w:ind w:left="0" w:firstLine="0"/>
    </w:pPr>
  </w:style>
  <w:style w:type="paragraph" w:customStyle="1" w:styleId="Heading4AP">
    <w:name w:val="Heading 4 (AP)"/>
    <w:basedOn w:val="Heading4nonumber"/>
    <w:next w:val="BodyText"/>
    <w:qFormat/>
    <w:rsid w:val="002A5496"/>
    <w:pPr>
      <w:numPr>
        <w:ilvl w:val="3"/>
        <w:numId w:val="44"/>
      </w:numPr>
    </w:pPr>
  </w:style>
  <w:style w:type="numbering" w:customStyle="1" w:styleId="aaclstStyleHeadingApp">
    <w:name w:val="aac_lstStyle_HeadingApp"/>
    <w:uiPriority w:val="99"/>
    <w:rsid w:val="002A5496"/>
    <w:pPr>
      <w:numPr>
        <w:numId w:val="35"/>
      </w:numPr>
    </w:pPr>
  </w:style>
  <w:style w:type="numbering" w:customStyle="1" w:styleId="aaReportListDash">
    <w:name w:val="aa Report List Dash"/>
    <w:uiPriority w:val="99"/>
    <w:rsid w:val="002A5496"/>
    <w:pPr>
      <w:numPr>
        <w:numId w:val="36"/>
      </w:numPr>
    </w:pPr>
  </w:style>
  <w:style w:type="paragraph" w:customStyle="1" w:styleId="waterMarkaadraftstat">
    <w:name w:val="waterMark_aa_draft_stat"/>
    <w:rsid w:val="002A5496"/>
    <w:pPr>
      <w:spacing w:before="0" w:after="160" w:line="259" w:lineRule="auto"/>
    </w:pPr>
    <w:rPr>
      <w:rFonts w:eastAsiaTheme="minorEastAsia" w:cs="Times New Roman"/>
      <w:color w:val="auto"/>
      <w:sz w:val="3276"/>
      <w:szCs w:val="3276"/>
      <w:lang w:val="en-US"/>
    </w:rPr>
  </w:style>
  <w:style w:type="paragraph" w:customStyle="1" w:styleId="waterMarkaaCabinetsec">
    <w:name w:val="waterMark_aa_Cabinet_sec"/>
    <w:rsid w:val="002A5496"/>
    <w:pPr>
      <w:spacing w:before="0" w:after="160" w:line="259" w:lineRule="auto"/>
    </w:pPr>
    <w:rPr>
      <w:rFonts w:eastAsiaTheme="minorEastAsia" w:cs="Times New Roman"/>
      <w:color w:val="auto"/>
      <w:sz w:val="3276"/>
      <w:szCs w:val="3276"/>
      <w:lang w:val="en-US"/>
    </w:rPr>
  </w:style>
  <w:style w:type="paragraph" w:customStyle="1" w:styleId="waterMarkaaCommercialsec">
    <w:name w:val="waterMark_aa_Commercial_sec"/>
    <w:rsid w:val="002A5496"/>
    <w:pPr>
      <w:spacing w:before="0" w:after="160" w:line="259" w:lineRule="auto"/>
    </w:pPr>
    <w:rPr>
      <w:rFonts w:eastAsiaTheme="minorEastAsia" w:cs="Times New Roman"/>
      <w:color w:val="auto"/>
      <w:sz w:val="3276"/>
      <w:szCs w:val="3276"/>
      <w:lang w:val="en-US"/>
    </w:rPr>
  </w:style>
  <w:style w:type="paragraph" w:customStyle="1" w:styleId="waterMarkaadraftOnlyBodstat">
    <w:name w:val="waterMark_aa_draftOnlyBod_stat"/>
    <w:rsid w:val="002A5496"/>
    <w:pPr>
      <w:spacing w:before="0" w:after="160" w:line="259" w:lineRule="auto"/>
    </w:pPr>
    <w:rPr>
      <w:rFonts w:eastAsiaTheme="minorEastAsia" w:cs="Times New Roman"/>
      <w:color w:val="auto"/>
      <w:sz w:val="3276"/>
      <w:szCs w:val="3276"/>
      <w:lang w:val="en-US"/>
    </w:rPr>
  </w:style>
  <w:style w:type="paragraph" w:customStyle="1" w:styleId="waterMarkaaConfidentialsec">
    <w:name w:val="waterMark_aa_Confidential_sec"/>
    <w:rsid w:val="002A5496"/>
    <w:pPr>
      <w:spacing w:before="0" w:after="160" w:line="259" w:lineRule="auto"/>
    </w:pPr>
    <w:rPr>
      <w:rFonts w:eastAsiaTheme="minorEastAsia" w:cs="Times New Roman"/>
      <w:color w:val="auto"/>
      <w:sz w:val="3276"/>
      <w:szCs w:val="3276"/>
      <w:lang w:val="en-US"/>
    </w:rPr>
  </w:style>
  <w:style w:type="paragraph" w:customStyle="1" w:styleId="TableQuoteSource">
    <w:name w:val="Table Quote Source"/>
    <w:basedOn w:val="Tabletext"/>
    <w:qFormat/>
    <w:rsid w:val="002A5496"/>
    <w:pPr>
      <w:spacing w:before="90" w:after="60" w:line="240" w:lineRule="auto"/>
      <w:ind w:left="0" w:right="200"/>
      <w:jc w:val="right"/>
    </w:pPr>
    <w:rPr>
      <w:rFonts w:cstheme="minorBidi"/>
      <w:i/>
      <w:color w:val="404040" w:themeColor="text1" w:themeTint="BF"/>
    </w:rPr>
  </w:style>
  <w:style w:type="paragraph" w:customStyle="1" w:styleId="TableQuoteSourcesmall">
    <w:name w:val="Table Quote Source (small)"/>
    <w:basedOn w:val="Tabletextsmall"/>
    <w:qFormat/>
    <w:rsid w:val="002A5496"/>
    <w:pPr>
      <w:spacing w:before="0" w:after="120" w:line="180" w:lineRule="exact"/>
      <w:ind w:right="200"/>
      <w:jc w:val="right"/>
    </w:pPr>
    <w:rPr>
      <w:rFonts w:cstheme="minorBidi"/>
      <w:i/>
      <w:color w:val="403F40"/>
      <w:spacing w:val="-10"/>
    </w:rPr>
  </w:style>
  <w:style w:type="paragraph" w:customStyle="1" w:styleId="TableQuote">
    <w:name w:val="Table Quote"/>
    <w:basedOn w:val="Normal-nospace"/>
    <w:qFormat/>
    <w:rsid w:val="002A5496"/>
    <w:pPr>
      <w:numPr>
        <w:numId w:val="41"/>
      </w:numPr>
      <w:spacing w:before="60" w:line="192" w:lineRule="auto"/>
      <w:ind w:right="199"/>
    </w:pPr>
    <w:rPr>
      <w:rFonts w:ascii="Yu Gothic Medium" w:hAnsi="Yu Gothic Medium" w:cstheme="minorBidi"/>
      <w:i/>
      <w:color w:val="404040" w:themeColor="text1" w:themeTint="BF"/>
      <w:sz w:val="19"/>
    </w:rPr>
  </w:style>
  <w:style w:type="paragraph" w:customStyle="1" w:styleId="QuoteListBullet">
    <w:name w:val="Quote List Bullet"/>
    <w:basedOn w:val="Quote"/>
    <w:qFormat/>
    <w:rsid w:val="002A5496"/>
    <w:pPr>
      <w:numPr>
        <w:numId w:val="37"/>
      </w:numPr>
      <w:pBdr>
        <w:left w:val="none" w:sz="0" w:space="0" w:color="auto"/>
      </w:pBdr>
      <w:suppressAutoHyphens w:val="0"/>
      <w:spacing w:before="0" w:after="120" w:line="280" w:lineRule="atLeast"/>
      <w:ind w:left="0" w:right="0" w:firstLine="0"/>
      <w:contextualSpacing/>
    </w:pPr>
    <w:rPr>
      <w:rFonts w:ascii="Arial Narrow" w:hAnsi="Arial Narrow"/>
      <w:b w:val="0"/>
      <w:i/>
      <w:color w:val="4D4C4D"/>
    </w:rPr>
  </w:style>
  <w:style w:type="paragraph" w:customStyle="1" w:styleId="QuoteSource">
    <w:name w:val="Quote Source"/>
    <w:basedOn w:val="Quote"/>
    <w:next w:val="BodyText"/>
    <w:qFormat/>
    <w:rsid w:val="002A5496"/>
    <w:pPr>
      <w:pBdr>
        <w:left w:val="none" w:sz="0" w:space="0" w:color="auto"/>
      </w:pBdr>
      <w:suppressAutoHyphens w:val="0"/>
      <w:spacing w:before="120" w:after="120" w:line="280" w:lineRule="atLeast"/>
      <w:ind w:left="420" w:right="0"/>
      <w:contextualSpacing/>
      <w:jc w:val="right"/>
    </w:pPr>
    <w:rPr>
      <w:rFonts w:ascii="Arial Narrow" w:hAnsi="Arial Narrow"/>
      <w:b w:val="0"/>
      <w:i/>
      <w:color w:val="4D4C4D"/>
    </w:rPr>
  </w:style>
  <w:style w:type="paragraph" w:customStyle="1" w:styleId="TableQuotesmall">
    <w:name w:val="Table Quote (small)"/>
    <w:basedOn w:val="Normal-nospace"/>
    <w:qFormat/>
    <w:rsid w:val="002A5496"/>
    <w:pPr>
      <w:numPr>
        <w:numId w:val="43"/>
      </w:numPr>
      <w:spacing w:before="60" w:after="80" w:line="180" w:lineRule="exact"/>
      <w:ind w:left="0"/>
    </w:pPr>
    <w:rPr>
      <w:rFonts w:ascii="Yu Gothic Medium" w:eastAsia="Yu Gothic Medium" w:hAnsi="Yu Gothic Medium" w:cstheme="minorBidi"/>
      <w:i/>
      <w:color w:val="403F40"/>
      <w:spacing w:val="-12"/>
      <w:sz w:val="15"/>
    </w:rPr>
  </w:style>
  <w:style w:type="paragraph" w:customStyle="1" w:styleId="TableQuoteBullet">
    <w:name w:val="Table Quote Bullet"/>
    <w:basedOn w:val="Normal-nospace"/>
    <w:qFormat/>
    <w:rsid w:val="002A5496"/>
    <w:pPr>
      <w:numPr>
        <w:ilvl w:val="1"/>
        <w:numId w:val="41"/>
      </w:numPr>
      <w:spacing w:before="60" w:after="60" w:line="192" w:lineRule="auto"/>
      <w:ind w:left="0" w:right="200" w:firstLine="0"/>
      <w:contextualSpacing/>
    </w:pPr>
    <w:rPr>
      <w:rFonts w:ascii="Yu Gothic Medium" w:hAnsi="Yu Gothic Medium" w:cstheme="minorBidi"/>
      <w:i/>
      <w:color w:val="404040" w:themeColor="text1" w:themeTint="BF"/>
      <w:sz w:val="19"/>
    </w:rPr>
  </w:style>
  <w:style w:type="paragraph" w:customStyle="1" w:styleId="TableQuoteBulletsmall">
    <w:name w:val="Table Quote Bullet (small)"/>
    <w:basedOn w:val="Normal-nospace"/>
    <w:qFormat/>
    <w:rsid w:val="002A5496"/>
    <w:pPr>
      <w:numPr>
        <w:ilvl w:val="1"/>
        <w:numId w:val="43"/>
      </w:numPr>
      <w:spacing w:before="40" w:after="60" w:line="192" w:lineRule="auto"/>
      <w:ind w:left="0" w:firstLine="0"/>
      <w:contextualSpacing/>
    </w:pPr>
    <w:rPr>
      <w:rFonts w:ascii="Yu Gothic Medium" w:eastAsia="Yu Gothic Medium" w:hAnsi="Yu Gothic Medium" w:cstheme="minorBidi"/>
      <w:i/>
      <w:color w:val="403F40"/>
      <w:spacing w:val="-10"/>
      <w:sz w:val="15"/>
    </w:rPr>
  </w:style>
  <w:style w:type="paragraph" w:customStyle="1" w:styleId="SubHeading1">
    <w:name w:val="Sub Heading 1"/>
    <w:basedOn w:val="rgb20052"/>
    <w:qFormat/>
    <w:rsid w:val="002A5496"/>
    <w:pPr>
      <w:spacing w:line="240" w:lineRule="auto"/>
      <w:contextualSpacing/>
    </w:pPr>
    <w:rPr>
      <w:sz w:val="40"/>
    </w:rPr>
  </w:style>
  <w:style w:type="paragraph" w:customStyle="1" w:styleId="tagglossaryChpt">
    <w:name w:val="tag_glossary_Chpt"/>
    <w:basedOn w:val="spacer"/>
    <w:rsid w:val="002A5496"/>
    <w:pPr>
      <w:keepNext/>
      <w:pageBreakBefore/>
    </w:pPr>
  </w:style>
  <w:style w:type="paragraph" w:customStyle="1" w:styleId="tagbiblioChpt">
    <w:name w:val="tag_biblio_Chpt"/>
    <w:basedOn w:val="spacer"/>
    <w:qFormat/>
    <w:rsid w:val="002A5496"/>
    <w:pPr>
      <w:keepNext/>
      <w:pageBreakBefore/>
    </w:pPr>
  </w:style>
  <w:style w:type="paragraph" w:customStyle="1" w:styleId="tagrefsChpt">
    <w:name w:val="tag_refs_Chpt"/>
    <w:basedOn w:val="spacer"/>
    <w:qFormat/>
    <w:rsid w:val="002A5496"/>
    <w:pPr>
      <w:keepNext/>
      <w:pageBreakBefore/>
    </w:pPr>
  </w:style>
  <w:style w:type="paragraph" w:customStyle="1" w:styleId="tagworksCitedChpt">
    <w:name w:val="tag_worksCited_Chpt"/>
    <w:basedOn w:val="spacer"/>
    <w:qFormat/>
    <w:rsid w:val="002A5496"/>
    <w:pPr>
      <w:keepNext/>
      <w:pageBreakBefore/>
    </w:pPr>
  </w:style>
  <w:style w:type="paragraph" w:customStyle="1" w:styleId="TOCTOFSubHeading">
    <w:name w:val="TOC TOFSubHeading"/>
    <w:basedOn w:val="Normal-nospace"/>
    <w:qFormat/>
    <w:rsid w:val="002A5496"/>
    <w:pPr>
      <w:keepNext/>
      <w:spacing w:before="240" w:after="60" w:line="260" w:lineRule="exact"/>
    </w:pPr>
    <w:rPr>
      <w:rFonts w:ascii="Yu Gothic Medium" w:hAnsi="Yu Gothic Medium"/>
      <w:b/>
    </w:rPr>
  </w:style>
  <w:style w:type="paragraph" w:customStyle="1" w:styleId="Heading2nonumber">
    <w:name w:val="Heading 2 (no number)"/>
    <w:basedOn w:val="rgb10863153"/>
    <w:next w:val="BodyText"/>
    <w:qFormat/>
    <w:rsid w:val="002A5496"/>
    <w:pPr>
      <w:keepNext/>
      <w:spacing w:before="360" w:after="180" w:line="480" w:lineRule="exact"/>
    </w:pPr>
    <w:rPr>
      <w:rFonts w:ascii="Yu Gothic Medium" w:hAnsi="Yu Gothic Medium"/>
      <w:color w:val="6C3E99"/>
      <w:sz w:val="36"/>
    </w:rPr>
  </w:style>
  <w:style w:type="paragraph" w:customStyle="1" w:styleId="Heading3nonumber">
    <w:name w:val="Heading 3 (no number)"/>
    <w:basedOn w:val="Normal-nospace"/>
    <w:next w:val="BodyText"/>
    <w:qFormat/>
    <w:rsid w:val="002A5496"/>
    <w:pPr>
      <w:keepNext/>
      <w:spacing w:before="360" w:after="180" w:line="420" w:lineRule="exact"/>
    </w:pPr>
    <w:rPr>
      <w:rFonts w:ascii="Yu Gothic Medium" w:hAnsi="Yu Gothic Medium"/>
      <w:b/>
      <w:color w:val="auto"/>
      <w:sz w:val="32"/>
    </w:rPr>
  </w:style>
  <w:style w:type="paragraph" w:customStyle="1" w:styleId="Heading4nonumber">
    <w:name w:val="Heading 4 (no number)"/>
    <w:basedOn w:val="Normal-nospace"/>
    <w:next w:val="BodyText"/>
    <w:qFormat/>
    <w:rsid w:val="002A5496"/>
    <w:pPr>
      <w:keepNext/>
      <w:spacing w:before="360" w:after="180" w:line="320" w:lineRule="exact"/>
      <w:contextualSpacing/>
    </w:pPr>
    <w:rPr>
      <w:rFonts w:ascii="Yu Gothic" w:hAnsi="Yu Gothic"/>
      <w:b/>
      <w:color w:val="auto"/>
      <w:sz w:val="24"/>
    </w:rPr>
  </w:style>
  <w:style w:type="paragraph" w:customStyle="1" w:styleId="LetterHeading2">
    <w:name w:val="Letter Heading 2"/>
    <w:basedOn w:val="LetterHeading1"/>
    <w:next w:val="BodyText"/>
    <w:qFormat/>
    <w:rsid w:val="002A5496"/>
    <w:rPr>
      <w:i/>
    </w:rPr>
  </w:style>
  <w:style w:type="paragraph" w:customStyle="1" w:styleId="LetterHeading3">
    <w:name w:val="Letter Heading 3"/>
    <w:basedOn w:val="LetterHeading1"/>
    <w:next w:val="BodyText"/>
    <w:qFormat/>
    <w:rsid w:val="002A5496"/>
    <w:rPr>
      <w:b w:val="0"/>
      <w:i/>
    </w:rPr>
  </w:style>
  <w:style w:type="paragraph" w:customStyle="1" w:styleId="FigureSubHeadings">
    <w:name w:val="Figure (Sub Headings)"/>
    <w:basedOn w:val="Normal-nospace"/>
    <w:qFormat/>
    <w:rsid w:val="002A5496"/>
    <w:pPr>
      <w:keepNext/>
      <w:spacing w:before="60" w:after="120" w:line="240" w:lineRule="auto"/>
      <w:jc w:val="center"/>
    </w:pPr>
    <w:rPr>
      <w:sz w:val="18"/>
    </w:rPr>
  </w:style>
  <w:style w:type="character" w:customStyle="1" w:styleId="Notelabel">
    <w:name w:val="Note label"/>
    <w:basedOn w:val="DefaultParagraphFont"/>
    <w:uiPriority w:val="1"/>
    <w:qFormat/>
    <w:rsid w:val="002A5496"/>
    <w:rPr>
      <w:b/>
      <w:vertAlign w:val="superscript"/>
    </w:rPr>
  </w:style>
  <w:style w:type="paragraph" w:customStyle="1" w:styleId="LetterConfidentiality">
    <w:name w:val="Letter Confidentiality"/>
    <w:basedOn w:val="BodyText"/>
    <w:qFormat/>
    <w:rsid w:val="002A5496"/>
    <w:pPr>
      <w:keepNext/>
      <w:suppressAutoHyphens w:val="0"/>
      <w:spacing w:before="90" w:after="130" w:line="280" w:lineRule="atLeast"/>
    </w:pPr>
    <w:rPr>
      <w:rFonts w:ascii="Arial Narrow" w:hAnsi="Arial Narrow" w:cs="Arial"/>
      <w:color w:val="000000"/>
    </w:rPr>
  </w:style>
  <w:style w:type="paragraph" w:customStyle="1" w:styleId="rgb20052">
    <w:name w:val="rgb_(20_0_52)"/>
    <w:basedOn w:val="Normal-nospace"/>
    <w:qFormat/>
    <w:rsid w:val="002A5496"/>
    <w:rPr>
      <w:color w:val="140034"/>
    </w:rPr>
  </w:style>
  <w:style w:type="paragraph" w:customStyle="1" w:styleId="CpContactDetailsWeb">
    <w:name w:val="Cp Contact Details Web"/>
    <w:basedOn w:val="Normalrgb"/>
    <w:qFormat/>
    <w:rsid w:val="002A5496"/>
    <w:pPr>
      <w:spacing w:line="250" w:lineRule="exact"/>
    </w:pPr>
  </w:style>
  <w:style w:type="paragraph" w:customStyle="1" w:styleId="CpContactDetailsHeading">
    <w:name w:val="Cp Contact Details Heading"/>
    <w:basedOn w:val="Normalrgb"/>
    <w:next w:val="CpContactDetails"/>
    <w:qFormat/>
    <w:rsid w:val="002A5496"/>
    <w:pPr>
      <w:spacing w:line="250" w:lineRule="exact"/>
    </w:pPr>
    <w:rPr>
      <w:b/>
    </w:rPr>
  </w:style>
  <w:style w:type="paragraph" w:customStyle="1" w:styleId="tagaaRptTestStyle00">
    <w:name w:val="tag_aa_RptTestStyle_#?_00"/>
    <w:basedOn w:val="BodyText"/>
    <w:qFormat/>
    <w:rsid w:val="002A5496"/>
    <w:pPr>
      <w:suppressAutoHyphens w:val="0"/>
      <w:spacing w:before="0" w:after="0"/>
    </w:pPr>
    <w:rPr>
      <w:rFonts w:ascii="Arial Narrow" w:hAnsi="Arial Narrow" w:cs="Arial"/>
      <w:color w:val="auto"/>
      <w:sz w:val="16"/>
    </w:rPr>
  </w:style>
  <w:style w:type="paragraph" w:customStyle="1" w:styleId="pmTest">
    <w:name w:val="pmTest"/>
    <w:basedOn w:val="BodyText"/>
    <w:qFormat/>
    <w:rsid w:val="002A5496"/>
    <w:pPr>
      <w:suppressAutoHyphens w:val="0"/>
      <w:spacing w:before="90" w:after="130" w:line="280" w:lineRule="atLeast"/>
    </w:pPr>
    <w:rPr>
      <w:rFonts w:ascii="Arial Narrow" w:hAnsi="Arial Narrow" w:cs="Arial"/>
      <w:color w:val="auto"/>
    </w:rPr>
  </w:style>
  <w:style w:type="paragraph" w:customStyle="1" w:styleId="Heading1nonumber">
    <w:name w:val="Heading 1 (no number)"/>
    <w:basedOn w:val="rgb20052"/>
    <w:next w:val="Introduction"/>
    <w:qFormat/>
    <w:rsid w:val="002A5496"/>
    <w:pPr>
      <w:keepNext/>
      <w:pageBreakBefore/>
      <w:spacing w:after="280" w:line="680" w:lineRule="exact"/>
    </w:pPr>
    <w:rPr>
      <w:rFonts w:ascii="Yu Gothic Medium" w:hAnsi="Yu Gothic Medium"/>
      <w:sz w:val="56"/>
    </w:rPr>
  </w:style>
  <w:style w:type="paragraph" w:customStyle="1" w:styleId="rgb10863153">
    <w:name w:val="rgb_(108_63_153)"/>
    <w:basedOn w:val="Normal-nospace"/>
    <w:qFormat/>
    <w:rsid w:val="002A5496"/>
    <w:rPr>
      <w:color w:val="6C3F99"/>
    </w:rPr>
  </w:style>
  <w:style w:type="paragraph" w:customStyle="1" w:styleId="Normalrgb">
    <w:name w:val="Normal_rgb"/>
    <w:basedOn w:val="Normal-nospace"/>
    <w:qFormat/>
    <w:rsid w:val="002A5496"/>
    <w:rPr>
      <w:color w:val="9D85BE"/>
    </w:rPr>
  </w:style>
  <w:style w:type="table" w:customStyle="1" w:styleId="aacTableBanded-Odd-Purple">
    <w:name w:val="aac Table (Banded-Odd-Purple)"/>
    <w:basedOn w:val="aacTableBasic"/>
    <w:uiPriority w:val="99"/>
    <w:rsid w:val="002A5496"/>
    <w:pPr>
      <w:spacing w:line="240" w:lineRule="auto"/>
    </w:pPr>
    <w:tblPr>
      <w:tblStyleRowBandSize w:val="1"/>
    </w:tblPr>
    <w:tcPr>
      <w:shd w:val="clear" w:color="auto" w:fill="auto"/>
    </w:tcPr>
    <w:tblStylePr w:type="firstRow">
      <w:pPr>
        <w:jc w:val="left"/>
      </w:pPr>
      <w:rPr>
        <w:color w:val="FFFFFF" w:themeColor="background1"/>
      </w:rPr>
      <w:tblPr/>
      <w:tcPr>
        <w:shd w:val="clear" w:color="auto" w:fill="140034"/>
      </w:tcPr>
    </w:tblStylePr>
    <w:tblStylePr w:type="band1Horz">
      <w:tblPr/>
      <w:tcPr>
        <w:shd w:val="clear" w:color="auto" w:fill="EBE7F2"/>
      </w:tcPr>
    </w:tblStylePr>
  </w:style>
  <w:style w:type="table" w:customStyle="1" w:styleId="aacTableBanded-Even-Purple">
    <w:name w:val="aac Table (Banded-Even-Purple)"/>
    <w:basedOn w:val="aacTableBasic"/>
    <w:uiPriority w:val="99"/>
    <w:rsid w:val="002A5496"/>
    <w:pPr>
      <w:spacing w:line="240" w:lineRule="auto"/>
    </w:pPr>
    <w:tblPr>
      <w:tblStyleRowBandSize w:val="1"/>
    </w:tblPr>
    <w:tcPr>
      <w:shd w:val="clear" w:color="auto" w:fill="auto"/>
    </w:tcPr>
    <w:tblStylePr w:type="firstRow">
      <w:pPr>
        <w:jc w:val="left"/>
      </w:pPr>
      <w:rPr>
        <w:color w:val="FFFFFF" w:themeColor="background1"/>
      </w:rPr>
      <w:tblPr/>
      <w:tcPr>
        <w:shd w:val="clear" w:color="auto" w:fill="140034"/>
      </w:tcPr>
    </w:tblStylePr>
    <w:tblStylePr w:type="band2Horz">
      <w:tblPr/>
      <w:tcPr>
        <w:shd w:val="clear" w:color="auto" w:fill="EBE7F2"/>
      </w:tcPr>
    </w:tblStylePr>
  </w:style>
  <w:style w:type="paragraph" w:customStyle="1" w:styleId="tagcaseStudy">
    <w:name w:val="tag_caseStudy"/>
    <w:basedOn w:val="spacer"/>
    <w:qFormat/>
    <w:rsid w:val="002A5496"/>
  </w:style>
  <w:style w:type="paragraph" w:customStyle="1" w:styleId="HeadingCaseStudy">
    <w:name w:val="Heading (CaseStudy)"/>
    <w:basedOn w:val="BodyText"/>
    <w:qFormat/>
    <w:rsid w:val="002A5496"/>
    <w:pPr>
      <w:keepNext/>
      <w:suppressAutoHyphens w:val="0"/>
      <w:spacing w:before="90" w:after="130" w:line="280" w:lineRule="atLeast"/>
    </w:pPr>
    <w:rPr>
      <w:rFonts w:ascii="Yu Gothic Medium" w:hAnsi="Yu Gothic Medium" w:cs="Arial"/>
      <w:b/>
      <w:color w:val="auto"/>
    </w:rPr>
  </w:style>
  <w:style w:type="paragraph" w:customStyle="1" w:styleId="tagtoc">
    <w:name w:val="tag_toc"/>
    <w:basedOn w:val="spacer"/>
    <w:qFormat/>
    <w:rsid w:val="002A5496"/>
  </w:style>
  <w:style w:type="paragraph" w:customStyle="1" w:styleId="tagaastnletter">
    <w:name w:val="tag_aa_stn_letter"/>
    <w:basedOn w:val="spacer"/>
    <w:qFormat/>
    <w:rsid w:val="002A5496"/>
  </w:style>
  <w:style w:type="paragraph" w:customStyle="1" w:styleId="tagaastnmemo">
    <w:name w:val="tag_aa_stn_memo"/>
    <w:basedOn w:val="spacer"/>
    <w:qFormat/>
    <w:rsid w:val="002A5496"/>
  </w:style>
  <w:style w:type="paragraph" w:customStyle="1" w:styleId="tagaastnbn">
    <w:name w:val="tag_aa_stn_bn"/>
    <w:basedOn w:val="spacer"/>
    <w:qFormat/>
    <w:rsid w:val="002A5496"/>
  </w:style>
  <w:style w:type="numbering" w:customStyle="1" w:styleId="aaclstStyleTableQuote">
    <w:name w:val="aac_lstStyle_TableQuote"/>
    <w:uiPriority w:val="99"/>
    <w:rsid w:val="002A5496"/>
    <w:pPr>
      <w:numPr>
        <w:numId w:val="41"/>
      </w:numPr>
    </w:pPr>
  </w:style>
  <w:style w:type="numbering" w:customStyle="1" w:styleId="aaclstStyleTableQuoteSmall">
    <w:name w:val="aac_lstStyle_TableQuoteSmall"/>
    <w:uiPriority w:val="99"/>
    <w:rsid w:val="002A5496"/>
    <w:pPr>
      <w:numPr>
        <w:numId w:val="42"/>
      </w:numPr>
    </w:pPr>
  </w:style>
  <w:style w:type="paragraph" w:customStyle="1" w:styleId="Glossary">
    <w:name w:val="Glossary"/>
    <w:basedOn w:val="Normal"/>
    <w:qFormat/>
    <w:rsid w:val="002A5496"/>
    <w:pPr>
      <w:suppressAutoHyphens w:val="0"/>
      <w:spacing w:before="40" w:after="40" w:line="240" w:lineRule="exact"/>
      <w:ind w:left="40"/>
    </w:pPr>
    <w:rPr>
      <w:rFonts w:ascii="Yu Gothic Medium" w:hAnsi="Yu Gothic Medium" w:cs="Arial"/>
      <w:color w:val="auto"/>
      <w:sz w:val="18"/>
    </w:rPr>
  </w:style>
  <w:style w:type="paragraph" w:customStyle="1" w:styleId="tagaaBrief">
    <w:name w:val="tag_aaBrief"/>
    <w:basedOn w:val="spacer"/>
    <w:qFormat/>
    <w:rsid w:val="002A5496"/>
  </w:style>
  <w:style w:type="paragraph" w:customStyle="1" w:styleId="TOCHeadingBrief">
    <w:name w:val="TOC Heading Brief"/>
    <w:basedOn w:val="Heading1nonumber"/>
    <w:qFormat/>
    <w:rsid w:val="002A5496"/>
    <w:pPr>
      <w:spacing w:after="120"/>
    </w:pPr>
    <w:rPr>
      <w:color w:val="6C3F99"/>
    </w:rPr>
  </w:style>
  <w:style w:type="paragraph" w:customStyle="1" w:styleId="aawaterMarkTextsec">
    <w:name w:val="aa_waterMarkText_sec"/>
    <w:basedOn w:val="Normal-nospace"/>
    <w:qFormat/>
    <w:rsid w:val="002A5496"/>
    <w:pPr>
      <w:spacing w:before="40" w:line="240" w:lineRule="auto"/>
    </w:pPr>
    <w:rPr>
      <w:color w:val="939393"/>
      <w:sz w:val="24"/>
    </w:rPr>
  </w:style>
  <w:style w:type="paragraph" w:customStyle="1" w:styleId="aawaterMarkTextstat">
    <w:name w:val="aa_waterMarkText_stat"/>
    <w:basedOn w:val="Normal-nospace"/>
    <w:qFormat/>
    <w:rsid w:val="002A5496"/>
    <w:pPr>
      <w:spacing w:line="240" w:lineRule="auto"/>
      <w:jc w:val="center"/>
    </w:pPr>
    <w:rPr>
      <w:color w:val="B4B4B4"/>
      <w:sz w:val="72"/>
    </w:rPr>
  </w:style>
  <w:style w:type="character" w:customStyle="1" w:styleId="ListBulletChar">
    <w:name w:val="List Bullet Char"/>
    <w:aliases w:val="List Bullet Char1 Char,List Bullet Char Char Char,List Bullet Char1 Char Char Char,List Bullet Char Char Char1 Char Char,List Bullet Char Char Char Char Char Char,List Bullet Char3 Char,List Bullet Char2 Char Char,List Bullet1 Char"/>
    <w:basedOn w:val="DefaultParagraphFont"/>
    <w:link w:val="ListBullet"/>
    <w:uiPriority w:val="99"/>
    <w:rsid w:val="002A5496"/>
    <w:rPr>
      <w:rFonts w:ascii="Arial Narrow" w:hAnsi="Arial Narrow" w:cs="Arial"/>
      <w:color w:val="auto"/>
    </w:rPr>
  </w:style>
  <w:style w:type="numbering" w:customStyle="1" w:styleId="aaAppendixNumbering1">
    <w:name w:val="aa Appendix Numbering1"/>
    <w:uiPriority w:val="99"/>
    <w:rsid w:val="002A5496"/>
  </w:style>
  <w:style w:type="paragraph" w:customStyle="1" w:styleId="Heading2notshowing">
    <w:name w:val="Heading 2—not showing"/>
    <w:basedOn w:val="ImprintHeading"/>
    <w:next w:val="Normal"/>
    <w:qFormat/>
    <w:rsid w:val="00846F1D"/>
    <w:pPr>
      <w:keepNext/>
      <w:spacing w:before="120" w:after="80"/>
    </w:pPr>
    <w:rPr>
      <w:lang w:val="en-AU"/>
    </w:rPr>
  </w:style>
  <w:style w:type="paragraph" w:customStyle="1" w:styleId="Listparagraphbullets">
    <w:name w:val="List paragraph—bullets"/>
    <w:basedOn w:val="ListParagraph"/>
    <w:qFormat/>
    <w:rsid w:val="004B0117"/>
    <w:pPr>
      <w:numPr>
        <w:numId w:val="49"/>
      </w:numPr>
      <w:suppressAutoHyphens w:val="0"/>
      <w:spacing w:before="0" w:after="160"/>
      <w:ind w:left="567" w:hanging="567"/>
    </w:pPr>
    <w:rPr>
      <w:rFonts w:ascii="Calibri" w:hAnsi="Calibri"/>
      <w:color w:val="auto"/>
      <w:lang w:eastAsia="zh-TW"/>
    </w:rPr>
  </w:style>
  <w:style w:type="paragraph" w:customStyle="1" w:styleId="Listparagraphbulletssecondlevel">
    <w:name w:val="List paragraph—bullets—second level"/>
    <w:basedOn w:val="Listparagraphbullets"/>
    <w:autoRedefine/>
    <w:qFormat/>
    <w:rsid w:val="004F36C3"/>
    <w:pPr>
      <w:numPr>
        <w:numId w:val="52"/>
      </w:numPr>
      <w:ind w:left="1134" w:hanging="567"/>
    </w:pPr>
    <w:rPr>
      <w:szCs w:val="20"/>
    </w:rPr>
  </w:style>
  <w:style w:type="paragraph" w:customStyle="1" w:styleId="Tablefigureheading">
    <w:name w:val="Table/figure heading"/>
    <w:basedOn w:val="Normal"/>
    <w:next w:val="Normal"/>
    <w:qFormat/>
    <w:rsid w:val="00C4433C"/>
    <w:pPr>
      <w:keepNext/>
      <w:suppressAutoHyphens w:val="0"/>
      <w:spacing w:before="0" w:after="0"/>
      <w:ind w:left="907" w:hanging="907"/>
    </w:pPr>
    <w:rPr>
      <w:rFonts w:ascii="Calibri" w:hAnsi="Calibri"/>
      <w:b/>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937659">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www.pmc.gov.au/resources/commonwealth-coat-arms-information-and-guidelines" TargetMode="External"/><Relationship Id="rId26" Type="http://schemas.openxmlformats.org/officeDocument/2006/relationships/image" Target="media/image9.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hyperlink" Target="https://www.ntc.gov.au/laws-and-regulations/australian-road-rules" TargetMode="External"/><Relationship Id="rId34" Type="http://schemas.openxmlformats.org/officeDocument/2006/relationships/hyperlink" Target="https://www.qld.gov.au/transport/safety/rules/speed-limits" TargetMode="External"/><Relationship Id="rId42"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www.ntc.gov.au/laws-and-regulations/australian-road-rules" TargetMode="External"/><Relationship Id="rId33" Type="http://schemas.openxmlformats.org/officeDocument/2006/relationships/hyperlink" Target="https://www.nsw.gov.au/driving-boating-and-transport/roads-safety-and-rules/safe-driving/speed-limits-and-cameras/speed-limits" TargetMode="External"/><Relationship Id="rId38" Type="http://schemas.openxmlformats.org/officeDocument/2006/relationships/image" Target="media/image18.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image" Target="media/image1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17.png"/><Relationship Id="rId40" Type="http://schemas.openxmlformats.org/officeDocument/2006/relationships/image" Target="media/image20.emf"/><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mainroads.wa.gov.au/technical-commercial/technical-library/road-traffic-engineering/traffic-management/speed-zones/" TargetMode="External"/><Relationship Id="rId43" Type="http://schemas.openxmlformats.org/officeDocument/2006/relationships/hyperlink" Target="https://oia.pmc.gov.au/sites/default/files/2024-02/regulatory-burden-measurement-framework.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13" Type="http://schemas.openxmlformats.org/officeDocument/2006/relationships/hyperlink" Target="https://www.vic.gov.au/victorian-road-trauma-statistics" TargetMode="External"/><Relationship Id="rId18" Type="http://schemas.openxmlformats.org/officeDocument/2006/relationships/hyperlink" Target="https://www.nrspp.org.au/resources/speed-and-crash-risk/" TargetMode="External"/><Relationship Id="rId26" Type="http://schemas.openxmlformats.org/officeDocument/2006/relationships/hyperlink" Target="https://doi.org/10.1016/j.trf.2018.02.037" TargetMode="External"/><Relationship Id="rId39" Type="http://schemas.openxmlformats.org/officeDocument/2006/relationships/hyperlink" Target="https://www.infrastructure.gov.au/sites/default/files/documents/cleaner-cheaper-to-run-cars-the-australian-new-vehicle-efficiency-standard-consultation-impact-analysis-february2024.pdf" TargetMode="External"/><Relationship Id="rId21" Type="http://schemas.openxmlformats.org/officeDocument/2006/relationships/hyperlink" Target="https://www.rsa.ie/road-safety/campaigns/rural-speed-limit" TargetMode="External"/><Relationship Id="rId34" Type="http://schemas.openxmlformats.org/officeDocument/2006/relationships/hyperlink" Target="https://doi.org/10.1016/j.trip.2023.100892" TargetMode="External"/><Relationship Id="rId42" Type="http://schemas.openxmlformats.org/officeDocument/2006/relationships/hyperlink" Target="https://theicct.org/wp-content/uploads/2021/06/HDV_engine-efficiency-eval_WVU-rpt_oct2014.pdf" TargetMode="External"/><Relationship Id="rId47" Type="http://schemas.openxmlformats.org/officeDocument/2006/relationships/hyperlink" Target="https://analytica.com/" TargetMode="External"/><Relationship Id="rId50" Type="http://schemas.openxmlformats.org/officeDocument/2006/relationships/hyperlink" Target="https://www.tshandbok.no/del-2/3-trafikkregulering/doc660/" TargetMode="External"/><Relationship Id="rId55" Type="http://schemas.openxmlformats.org/officeDocument/2006/relationships/hyperlink" Target="https://www.atap.gov.au/sites/default/files/pv2_road_parameter_values.pdf" TargetMode="External"/><Relationship Id="rId63" Type="http://schemas.openxmlformats.org/officeDocument/2006/relationships/hyperlink" Target="https://www.bbc.com/news/articles/c51ydq51e57o" TargetMode="External"/><Relationship Id="rId7" Type="http://schemas.openxmlformats.org/officeDocument/2006/relationships/hyperlink" Target="https://www.gov.uk/government/statistical-data-sets/reported-road-accidents-vehicles-and-casualties-tables-for-great-britain" TargetMode="External"/><Relationship Id="rId2" Type="http://schemas.openxmlformats.org/officeDocument/2006/relationships/hyperlink" Target="https://www.theguardian.com/australia-news/2025/jan/27/australia-road-toll-2024-1300-deaths-highest-in-more-than-a-decade" TargetMode="External"/><Relationship Id="rId16" Type="http://schemas.openxmlformats.org/officeDocument/2006/relationships/hyperlink" Target="https://www.theguardian.com/australia-news/2025/jan/27/australia-road-toll-2024-1300-deaths-highest-in-more-than-a-decade" TargetMode="External"/><Relationship Id="rId20" Type="http://schemas.openxmlformats.org/officeDocument/2006/relationships/hyperlink" Target="https://tfw.wales/national-monitoring-report-july-2025" TargetMode="External"/><Relationship Id="rId29" Type="http://schemas.openxmlformats.org/officeDocument/2006/relationships/hyperlink" Target="https://eprints.qut.edu.au/55106/1/Kerry_Armstrong_San_Fran_Presentation_V1.pdf" TargetMode="External"/><Relationship Id="rId41" Type="http://schemas.openxmlformats.org/officeDocument/2006/relationships/hyperlink" Target="https://theicct.org/wp-content/uploads/2021/12/efficiency-tech-potential-hdvs-us-2035-nov21.pdf" TargetMode="External"/><Relationship Id="rId54" Type="http://schemas.openxmlformats.org/officeDocument/2006/relationships/hyperlink" Target="https://www.greenvehicleguide.gov.au/pages/UnderstandingEmissions/TipsToReduceYourEmissions" TargetMode="External"/><Relationship Id="rId62" Type="http://schemas.openxmlformats.org/officeDocument/2006/relationships/hyperlink" Target="https://www.indailysa.com.au/news/just-in/2025/01/29/council-rejects-blanket-30km-h-speed-limits" TargetMode="External"/><Relationship Id="rId1" Type="http://schemas.openxmlformats.org/officeDocument/2006/relationships/hyperlink" Target="https://www.abc.net.au/religion/road-fatalities-on-the-rise-australia-what-can-be-done/103532970" TargetMode="External"/><Relationship Id="rId6" Type="http://schemas.openxmlformats.org/officeDocument/2006/relationships/hyperlink" Target="https://www.stats.govt.nz/topics/population/" TargetMode="External"/><Relationship Id="rId11" Type="http://schemas.openxmlformats.org/officeDocument/2006/relationships/hyperlink" Target="https://datahub.roadsafety.gov.au/progress-reporting/hospitalised-injuries" TargetMode="External"/><Relationship Id="rId24" Type="http://schemas.openxmlformats.org/officeDocument/2006/relationships/hyperlink" Target="https://www.tac.vic.gov.au/road-safety/staying-safe/tired-driving" TargetMode="External"/><Relationship Id="rId32" Type="http://schemas.openxmlformats.org/officeDocument/2006/relationships/hyperlink" Target="https://oia.pmc.gov.au/sites/default/files/2023-08/cost-benefit-analysis.pdf" TargetMode="External"/><Relationship Id="rId37" Type="http://schemas.openxmlformats.org/officeDocument/2006/relationships/hyperlink" Target="https://www.abs.gov.au/statistics/industry/tourism-and-transport/survey-motor-vehicle-use-australia/12-months-ended-30-june-2020/92080DO002_201806.xls" TargetMode="External"/><Relationship Id="rId40" Type="http://schemas.openxmlformats.org/officeDocument/2006/relationships/hyperlink" Target="https://www.abs.gov.au/statistics/industry/tourism-and-transport/survey-motor-vehicle-use-australia/latest-release" TargetMode="External"/><Relationship Id="rId45" Type="http://schemas.openxmlformats.org/officeDocument/2006/relationships/hyperlink" Target="https://www.sciencedirect.com/science/article/abs/pii/S000145751830839X?via%3Dihub" TargetMode="External"/><Relationship Id="rId53" Type="http://schemas.openxmlformats.org/officeDocument/2006/relationships/hyperlink" Target="https://www.atap.gov.au/parameter-values/road-transport/4-crash-costs" TargetMode="External"/><Relationship Id="rId58" Type="http://schemas.openxmlformats.org/officeDocument/2006/relationships/hyperlink" Target="https://www.ntc.gov.au/sites/default/files/assets/files/Carbon%20dioxide%20emissions%20intensity%20for%20new%20Australian%20light%20vehicles%202018.pdf" TargetMode="External"/><Relationship Id="rId5" Type="http://schemas.openxmlformats.org/officeDocument/2006/relationships/hyperlink" Target="https://www.transport.govt.nz/statistics-and-insights/safety-road-deaths/sheet/death-on-nz-roads-since-1921" TargetMode="External"/><Relationship Id="rId15" Type="http://schemas.openxmlformats.org/officeDocument/2006/relationships/hyperlink" Target="https://www.tac.vic.gov.au/clients/how-we-can-help/compensation/common-law-compensation/common-law-fact-sheets/what-is-serious-injury" TargetMode="External"/><Relationship Id="rId23" Type="http://schemas.openxmlformats.org/officeDocument/2006/relationships/hyperlink" Target="https://datahub.roadsafety.gov.au/safe-systems/safe-road-use/police-enforcement" TargetMode="External"/><Relationship Id="rId28" Type="http://schemas.openxmlformats.org/officeDocument/2006/relationships/hyperlink" Target="https://doi.org/10.1016/0001-4575(95)00066-6" TargetMode="External"/><Relationship Id="rId36" Type="http://schemas.openxmlformats.org/officeDocument/2006/relationships/hyperlink" Target="https://www.abs.gov.au/statistics/industry/tourism-and-transport/survey-motor-vehicle-use-australia/12-months-ended-30-june-2020/92080DO002_202006.xls" TargetMode="External"/><Relationship Id="rId49" Type="http://schemas.openxmlformats.org/officeDocument/2006/relationships/hyperlink" Target="https://www.abs.gov.au/statistics/standards/australian-statistical-geography-standard-asgs-edition-3/jul2021-jun2026/remoteness-structure/remoteness-areas" TargetMode="External"/><Relationship Id="rId57" Type="http://schemas.openxmlformats.org/officeDocument/2006/relationships/hyperlink" Target="https://www.aer.gov.au/documents/aer-valuing-emissions-reduction-final-guidance-and-explanatory-statement-may-2024" TargetMode="External"/><Relationship Id="rId61" Type="http://schemas.openxmlformats.org/officeDocument/2006/relationships/hyperlink" Target="https://consult.dcceew.gov.au/better-fuel-for-cleaner-vehicles" TargetMode="External"/><Relationship Id="rId10" Type="http://schemas.openxmlformats.org/officeDocument/2006/relationships/hyperlink" Target="https://www150.statcan.gc.ca/t1/tbl1/en/tv.action?pid=1710000501" TargetMode="External"/><Relationship Id="rId19" Type="http://schemas.openxmlformats.org/officeDocument/2006/relationships/hyperlink" Target="https://www.nhmrc.gov.au/about-us/resources/impact-case-studies/reducing-speed-improving-safety" TargetMode="External"/><Relationship Id="rId31" Type="http://schemas.openxmlformats.org/officeDocument/2006/relationships/hyperlink" Target="http://regulationbodyofknowledge.org/wp-content/uploads/2013/03/AustralianGovernment_Best_Practice_Regulation.pdf" TargetMode="External"/><Relationship Id="rId44" Type="http://schemas.openxmlformats.org/officeDocument/2006/relationships/hyperlink" Target="https://portal.research.lu.se/en/publications/traffic-safety-dimensions-and-the-power-model-to-describe-the-eff" TargetMode="External"/><Relationship Id="rId52" Type="http://schemas.openxmlformats.org/officeDocument/2006/relationships/hyperlink" Target="https://www.atap.gov.au/parameter-values/road-transport/4-crash-costs" TargetMode="External"/><Relationship Id="rId60" Type="http://schemas.openxmlformats.org/officeDocument/2006/relationships/hyperlink" Target="https://greenvehicleguide.gov.au/pages/UnderstandingEmissions/VehicleEmissions" TargetMode="External"/><Relationship Id="rId65" Type="http://schemas.openxmlformats.org/officeDocument/2006/relationships/hyperlink" Target="https://oia.pmc.gov.au/sites/default/files/2024-02/regulatory-burden-measurement-framework.pdf" TargetMode="External"/><Relationship Id="rId4" Type="http://schemas.openxmlformats.org/officeDocument/2006/relationships/hyperlink" Target="https://www.theguardian.com/australia-news/2025/jan/27/australia-road-toll-2024-1300-deaths-highest-in-more-than-a-decade" TargetMode="External"/><Relationship Id="rId9" Type="http://schemas.openxmlformats.org/officeDocument/2006/relationships/hyperlink" Target="https://tc.canada.ca/en/road-transportation/statistics-data/canadian-motor-vehicle-traffic-collision-statistics/2023/canadian-motor-vehicle-traffic-collision-statistics-2023" TargetMode="External"/><Relationship Id="rId14" Type="http://schemas.openxmlformats.org/officeDocument/2006/relationships/hyperlink" Target="https://www.transport.nsw.gov.au/roadsafety/statistics/serious-injuries" TargetMode="External"/><Relationship Id="rId22" Type="http://schemas.openxmlformats.org/officeDocument/2006/relationships/hyperlink" Target="https://datahub.roadsafety.gov.au/safe-systems/safe-road-use/police-enforcement" TargetMode="External"/><Relationship Id="rId27" Type="http://schemas.openxmlformats.org/officeDocument/2006/relationships/hyperlink" Target="https://www.psychologicalscience.org/news/motr/when-it-comes-to-driving-most-people-think-their-skills-are-above-average.html#:~:text=If%20you%20ask%20someone%20to,make%20them%20a%20bad%20driver.%E2%80%9D" TargetMode="External"/><Relationship Id="rId30" Type="http://schemas.openxmlformats.org/officeDocument/2006/relationships/hyperlink" Target="https://www.pmc.gov.au/sites/default/files/publications/australian-government-guide-to-regulatory-impact-analysis.pdf" TargetMode="External"/><Relationship Id="rId35" Type="http://schemas.openxmlformats.org/officeDocument/2006/relationships/hyperlink" Target="https://chartingtransport.com/2021/01/03/update-on-australian-transport-trends-december-2020/" TargetMode="External"/><Relationship Id="rId43" Type="http://schemas.openxmlformats.org/officeDocument/2006/relationships/hyperlink" Target="https://theicct.org/wp-content/uploads/2024/01/ID-76-%E2%80%93-EU-WLTP_final.pdf" TargetMode="External"/><Relationship Id="rId48" Type="http://schemas.openxmlformats.org/officeDocument/2006/relationships/hyperlink" Target="https://docs.analytica.com/index.php?title=Monte_Carlo_and_probabilistic_simulation" TargetMode="External"/><Relationship Id="rId56" Type="http://schemas.openxmlformats.org/officeDocument/2006/relationships/hyperlink" Target="https://www.abs.gov.au/statistics/standards/australian-statistical-geography-standard-asgs-edition-3/jul2021-jun2026/remoteness-structure/remoteness-areas" TargetMode="External"/><Relationship Id="rId64" Type="http://schemas.openxmlformats.org/officeDocument/2006/relationships/hyperlink" Target="https://www.atap.gov.au/parameter-values/road-transport/4-crash-costs" TargetMode="External"/><Relationship Id="rId8" Type="http://schemas.openxmlformats.org/officeDocument/2006/relationships/hyperlink" Target="https://www.nhtsa.gov/press-releases/nhtsa-2023-traffic-fatalities-2024-estimates" TargetMode="External"/><Relationship Id="rId51" Type="http://schemas.openxmlformats.org/officeDocument/2006/relationships/hyperlink" Target="https://oia.pmc.gov.au/resources/guidance-assessing-impacts/value-statistical-life" TargetMode="External"/><Relationship Id="rId3" Type="http://schemas.openxmlformats.org/officeDocument/2006/relationships/hyperlink" Target="https://www.abc.net.au/religion/road-fatalities-on-the-rise-australia-what-can-be-done/103532970" TargetMode="External"/><Relationship Id="rId12" Type="http://schemas.openxmlformats.org/officeDocument/2006/relationships/hyperlink" Target="https://www.bitre.gov.au/sites/default/files/is_076.pdf" TargetMode="External"/><Relationship Id="rId17" Type="http://schemas.openxmlformats.org/officeDocument/2006/relationships/hyperlink" Target="https://www.aaa.asn.au/2025/09/road-deaths-continue-to-climb/" TargetMode="External"/><Relationship Id="rId25" Type="http://schemas.openxmlformats.org/officeDocument/2006/relationships/hyperlink" Target="https://www.tac.vic.gov.au/road-safety/staying-safe/tired-driving" TargetMode="External"/><Relationship Id="rId33" Type="http://schemas.openxmlformats.org/officeDocument/2006/relationships/hyperlink" Target="https://www.bitre.gov.au/sites/default/files/documents/social-cost-of-road-crashes.pdf" TargetMode="External"/><Relationship Id="rId38" Type="http://schemas.openxmlformats.org/officeDocument/2006/relationships/hyperlink" Target="https://www.abs.gov.au/statistics/standards/australian-statistical-geography-standard-asgs-edition-3/jul2021-jun2026/remoteness-structure/remoteness-areas" TargetMode="External"/><Relationship Id="rId46" Type="http://schemas.openxmlformats.org/officeDocument/2006/relationships/hyperlink" Target="https://www.sciencedirect.com/science/article/abs/pii/S000145751830839X?via%3Dihub" TargetMode="External"/><Relationship Id="rId59" Type="http://schemas.openxmlformats.org/officeDocument/2006/relationships/hyperlink" Target="https://www.accc.gov.au/consumers/petrol-and-fuel/fuel-prices-in-regional-loca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Report%20portra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E1008E4DD9B4F079B1DBA1C9007DC03"/>
        <w:category>
          <w:name w:val="General"/>
          <w:gallery w:val="placeholder"/>
        </w:category>
        <w:types>
          <w:type w:val="bbPlcHdr"/>
        </w:types>
        <w:behaviors>
          <w:behavior w:val="content"/>
        </w:behaviors>
        <w:guid w:val="{28FA331B-2516-4AEA-8407-77922208EC54}"/>
      </w:docPartPr>
      <w:docPartBody>
        <w:p w:rsidR="00422C95" w:rsidRDefault="000E2452">
          <w:pPr>
            <w:pStyle w:val="1E1008E4DD9B4F079B1DBA1C9007DC03"/>
          </w:pPr>
          <w:r w:rsidRPr="00EC51DD">
            <w:rPr>
              <w:rStyle w:val="PlaceholderText"/>
            </w:rPr>
            <w:t>[Publish Date]</w:t>
          </w:r>
        </w:p>
      </w:docPartBody>
    </w:docPart>
    <w:docPart>
      <w:docPartPr>
        <w:name w:val="0FF558FCC2924FAAA7E264D921694342"/>
        <w:category>
          <w:name w:val="General"/>
          <w:gallery w:val="placeholder"/>
        </w:category>
        <w:types>
          <w:type w:val="bbPlcHdr"/>
        </w:types>
        <w:behaviors>
          <w:behavior w:val="content"/>
        </w:behaviors>
        <w:guid w:val="{F70885D1-655E-439E-B494-E0440825B51D}"/>
      </w:docPartPr>
      <w:docPartBody>
        <w:p w:rsidR="00422C95" w:rsidRDefault="000E2452">
          <w:pPr>
            <w:pStyle w:val="0FF558FCC2924FAAA7E264D921694342"/>
          </w:pPr>
          <w:r w:rsidRPr="00650DDB">
            <w:rPr>
              <w:highlight w:val="yellow"/>
              <w:lang w:val="x-none"/>
            </w:rPr>
            <w:t>[select format option]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C95"/>
    <w:rsid w:val="000321B0"/>
    <w:rsid w:val="00040492"/>
    <w:rsid w:val="000411AB"/>
    <w:rsid w:val="00090B55"/>
    <w:rsid w:val="00096ED0"/>
    <w:rsid w:val="000E2452"/>
    <w:rsid w:val="000E456B"/>
    <w:rsid w:val="001350DF"/>
    <w:rsid w:val="00142EFA"/>
    <w:rsid w:val="0019392D"/>
    <w:rsid w:val="001C4780"/>
    <w:rsid w:val="002009DE"/>
    <w:rsid w:val="00201EEE"/>
    <w:rsid w:val="00217692"/>
    <w:rsid w:val="00260F87"/>
    <w:rsid w:val="002D03A6"/>
    <w:rsid w:val="00341788"/>
    <w:rsid w:val="00354C78"/>
    <w:rsid w:val="00422C95"/>
    <w:rsid w:val="00474828"/>
    <w:rsid w:val="004B057A"/>
    <w:rsid w:val="00520AC2"/>
    <w:rsid w:val="00543A2C"/>
    <w:rsid w:val="00544346"/>
    <w:rsid w:val="005C74EA"/>
    <w:rsid w:val="00613455"/>
    <w:rsid w:val="00656C84"/>
    <w:rsid w:val="006C3A06"/>
    <w:rsid w:val="006C3C62"/>
    <w:rsid w:val="006F5F75"/>
    <w:rsid w:val="00703B0F"/>
    <w:rsid w:val="00784878"/>
    <w:rsid w:val="007B1221"/>
    <w:rsid w:val="00854ED1"/>
    <w:rsid w:val="008668A6"/>
    <w:rsid w:val="00893DD3"/>
    <w:rsid w:val="008A46C5"/>
    <w:rsid w:val="00917ED5"/>
    <w:rsid w:val="0092794C"/>
    <w:rsid w:val="009A5204"/>
    <w:rsid w:val="009B1E7C"/>
    <w:rsid w:val="009B7CC2"/>
    <w:rsid w:val="009D1DC4"/>
    <w:rsid w:val="009E6547"/>
    <w:rsid w:val="00A16A88"/>
    <w:rsid w:val="00A174D9"/>
    <w:rsid w:val="00A3547B"/>
    <w:rsid w:val="00AA0B30"/>
    <w:rsid w:val="00B143D5"/>
    <w:rsid w:val="00B97DAA"/>
    <w:rsid w:val="00C23309"/>
    <w:rsid w:val="00C41AD2"/>
    <w:rsid w:val="00C739FA"/>
    <w:rsid w:val="00C82D1B"/>
    <w:rsid w:val="00CA6AD3"/>
    <w:rsid w:val="00CC6893"/>
    <w:rsid w:val="00D17389"/>
    <w:rsid w:val="00D30F8D"/>
    <w:rsid w:val="00D757D7"/>
    <w:rsid w:val="00D75B9F"/>
    <w:rsid w:val="00DE59B0"/>
    <w:rsid w:val="00E05200"/>
    <w:rsid w:val="00E4334F"/>
    <w:rsid w:val="00E63D25"/>
    <w:rsid w:val="00EC0B89"/>
    <w:rsid w:val="00EE22ED"/>
    <w:rsid w:val="00F05F1C"/>
    <w:rsid w:val="00F54F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2D1B"/>
    <w:rPr>
      <w:color w:val="808080"/>
    </w:rPr>
  </w:style>
  <w:style w:type="paragraph" w:customStyle="1" w:styleId="1E1008E4DD9B4F079B1DBA1C9007DC03">
    <w:name w:val="1E1008E4DD9B4F079B1DBA1C9007DC03"/>
  </w:style>
  <w:style w:type="paragraph" w:customStyle="1" w:styleId="0FF558FCC2924FAAA7E264D921694342">
    <w:name w:val="0FF558FCC2924FAAA7E264D921694342"/>
  </w:style>
  <w:style w:type="paragraph" w:customStyle="1" w:styleId="701D448F48464D7DBA4D516FCB4A013D">
    <w:name w:val="701D448F48464D7DBA4D516FCB4A013D"/>
    <w:rsid w:val="00422C95"/>
    <w:pPr>
      <w:spacing w:line="278" w:lineRule="auto"/>
    </w:pPr>
    <w:rPr>
      <w:kern w:val="2"/>
      <w:sz w:val="24"/>
      <w:szCs w:val="24"/>
      <w14:ligatures w14:val="standardContextual"/>
    </w:rPr>
  </w:style>
  <w:style w:type="paragraph" w:customStyle="1" w:styleId="12D8B6531AEB4DC2B66D9845A58F9114">
    <w:name w:val="12D8B6531AEB4DC2B66D9845A58F9114"/>
    <w:rsid w:val="00C82D1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2025-09-26T00:00:00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04C2ED6474624087625D5BC8BDA46B" ma:contentTypeVersion="9" ma:contentTypeDescription="Create a new document." ma:contentTypeScope="" ma:versionID="9b55e86ec32ddf62e867b6ff51eb1982">
  <xsd:schema xmlns:xsd="http://www.w3.org/2001/XMLSchema" xmlns:xs="http://www.w3.org/2001/XMLSchema" xmlns:p="http://schemas.microsoft.com/office/2006/metadata/properties" xmlns:ns2="b3b9b181-06e0-4268-af22-c6840c33967c" xmlns:ns3="40b89a2c-dbe8-4aa4-bd74-be5189addec4" targetNamespace="http://schemas.microsoft.com/office/2006/metadata/properties" ma:root="true" ma:fieldsID="59add822de70a2ee165fa5d5abf4bd24" ns2:_="" ns3:_="">
    <xsd:import namespace="b3b9b181-06e0-4268-af22-c6840c33967c"/>
    <xsd:import namespace="40b89a2c-dbe8-4aa4-bd74-be5189addec4"/>
    <xsd:element name="properties">
      <xsd:complexType>
        <xsd:sequence>
          <xsd:element name="documentManagement">
            <xsd:complexType>
              <xsd:all>
                <xsd:element ref="ns2:RecordNumber" minOccurs="0"/>
                <xsd:element ref="ns2:g7a2f445ab5e4aa2ad49ebf38fd81cc6" minOccurs="0"/>
                <xsd:element ref="ns2:TaxCatchAll" minOccurs="0"/>
                <xsd:element ref="ns2:TaxCatchAllLabel" minOccurs="0"/>
                <xsd:element ref="ns2:ne6d73d4a8b14472a6a14c195f235605" minOccurs="0"/>
                <xsd:element ref="ns2:Destroy Item46" minOccurs="0"/>
                <xsd:element ref="ns2:Justification for Destruction47" minOccurs="0"/>
                <xsd:element ref="ns2:Document_x0020_SP_x0020_Type" minOccurs="0"/>
                <xsd:element ref="ns2:SharedWithUsers" minOccurs="0"/>
                <xsd:element ref="ns2:SharedWithDetails" minOccurs="0"/>
                <xsd:element ref="ns3:Project_x0020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9b181-06e0-4268-af22-c6840c33967c"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g7a2f445ab5e4aa2ad49ebf38fd81cc6" ma:index="9" ma:taxonomy="true" ma:internalName="g7a2f445ab5e4aa2ad49ebf38fd81cc6" ma:taxonomyFieldName="Security_x0020_Classification" ma:displayName="Security Classification" ma:readOnly="false" ma:default="1;#OFFICIAL|66ee57a8-59d0-46bc-a5fc-78440ee0cf81" ma:fieldId="{07a2f445-ab5e-4aa2-ad49-ebf38fd81cc6}"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b652d38-8c68-4034-afbd-1c7523511a25}" ma:internalName="TaxCatchAll" ma:showField="CatchAllData"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b652d38-8c68-4034-afbd-1c7523511a25}" ma:internalName="TaxCatchAllLabel" ma:readOnly="true" ma:showField="CatchAllDataLabel"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ne6d73d4a8b14472a6a14c195f235605" ma:index="13" nillable="true" ma:taxonomy="true" ma:internalName="ne6d73d4a8b14472a6a14c195f235605" ma:taxonomyFieldName="Information_x0020_Management_x0020_Marker" ma:displayName="Information Management Marker" ma:default="" ma:fieldId="{7e6d73d4-a8b1-4472-a6a1-4c195f235605}"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b89a2c-dbe8-4aa4-bd74-be5189addec4" elementFormDefault="qualified">
    <xsd:import namespace="http://schemas.microsoft.com/office/2006/documentManagement/types"/>
    <xsd:import namespace="http://schemas.microsoft.com/office/infopath/2007/PartnerControls"/>
    <xsd:element name="Project_x0020_activity" ma:index="21" nillable="true" ma:displayName="Project activity" ma:default="None" ma:description="Document types/phases of the project" ma:internalName="Project_x0020_activit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roperties xmlns="http://www.imanage.com/work/xmlschema">
  <documentid>ACTIVE!1051576.1</documentid>
  <senderid>MGARCIA</senderid>
  <senderemail>M.GARCIA@ACILALLEN.COM.AU</senderemail>
  <lastmodified>2025-09-26T12:11:00.0000000+10:00</lastmodified>
  <database>ACTIVE</database>
</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565E30-B6BA-43B3-84F1-D398C036B8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9b181-06e0-4268-af22-c6840c33967c"/>
    <ds:schemaRef ds:uri="40b89a2c-dbe8-4aa4-bd74-be5189add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C9BB2B-4515-4C2E-8488-8FD69A15DB81}">
  <ds:schemaRefs>
    <ds:schemaRef ds:uri="http://schemas.microsoft.com/sharepoint/v3/contenttype/forms"/>
  </ds:schemaRefs>
</ds:datastoreItem>
</file>

<file path=customXml/itemProps4.xml><?xml version="1.0" encoding="utf-8"?>
<ds:datastoreItem xmlns:ds="http://schemas.openxmlformats.org/officeDocument/2006/customXml" ds:itemID="{E8C4375F-8922-4E5D-B976-FBDED10265AD}">
  <ds:schemaRefs>
    <ds:schemaRef ds:uri="http://schemas.openxmlformats.org/officeDocument/2006/bibliography"/>
    <ds:schemaRef ds:uri="http://www.imanage.com/work/xmlschema"/>
  </ds:schemaRefs>
</ds:datastoreItem>
</file>

<file path=customXml/itemProps5.xml><?xml version="1.0" encoding="utf-8"?>
<ds:datastoreItem xmlns:ds="http://schemas.openxmlformats.org/officeDocument/2006/customXml" ds:itemID="{396E888F-73AC-4C28-8686-F7A67CED0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portrait.dotx</Template>
  <TotalTime>108</TotalTime>
  <Pages>78</Pages>
  <Words>27558</Words>
  <Characters>157086</Characters>
  <Application>Microsoft Office Word</Application>
  <DocSecurity>0</DocSecurity>
  <Lines>1309</Lines>
  <Paragraphs>368</Paragraphs>
  <ScaleCrop>false</ScaleCrop>
  <HeadingPairs>
    <vt:vector size="2" baseType="variant">
      <vt:variant>
        <vt:lpstr>Title</vt:lpstr>
      </vt:variant>
      <vt:variant>
        <vt:i4>1</vt:i4>
      </vt:variant>
    </vt:vector>
  </HeadingPairs>
  <TitlesOfParts>
    <vt:vector size="1" baseType="lpstr">
      <vt:lpstr>Consultation Regulatory Impact Analysis—Reducing default speed limits outside of built-up areas—September 2025</vt:lpstr>
    </vt:vector>
  </TitlesOfParts>
  <Company>Australian Government, Department of Infrastructure, Transport, Regional Development, Communications, Sport and the Arts</Company>
  <LinksUpToDate>false</LinksUpToDate>
  <CharactersWithSpaces>184276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Regulatory Impact Analysis—Reducing default speed limits outside of built-up areas—September 2025</dc:title>
  <dc:subject/>
  <dc:creator>Australian Government, Department of Infrastructure, Transport, Regional Development, Communications, Sport and the Arts</dc:creator>
  <cp:keywords/>
  <dc:description/>
  <cp:lastModifiedBy>Hall, Theresa</cp:lastModifiedBy>
  <cp:revision>12</cp:revision>
  <cp:lastPrinted>2025-09-26T02:08:00Z</cp:lastPrinted>
  <dcterms:created xsi:type="dcterms:W3CDTF">2025-09-29T02:59:00Z</dcterms:created>
  <dcterms:modified xsi:type="dcterms:W3CDTF">2025-09-29T05:25:00Z</dcterms:modified>
  <cp:category/>
  <cp:contentStatus>OFFICIAL / OFFICIAL: SENSITIVE / PROTECTEDSELECT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0x0101005204C2ED6474624087625D5BC8BDA46B</vt:lpwstr>
  </property>
</Properties>
</file>