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A45" w:rsidRDefault="0000270B" w:rsidP="00A5739D">
      <w:pPr>
        <w:spacing w:after="0"/>
        <w:ind w:left="-1418"/>
        <w:sectPr w:rsidR="00133A45" w:rsidSect="00133A45">
          <w:headerReference w:type="default" r:id="rId12"/>
          <w:footerReference w:type="default" r:id="rId13"/>
          <w:footerReference w:type="first" r:id="rId14"/>
          <w:pgSz w:w="11906" w:h="16838"/>
          <w:pgMar w:top="0" w:right="991" w:bottom="1276" w:left="1440" w:header="0" w:footer="397" w:gutter="0"/>
          <w:cols w:space="708"/>
          <w:titlePg/>
          <w:docGrid w:linePitch="360"/>
        </w:sectPr>
      </w:pPr>
      <w:bookmarkStart w:id="0" w:name="_GoBack"/>
      <w:bookmarkEnd w:id="0"/>
      <w:r>
        <w:rPr>
          <w:noProof/>
          <w:lang w:eastAsia="en-AU"/>
        </w:rPr>
        <w:drawing>
          <wp:inline distT="0" distB="0" distL="0" distR="0" wp14:anchorId="36E9AF6B" wp14:editId="3DFB5C29">
            <wp:extent cx="7542202" cy="1262472"/>
            <wp:effectExtent l="0" t="0" r="1905" b="0"/>
            <wp:docPr id="1" name="Picture 1"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5286" cy="1291444"/>
                    </a:xfrm>
                    <a:prstGeom prst="rect">
                      <a:avLst/>
                    </a:prstGeom>
                  </pic:spPr>
                </pic:pic>
              </a:graphicData>
            </a:graphic>
          </wp:inline>
        </w:drawing>
      </w:r>
    </w:p>
    <w:p w:rsidR="00772C27" w:rsidRPr="00A5739D" w:rsidRDefault="00B26ADD" w:rsidP="00A5739D">
      <w:pPr>
        <w:pStyle w:val="Heading1"/>
        <w:shd w:val="clear" w:color="auto" w:fill="auto"/>
        <w:spacing w:before="120"/>
        <w:rPr>
          <w:color w:val="002D72"/>
        </w:rPr>
      </w:pPr>
      <w:r w:rsidRPr="00A5739D">
        <w:rPr>
          <w:color w:val="002D72"/>
        </w:rPr>
        <w:t xml:space="preserve">Consultation </w:t>
      </w:r>
      <w:r w:rsidR="00EB3243" w:rsidRPr="00A5739D">
        <w:rPr>
          <w:color w:val="002D72"/>
        </w:rPr>
        <w:t xml:space="preserve">Paper: </w:t>
      </w:r>
      <w:r w:rsidR="00CB01A4" w:rsidRPr="00A5739D">
        <w:rPr>
          <w:color w:val="002D72"/>
        </w:rPr>
        <w:t>Exemptions for controllers of superfast fixed-line networks from separation requirements</w:t>
      </w:r>
    </w:p>
    <w:p w:rsidR="00772C27" w:rsidRPr="00A5739D" w:rsidRDefault="00E535D6" w:rsidP="00A5739D">
      <w:pPr>
        <w:spacing w:after="120"/>
        <w:rPr>
          <w:rFonts w:ascii="Segoe UI Semibold" w:hAnsi="Segoe UI Semibold" w:cs="Segoe UI Semibold"/>
          <w:color w:val="002D72"/>
        </w:rPr>
      </w:pPr>
      <w:r w:rsidRPr="00A5739D">
        <w:rPr>
          <w:rFonts w:ascii="Segoe UI Semibold" w:hAnsi="Segoe UI Semibold" w:cs="Segoe UI Semibold"/>
          <w:color w:val="002D72"/>
        </w:rPr>
        <w:t>January</w:t>
      </w:r>
      <w:r w:rsidR="00DF79B9" w:rsidRPr="00A5739D">
        <w:rPr>
          <w:rFonts w:ascii="Segoe UI Semibold" w:hAnsi="Segoe UI Semibold" w:cs="Segoe UI Semibold"/>
          <w:color w:val="002D72"/>
        </w:rPr>
        <w:t xml:space="preserve"> </w:t>
      </w:r>
      <w:r w:rsidR="000A3747" w:rsidRPr="00A5739D">
        <w:rPr>
          <w:rFonts w:ascii="Segoe UI Semibold" w:hAnsi="Segoe UI Semibold" w:cs="Segoe UI Semibold"/>
          <w:color w:val="002D72"/>
        </w:rPr>
        <w:t>202</w:t>
      </w:r>
      <w:r w:rsidRPr="00A5739D">
        <w:rPr>
          <w:rFonts w:ascii="Segoe UI Semibold" w:hAnsi="Segoe UI Semibold" w:cs="Segoe UI Semibold"/>
          <w:color w:val="002D72"/>
        </w:rPr>
        <w:t>1</w:t>
      </w:r>
    </w:p>
    <w:p w:rsidR="000A3747" w:rsidRPr="000A3747" w:rsidRDefault="000A3747" w:rsidP="000A3747">
      <w:pPr>
        <w:pStyle w:val="Heading2"/>
      </w:pPr>
      <w:r w:rsidRPr="000A3747">
        <w:t>Purpose</w:t>
      </w:r>
    </w:p>
    <w:p w:rsidR="00A67B25" w:rsidRDefault="00215931" w:rsidP="000A2C7A">
      <w:r>
        <w:t>This consultation paper seeks views on whether the Australian Competition and Consumer Com</w:t>
      </w:r>
      <w:r w:rsidR="004A5DCC">
        <w:t>mission (ACCC) should have the power</w:t>
      </w:r>
      <w:r>
        <w:t xml:space="preserve"> to </w:t>
      </w:r>
      <w:r w:rsidR="0011200C">
        <w:t>allow certain high speed fixed line networks (referred to as ‘networks’ in this paper) to offer both wholesale and retail services.</w:t>
      </w:r>
      <w:r w:rsidR="0011200C">
        <w:rPr>
          <w:rStyle w:val="FootnoteReference"/>
        </w:rPr>
        <w:footnoteReference w:id="2"/>
      </w:r>
      <w:r w:rsidR="00146715">
        <w:t xml:space="preserve"> </w:t>
      </w:r>
      <w:r w:rsidR="0011200C">
        <w:t>Networks</w:t>
      </w:r>
      <w:r w:rsidR="00CB01A4">
        <w:t xml:space="preserve"> </w:t>
      </w:r>
      <w:r>
        <w:t xml:space="preserve">with 2,000 or less customers can already provide both retail </w:t>
      </w:r>
      <w:r>
        <w:lastRenderedPageBreak/>
        <w:t xml:space="preserve">and wholesale services. </w:t>
      </w:r>
      <w:r w:rsidR="00A92B22">
        <w:t xml:space="preserve">However, </w:t>
      </w:r>
      <w:r w:rsidR="00A92B22" w:rsidRPr="002F05AE">
        <w:t xml:space="preserve">regulations </w:t>
      </w:r>
      <w:r w:rsidR="0011200C">
        <w:t>can be made to increase this</w:t>
      </w:r>
      <w:r w:rsidR="00A92B22" w:rsidRPr="002F05AE">
        <w:t xml:space="preserve"> limit to up to 12,000 customers. The </w:t>
      </w:r>
      <w:r w:rsidR="00A63308" w:rsidRPr="00A63308">
        <w:t>Minister for Communications, Urban Infrastructure, Cities and the Arts</w:t>
      </w:r>
      <w:r w:rsidR="00A63308">
        <w:t xml:space="preserve"> </w:t>
      </w:r>
      <w:r w:rsidR="004A5DCC">
        <w:t xml:space="preserve">is considering </w:t>
      </w:r>
      <w:r w:rsidR="00A92B22" w:rsidRPr="002F05AE">
        <w:t>whether regulations of t</w:t>
      </w:r>
      <w:r w:rsidR="004A5DCC">
        <w:t>hat nature should be made. T</w:t>
      </w:r>
      <w:r w:rsidR="00A92B22" w:rsidRPr="002F05AE">
        <w:t>his consultation process will inform that decision</w:t>
      </w:r>
      <w:r w:rsidR="00A67B25">
        <w:t>.</w:t>
      </w:r>
    </w:p>
    <w:p w:rsidR="00C32107" w:rsidRDefault="00C32107" w:rsidP="00A668AC">
      <w:pPr>
        <w:pStyle w:val="Heading2"/>
      </w:pPr>
      <w:r>
        <w:t>Submission process</w:t>
      </w:r>
    </w:p>
    <w:p w:rsidR="00C32107" w:rsidRDefault="00C32107" w:rsidP="00C32107">
      <w:r w:rsidRPr="008354F3">
        <w:t>The Department of Infrastructure, Transport, Regional Development and Communications</w:t>
      </w:r>
      <w:r w:rsidR="004537B1">
        <w:t xml:space="preserve"> (the Department)</w:t>
      </w:r>
      <w:r>
        <w:t xml:space="preserve"> welcomes submissions from individuals, businesses, peak bodies and other interested parties on the matters set out in this</w:t>
      </w:r>
      <w:r w:rsidR="00B26ADD">
        <w:t xml:space="preserve"> consultation</w:t>
      </w:r>
      <w:r>
        <w:t xml:space="preserve"> paper.</w:t>
      </w:r>
    </w:p>
    <w:p w:rsidR="00C32107" w:rsidRDefault="00C32107" w:rsidP="00C32107">
      <w:r>
        <w:t xml:space="preserve">Submissions will be accepted until close of business </w:t>
      </w:r>
      <w:r w:rsidR="00E535D6" w:rsidRPr="00E535D6">
        <w:t>Friday 5 February</w:t>
      </w:r>
      <w:r w:rsidR="00E535D6">
        <w:t xml:space="preserve"> 2021 </w:t>
      </w:r>
      <w:r>
        <w:t>via:</w:t>
      </w:r>
    </w:p>
    <w:p w:rsidR="00E9396C" w:rsidRDefault="00C32107" w:rsidP="00A67B25">
      <w:pPr>
        <w:ind w:left="567"/>
        <w:rPr>
          <w:u w:val="single"/>
        </w:rPr>
      </w:pPr>
      <w:r w:rsidRPr="00A5739D">
        <w:t>Email:</w:t>
      </w:r>
      <w:r w:rsidRPr="00A5739D">
        <w:br/>
      </w:r>
      <w:hyperlink r:id="rId16" w:history="1">
        <w:r w:rsidR="00A67B25" w:rsidRPr="00CF365B">
          <w:rPr>
            <w:rStyle w:val="Hyperlink"/>
          </w:rPr>
          <w:t>InfrastructureAndAccess@infrastructure.gov.au</w:t>
        </w:r>
      </w:hyperlink>
      <w:r w:rsidR="00A67B25">
        <w:t xml:space="preserve"> </w:t>
      </w:r>
      <w:r>
        <w:t>or</w:t>
      </w:r>
    </w:p>
    <w:p w:rsidR="00C32107" w:rsidRDefault="00C32107" w:rsidP="00A67B25">
      <w:pPr>
        <w:ind w:left="567"/>
      </w:pPr>
      <w:r w:rsidRPr="00A5739D">
        <w:t>Post:</w:t>
      </w:r>
      <w:r w:rsidRPr="00A5739D">
        <w:br/>
      </w:r>
      <w:r>
        <w:t>Director, Telecommunications Competition</w:t>
      </w:r>
      <w:r>
        <w:br/>
        <w:t>Department of Infrastructure, Transport, Regional Development and Communications</w:t>
      </w:r>
      <w:r w:rsidR="00A67B25">
        <w:br/>
      </w:r>
      <w:r>
        <w:t>GPO Box 2154</w:t>
      </w:r>
      <w:r>
        <w:br/>
        <w:t>CANBERRA ACT 2601</w:t>
      </w:r>
    </w:p>
    <w:p w:rsidR="00C32107" w:rsidRDefault="00C32107" w:rsidP="00C32107">
      <w:r>
        <w:t xml:space="preserve">Personal information such as your name and contact details will be collected by the Department through this consultation process when it is contained in submissions (including submissions in the form of an email or letter). Submissions will be used </w:t>
      </w:r>
      <w:r w:rsidR="00B26ADD">
        <w:t>to consider</w:t>
      </w:r>
      <w:r>
        <w:t xml:space="preserve"> the Government’s position</w:t>
      </w:r>
      <w:r w:rsidR="007477AE">
        <w:t>.</w:t>
      </w:r>
    </w:p>
    <w:p w:rsidR="00C32107" w:rsidRDefault="00C32107" w:rsidP="00C32107">
      <w:r>
        <w:lastRenderedPageBreak/>
        <w:t>All submissions will be published on the Department’s website unless a need for confidentiality is indicated to the Department in writing at the time of submission. The names of individuals who submit will be published with their submission unless a request for anonymity is made in writing with the submission. It is not our practice to publish contact details or other personal information contained in submissions and, if included by submitters, th</w:t>
      </w:r>
      <w:r w:rsidR="00B26ADD">
        <w:t>ese details</w:t>
      </w:r>
      <w:r>
        <w:t xml:space="preserve"> will be redacted prior to publication.</w:t>
      </w:r>
    </w:p>
    <w:p w:rsidR="00C32107" w:rsidRDefault="00C32107" w:rsidP="00C32107">
      <w:r>
        <w:t xml:space="preserve">Your name, contact details and other personal information will not be provided to any other person or organisation unless it is required </w:t>
      </w:r>
      <w:r w:rsidR="00B26ADD">
        <w:t>to consider</w:t>
      </w:r>
      <w:r>
        <w:t xml:space="preserve"> the Government’s position</w:t>
      </w:r>
      <w:r w:rsidR="007477AE">
        <w:t xml:space="preserve">, required by law </w:t>
      </w:r>
      <w:r>
        <w:t>or we seek, and you give us, your permission to do so.</w:t>
      </w:r>
    </w:p>
    <w:p w:rsidR="008354F3" w:rsidRDefault="00C32107" w:rsidP="00C32107">
      <w:r>
        <w:t xml:space="preserve">The Department’s Privacy Policy contains information about privacy obligations, as well as complaint handling processes and how to access and/or seek correction of personal information held by the Department. If you wish to correct personal information in relation to your submission to this consultation process, please email </w:t>
      </w:r>
      <w:hyperlink r:id="rId17" w:history="1">
        <w:r w:rsidR="00A5739D" w:rsidRPr="00CF365B">
          <w:rPr>
            <w:rStyle w:val="Hyperlink"/>
          </w:rPr>
          <w:t>InfrastructureAndAccess@infrastructure.gov.au</w:t>
        </w:r>
      </w:hyperlink>
      <w:r>
        <w:t>.</w:t>
      </w:r>
    </w:p>
    <w:p w:rsidR="000A3747" w:rsidRDefault="0016288C" w:rsidP="00F058EA">
      <w:pPr>
        <w:pStyle w:val="Heading2"/>
      </w:pPr>
      <w:r>
        <w:t>Background</w:t>
      </w:r>
    </w:p>
    <w:p w:rsidR="00215931" w:rsidRDefault="00CB01A4" w:rsidP="00215931">
      <w:r>
        <w:t>Since 1 January 2011, controllers</w:t>
      </w:r>
      <w:r w:rsidR="00215931">
        <w:t xml:space="preserve"> of newly built </w:t>
      </w:r>
      <w:r w:rsidR="00215931" w:rsidRPr="009327F2">
        <w:t>networks</w:t>
      </w:r>
      <w:r w:rsidR="00F01627">
        <w:t xml:space="preserve"> </w:t>
      </w:r>
      <w:r w:rsidR="00215931">
        <w:t xml:space="preserve">must operate those networks on </w:t>
      </w:r>
      <w:r w:rsidR="0013764C">
        <w:t>a wholesale-</w:t>
      </w:r>
      <w:r w:rsidR="00215931">
        <w:t>only basis. This means that a company that cont</w:t>
      </w:r>
      <w:r w:rsidR="007477AE">
        <w:t>rols a network cannot itself</w:t>
      </w:r>
      <w:r w:rsidR="00215931">
        <w:t xml:space="preserve"> supply retail </w:t>
      </w:r>
      <w:r w:rsidR="007477AE">
        <w:t xml:space="preserve">services over it – instead that company </w:t>
      </w:r>
      <w:r w:rsidR="00215931">
        <w:t>must ask other companies to supply retail services to resi</w:t>
      </w:r>
      <w:r w:rsidR="00A5739D">
        <w:t>dents connected to the network.</w:t>
      </w:r>
    </w:p>
    <w:p w:rsidR="00A67B25" w:rsidRDefault="00215931">
      <w:r>
        <w:lastRenderedPageBreak/>
        <w:t>These requirem</w:t>
      </w:r>
      <w:r w:rsidR="004A5DCC">
        <w:t xml:space="preserve">ents are important because it is possible for a </w:t>
      </w:r>
      <w:r>
        <w:t xml:space="preserve">network operator </w:t>
      </w:r>
      <w:r w:rsidR="004A5DCC">
        <w:t xml:space="preserve">that </w:t>
      </w:r>
      <w:r>
        <w:t>is both a whole</w:t>
      </w:r>
      <w:r w:rsidR="004A5DCC">
        <w:t>saler and a retailer to</w:t>
      </w:r>
      <w:r>
        <w:t xml:space="preserve"> </w:t>
      </w:r>
      <w:r w:rsidR="0081379F">
        <w:t>advantage itself. For example, an integrated business may have incentives to preference its own retail arm on price and non-price terms</w:t>
      </w:r>
      <w:r w:rsidR="003F3889">
        <w:t xml:space="preserve"> (</w:t>
      </w:r>
      <w:r w:rsidR="0081379F">
        <w:t>for example, prioritising its own repairs</w:t>
      </w:r>
      <w:r w:rsidR="003F3889">
        <w:t>)</w:t>
      </w:r>
      <w:r w:rsidR="0081379F">
        <w:t>. Further, the retail arm may have greater access to information, for example, about network capabilities, scheduled maintenance and proposed upgrades.</w:t>
      </w:r>
      <w:r w:rsidR="004A5DCC">
        <w:t xml:space="preserve"> This, in turn, </w:t>
      </w:r>
      <w:r w:rsidR="0081379F">
        <w:t>could result in</w:t>
      </w:r>
      <w:r w:rsidR="00504C2F">
        <w:t xml:space="preserve"> competitors exit</w:t>
      </w:r>
      <w:r w:rsidR="0081379F">
        <w:t>ing</w:t>
      </w:r>
      <w:r w:rsidR="00504C2F">
        <w:t xml:space="preserve"> the market</w:t>
      </w:r>
      <w:r w:rsidR="0081379F">
        <w:t xml:space="preserve"> and deterring new entrants</w:t>
      </w:r>
      <w:r w:rsidR="00504C2F">
        <w:t xml:space="preserve">, </w:t>
      </w:r>
      <w:r w:rsidR="004537B1">
        <w:t xml:space="preserve">thereby </w:t>
      </w:r>
      <w:r w:rsidR="00504C2F">
        <w:t xml:space="preserve">narrowing </w:t>
      </w:r>
      <w:r w:rsidR="004A5DCC">
        <w:t>the number of retailers that</w:t>
      </w:r>
      <w:r>
        <w:t xml:space="preserve"> consumers</w:t>
      </w:r>
      <w:r w:rsidR="004A5DCC">
        <w:t xml:space="preserve"> can choose from</w:t>
      </w:r>
      <w:r>
        <w:t xml:space="preserve">. </w:t>
      </w:r>
      <w:r w:rsidR="004A5DCC">
        <w:t xml:space="preserve">Prices may increase </w:t>
      </w:r>
      <w:r w:rsidR="0011200C">
        <w:t xml:space="preserve">and choices may be more limited </w:t>
      </w:r>
      <w:r w:rsidR="004A5DCC">
        <w:t>as a result</w:t>
      </w:r>
      <w:r w:rsidR="00A67B25">
        <w:t>.</w:t>
      </w:r>
    </w:p>
    <w:p w:rsidR="00A67B25" w:rsidRDefault="0011200C">
      <w:r>
        <w:t>However</w:t>
      </w:r>
      <w:r w:rsidR="00215931">
        <w:t>, in some cases</w:t>
      </w:r>
      <w:r w:rsidR="004537B1">
        <w:t>,</w:t>
      </w:r>
      <w:r w:rsidR="00215931">
        <w:t xml:space="preserve"> integration between the wholesaler and the retai</w:t>
      </w:r>
      <w:r w:rsidR="004A5DCC">
        <w:t>ler on a network can result in</w:t>
      </w:r>
      <w:r w:rsidR="00215931">
        <w:t xml:space="preserve"> bette</w:t>
      </w:r>
      <w:r w:rsidR="004A5DCC">
        <w:t xml:space="preserve">r </w:t>
      </w:r>
      <w:r w:rsidR="004537B1">
        <w:t>outcomes</w:t>
      </w:r>
      <w:r w:rsidR="004A5DCC">
        <w:t xml:space="preserve"> for </w:t>
      </w:r>
      <w:r w:rsidR="00215931">
        <w:t xml:space="preserve">consumers. </w:t>
      </w:r>
      <w:r w:rsidR="004537B1">
        <w:t>For example</w:t>
      </w:r>
      <w:r w:rsidR="007477AE">
        <w:t xml:space="preserve">, if more </w:t>
      </w:r>
      <w:r w:rsidR="004A5DCC">
        <w:t>companies</w:t>
      </w:r>
      <w:r w:rsidR="00504C2F">
        <w:t xml:space="preserve"> </w:t>
      </w:r>
      <w:r w:rsidR="004537B1">
        <w:t xml:space="preserve">can </w:t>
      </w:r>
      <w:r w:rsidR="007477AE">
        <w:t xml:space="preserve">provide </w:t>
      </w:r>
      <w:r w:rsidR="00504C2F">
        <w:t>both</w:t>
      </w:r>
      <w:r w:rsidR="004A5DCC">
        <w:t xml:space="preserve"> retail and wholesale services, they may be able to generate the revenue needed </w:t>
      </w:r>
      <w:r w:rsidR="00504C2F">
        <w:t>to gain a foothold in the market</w:t>
      </w:r>
      <w:r w:rsidR="007477AE">
        <w:t xml:space="preserve">. </w:t>
      </w:r>
      <w:r w:rsidR="00146715">
        <w:t xml:space="preserve">In the longer term, this </w:t>
      </w:r>
      <w:r w:rsidR="007477AE">
        <w:t>may help those providers challenge</w:t>
      </w:r>
      <w:r w:rsidR="00504C2F">
        <w:t xml:space="preserve"> incumbent</w:t>
      </w:r>
      <w:r w:rsidR="007477AE">
        <w:t xml:space="preserve"> providers</w:t>
      </w:r>
      <w:r w:rsidR="00504C2F">
        <w:t>, in turn</w:t>
      </w:r>
      <w:r w:rsidR="004A5DCC">
        <w:t xml:space="preserve"> increasing competition at the retail and wholesale level</w:t>
      </w:r>
      <w:r w:rsidR="00A67B25">
        <w:t>.</w:t>
      </w:r>
    </w:p>
    <w:p w:rsidR="0013764C" w:rsidRPr="00A10231" w:rsidRDefault="0013764C" w:rsidP="00A5739D">
      <w:pPr>
        <w:pStyle w:val="Heading3"/>
      </w:pPr>
      <w:r w:rsidRPr="00A10231">
        <w:t>Recent changes to the law</w:t>
      </w:r>
    </w:p>
    <w:p w:rsidR="005547EE" w:rsidRDefault="00504C2F" w:rsidP="005547EE">
      <w:r>
        <w:t xml:space="preserve">The law was recently changed in a way that was designed </w:t>
      </w:r>
      <w:r w:rsidR="00A92B22">
        <w:t xml:space="preserve">to promote </w:t>
      </w:r>
      <w:r w:rsidR="00A92B22" w:rsidRPr="00A92B22">
        <w:t>infrastructure competition</w:t>
      </w:r>
      <w:r w:rsidR="00A5739D">
        <w:t xml:space="preserve"> in broadband services.</w:t>
      </w:r>
    </w:p>
    <w:p w:rsidR="005547EE" w:rsidRDefault="00CB01A4" w:rsidP="005547EE">
      <w:r>
        <w:t xml:space="preserve">The default rule remains that </w:t>
      </w:r>
      <w:r w:rsidR="005547EE" w:rsidRPr="009327F2">
        <w:t>networks</w:t>
      </w:r>
      <w:r w:rsidR="005547EE">
        <w:t xml:space="preserve"> must </w:t>
      </w:r>
      <w:r w:rsidR="0011200C">
        <w:t xml:space="preserve">operate </w:t>
      </w:r>
      <w:r w:rsidR="005547EE">
        <w:t>on a wholesale-only basis. However, t</w:t>
      </w:r>
      <w:r w:rsidR="003D692C" w:rsidRPr="00A92B22">
        <w:t xml:space="preserve">he </w:t>
      </w:r>
      <w:r w:rsidR="003D692C" w:rsidRPr="00A92B22">
        <w:rPr>
          <w:i/>
        </w:rPr>
        <w:t>Telecommunications Legislation Amendment (Competition and Consumer) Act 2020</w:t>
      </w:r>
      <w:r w:rsidR="003D692C" w:rsidRPr="00A92B22">
        <w:t xml:space="preserve"> (TLA Act)</w:t>
      </w:r>
      <w:r w:rsidR="000A3747" w:rsidRPr="00A92B22">
        <w:t xml:space="preserve"> amended Part 8</w:t>
      </w:r>
      <w:r w:rsidR="00504C2F">
        <w:t xml:space="preserve"> of the </w:t>
      </w:r>
      <w:r w:rsidR="00504C2F" w:rsidRPr="00A10231">
        <w:rPr>
          <w:i/>
        </w:rPr>
        <w:t>Telecommunications Act 1997</w:t>
      </w:r>
      <w:r w:rsidR="000A3747" w:rsidRPr="00A92B22">
        <w:t xml:space="preserve"> </w:t>
      </w:r>
      <w:r w:rsidR="005547EE">
        <w:t xml:space="preserve">such that a network can provide both retail and wholesale services for lines built or upgraded </w:t>
      </w:r>
      <w:r w:rsidR="00B20303">
        <w:t xml:space="preserve">from 1 </w:t>
      </w:r>
      <w:r w:rsidR="00B20303">
        <w:lastRenderedPageBreak/>
        <w:t>January</w:t>
      </w:r>
      <w:r w:rsidR="005547EE">
        <w:t xml:space="preserve"> 20</w:t>
      </w:r>
      <w:r w:rsidR="00B20303">
        <w:t>11</w:t>
      </w:r>
      <w:r w:rsidR="005547EE">
        <w:t>) that are used to provide superfast broadband services to residences if the ACCC accepts an undertaking setting out how the network will functionally separate its retail and wholesale services.</w:t>
      </w:r>
    </w:p>
    <w:p w:rsidR="00A92B22" w:rsidRDefault="00590544" w:rsidP="000A3747">
      <w:r w:rsidRPr="00A92B22">
        <w:t>T</w:t>
      </w:r>
      <w:r w:rsidR="00894D5F" w:rsidRPr="00A92B22">
        <w:t xml:space="preserve">he new laws </w:t>
      </w:r>
      <w:r w:rsidRPr="00A92B22">
        <w:t xml:space="preserve">also </w:t>
      </w:r>
      <w:r w:rsidR="00894D5F" w:rsidRPr="00A92B22">
        <w:t xml:space="preserve">allow the ACCC to </w:t>
      </w:r>
      <w:r w:rsidR="00504C2F">
        <w:t xml:space="preserve">exempt </w:t>
      </w:r>
      <w:r w:rsidR="00894D5F" w:rsidRPr="00A92B22">
        <w:t>network</w:t>
      </w:r>
      <w:r w:rsidR="0011200C">
        <w:t>s</w:t>
      </w:r>
      <w:r w:rsidR="00894D5F" w:rsidRPr="00A92B22">
        <w:t xml:space="preserve"> with up to 2,000 customers</w:t>
      </w:r>
      <w:r w:rsidR="00504C2F">
        <w:t xml:space="preserve"> from the wholesale-only requirements</w:t>
      </w:r>
      <w:r w:rsidR="005547EE">
        <w:t xml:space="preserve"> altogether</w:t>
      </w:r>
      <w:r w:rsidR="00894D5F" w:rsidRPr="00A92B22">
        <w:t xml:space="preserve">. </w:t>
      </w:r>
      <w:r w:rsidR="00504C2F">
        <w:t>Regulations can be made to increase the customer limit to which the exemption power applies to 12,000.</w:t>
      </w:r>
    </w:p>
    <w:p w:rsidR="000A3747" w:rsidRDefault="00A92B22" w:rsidP="000A3747">
      <w:r w:rsidRPr="00A92B22">
        <w:t>T</w:t>
      </w:r>
      <w:r w:rsidR="000A3747" w:rsidRPr="00A92B22">
        <w:t>he TLA Act also amend</w:t>
      </w:r>
      <w:r w:rsidR="00B0584A" w:rsidRPr="00A92B22">
        <w:t xml:space="preserve">ed </w:t>
      </w:r>
      <w:r w:rsidR="000A3747" w:rsidRPr="00A92B22">
        <w:t xml:space="preserve">the definition of </w:t>
      </w:r>
      <w:r w:rsidR="00B0584A" w:rsidRPr="00A92B22">
        <w:t>‘</w:t>
      </w:r>
      <w:r w:rsidR="000A3747" w:rsidRPr="00A92B22">
        <w:t>local access lines</w:t>
      </w:r>
      <w:r w:rsidR="00B0584A" w:rsidRPr="00A92B22">
        <w:t>’</w:t>
      </w:r>
      <w:r w:rsidR="001F2F9E">
        <w:t>.</w:t>
      </w:r>
      <w:r w:rsidR="000A3747" w:rsidRPr="00A92B22">
        <w:t xml:space="preserve"> </w:t>
      </w:r>
      <w:r w:rsidR="001F2F9E">
        <w:t>F</w:t>
      </w:r>
      <w:r w:rsidR="00E77AB0" w:rsidRPr="00A92B22">
        <w:t>rom 2</w:t>
      </w:r>
      <w:r w:rsidR="00B0584A" w:rsidRPr="00A92B22">
        <w:t>5</w:t>
      </w:r>
      <w:r w:rsidR="00E77AB0" w:rsidRPr="00A92B22">
        <w:t xml:space="preserve"> August 2020</w:t>
      </w:r>
      <w:r w:rsidR="009C0115" w:rsidRPr="00A92B22">
        <w:t>,</w:t>
      </w:r>
      <w:r w:rsidR="000A3747" w:rsidRPr="00A92B22">
        <w:t xml:space="preserve"> if a line in a multi-</w:t>
      </w:r>
      <w:r w:rsidR="006356F1" w:rsidRPr="00A92B22">
        <w:t>dwelling</w:t>
      </w:r>
      <w:r w:rsidR="000A3747" w:rsidRPr="00A92B22">
        <w:t xml:space="preserve"> building is used to supply a superfast carriage service to a residential customer in the building </w:t>
      </w:r>
      <w:r w:rsidR="00821369" w:rsidRPr="00A92B22">
        <w:t xml:space="preserve">then </w:t>
      </w:r>
      <w:r w:rsidR="00E77AB0" w:rsidRPr="00A92B22">
        <w:t>it</w:t>
      </w:r>
      <w:r w:rsidR="000A3747" w:rsidRPr="00A92B22">
        <w:t xml:space="preserve"> is taken to be a local access line </w:t>
      </w:r>
      <w:r w:rsidR="00E77AB0" w:rsidRPr="00A92B22">
        <w:t>that</w:t>
      </w:r>
      <w:r w:rsidR="000A3747" w:rsidRPr="00A92B22">
        <w:t xml:space="preserve"> form</w:t>
      </w:r>
      <w:r w:rsidR="00E77AB0" w:rsidRPr="00A92B22">
        <w:t>s</w:t>
      </w:r>
      <w:r w:rsidR="000A3747" w:rsidRPr="00A92B22">
        <w:t xml:space="preserve"> a part of the infrastructure of </w:t>
      </w:r>
      <w:r w:rsidR="00A75110" w:rsidRPr="00A92B22">
        <w:t>that</w:t>
      </w:r>
      <w:r w:rsidR="000A3747" w:rsidRPr="00A92B22">
        <w:t xml:space="preserve"> telecommunications network.</w:t>
      </w:r>
      <w:r w:rsidR="00821369" w:rsidRPr="00A92B22">
        <w:t xml:space="preserve"> </w:t>
      </w:r>
      <w:r w:rsidR="001F2F9E">
        <w:t>As a result, n</w:t>
      </w:r>
      <w:r w:rsidR="00344D3D" w:rsidRPr="00A92B22">
        <w:t>etwork</w:t>
      </w:r>
      <w:r w:rsidR="0011200C">
        <w:t>s</w:t>
      </w:r>
      <w:r w:rsidR="00344D3D" w:rsidRPr="00A92B22">
        <w:t xml:space="preserve"> </w:t>
      </w:r>
      <w:r w:rsidR="007C59F5" w:rsidRPr="00A92B22">
        <w:t>that use</w:t>
      </w:r>
      <w:r w:rsidR="000A3747" w:rsidRPr="00A92B22">
        <w:t xml:space="preserve"> </w:t>
      </w:r>
      <w:r w:rsidR="00B20303">
        <w:t xml:space="preserve">lines within a building and </w:t>
      </w:r>
      <w:r w:rsidR="000A3747" w:rsidRPr="00A92B22">
        <w:t xml:space="preserve">wireless </w:t>
      </w:r>
      <w:r w:rsidR="007C59F5" w:rsidRPr="00A92B22">
        <w:t>technologies</w:t>
      </w:r>
      <w:r w:rsidR="000A3747" w:rsidRPr="00A92B22">
        <w:t xml:space="preserve"> </w:t>
      </w:r>
      <w:r w:rsidR="00504C2F">
        <w:t xml:space="preserve">to </w:t>
      </w:r>
      <w:r w:rsidR="00B20303">
        <w:t>distribute</w:t>
      </w:r>
      <w:r w:rsidR="00504C2F">
        <w:t xml:space="preserve"> </w:t>
      </w:r>
      <w:r w:rsidR="00B20303">
        <w:t xml:space="preserve">superfast </w:t>
      </w:r>
      <w:r w:rsidR="00504C2F">
        <w:t>broadband</w:t>
      </w:r>
      <w:r w:rsidR="007C59F5" w:rsidRPr="00A92B22">
        <w:t xml:space="preserve"> </w:t>
      </w:r>
      <w:r w:rsidR="00E77AB0" w:rsidRPr="00A92B22">
        <w:t xml:space="preserve">to customers </w:t>
      </w:r>
      <w:r w:rsidR="00C17A7A" w:rsidRPr="00A92B22">
        <w:t>in multi-dwelling buildings</w:t>
      </w:r>
      <w:r w:rsidR="00E307FF">
        <w:t xml:space="preserve"> will be captured by the separation requirements</w:t>
      </w:r>
      <w:r w:rsidR="00C17A7A" w:rsidRPr="00A92B22">
        <w:t>. As a result, the separation requirements are relevant to more businesses than they would have been under the previous laws.</w:t>
      </w:r>
    </w:p>
    <w:p w:rsidR="000A3747" w:rsidRPr="00A5739D" w:rsidRDefault="000A3747" w:rsidP="00A5739D">
      <w:pPr>
        <w:pStyle w:val="Heading3"/>
      </w:pPr>
      <w:r w:rsidRPr="00894D5F">
        <w:t xml:space="preserve">ACCC </w:t>
      </w:r>
      <w:r w:rsidR="00330EEE" w:rsidRPr="00894D5F">
        <w:t>decision</w:t>
      </w:r>
      <w:r w:rsidR="008E0532" w:rsidRPr="00894D5F">
        <w:t xml:space="preserve"> on a </w:t>
      </w:r>
      <w:r w:rsidR="00591223" w:rsidRPr="00894D5F">
        <w:t>c</w:t>
      </w:r>
      <w:r w:rsidR="008E0532" w:rsidRPr="00894D5F">
        <w:t>lass exemption</w:t>
      </w:r>
    </w:p>
    <w:p w:rsidR="00A67B25" w:rsidRDefault="00B0584A" w:rsidP="00A67B25">
      <w:pPr>
        <w:keepLines/>
      </w:pPr>
      <w:r w:rsidRPr="007C0AD7">
        <w:t>On 25</w:t>
      </w:r>
      <w:r>
        <w:t xml:space="preserve"> August 2020, t</w:t>
      </w:r>
      <w:r w:rsidRPr="00511A3E">
        <w:t xml:space="preserve">he ACCC </w:t>
      </w:r>
      <w:r>
        <w:t xml:space="preserve">announced </w:t>
      </w:r>
      <w:r w:rsidR="000544D0">
        <w:t>that it had decided</w:t>
      </w:r>
      <w:r>
        <w:t xml:space="preserve"> to </w:t>
      </w:r>
      <w:r w:rsidR="001F2F9E">
        <w:t xml:space="preserve">exempt </w:t>
      </w:r>
      <w:r>
        <w:t xml:space="preserve">network controllers with </w:t>
      </w:r>
      <w:r w:rsidRPr="00511A3E">
        <w:t xml:space="preserve">up to 2,000 residential services </w:t>
      </w:r>
      <w:r w:rsidR="001F2F9E">
        <w:t xml:space="preserve">from the structural </w:t>
      </w:r>
      <w:r w:rsidR="00527444">
        <w:t xml:space="preserve">and functional </w:t>
      </w:r>
      <w:r w:rsidR="001F2F9E">
        <w:t>separation requirement</w:t>
      </w:r>
      <w:r w:rsidR="00E307FF">
        <w:t>s</w:t>
      </w:r>
      <w:r w:rsidR="001F2F9E">
        <w:t xml:space="preserve">. </w:t>
      </w:r>
      <w:r w:rsidRPr="00511A3E">
        <w:t xml:space="preserve">The ACCC </w:t>
      </w:r>
      <w:r>
        <w:t>indicated that it was satisfied an exemption from the</w:t>
      </w:r>
      <w:r w:rsidRPr="00511A3E">
        <w:t xml:space="preserve"> separation </w:t>
      </w:r>
      <w:r>
        <w:t>r</w:t>
      </w:r>
      <w:r w:rsidRPr="00511A3E">
        <w:t xml:space="preserve">equirements </w:t>
      </w:r>
      <w:r>
        <w:t xml:space="preserve">would reduce the disproportionate regulatory cost burden on </w:t>
      </w:r>
      <w:r w:rsidR="0011200C">
        <w:t>s</w:t>
      </w:r>
      <w:r>
        <w:t xml:space="preserve">maller networks, and would enable them </w:t>
      </w:r>
      <w:r w:rsidR="001F2F9E">
        <w:t xml:space="preserve">to </w:t>
      </w:r>
      <w:r>
        <w:t xml:space="preserve">invest in competitive infrastructure through increasing the reach of their networks and </w:t>
      </w:r>
      <w:r w:rsidRPr="007C0AD7">
        <w:t>improving the quality of services provided to end-users.</w:t>
      </w:r>
    </w:p>
    <w:p w:rsidR="006D4D82" w:rsidRDefault="000544D0" w:rsidP="00B0584A">
      <w:r>
        <w:lastRenderedPageBreak/>
        <w:t>A summary of submissions made to the ACCC</w:t>
      </w:r>
      <w:r w:rsidR="00590544">
        <w:t xml:space="preserve"> in advance of this decision</w:t>
      </w:r>
      <w:r>
        <w:t xml:space="preserve"> is in </w:t>
      </w:r>
      <w:hyperlink w:anchor="_Appendix_A:" w:history="1">
        <w:r w:rsidRPr="00A5739D">
          <w:rPr>
            <w:rStyle w:val="Hyperlink"/>
            <w:b/>
          </w:rPr>
          <w:t>Appendix A</w:t>
        </w:r>
      </w:hyperlink>
      <w:r>
        <w:t>.</w:t>
      </w:r>
    </w:p>
    <w:p w:rsidR="00A67B25" w:rsidRDefault="006D4D82" w:rsidP="00B0584A">
      <w:r>
        <w:t xml:space="preserve">The ACCC </w:t>
      </w:r>
      <w:r w:rsidR="00B0584A" w:rsidRPr="00DA6897">
        <w:t xml:space="preserve">put forward the view that competition will continue to be safeguarded by the </w:t>
      </w:r>
      <w:r w:rsidR="00136B6D">
        <w:t>Superfast Broadband Access Service (</w:t>
      </w:r>
      <w:r w:rsidR="00B0584A" w:rsidRPr="00DA6897">
        <w:t>SBAS</w:t>
      </w:r>
      <w:r w:rsidR="00136B6D">
        <w:t>)</w:t>
      </w:r>
      <w:r w:rsidR="00B0584A" w:rsidRPr="00DA6897">
        <w:t xml:space="preserve"> and </w:t>
      </w:r>
      <w:r w:rsidR="00136B6D">
        <w:t>Layer 2 Bitstream Access Service (</w:t>
      </w:r>
      <w:r w:rsidR="00B0584A" w:rsidRPr="00DA6897">
        <w:t>LBAS</w:t>
      </w:r>
      <w:r w:rsidR="00136B6D">
        <w:t>)</w:t>
      </w:r>
      <w:r w:rsidR="00B0584A" w:rsidRPr="00DA6897">
        <w:t xml:space="preserve"> declarations</w:t>
      </w:r>
      <w:r w:rsidR="001F2F9E">
        <w:t xml:space="preserve"> and determinations. Those declarations and determinations require wholesalers of superfast broadband to provide a wholesale broadband service to other retailers on request. The ACCC also noted </w:t>
      </w:r>
      <w:r w:rsidR="00B0584A" w:rsidRPr="00DA6897">
        <w:t>that high speed mobile and wireless services will provide a competitive constraint to possible services offered</w:t>
      </w:r>
      <w:r w:rsidR="00DE5FFC">
        <w:t xml:space="preserve"> for some customer types and geographic areas</w:t>
      </w:r>
      <w:r w:rsidR="00B0584A" w:rsidRPr="007C0AD7">
        <w:t>.</w:t>
      </w:r>
      <w:r w:rsidR="00B0584A" w:rsidRPr="007C0AD7">
        <w:rPr>
          <w:rStyle w:val="FootnoteReference"/>
        </w:rPr>
        <w:footnoteReference w:id="3"/>
      </w:r>
    </w:p>
    <w:p w:rsidR="00B0584A" w:rsidRDefault="00B0584A" w:rsidP="00B0584A">
      <w:r>
        <w:t>T</w:t>
      </w:r>
      <w:r w:rsidRPr="00511A3E">
        <w:t>he ACCC</w:t>
      </w:r>
      <w:r>
        <w:t xml:space="preserve"> drafted the exemption instrument such that any decision by the Government to create regulations to </w:t>
      </w:r>
      <w:r w:rsidR="002F5EAA">
        <w:t xml:space="preserve">increase the class exemption limit </w:t>
      </w:r>
      <w:r w:rsidR="00A7460C">
        <w:t xml:space="preserve">up </w:t>
      </w:r>
      <w:r w:rsidR="002F5EAA">
        <w:t xml:space="preserve">to </w:t>
      </w:r>
      <w:r>
        <w:t xml:space="preserve">12,000 </w:t>
      </w:r>
      <w:r w:rsidR="002F5EAA">
        <w:t xml:space="preserve">residential services </w:t>
      </w:r>
      <w:r>
        <w:t>would automatically increase the class exemption limit if and when such a regulation is made</w:t>
      </w:r>
      <w:r w:rsidRPr="00511A3E">
        <w:t>.</w:t>
      </w:r>
      <w:r>
        <w:rPr>
          <w:rStyle w:val="FootnoteReference"/>
        </w:rPr>
        <w:footnoteReference w:id="4"/>
      </w:r>
    </w:p>
    <w:p w:rsidR="00A67B25" w:rsidRDefault="00B0584A" w:rsidP="000A3747">
      <w:r>
        <w:t>The key question for this</w:t>
      </w:r>
      <w:r w:rsidR="002F5EAA">
        <w:t xml:space="preserve"> consultation</w:t>
      </w:r>
      <w:r>
        <w:t xml:space="preserve"> process is whether regulations should be made to allow the ACCC to increase the class exemption limit to 12,000</w:t>
      </w:r>
      <w:r w:rsidR="002F5EAA">
        <w:t xml:space="preserve"> residential services</w:t>
      </w:r>
      <w:r>
        <w:t xml:space="preserve"> (which would be given effect automatically were regulations made)</w:t>
      </w:r>
      <w:r w:rsidR="00A67B25">
        <w:t>.</w:t>
      </w:r>
    </w:p>
    <w:p w:rsidR="00A67B25" w:rsidRDefault="00B0584A" w:rsidP="00A67B25">
      <w:pPr>
        <w:pStyle w:val="Heading4"/>
        <w:pBdr>
          <w:top w:val="single" w:sz="12" w:space="1" w:color="auto"/>
          <w:left w:val="single" w:sz="12" w:space="4" w:color="auto"/>
          <w:bottom w:val="single" w:sz="12" w:space="1" w:color="auto"/>
          <w:right w:val="single" w:sz="12" w:space="4" w:color="auto"/>
        </w:pBdr>
        <w:shd w:val="clear" w:color="auto" w:fill="E0E3E8"/>
      </w:pPr>
      <w:r w:rsidRPr="00A7460C">
        <w:lastRenderedPageBreak/>
        <w:t xml:space="preserve">Question </w:t>
      </w:r>
      <w:r w:rsidRPr="004B12D2">
        <w:t>1</w:t>
      </w:r>
      <w:r w:rsidRPr="00A7460C">
        <w:t>:</w:t>
      </w:r>
    </w:p>
    <w:p w:rsidR="00B0584A" w:rsidRDefault="00B0584A" w:rsidP="00A67B25">
      <w:pPr>
        <w:pBdr>
          <w:top w:val="single" w:sz="12" w:space="1" w:color="auto"/>
          <w:left w:val="single" w:sz="12" w:space="4" w:color="auto"/>
          <w:bottom w:val="single" w:sz="12" w:space="1" w:color="auto"/>
          <w:right w:val="single" w:sz="12" w:space="4" w:color="auto"/>
        </w:pBdr>
        <w:shd w:val="clear" w:color="auto" w:fill="E0E3E8"/>
      </w:pPr>
      <w:r>
        <w:t>Should regulations be made to increase the class exemption limit</w:t>
      </w:r>
      <w:r w:rsidR="002F5EAA">
        <w:t xml:space="preserve"> to 12,000 services</w:t>
      </w:r>
      <w:r>
        <w:t>? Please provide reasons to substantiate your views.</w:t>
      </w:r>
    </w:p>
    <w:p w:rsidR="00B0584A" w:rsidRPr="00894D5F" w:rsidRDefault="00270074" w:rsidP="00894D5F">
      <w:pPr>
        <w:pStyle w:val="Heading2"/>
      </w:pPr>
      <w:r>
        <w:t>Specific considerations</w:t>
      </w:r>
    </w:p>
    <w:p w:rsidR="000A3747" w:rsidRPr="00894D5F" w:rsidRDefault="00C807E0" w:rsidP="00A67B25">
      <w:pPr>
        <w:pStyle w:val="Heading3"/>
      </w:pPr>
      <w:r w:rsidRPr="00894D5F">
        <w:t>How would businesses be affected</w:t>
      </w:r>
      <w:r>
        <w:t>?</w:t>
      </w:r>
    </w:p>
    <w:p w:rsidR="00C807E0" w:rsidRDefault="006D4D82">
      <w:r>
        <w:t>The</w:t>
      </w:r>
      <w:r w:rsidR="00C807E0">
        <w:t xml:space="preserve"> </w:t>
      </w:r>
      <w:r w:rsidR="002F5EAA">
        <w:t xml:space="preserve">Department </w:t>
      </w:r>
      <w:r>
        <w:t xml:space="preserve">would like </w:t>
      </w:r>
      <w:r w:rsidR="00C807E0">
        <w:t xml:space="preserve">to </w:t>
      </w:r>
      <w:r w:rsidR="001F2F9E">
        <w:t>better understand whether</w:t>
      </w:r>
      <w:r w:rsidR="00C807E0">
        <w:t xml:space="preserve"> providers are likely to be captured by the new structural separation requirements, and how </w:t>
      </w:r>
      <w:r>
        <w:t>those providers</w:t>
      </w:r>
      <w:r w:rsidR="00C807E0">
        <w:t xml:space="preserve"> might be affected by an increase in the class exemption limit.</w:t>
      </w:r>
    </w:p>
    <w:p w:rsidR="00A67B25" w:rsidRDefault="006D4D82" w:rsidP="00F058EA">
      <w:pPr>
        <w:keepLines/>
      </w:pPr>
      <w:r>
        <w:t>For instance, s</w:t>
      </w:r>
      <w:r w:rsidR="00C807E0">
        <w:t>ome</w:t>
      </w:r>
      <w:r w:rsidR="00700994">
        <w:t xml:space="preserve"> </w:t>
      </w:r>
      <w:r w:rsidR="000A3747">
        <w:t xml:space="preserve">providers </w:t>
      </w:r>
      <w:r w:rsidR="00591223">
        <w:t>could</w:t>
      </w:r>
      <w:r w:rsidR="000A3747">
        <w:t xml:space="preserve"> </w:t>
      </w:r>
      <w:r w:rsidR="00700994">
        <w:t>potentially benefit</w:t>
      </w:r>
      <w:r w:rsidR="000A3747">
        <w:t xml:space="preserve"> </w:t>
      </w:r>
      <w:r w:rsidR="002F66D5">
        <w:t xml:space="preserve">in the immediate or short term </w:t>
      </w:r>
      <w:r w:rsidR="000A3747">
        <w:t>by</w:t>
      </w:r>
      <w:r w:rsidR="00700994">
        <w:t xml:space="preserve"> a decision </w:t>
      </w:r>
      <w:r w:rsidR="00A45264">
        <w:t xml:space="preserve">to </w:t>
      </w:r>
      <w:r w:rsidR="00700994">
        <w:t xml:space="preserve">increase the class exemption limit </w:t>
      </w:r>
      <w:r w:rsidR="00591223">
        <w:t>to up to 12,000</w:t>
      </w:r>
      <w:r w:rsidR="00310E8F">
        <w:t xml:space="preserve"> </w:t>
      </w:r>
      <w:r w:rsidR="00700994">
        <w:t>customers. The</w:t>
      </w:r>
      <w:r w:rsidR="00591223">
        <w:t xml:space="preserve"> Department is aware that</w:t>
      </w:r>
      <w:r w:rsidR="00700994">
        <w:t xml:space="preserve"> </w:t>
      </w:r>
      <w:r w:rsidR="00C807E0">
        <w:t xml:space="preserve">some </w:t>
      </w:r>
      <w:r w:rsidR="00700994">
        <w:t xml:space="preserve">networks </w:t>
      </w:r>
      <w:r w:rsidR="0011200C">
        <w:t>serve</w:t>
      </w:r>
      <w:r w:rsidR="00700994">
        <w:t xml:space="preserve"> multiple developments, generally in the larger cities, </w:t>
      </w:r>
      <w:r w:rsidR="004A24F8">
        <w:t>but have</w:t>
      </w:r>
      <w:r w:rsidR="00700994">
        <w:t xml:space="preserve"> less than 12,000 customers</w:t>
      </w:r>
      <w:r w:rsidR="004A24F8">
        <w:t xml:space="preserve"> in total</w:t>
      </w:r>
      <w:r w:rsidR="00A67B25">
        <w:t>.</w:t>
      </w:r>
    </w:p>
    <w:p w:rsidR="00A67B25" w:rsidRDefault="00CF2930">
      <w:r>
        <w:t>Generally, n</w:t>
      </w:r>
      <w:r w:rsidR="000A3747">
        <w:t>etwork</w:t>
      </w:r>
      <w:r w:rsidR="0011200C">
        <w:t>s</w:t>
      </w:r>
      <w:r w:rsidR="000A3747">
        <w:t xml:space="preserve"> </w:t>
      </w:r>
      <w:r>
        <w:t>of this size provide services to premises within multi-dwelling unit</w:t>
      </w:r>
      <w:r w:rsidR="00C807E0">
        <w:t xml:space="preserve">s, </w:t>
      </w:r>
      <w:r w:rsidR="000A3747">
        <w:t>us</w:t>
      </w:r>
      <w:r w:rsidR="00C807E0">
        <w:t>ing</w:t>
      </w:r>
      <w:r w:rsidR="00DC6D91">
        <w:t xml:space="preserve"> </w:t>
      </w:r>
      <w:r w:rsidR="000A3747">
        <w:t>local access line</w:t>
      </w:r>
      <w:r w:rsidR="00DC6D91">
        <w:t>s</w:t>
      </w:r>
      <w:r w:rsidR="000C3A0D">
        <w:t>.</w:t>
      </w:r>
      <w:r w:rsidR="00F476FA">
        <w:t xml:space="preserve"> </w:t>
      </w:r>
      <w:r w:rsidR="000C3A0D">
        <w:t>S</w:t>
      </w:r>
      <w:r w:rsidR="00F476FA">
        <w:t>ometimes</w:t>
      </w:r>
      <w:r w:rsidR="000A3747">
        <w:t xml:space="preserve"> </w:t>
      </w:r>
      <w:r w:rsidR="000C3A0D">
        <w:t xml:space="preserve">the use of local access lines </w:t>
      </w:r>
      <w:r w:rsidR="000522E7">
        <w:t xml:space="preserve">within a multi-dwelling unit </w:t>
      </w:r>
      <w:r w:rsidR="000C3A0D">
        <w:t xml:space="preserve">is </w:t>
      </w:r>
      <w:r w:rsidR="000A3747">
        <w:t xml:space="preserve">combined with a technology </w:t>
      </w:r>
      <w:r w:rsidR="00C807E0">
        <w:t xml:space="preserve">like </w:t>
      </w:r>
      <w:r w:rsidR="000A3747">
        <w:t xml:space="preserve">Wi-Fi to deliver services to multiple </w:t>
      </w:r>
      <w:r w:rsidR="00DC6D91">
        <w:t>premises</w:t>
      </w:r>
      <w:r w:rsidR="000C3A0D">
        <w:t xml:space="preserve">, and </w:t>
      </w:r>
      <w:r w:rsidR="009E752C">
        <w:t xml:space="preserve">from 25 August 2020, new </w:t>
      </w:r>
      <w:r w:rsidR="000C3A0D">
        <w:t>services provided under this scenario are now captured by the carrier separation requirements</w:t>
      </w:r>
      <w:r w:rsidR="000A3747">
        <w:t xml:space="preserve">. </w:t>
      </w:r>
      <w:r w:rsidR="00527444">
        <w:t xml:space="preserve">While </w:t>
      </w:r>
      <w:r w:rsidR="009E752C">
        <w:t xml:space="preserve">in this case </w:t>
      </w:r>
      <w:r w:rsidR="00527444">
        <w:t>the carrier separation requirements only apply to lines built since 25 August 2020, the count of the number of premises for the purposes of determining whether the class exemption applies</w:t>
      </w:r>
      <w:r w:rsidR="00615E8F">
        <w:t xml:space="preserve"> includes services supplied to customers over all lines regardless of </w:t>
      </w:r>
      <w:r w:rsidR="00615E8F">
        <w:lastRenderedPageBreak/>
        <w:t xml:space="preserve">when they were built. </w:t>
      </w:r>
      <w:r w:rsidR="001F2F9E">
        <w:t>Therefore, t</w:t>
      </w:r>
      <w:r w:rsidR="006D4D82">
        <w:t xml:space="preserve">he </w:t>
      </w:r>
      <w:r w:rsidR="002F5EAA">
        <w:t xml:space="preserve">Department </w:t>
      </w:r>
      <w:r w:rsidR="006D4D82">
        <w:t xml:space="preserve">is particularly interested in the impact on businesses serving multi-dwelling units, which previously </w:t>
      </w:r>
      <w:r w:rsidR="000C3A0D">
        <w:t xml:space="preserve">may </w:t>
      </w:r>
      <w:r w:rsidR="000A3747">
        <w:t xml:space="preserve">not </w:t>
      </w:r>
      <w:r w:rsidR="000C3A0D">
        <w:t xml:space="preserve">have been </w:t>
      </w:r>
      <w:r w:rsidR="000A3747">
        <w:t xml:space="preserve">subject to </w:t>
      </w:r>
      <w:r w:rsidR="00C807E0">
        <w:t>the wholesale-only requirements in Part 8 of the Act</w:t>
      </w:r>
      <w:r w:rsidR="006D4D82">
        <w:t xml:space="preserve">. Some </w:t>
      </w:r>
      <w:r w:rsidR="000A3747">
        <w:t xml:space="preserve">operators may not be aware of this change </w:t>
      </w:r>
      <w:r w:rsidR="006D4D82">
        <w:t>because they</w:t>
      </w:r>
      <w:r w:rsidR="000A3747">
        <w:t xml:space="preserve"> have not previously had to consider structural or functional separation</w:t>
      </w:r>
      <w:r w:rsidR="00A67B25">
        <w:t>.</w:t>
      </w:r>
    </w:p>
    <w:p w:rsidR="00A67B25" w:rsidRDefault="006D4D82" w:rsidP="000A3747">
      <w:r>
        <w:t xml:space="preserve">The </w:t>
      </w:r>
      <w:r w:rsidR="002F5EAA">
        <w:t xml:space="preserve">Department </w:t>
      </w:r>
      <w:r>
        <w:t xml:space="preserve">is also interested in understanding in detail whether </w:t>
      </w:r>
      <w:r w:rsidR="00D20BBD">
        <w:t>the proposed ne</w:t>
      </w:r>
      <w:r w:rsidR="004A24F8">
        <w:t>w</w:t>
      </w:r>
      <w:r w:rsidR="00D20BBD">
        <w:t xml:space="preserve"> functional separation requirements will create a significant compliance burden for sm</w:t>
      </w:r>
      <w:r>
        <w:t xml:space="preserve">aller infrastructure providers, including in terms of </w:t>
      </w:r>
      <w:r w:rsidR="000C3A0D">
        <w:t xml:space="preserve">whether </w:t>
      </w:r>
      <w:r>
        <w:t>s</w:t>
      </w:r>
      <w:r w:rsidR="00D20BBD">
        <w:t>eparating staff, office spaces and information systems could increase operating costs for small providers</w:t>
      </w:r>
      <w:r w:rsidR="00A67B25">
        <w:t>.</w:t>
      </w:r>
    </w:p>
    <w:p w:rsidR="00A67B25" w:rsidRDefault="00C11496" w:rsidP="000A3747">
      <w:r>
        <w:t>T</w:t>
      </w:r>
      <w:r w:rsidR="00D20BBD">
        <w:t>he</w:t>
      </w:r>
      <w:r w:rsidR="00C807E0">
        <w:t xml:space="preserve"> Department notes that the</w:t>
      </w:r>
      <w:r w:rsidR="00D20BBD">
        <w:t xml:space="preserve"> ACCC has some flexibility in the type and scope of the separation requirements that it can accept and establish </w:t>
      </w:r>
      <w:r w:rsidR="00D20BBD" w:rsidRPr="004A24F8">
        <w:t xml:space="preserve">through both functional separation undertakings and deemed functional separation undertakings. For example, </w:t>
      </w:r>
      <w:r w:rsidR="004A24F8" w:rsidRPr="00A10231">
        <w:t xml:space="preserve">it is open to the </w:t>
      </w:r>
      <w:r w:rsidR="00D20BBD" w:rsidRPr="004A24F8">
        <w:t xml:space="preserve">ACCC to accept undertakings </w:t>
      </w:r>
      <w:r w:rsidR="00C807E0" w:rsidRPr="004A24F8">
        <w:t>that do not separate employees and business systems</w:t>
      </w:r>
      <w:r w:rsidR="00A67B25">
        <w:t>.</w:t>
      </w:r>
    </w:p>
    <w:p w:rsidR="002F5EAA" w:rsidRDefault="006D4D82" w:rsidP="000A3747">
      <w:r>
        <w:t>The Department notes that o</w:t>
      </w:r>
      <w:r w:rsidR="00C11496">
        <w:t xml:space="preserve">n 25 August 2020, the ACCC initiated consultation on a draft deemed functional separation undertaking that had significantly less strict requirements than those </w:t>
      </w:r>
      <w:r w:rsidR="001734F5">
        <w:t>outlined in the</w:t>
      </w:r>
      <w:r>
        <w:t xml:space="preserve"> ACCC’s</w:t>
      </w:r>
      <w:r w:rsidR="00C11496">
        <w:t xml:space="preserve"> </w:t>
      </w:r>
      <w:r w:rsidR="001734F5">
        <w:t>original 5</w:t>
      </w:r>
      <w:r w:rsidR="00270074">
        <w:t> </w:t>
      </w:r>
      <w:r w:rsidR="001734F5">
        <w:t>June</w:t>
      </w:r>
      <w:r w:rsidR="00270074">
        <w:t> </w:t>
      </w:r>
      <w:r w:rsidR="001734F5">
        <w:t>2020 consultation</w:t>
      </w:r>
      <w:r w:rsidR="00C11496">
        <w:t>.</w:t>
      </w:r>
      <w:r w:rsidR="00F476FA">
        <w:t xml:space="preserve"> </w:t>
      </w:r>
      <w:r w:rsidR="00492BB2" w:rsidRPr="00492BB2">
        <w:t xml:space="preserve">On 16 October 2020, the ACCC issued a final deemed functional separation undertaking </w:t>
      </w:r>
      <w:r w:rsidR="00492BB2" w:rsidRPr="00492BB2">
        <w:lastRenderedPageBreak/>
        <w:t xml:space="preserve">instrument </w:t>
      </w:r>
      <w:r w:rsidR="00492BB2">
        <w:t xml:space="preserve">that broadly implemented these </w:t>
      </w:r>
      <w:r w:rsidR="009D6250">
        <w:t>more relaxed</w:t>
      </w:r>
      <w:r w:rsidR="00492BB2">
        <w:t xml:space="preserve"> requirements, but limited</w:t>
      </w:r>
      <w:r w:rsidR="009D6250">
        <w:t xml:space="preserve"> its</w:t>
      </w:r>
      <w:r w:rsidR="00492BB2">
        <w:t xml:space="preserve"> availability </w:t>
      </w:r>
      <w:r w:rsidR="001734F5">
        <w:t xml:space="preserve">to providers with less than 50,000 </w:t>
      </w:r>
      <w:r w:rsidR="00492BB2">
        <w:t>residential customers</w:t>
      </w:r>
      <w:r w:rsidR="001734F5">
        <w:t>.</w:t>
      </w:r>
      <w:r w:rsidR="001734F5">
        <w:rPr>
          <w:rStyle w:val="FootnoteReference"/>
        </w:rPr>
        <w:footnoteReference w:id="5"/>
      </w:r>
    </w:p>
    <w:p w:rsidR="008A2BFB" w:rsidRPr="00A7460C" w:rsidRDefault="008A2BFB" w:rsidP="008C726E">
      <w:pPr>
        <w:pStyle w:val="Heading4"/>
        <w:pBdr>
          <w:top w:val="single" w:sz="12" w:space="1" w:color="auto"/>
          <w:left w:val="single" w:sz="12" w:space="4" w:color="auto"/>
          <w:bottom w:val="single" w:sz="12" w:space="1" w:color="auto"/>
          <w:right w:val="single" w:sz="12" w:space="4" w:color="auto"/>
        </w:pBdr>
        <w:shd w:val="clear" w:color="auto" w:fill="E0E3E8"/>
      </w:pPr>
      <w:r w:rsidRPr="00A7460C">
        <w:t xml:space="preserve">Question </w:t>
      </w:r>
      <w:r w:rsidRPr="004B12D2">
        <w:t>2</w:t>
      </w:r>
      <w:r w:rsidRPr="00A7460C">
        <w:t>:</w:t>
      </w:r>
    </w:p>
    <w:p w:rsidR="00920834" w:rsidRPr="00A7460C" w:rsidRDefault="008A2BFB" w:rsidP="008C726E">
      <w:pPr>
        <w:pBdr>
          <w:top w:val="single" w:sz="12" w:space="1" w:color="auto"/>
          <w:left w:val="single" w:sz="12" w:space="4" w:color="auto"/>
          <w:bottom w:val="single" w:sz="12" w:space="1" w:color="auto"/>
          <w:right w:val="single" w:sz="12" w:space="4" w:color="auto"/>
        </w:pBdr>
        <w:shd w:val="clear" w:color="auto" w:fill="E0E3E8"/>
      </w:pPr>
      <w:r w:rsidRPr="00A7460C">
        <w:t xml:space="preserve">How would businesses be </w:t>
      </w:r>
      <w:r w:rsidR="00C807E0" w:rsidRPr="00A7460C">
        <w:t>affected</w:t>
      </w:r>
      <w:r w:rsidRPr="00A7460C">
        <w:t xml:space="preserve"> by increasing the class exemption limit</w:t>
      </w:r>
      <w:r w:rsidR="004A24F8">
        <w:t xml:space="preserve"> from 2</w:t>
      </w:r>
      <w:r w:rsidR="000C3A0D">
        <w:t>,</w:t>
      </w:r>
      <w:r w:rsidR="004A24F8">
        <w:t>000 to 12,000 customers</w:t>
      </w:r>
      <w:r w:rsidRPr="00A7460C">
        <w:t xml:space="preserve">? </w:t>
      </w:r>
      <w:r w:rsidR="004A24F8">
        <w:t>P</w:t>
      </w:r>
      <w:r w:rsidRPr="00A7460C">
        <w:t>lease outline the nature of your business and how your customer base may be impacted.</w:t>
      </w:r>
    </w:p>
    <w:p w:rsidR="006D4D82" w:rsidRDefault="006D4D82" w:rsidP="008C726E">
      <w:pPr>
        <w:pStyle w:val="Heading4"/>
        <w:pBdr>
          <w:top w:val="single" w:sz="12" w:space="1" w:color="auto"/>
          <w:left w:val="single" w:sz="12" w:space="4" w:color="auto"/>
          <w:bottom w:val="single" w:sz="12" w:space="1" w:color="auto"/>
          <w:right w:val="single" w:sz="12" w:space="4" w:color="auto"/>
        </w:pBdr>
        <w:shd w:val="clear" w:color="auto" w:fill="E0E3E8"/>
      </w:pPr>
      <w:r>
        <w:t xml:space="preserve">Question </w:t>
      </w:r>
      <w:r w:rsidR="004A24F8">
        <w:t>3</w:t>
      </w:r>
      <w:r>
        <w:t>:</w:t>
      </w:r>
    </w:p>
    <w:p w:rsidR="006D4D82" w:rsidRDefault="004A24F8" w:rsidP="008C726E">
      <w:pPr>
        <w:pBdr>
          <w:top w:val="single" w:sz="12" w:space="1" w:color="auto"/>
          <w:left w:val="single" w:sz="12" w:space="4" w:color="auto"/>
          <w:bottom w:val="single" w:sz="12" w:space="1" w:color="auto"/>
          <w:right w:val="single" w:sz="12" w:space="4" w:color="auto"/>
        </w:pBdr>
        <w:shd w:val="clear" w:color="auto" w:fill="E0E3E8"/>
      </w:pPr>
      <w:r>
        <w:t xml:space="preserve">If your business could agree a </w:t>
      </w:r>
      <w:r w:rsidR="006D4D82">
        <w:t xml:space="preserve">functional separation undertaking that did not </w:t>
      </w:r>
      <w:r>
        <w:t xml:space="preserve">require </w:t>
      </w:r>
      <w:r w:rsidR="006D4D82">
        <w:t>separate business systems and employees</w:t>
      </w:r>
      <w:r>
        <w:t>, would it reduce the costs of functionally separating</w:t>
      </w:r>
      <w:r w:rsidR="006D4D82">
        <w:t xml:space="preserve">? </w:t>
      </w:r>
      <w:r w:rsidR="00236F1E">
        <w:t>If so,</w:t>
      </w:r>
      <w:r>
        <w:t xml:space="preserve"> to what extent</w:t>
      </w:r>
      <w:r w:rsidR="00236F1E">
        <w:t>?</w:t>
      </w:r>
    </w:p>
    <w:p w:rsidR="006D4D82" w:rsidRDefault="006D4D82" w:rsidP="008C726E">
      <w:pPr>
        <w:pStyle w:val="Heading4"/>
        <w:pBdr>
          <w:top w:val="single" w:sz="12" w:space="1" w:color="auto"/>
          <w:left w:val="single" w:sz="12" w:space="4" w:color="auto"/>
          <w:bottom w:val="single" w:sz="12" w:space="1" w:color="auto"/>
          <w:right w:val="single" w:sz="12" w:space="4" w:color="auto"/>
        </w:pBdr>
        <w:shd w:val="clear" w:color="auto" w:fill="E0E3E8"/>
      </w:pPr>
      <w:r>
        <w:t xml:space="preserve">Question </w:t>
      </w:r>
      <w:r w:rsidR="004A24F8">
        <w:t>4</w:t>
      </w:r>
      <w:r>
        <w:t>:</w:t>
      </w:r>
    </w:p>
    <w:p w:rsidR="006D4D82" w:rsidRPr="0033331E" w:rsidRDefault="00462FE5" w:rsidP="008C726E">
      <w:pPr>
        <w:pBdr>
          <w:top w:val="single" w:sz="12" w:space="1" w:color="auto"/>
          <w:left w:val="single" w:sz="12" w:space="4" w:color="auto"/>
          <w:bottom w:val="single" w:sz="12" w:space="1" w:color="auto"/>
          <w:right w:val="single" w:sz="12" w:space="4" w:color="auto"/>
        </w:pBdr>
        <w:shd w:val="clear" w:color="auto" w:fill="E0E3E8"/>
        <w:rPr>
          <w:rStyle w:val="Heading3Char"/>
          <w:rFonts w:ascii="Segoe UI" w:eastAsiaTheme="minorHAnsi" w:hAnsi="Segoe UI" w:cstheme="minorBidi"/>
          <w:b/>
          <w:color w:val="auto"/>
          <w:sz w:val="21"/>
          <w:szCs w:val="22"/>
        </w:rPr>
      </w:pPr>
      <w:r>
        <w:t>If you provided a submission to the ACCC’s consultation processes on the deemed functional separation undertaking, d</w:t>
      </w:r>
      <w:r w:rsidR="006D4D82">
        <w:t xml:space="preserve">o the ACCC’s </w:t>
      </w:r>
      <w:r>
        <w:t>revisions</w:t>
      </w:r>
      <w:r w:rsidR="006D4D82">
        <w:t xml:space="preserve"> affect your views on the costs of functional separation?</w:t>
      </w:r>
      <w:r w:rsidR="00236F1E">
        <w:t xml:space="preserve"> If so, how?</w:t>
      </w:r>
    </w:p>
    <w:p w:rsidR="008A2BFB" w:rsidRPr="00894D5F" w:rsidRDefault="008A2BFB" w:rsidP="008C726E">
      <w:pPr>
        <w:pStyle w:val="Heading3"/>
      </w:pPr>
      <w:r w:rsidRPr="00894D5F">
        <w:lastRenderedPageBreak/>
        <w:t>Would a change in the</w:t>
      </w:r>
      <w:r w:rsidR="00920834" w:rsidRPr="00894D5F">
        <w:t xml:space="preserve"> class exemption limit promote </w:t>
      </w:r>
      <w:r w:rsidRPr="00894D5F">
        <w:t>competition?</w:t>
      </w:r>
    </w:p>
    <w:p w:rsidR="00A67B25" w:rsidRDefault="002F5EAA" w:rsidP="008C726E">
      <w:pPr>
        <w:keepLines/>
      </w:pPr>
      <w:r>
        <w:t>The Department</w:t>
      </w:r>
      <w:r w:rsidR="00C807E0">
        <w:t xml:space="preserve"> is interested in whether an increase in the class exemption limit to 12,000 customers would be pro-competitive</w:t>
      </w:r>
      <w:r w:rsidR="004A24F8">
        <w:t>. I</w:t>
      </w:r>
      <w:r w:rsidR="00A7460C">
        <w:t xml:space="preserve">n particular </w:t>
      </w:r>
      <w:r w:rsidR="004A24F8">
        <w:t xml:space="preserve">we are interested in </w:t>
      </w:r>
      <w:r w:rsidR="00A7460C">
        <w:t xml:space="preserve">whether it </w:t>
      </w:r>
      <w:r w:rsidR="00236F1E">
        <w:t xml:space="preserve">could </w:t>
      </w:r>
      <w:r w:rsidR="00146715">
        <w:t xml:space="preserve">help </w:t>
      </w:r>
      <w:r w:rsidR="008A2BFB">
        <w:t xml:space="preserve">smaller competitors to build a customer base prior to functionally </w:t>
      </w:r>
      <w:r w:rsidR="00462FE5">
        <w:t xml:space="preserve">or structurally </w:t>
      </w:r>
      <w:r w:rsidR="008A2BFB">
        <w:t>separatin</w:t>
      </w:r>
      <w:r w:rsidR="00C807E0">
        <w:t>g</w:t>
      </w:r>
      <w:r w:rsidR="004A24F8">
        <w:t xml:space="preserve"> (when the customer limit is reached)</w:t>
      </w:r>
      <w:r w:rsidR="00A67B25">
        <w:t>.</w:t>
      </w:r>
    </w:p>
    <w:p w:rsidR="00236F1E" w:rsidRDefault="00236F1E" w:rsidP="00A7460C">
      <w:r>
        <w:t>In addition, we would like to know whether r</w:t>
      </w:r>
      <w:r w:rsidR="00D7098A">
        <w:t xml:space="preserve">educing the regulatory burden on smaller </w:t>
      </w:r>
      <w:r w:rsidR="00F01627">
        <w:t>networks</w:t>
      </w:r>
      <w:r w:rsidR="00D7098A">
        <w:t xml:space="preserve"> may encourage </w:t>
      </w:r>
      <w:r w:rsidR="00462FE5">
        <w:t>them</w:t>
      </w:r>
      <w:r w:rsidR="00D7098A">
        <w:t xml:space="preserve"> to overbuild existing networks, which would lead to </w:t>
      </w:r>
      <w:r w:rsidR="008D4DCD">
        <w:t xml:space="preserve">some </w:t>
      </w:r>
      <w:r w:rsidR="00D7098A">
        <w:t>increased competitive pressure on incumbe</w:t>
      </w:r>
      <w:r w:rsidR="00A5739D">
        <w:t>nt providers, including NBN Co.</w:t>
      </w:r>
    </w:p>
    <w:p w:rsidR="00A67B25" w:rsidRDefault="004A24F8" w:rsidP="00C15849">
      <w:r>
        <w:t>T</w:t>
      </w:r>
      <w:r w:rsidR="00236F1E">
        <w:t xml:space="preserve">he Department is aware that often </w:t>
      </w:r>
      <w:r w:rsidR="00B00770">
        <w:t xml:space="preserve">smaller </w:t>
      </w:r>
      <w:r w:rsidR="00F01627">
        <w:t xml:space="preserve">networks </w:t>
      </w:r>
      <w:r w:rsidR="00B00770">
        <w:t xml:space="preserve">are the only fixed-line provider in the areas they service. </w:t>
      </w:r>
      <w:r w:rsidR="00920834">
        <w:t xml:space="preserve">There is a </w:t>
      </w:r>
      <w:r w:rsidR="00F476FA">
        <w:t>possibility</w:t>
      </w:r>
      <w:r w:rsidR="00920834">
        <w:t xml:space="preserve"> that</w:t>
      </w:r>
      <w:r w:rsidR="00B00770">
        <w:t xml:space="preserve"> the high initial outlays associated with network build create markets with the properties of a natural monopoly</w:t>
      </w:r>
      <w:r w:rsidR="00236F1E">
        <w:t>, and it</w:t>
      </w:r>
      <w:r w:rsidR="00B00770">
        <w:t xml:space="preserve"> may not be commercial for another efficient provider to compete</w:t>
      </w:r>
      <w:r w:rsidR="00236F1E">
        <w:t xml:space="preserve"> at the infrastructure level</w:t>
      </w:r>
      <w:r w:rsidR="00B00770">
        <w:t>.</w:t>
      </w:r>
      <w:r w:rsidR="00236F1E">
        <w:t xml:space="preserve"> Consequently, the Department is interested in whether an increase in the class exemption limit would increase the likelihood of localised fixed</w:t>
      </w:r>
      <w:r w:rsidR="00176648">
        <w:t>-</w:t>
      </w:r>
      <w:r w:rsidR="00236F1E">
        <w:t>line infrastructure monopolies</w:t>
      </w:r>
      <w:r w:rsidR="00A67B25">
        <w:t>.</w:t>
      </w:r>
    </w:p>
    <w:p w:rsidR="00A67B25" w:rsidRDefault="00236F1E" w:rsidP="00C15849">
      <w:r>
        <w:t>The Department is also interested in understanding whether increasing the class exemption limit will promote fixed</w:t>
      </w:r>
      <w:r w:rsidR="00A7460C">
        <w:t>-</w:t>
      </w:r>
      <w:r>
        <w:t>line infrastructure competition in practice. For instance, w</w:t>
      </w:r>
      <w:r w:rsidR="00D20BBD">
        <w:t xml:space="preserve">hile exempted providers will be required to </w:t>
      </w:r>
      <w:r w:rsidR="004C43F5">
        <w:t xml:space="preserve">supply their services </w:t>
      </w:r>
      <w:r w:rsidR="00D20BBD">
        <w:t xml:space="preserve">on a non-discriminatory basis, </w:t>
      </w:r>
      <w:r>
        <w:t>it is possible that they</w:t>
      </w:r>
      <w:r w:rsidR="00D20BBD">
        <w:t xml:space="preserve"> may still receive an advantage over their competitors by virtue of being integrated. Information advantages with respect to the retail market may allow </w:t>
      </w:r>
      <w:r w:rsidR="00E307FF">
        <w:t xml:space="preserve">integrated </w:t>
      </w:r>
      <w:r w:rsidR="00D20BBD">
        <w:t xml:space="preserve">providers to better </w:t>
      </w:r>
      <w:r w:rsidR="00D20BBD">
        <w:lastRenderedPageBreak/>
        <w:t xml:space="preserve">target customers and capture market share </w:t>
      </w:r>
      <w:r w:rsidR="00825B19">
        <w:t>making</w:t>
      </w:r>
      <w:r w:rsidR="00F476FA">
        <w:t xml:space="preserve"> it difficult for</w:t>
      </w:r>
      <w:r w:rsidR="00D20BBD">
        <w:t xml:space="preserve"> other infrastructure providers</w:t>
      </w:r>
      <w:r w:rsidR="00F476FA">
        <w:t xml:space="preserve"> to compete</w:t>
      </w:r>
      <w:r w:rsidR="00A67B25">
        <w:t>.</w:t>
      </w:r>
    </w:p>
    <w:p w:rsidR="00A67B25" w:rsidRDefault="00236F1E" w:rsidP="00C15849">
      <w:r>
        <w:t xml:space="preserve">Finally, the Department is interested in whether retailers will choose to compete </w:t>
      </w:r>
      <w:r w:rsidR="008A584F">
        <w:t>on</w:t>
      </w:r>
      <w:r>
        <w:t xml:space="preserve"> a network </w:t>
      </w:r>
      <w:r w:rsidR="00F01627">
        <w:t xml:space="preserve">that </w:t>
      </w:r>
      <w:r>
        <w:t>is within the class exemption limit</w:t>
      </w:r>
      <w:r w:rsidR="008A584F">
        <w:t>, which are inherently small</w:t>
      </w:r>
      <w:r>
        <w:t>. For instance, e</w:t>
      </w:r>
      <w:r w:rsidR="00020813">
        <w:t xml:space="preserve">ven when access to services is mandated by ACCC service declarations, there is a risk that very few retail competitors will choose to seek </w:t>
      </w:r>
      <w:r w:rsidR="00F476FA">
        <w:t xml:space="preserve">wholesale </w:t>
      </w:r>
      <w:r w:rsidR="00020813">
        <w:t>services on smaller networks due to the cost</w:t>
      </w:r>
      <w:r w:rsidR="004C43F5">
        <w:t>s</w:t>
      </w:r>
      <w:r w:rsidR="00020813">
        <w:t xml:space="preserve"> </w:t>
      </w:r>
      <w:r w:rsidR="00462FE5">
        <w:t xml:space="preserve">of </w:t>
      </w:r>
      <w:r w:rsidR="004C43F5">
        <w:t>interconnection and</w:t>
      </w:r>
      <w:r w:rsidR="00020813">
        <w:t xml:space="preserve"> interfacing with </w:t>
      </w:r>
      <w:r w:rsidR="00A7460C">
        <w:t>the network controller’s business</w:t>
      </w:r>
      <w:r w:rsidR="0003310D">
        <w:t xml:space="preserve"> systems</w:t>
      </w:r>
      <w:r w:rsidR="00A67B25">
        <w:t>.</w:t>
      </w:r>
    </w:p>
    <w:p w:rsidR="005668DF" w:rsidRDefault="006D4D82" w:rsidP="008C726E">
      <w:pPr>
        <w:pStyle w:val="Heading4"/>
        <w:pBdr>
          <w:top w:val="single" w:sz="12" w:space="1" w:color="auto"/>
          <w:left w:val="single" w:sz="12" w:space="4" w:color="auto"/>
          <w:bottom w:val="single" w:sz="12" w:space="1" w:color="auto"/>
          <w:right w:val="single" w:sz="12" w:space="4" w:color="auto"/>
        </w:pBdr>
        <w:shd w:val="clear" w:color="auto" w:fill="E0E3E8"/>
      </w:pPr>
      <w:r>
        <w:t>Question 6</w:t>
      </w:r>
      <w:r w:rsidR="005668DF">
        <w:t>:</w:t>
      </w:r>
    </w:p>
    <w:p w:rsidR="005668DF" w:rsidRDefault="005668DF" w:rsidP="008C726E">
      <w:pPr>
        <w:pBdr>
          <w:top w:val="single" w:sz="12" w:space="1" w:color="auto"/>
          <w:left w:val="single" w:sz="12" w:space="4" w:color="auto"/>
          <w:bottom w:val="single" w:sz="12" w:space="1" w:color="auto"/>
          <w:right w:val="single" w:sz="12" w:space="4" w:color="auto"/>
        </w:pBdr>
        <w:shd w:val="clear" w:color="auto" w:fill="E0E3E8"/>
      </w:pPr>
      <w:r>
        <w:t xml:space="preserve">Would a change in the class exemption limit </w:t>
      </w:r>
      <w:r w:rsidR="00920834">
        <w:t>allow</w:t>
      </w:r>
      <w:r>
        <w:t xml:space="preserve"> smaller </w:t>
      </w:r>
      <w:r w:rsidR="00F01627">
        <w:t xml:space="preserve">networks </w:t>
      </w:r>
      <w:r>
        <w:t>to obtain a stronger foothold in the market?</w:t>
      </w:r>
    </w:p>
    <w:p w:rsidR="008C726E" w:rsidRDefault="002D756A" w:rsidP="008C726E">
      <w:pPr>
        <w:pStyle w:val="Heading4"/>
        <w:pBdr>
          <w:top w:val="single" w:sz="12" w:space="1" w:color="auto"/>
          <w:left w:val="single" w:sz="12" w:space="4" w:color="auto"/>
          <w:bottom w:val="single" w:sz="12" w:space="1" w:color="auto"/>
          <w:right w:val="single" w:sz="12" w:space="4" w:color="auto"/>
        </w:pBdr>
        <w:shd w:val="clear" w:color="auto" w:fill="E0E3E8"/>
      </w:pPr>
      <w:r w:rsidRPr="00A7460C">
        <w:t xml:space="preserve">Question </w:t>
      </w:r>
      <w:r w:rsidR="006D4D82" w:rsidRPr="004B12D2">
        <w:t>7</w:t>
      </w:r>
      <w:r w:rsidRPr="00A10231">
        <w:t>:</w:t>
      </w:r>
    </w:p>
    <w:p w:rsidR="002D756A" w:rsidRDefault="005668DF" w:rsidP="008C726E">
      <w:pPr>
        <w:pBdr>
          <w:top w:val="single" w:sz="12" w:space="1" w:color="auto"/>
          <w:left w:val="single" w:sz="12" w:space="4" w:color="auto"/>
          <w:bottom w:val="single" w:sz="12" w:space="1" w:color="auto"/>
          <w:right w:val="single" w:sz="12" w:space="4" w:color="auto"/>
        </w:pBdr>
        <w:shd w:val="clear" w:color="auto" w:fill="E0E3E8"/>
      </w:pPr>
      <w:r>
        <w:t>Would</w:t>
      </w:r>
      <w:r w:rsidR="006D4D82">
        <w:t xml:space="preserve"> </w:t>
      </w:r>
      <w:r w:rsidR="002D756A">
        <w:t xml:space="preserve">smaller </w:t>
      </w:r>
      <w:r w:rsidR="00F01627">
        <w:t xml:space="preserve">networks </w:t>
      </w:r>
      <w:r w:rsidR="00920834">
        <w:t>taking</w:t>
      </w:r>
      <w:r w:rsidR="002D756A">
        <w:t xml:space="preserve"> benefit of a class exemption choose to overbuild existing networks? </w:t>
      </w:r>
      <w:r w:rsidR="00920834">
        <w:t xml:space="preserve">Or would those providers focus on </w:t>
      </w:r>
      <w:r w:rsidR="002D756A">
        <w:t xml:space="preserve">building networks </w:t>
      </w:r>
      <w:r w:rsidR="00920834">
        <w:t>without an incumbent</w:t>
      </w:r>
      <w:r w:rsidR="002D756A">
        <w:t>?</w:t>
      </w:r>
    </w:p>
    <w:p w:rsidR="00D20BBD" w:rsidRDefault="006D4D82" w:rsidP="008C726E">
      <w:pPr>
        <w:pStyle w:val="Heading4"/>
        <w:pBdr>
          <w:top w:val="single" w:sz="12" w:space="1" w:color="auto"/>
          <w:left w:val="single" w:sz="12" w:space="4" w:color="auto"/>
          <w:bottom w:val="single" w:sz="12" w:space="1" w:color="auto"/>
          <w:right w:val="single" w:sz="12" w:space="4" w:color="auto"/>
        </w:pBdr>
        <w:shd w:val="clear" w:color="auto" w:fill="E0E3E8"/>
      </w:pPr>
      <w:r>
        <w:t>Question 8</w:t>
      </w:r>
      <w:r w:rsidR="00D20BBD">
        <w:t>:</w:t>
      </w:r>
    </w:p>
    <w:p w:rsidR="00D20BBD" w:rsidRPr="001630FA" w:rsidRDefault="00D20BBD" w:rsidP="008C726E">
      <w:pPr>
        <w:pBdr>
          <w:top w:val="single" w:sz="12" w:space="1" w:color="auto"/>
          <w:left w:val="single" w:sz="12" w:space="4" w:color="auto"/>
          <w:bottom w:val="single" w:sz="12" w:space="1" w:color="auto"/>
          <w:right w:val="single" w:sz="12" w:space="4" w:color="auto"/>
        </w:pBdr>
        <w:shd w:val="clear" w:color="auto" w:fill="E0E3E8"/>
      </w:pPr>
      <w:r>
        <w:t>Is there a material risk that increasing the class exemption limit could p</w:t>
      </w:r>
      <w:r w:rsidR="00236F1E">
        <w:t>romote infrastructure monopolies and discourage competition at the retail level</w:t>
      </w:r>
      <w:r>
        <w:t>?</w:t>
      </w:r>
    </w:p>
    <w:p w:rsidR="005668DF" w:rsidRPr="00894D5F" w:rsidRDefault="00920834" w:rsidP="00A67B25">
      <w:pPr>
        <w:pStyle w:val="Heading3"/>
      </w:pPr>
      <w:r w:rsidRPr="00894D5F">
        <w:lastRenderedPageBreak/>
        <w:t>Would a change in the class exemption limit affect service quality</w:t>
      </w:r>
      <w:r w:rsidR="00D20BBD" w:rsidRPr="00894D5F">
        <w:t xml:space="preserve"> and promote unsustainable entrants</w:t>
      </w:r>
      <w:r w:rsidRPr="00894D5F">
        <w:t>?</w:t>
      </w:r>
    </w:p>
    <w:p w:rsidR="00236F1E" w:rsidRDefault="00236F1E" w:rsidP="008C726E">
      <w:pPr>
        <w:keepNext/>
      </w:pPr>
      <w:r>
        <w:t xml:space="preserve">The </w:t>
      </w:r>
      <w:r w:rsidR="002F5EAA">
        <w:t>Department</w:t>
      </w:r>
      <w:r>
        <w:t xml:space="preserve"> is interested in whether increasing the class exemption limit to 12,000 customers would create risks in relation to service quality</w:t>
      </w:r>
      <w:r w:rsidR="00C103D8">
        <w:t xml:space="preserve"> for retailers and consumers</w:t>
      </w:r>
      <w:r>
        <w:t>.</w:t>
      </w:r>
    </w:p>
    <w:p w:rsidR="00920834" w:rsidRDefault="00236F1E" w:rsidP="000A3747">
      <w:r>
        <w:t xml:space="preserve">For instance, </w:t>
      </w:r>
      <w:r w:rsidR="002F5EAA">
        <w:t xml:space="preserve">it is possible that </w:t>
      </w:r>
      <w:r>
        <w:t>e</w:t>
      </w:r>
      <w:r w:rsidR="00DB2E05">
        <w:t>n</w:t>
      </w:r>
      <w:r w:rsidR="00595CE3">
        <w:t>abling</w:t>
      </w:r>
      <w:r w:rsidR="00DB2E05">
        <w:t xml:space="preserve"> smaller </w:t>
      </w:r>
      <w:r w:rsidR="00F01627">
        <w:t xml:space="preserve">networks </w:t>
      </w:r>
      <w:r w:rsidR="00595CE3">
        <w:t xml:space="preserve">to operate on a vertically integrated basis </w:t>
      </w:r>
      <w:r w:rsidR="00A7460C">
        <w:t>would</w:t>
      </w:r>
      <w:r w:rsidR="0003310D">
        <w:t xml:space="preserve"> </w:t>
      </w:r>
      <w:r w:rsidR="00DB2E05">
        <w:t xml:space="preserve">present </w:t>
      </w:r>
      <w:r w:rsidR="00020813">
        <w:t xml:space="preserve">service quality </w:t>
      </w:r>
      <w:r w:rsidR="00DB2E05">
        <w:t>risks</w:t>
      </w:r>
      <w:r w:rsidR="00020813">
        <w:t xml:space="preserve"> and promote entry into the market by unsustainable businesses</w:t>
      </w:r>
      <w:r w:rsidR="00920834">
        <w:t>.</w:t>
      </w:r>
      <w:r w:rsidR="00D20BBD">
        <w:t xml:space="preserve"> </w:t>
      </w:r>
      <w:r w:rsidR="00020813">
        <w:t>If</w:t>
      </w:r>
      <w:r w:rsidR="00D20BBD">
        <w:t xml:space="preserve"> a carrier ceases to become commercially viable, other network providers are likely to step in to provide services, but this </w:t>
      </w:r>
      <w:r w:rsidR="003F3889">
        <w:t xml:space="preserve">could </w:t>
      </w:r>
      <w:r w:rsidR="00146715">
        <w:t xml:space="preserve">take time, and </w:t>
      </w:r>
      <w:r w:rsidR="00D20BBD">
        <w:t>lead to significant service disruption</w:t>
      </w:r>
      <w:r w:rsidR="00FE7A14">
        <w:t xml:space="preserve"> for consumers</w:t>
      </w:r>
      <w:r w:rsidR="00D20BBD">
        <w:t>.</w:t>
      </w:r>
    </w:p>
    <w:p w:rsidR="00A67B25" w:rsidRDefault="00236F1E" w:rsidP="000A3747">
      <w:r>
        <w:t>The Department notes that s</w:t>
      </w:r>
      <w:r w:rsidR="006656F3">
        <w:t>maller network</w:t>
      </w:r>
      <w:r w:rsidR="00052FC0">
        <w:t>s</w:t>
      </w:r>
      <w:r w:rsidR="006656F3">
        <w:t xml:space="preserve"> without statutory or Ministerial exemptions are subject to the LBAS declaration and the associated final access determination.</w:t>
      </w:r>
      <w:r w:rsidR="00361BF2">
        <w:t xml:space="preserve"> As a result, all superfast broadband providers are required to supply a layer 2 bitstream service to a retailer on request.</w:t>
      </w:r>
      <w:r w:rsidR="006656F3">
        <w:t xml:space="preserve"> Unlike the SBAS, there is no minimum limit to the size of the networks to which the LBAS declaration apply</w:t>
      </w:r>
      <w:r w:rsidR="00A67B25">
        <w:t>.</w:t>
      </w:r>
    </w:p>
    <w:p w:rsidR="00A67B25" w:rsidRDefault="002F5EAA" w:rsidP="000A3747">
      <w:r>
        <w:t>The</w:t>
      </w:r>
      <w:r w:rsidR="006656F3">
        <w:t xml:space="preserve"> ACCC is currently reviewing the SBAS and LBAS declarations, and since the amendments </w:t>
      </w:r>
      <w:r w:rsidR="00E307FF">
        <w:t>made by</w:t>
      </w:r>
      <w:r w:rsidR="006656F3">
        <w:t xml:space="preserve"> the TLA Act, is now in a position to repeal the LBAS should it choose to do so</w:t>
      </w:r>
      <w:r w:rsidR="00A67B25">
        <w:t>.</w:t>
      </w:r>
    </w:p>
    <w:p w:rsidR="004B716E" w:rsidRDefault="00C103D8" w:rsidP="000A3747">
      <w:r>
        <w:t xml:space="preserve">The Department notes that </w:t>
      </w:r>
      <w:r w:rsidR="002F5EAA">
        <w:t>c</w:t>
      </w:r>
      <w:r w:rsidR="00920834">
        <w:t xml:space="preserve">oncerns </w:t>
      </w:r>
      <w:r w:rsidR="00020813">
        <w:t xml:space="preserve">about service quality </w:t>
      </w:r>
      <w:r>
        <w:t xml:space="preserve">could </w:t>
      </w:r>
      <w:r w:rsidR="00FE7A14">
        <w:t xml:space="preserve">potentially </w:t>
      </w:r>
      <w:r>
        <w:t>be mitigated by the n</w:t>
      </w:r>
      <w:r w:rsidR="00920834">
        <w:t xml:space="preserve">ew Statutory Infrastructure Provider </w:t>
      </w:r>
      <w:r w:rsidR="004B716E">
        <w:t>(SIP) obligations</w:t>
      </w:r>
      <w:r w:rsidR="002F5EAA">
        <w:t>, which commenced on 1 July </w:t>
      </w:r>
      <w:r w:rsidR="00920834">
        <w:t xml:space="preserve">2020. </w:t>
      </w:r>
      <w:r w:rsidR="004B716E">
        <w:t>The SIP</w:t>
      </w:r>
      <w:r w:rsidR="004B716E" w:rsidRPr="004B716E">
        <w:t xml:space="preserve"> obligations </w:t>
      </w:r>
      <w:r w:rsidR="00F476FA">
        <w:t xml:space="preserve">are designed to </w:t>
      </w:r>
      <w:r w:rsidR="004B716E" w:rsidRPr="004B716E">
        <w:t xml:space="preserve">ensure that all Australian premises are able to </w:t>
      </w:r>
      <w:r w:rsidR="004B716E" w:rsidRPr="004B716E">
        <w:lastRenderedPageBreak/>
        <w:t>access superfast broadband se</w:t>
      </w:r>
      <w:r>
        <w:t>rvices (25 </w:t>
      </w:r>
      <w:r w:rsidR="004B716E">
        <w:t>Mbps</w:t>
      </w:r>
      <w:r w:rsidR="009E752C">
        <w:t xml:space="preserve"> download</w:t>
      </w:r>
      <w:r w:rsidR="004B716E" w:rsidRPr="004B716E">
        <w:t xml:space="preserve"> or better</w:t>
      </w:r>
      <w:r w:rsidR="009E752C">
        <w:t xml:space="preserve"> and 5 Mbps upload or better</w:t>
      </w:r>
      <w:r w:rsidR="004B716E" w:rsidRPr="004B716E">
        <w:t xml:space="preserve">). </w:t>
      </w:r>
      <w:r w:rsidR="00146715">
        <w:t>SIPs are required to</w:t>
      </w:r>
      <w:r w:rsidR="00146715" w:rsidRPr="004B716E">
        <w:t xml:space="preserve"> </w:t>
      </w:r>
      <w:r w:rsidR="004B716E" w:rsidRPr="004B716E">
        <w:t>connect premises and supply wholesale broadband services on reasonable request</w:t>
      </w:r>
      <w:r w:rsidR="00146715">
        <w:t xml:space="preserve"> from a carriage service provider</w:t>
      </w:r>
      <w:r w:rsidR="00FE7A14">
        <w:t xml:space="preserve"> on behalf of a consumer</w:t>
      </w:r>
      <w:r w:rsidR="004B716E" w:rsidRPr="004B716E">
        <w:t xml:space="preserve">. NBN Co </w:t>
      </w:r>
      <w:r w:rsidR="00146715">
        <w:t>is</w:t>
      </w:r>
      <w:r w:rsidR="004B716E" w:rsidRPr="004B716E">
        <w:t xml:space="preserve"> </w:t>
      </w:r>
      <w:r w:rsidR="00146715">
        <w:t xml:space="preserve">the </w:t>
      </w:r>
      <w:r w:rsidR="004B716E" w:rsidRPr="004B716E">
        <w:t xml:space="preserve">SIP for areas </w:t>
      </w:r>
      <w:r w:rsidR="00146715">
        <w:t>where it has rolled out its</w:t>
      </w:r>
      <w:r w:rsidR="004B716E" w:rsidRPr="004B716E">
        <w:t xml:space="preserve"> network and it will be the default SIP for all of Australia after the NBN is declared built and fully operational.</w:t>
      </w:r>
      <w:r w:rsidR="004B716E">
        <w:t xml:space="preserve"> </w:t>
      </w:r>
      <w:r w:rsidR="004B716E" w:rsidRPr="004B716E">
        <w:t>Other network providers can also be SIPs where appropriate</w:t>
      </w:r>
      <w:r w:rsidR="009E752C">
        <w:t>, and on 20 August 2020</w:t>
      </w:r>
      <w:r w:rsidR="002F5EAA">
        <w:t xml:space="preserve"> </w:t>
      </w:r>
      <w:r w:rsidR="009E752C">
        <w:t>t</w:t>
      </w:r>
      <w:r w:rsidR="004B716E" w:rsidRPr="004B716E">
        <w:t xml:space="preserve">he Minister </w:t>
      </w:r>
      <w:r w:rsidR="00903429">
        <w:t>declared 17 new SIPs.</w:t>
      </w:r>
      <w:r w:rsidR="00903429">
        <w:rPr>
          <w:rStyle w:val="FootnoteReference"/>
        </w:rPr>
        <w:footnoteReference w:id="6"/>
      </w:r>
      <w:r w:rsidR="00903429">
        <w:t xml:space="preserve"> The Minister </w:t>
      </w:r>
      <w:r w:rsidR="008D4DCD">
        <w:t>could</w:t>
      </w:r>
      <w:r w:rsidR="004B716E" w:rsidRPr="004B716E">
        <w:t xml:space="preserve"> </w:t>
      </w:r>
      <w:r w:rsidR="00903429">
        <w:t xml:space="preserve">also </w:t>
      </w:r>
      <w:r w:rsidR="004B716E" w:rsidRPr="004B716E">
        <w:t>make standards, rules and benchmarks that could set out more detailed requirements, such as timeframes for providing access and rectifying faults. SIPs w</w:t>
      </w:r>
      <w:r w:rsidR="008D4DCD">
        <w:t>ould</w:t>
      </w:r>
      <w:r w:rsidR="004B716E" w:rsidRPr="004B716E">
        <w:t xml:space="preserve"> be required to comply with </w:t>
      </w:r>
      <w:r w:rsidR="008D4DCD">
        <w:t>any such</w:t>
      </w:r>
      <w:r w:rsidR="008D4DCD" w:rsidRPr="004B716E">
        <w:t xml:space="preserve"> </w:t>
      </w:r>
      <w:r w:rsidR="004B716E" w:rsidRPr="004B716E">
        <w:t>standards, rules and benchmarks.</w:t>
      </w:r>
    </w:p>
    <w:p w:rsidR="008C726E" w:rsidRDefault="00E318B5" w:rsidP="008C726E">
      <w:pPr>
        <w:pStyle w:val="Heading4"/>
        <w:pBdr>
          <w:top w:val="single" w:sz="12" w:space="1" w:color="auto"/>
          <w:left w:val="single" w:sz="12" w:space="4" w:color="auto"/>
          <w:bottom w:val="single" w:sz="12" w:space="1" w:color="auto"/>
          <w:right w:val="single" w:sz="12" w:space="4" w:color="auto"/>
        </w:pBdr>
        <w:shd w:val="clear" w:color="auto" w:fill="E0E3E8"/>
      </w:pPr>
      <w:r>
        <w:t xml:space="preserve">Question </w:t>
      </w:r>
      <w:r w:rsidR="006D4D82" w:rsidRPr="004B12D2">
        <w:t>9</w:t>
      </w:r>
      <w:r w:rsidRPr="00A10231">
        <w:t>:</w:t>
      </w:r>
    </w:p>
    <w:p w:rsidR="008354F3" w:rsidRDefault="00E318B5" w:rsidP="008C726E">
      <w:pPr>
        <w:pBdr>
          <w:top w:val="single" w:sz="12" w:space="1" w:color="auto"/>
          <w:left w:val="single" w:sz="12" w:space="4" w:color="auto"/>
          <w:bottom w:val="single" w:sz="12" w:space="1" w:color="auto"/>
          <w:right w:val="single" w:sz="12" w:space="4" w:color="auto"/>
        </w:pBdr>
        <w:shd w:val="clear" w:color="auto" w:fill="E0E3E8"/>
      </w:pPr>
      <w:r>
        <w:t>W</w:t>
      </w:r>
      <w:r w:rsidR="00176648">
        <w:t>ould</w:t>
      </w:r>
      <w:r>
        <w:t xml:space="preserve"> increasing the maximum allowable class exemption increase the likelihood of poor end-user outcomes?</w:t>
      </w:r>
      <w:r w:rsidR="00920834">
        <w:t xml:space="preserve"> If so, why?</w:t>
      </w:r>
    </w:p>
    <w:p w:rsidR="008C726E" w:rsidRDefault="005668DF" w:rsidP="008C726E">
      <w:pPr>
        <w:pStyle w:val="Heading4"/>
        <w:pBdr>
          <w:top w:val="single" w:sz="12" w:space="1" w:color="auto"/>
          <w:left w:val="single" w:sz="12" w:space="4" w:color="auto"/>
          <w:bottom w:val="single" w:sz="12" w:space="1" w:color="auto"/>
          <w:right w:val="single" w:sz="12" w:space="4" w:color="auto"/>
        </w:pBdr>
        <w:shd w:val="clear" w:color="auto" w:fill="E0E3E8"/>
      </w:pPr>
      <w:r w:rsidRPr="00176648">
        <w:t xml:space="preserve">Question </w:t>
      </w:r>
      <w:r w:rsidR="006D4D82" w:rsidRPr="004B12D2">
        <w:t>10</w:t>
      </w:r>
      <w:r w:rsidRPr="00176648">
        <w:t>:</w:t>
      </w:r>
    </w:p>
    <w:p w:rsidR="005668DF" w:rsidRPr="008D39D1" w:rsidRDefault="002D4067" w:rsidP="008C726E">
      <w:pPr>
        <w:pBdr>
          <w:top w:val="single" w:sz="12" w:space="1" w:color="auto"/>
          <w:left w:val="single" w:sz="12" w:space="4" w:color="auto"/>
          <w:bottom w:val="single" w:sz="12" w:space="1" w:color="auto"/>
          <w:right w:val="single" w:sz="12" w:space="4" w:color="auto"/>
        </w:pBdr>
        <w:shd w:val="clear" w:color="auto" w:fill="E0E3E8"/>
      </w:pPr>
      <w:r>
        <w:t xml:space="preserve">Are </w:t>
      </w:r>
      <w:r w:rsidR="00176648">
        <w:t>potential</w:t>
      </w:r>
      <w:r>
        <w:t xml:space="preserve"> concerns about service quality mitigated by the ACCC</w:t>
      </w:r>
      <w:r w:rsidR="002F5EAA">
        <w:t xml:space="preserve"> SBAS and LBAS declarations</w:t>
      </w:r>
      <w:r>
        <w:t xml:space="preserve"> and the </w:t>
      </w:r>
      <w:r w:rsidR="00361BF2">
        <w:t xml:space="preserve">new </w:t>
      </w:r>
      <w:r>
        <w:t xml:space="preserve">Statutory Infrastructure Provider </w:t>
      </w:r>
      <w:r w:rsidR="00176648">
        <w:t>obligations</w:t>
      </w:r>
      <w:r w:rsidR="005668DF" w:rsidRPr="008D39D1">
        <w:t>?</w:t>
      </w:r>
    </w:p>
    <w:p w:rsidR="000544D0" w:rsidRPr="00A10231" w:rsidRDefault="003D692C" w:rsidP="008C726E">
      <w:pPr>
        <w:pStyle w:val="Heading2"/>
        <w:pageBreakBefore/>
        <w:rPr>
          <w:sz w:val="32"/>
        </w:rPr>
      </w:pPr>
      <w:bookmarkStart w:id="1" w:name="_Appendix_A:"/>
      <w:bookmarkEnd w:id="1"/>
      <w:r w:rsidRPr="00136B6D">
        <w:rPr>
          <w:sz w:val="32"/>
        </w:rPr>
        <w:lastRenderedPageBreak/>
        <w:t xml:space="preserve">Appendix A: </w:t>
      </w:r>
      <w:r w:rsidR="000544D0" w:rsidRPr="00A10231">
        <w:rPr>
          <w:sz w:val="32"/>
        </w:rPr>
        <w:t>Summary of outcomes of ACCC consultation process</w:t>
      </w:r>
    </w:p>
    <w:p w:rsidR="000544D0" w:rsidRPr="00511A3E" w:rsidRDefault="000544D0" w:rsidP="000544D0">
      <w:r>
        <w:t>I</w:t>
      </w:r>
      <w:r w:rsidRPr="00511A3E">
        <w:t xml:space="preserve">n preparation for the commencement of the </w:t>
      </w:r>
      <w:r>
        <w:t>TLA Act, on 5 June 2020, the ACCC</w:t>
      </w:r>
      <w:r w:rsidRPr="00511A3E">
        <w:t xml:space="preserve"> </w:t>
      </w:r>
      <w:r>
        <w:t xml:space="preserve">consulted publicly </w:t>
      </w:r>
      <w:r w:rsidRPr="00511A3E">
        <w:t>on</w:t>
      </w:r>
      <w:r>
        <w:t xml:space="preserve"> </w:t>
      </w:r>
      <w:r w:rsidRPr="00511A3E">
        <w:t xml:space="preserve">a draft instrument for the </w:t>
      </w:r>
      <w:r>
        <w:t xml:space="preserve">class </w:t>
      </w:r>
      <w:r w:rsidRPr="00511A3E">
        <w:t xml:space="preserve">exemption </w:t>
      </w:r>
      <w:r>
        <w:t>of</w:t>
      </w:r>
      <w:r w:rsidRPr="00511A3E">
        <w:t xml:space="preserve"> small networks</w:t>
      </w:r>
      <w:r>
        <w:t xml:space="preserve"> of up to 2,000 customers. The ACCC sought feedback on </w:t>
      </w:r>
      <w:r w:rsidRPr="00511A3E">
        <w:t>the class of persons</w:t>
      </w:r>
      <w:r>
        <w:t xml:space="preserve">, if any, </w:t>
      </w:r>
      <w:r w:rsidRPr="00511A3E">
        <w:t xml:space="preserve">to whom </w:t>
      </w:r>
      <w:r>
        <w:t>the exemption</w:t>
      </w:r>
      <w:r w:rsidRPr="00511A3E">
        <w:t xml:space="preserve"> should apply and </w:t>
      </w:r>
      <w:r>
        <w:t xml:space="preserve">queried whether </w:t>
      </w:r>
      <w:r w:rsidRPr="00511A3E">
        <w:t>any other conditions and limitations</w:t>
      </w:r>
      <w:r>
        <w:t xml:space="preserve"> should be included</w:t>
      </w:r>
      <w:r w:rsidRPr="00330EEE">
        <w:t>.</w:t>
      </w:r>
      <w:r>
        <w:t xml:space="preserve"> The discussion paper also sought input on a draft Deemed Functional Separation Undertaking that outlined the requirements that providers would need to meet to avoid having to structurally separate.</w:t>
      </w:r>
      <w:r w:rsidRPr="00894D5F">
        <w:rPr>
          <w:rStyle w:val="FootnoteReference"/>
        </w:rPr>
        <w:footnoteReference w:id="7"/>
      </w:r>
    </w:p>
    <w:p w:rsidR="000544D0" w:rsidRDefault="000544D0" w:rsidP="000544D0">
      <w:r>
        <w:t>During its consultation process, the ACCC received submissions from: NBN Co; the Australian Communications Consumer Action Network (ACCAN); Aussie Broadband; several smaller infrastructure providers (Connected Australia, Countrytell, Frontier Networks, Lynham Networks, Real World Networks, Swoop, and VostroNet); Telstra; TPG Telecom; and Uniti.</w:t>
      </w:r>
    </w:p>
    <w:p w:rsidR="000544D0" w:rsidRDefault="000544D0" w:rsidP="000544D0">
      <w:r>
        <w:t xml:space="preserve">NBN Co argued that a level playing field requires a uniform regulatory approach, that is, all telecommunications infrastructure providers should be fully structurally separated. NBN Co therefore opposed the introduction of any exemption that would potentially establish a </w:t>
      </w:r>
      <w:r>
        <w:lastRenderedPageBreak/>
        <w:t>three-tiered approach to the separation requirements (i.e. fully structurally separated carriers, functionally separated carriers and, for those subject to the class exemption, vertically integrated carriers). NBN Co argued that such a situation would neither support efficient investment nor promote infrastructure-based competition for consumers.</w:t>
      </w:r>
    </w:p>
    <w:p w:rsidR="000544D0" w:rsidRDefault="000544D0" w:rsidP="000544D0">
      <w:r>
        <w:t>ACCAN argued that exemptions from structural separation requirements can lead to poor outcomes for consumers. ACCAN’s preference was for providers with 2,000 or more customers to be subject to either functional or structural separation.</w:t>
      </w:r>
    </w:p>
    <w:p w:rsidR="00A67B25" w:rsidRDefault="000544D0" w:rsidP="000544D0">
      <w:r>
        <w:t>Smaller telecommunications providers argued that functional separation would impose substantial costs on their businesses (both in terms of initially separating business operations and then maintaining separate business arms). Smaller providers argued they were already competing in a low-margin market. Aussie Broadband, Lynham Networks, Countrytell, Connected Australia, Real World Networks, Vostronet and Swoop all submitted that it would not be viable for an operator with less than 2,000 connections to separate, and that strictly enforcing the requirements would not promote meaningful competition. There was some consensus from this stakeholder group that providers would need to have around 50,000 customers before functional separation would be financially viable</w:t>
      </w:r>
      <w:r w:rsidR="00A67B25">
        <w:t>.</w:t>
      </w:r>
    </w:p>
    <w:p w:rsidR="000544D0" w:rsidRPr="00BB3D46" w:rsidRDefault="000544D0" w:rsidP="002D26D7">
      <w:r>
        <w:t>Larger providers, including Telstra and TPG tended to concur with the positions outlined by smaller providers. Telstra argued that functional separation would impose overly onerous requirements on smaller providers, which would result in material costs to their businesses. TPG argued that the ACCC should keep the goal of infrastructure-</w:t>
      </w:r>
      <w:r>
        <w:lastRenderedPageBreak/>
        <w:t>based competition front-of-mind and argued that applying the same separation requirements that apply to NBN Co to smaller providers would make the mistake of treating market entrants as if they had equal market power and access to low cost capital as NBN Co.</w:t>
      </w:r>
    </w:p>
    <w:sectPr w:rsidR="000544D0" w:rsidRPr="00BB3D46"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FC" w:rsidRDefault="00E259FC" w:rsidP="00FC413F">
      <w:pPr>
        <w:spacing w:after="0"/>
      </w:pPr>
      <w:r>
        <w:separator/>
      </w:r>
    </w:p>
  </w:endnote>
  <w:endnote w:type="continuationSeparator" w:id="0">
    <w:p w:rsidR="00E259FC" w:rsidRDefault="00E259FC" w:rsidP="00FC413F">
      <w:pPr>
        <w:spacing w:after="0"/>
      </w:pPr>
      <w:r>
        <w:continuationSeparator/>
      </w:r>
    </w:p>
  </w:endnote>
  <w:endnote w:type="continuationNotice" w:id="1">
    <w:p w:rsidR="00E259FC" w:rsidRDefault="00E259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8" w:rsidRPr="00FC413F" w:rsidRDefault="004A24F8"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5739D" w:rsidRPr="00FC413F" w:rsidRDefault="00A5739D" w:rsidP="00A5739D">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D01A4">
      <w:rPr>
        <w:rFonts w:cs="Segoe UI"/>
        <w:noProof/>
        <w:szCs w:val="18"/>
      </w:rPr>
      <w:t>2</w:t>
    </w:r>
    <w:r>
      <w:rPr>
        <w:rFonts w:cs="Segoe UI"/>
        <w:szCs w:val="18"/>
      </w:rPr>
      <w:fldChar w:fldCharType="end"/>
    </w:r>
    <w:r w:rsidRPr="00FC413F">
      <w:rPr>
        <w:rFonts w:cs="Segoe UI"/>
        <w:noProof/>
        <w:szCs w:val="18"/>
      </w:rPr>
      <w:t>.</w:t>
    </w:r>
    <w:r w:rsidRPr="00FC413F">
      <w:rPr>
        <w:rFonts w:cs="Segoe UI"/>
        <w:noProof/>
        <w:szCs w:val="18"/>
      </w:rPr>
      <w:tab/>
    </w:r>
    <w:r w:rsidRPr="00A5739D">
      <w:rPr>
        <w:rFonts w:cs="Segoe UI"/>
        <w:noProof/>
        <w:szCs w:val="18"/>
      </w:rPr>
      <w:t>Consultation Paper: Exemptions for controllers of superfast fixed-line networks from separation requirements</w:t>
    </w:r>
  </w:p>
  <w:p w:rsidR="004A24F8" w:rsidRPr="00FC413F" w:rsidRDefault="003D01A4" w:rsidP="00133A45">
    <w:pPr>
      <w:pStyle w:val="Footer"/>
      <w:tabs>
        <w:tab w:val="clear" w:pos="4513"/>
        <w:tab w:val="clear" w:pos="9026"/>
      </w:tabs>
      <w:ind w:left="-567"/>
      <w:jc w:val="center"/>
      <w:rPr>
        <w:rFonts w:cs="Segoe UI"/>
        <w:szCs w:val="18"/>
      </w:rPr>
    </w:pPr>
    <w:hyperlink r:id="rId1" w:history="1">
      <w:r w:rsidR="004A24F8" w:rsidRPr="00FC413F">
        <w:rPr>
          <w:rStyle w:val="Hyperlink"/>
          <w:rFonts w:cs="Segoe UI"/>
          <w:szCs w:val="18"/>
        </w:rPr>
        <w:t>infrastructure.gov.au</w:t>
      </w:r>
    </w:hyperlink>
    <w:r w:rsidR="004A24F8" w:rsidRPr="00FC413F">
      <w:rPr>
        <w:rFonts w:cs="Segoe UI"/>
        <w:noProof/>
        <w:szCs w:val="18"/>
      </w:rPr>
      <w:t xml:space="preserve"> | </w:t>
    </w:r>
    <w:hyperlink r:id="rId2" w:history="1">
      <w:r w:rsidR="004A24F8" w:rsidRPr="00FC413F">
        <w:rPr>
          <w:rStyle w:val="Hyperlink"/>
          <w:rFonts w:cs="Segoe UI"/>
          <w:szCs w:val="18"/>
        </w:rPr>
        <w:t>communications.gov.au</w:t>
      </w:r>
    </w:hyperlink>
    <w:r w:rsidR="004A24F8" w:rsidRPr="00FC413F">
      <w:rPr>
        <w:rFonts w:cs="Segoe UI"/>
        <w:noProof/>
        <w:szCs w:val="18"/>
      </w:rPr>
      <w:t xml:space="preserve"> |</w:t>
    </w:r>
    <w:r w:rsidR="004A24F8">
      <w:rPr>
        <w:rFonts w:cs="Segoe UI"/>
        <w:noProof/>
        <w:szCs w:val="18"/>
      </w:rPr>
      <w:t xml:space="preserve"> </w:t>
    </w:r>
    <w:hyperlink r:id="rId3" w:history="1">
      <w:r w:rsidR="004A24F8"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8" w:rsidRPr="00FC413F" w:rsidRDefault="004A24F8"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4A24F8" w:rsidRPr="00FC413F" w:rsidRDefault="004A24F8" w:rsidP="00A5739D">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D01A4">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F058EA" w:rsidRPr="00F058EA">
      <w:rPr>
        <w:rFonts w:cs="Segoe UI"/>
        <w:noProof/>
        <w:szCs w:val="18"/>
      </w:rPr>
      <w:t>Consultation Paper: Exemptions for controllers of superfast fixed-line networks from separation requirements</w:t>
    </w:r>
  </w:p>
  <w:p w:rsidR="004A24F8" w:rsidRPr="00FC413F" w:rsidRDefault="003D01A4" w:rsidP="0000270B">
    <w:pPr>
      <w:pStyle w:val="Footer"/>
      <w:tabs>
        <w:tab w:val="clear" w:pos="4513"/>
        <w:tab w:val="clear" w:pos="9026"/>
      </w:tabs>
      <w:ind w:left="-567"/>
      <w:jc w:val="center"/>
      <w:rPr>
        <w:rFonts w:cs="Segoe UI"/>
        <w:szCs w:val="18"/>
      </w:rPr>
    </w:pPr>
    <w:hyperlink r:id="rId1" w:history="1">
      <w:r w:rsidR="004A24F8" w:rsidRPr="00FC413F">
        <w:rPr>
          <w:rStyle w:val="Hyperlink"/>
          <w:rFonts w:cs="Segoe UI"/>
          <w:szCs w:val="18"/>
        </w:rPr>
        <w:t>infrastructure.gov.au</w:t>
      </w:r>
    </w:hyperlink>
    <w:r w:rsidR="004A24F8" w:rsidRPr="00FC413F">
      <w:rPr>
        <w:rFonts w:cs="Segoe UI"/>
        <w:noProof/>
        <w:szCs w:val="18"/>
      </w:rPr>
      <w:t xml:space="preserve"> | </w:t>
    </w:r>
    <w:hyperlink r:id="rId2" w:history="1">
      <w:r w:rsidR="004A24F8" w:rsidRPr="00FC413F">
        <w:rPr>
          <w:rStyle w:val="Hyperlink"/>
          <w:rFonts w:cs="Segoe UI"/>
          <w:szCs w:val="18"/>
        </w:rPr>
        <w:t>communications.gov.au</w:t>
      </w:r>
    </w:hyperlink>
    <w:r w:rsidR="004A24F8" w:rsidRPr="00FC413F">
      <w:rPr>
        <w:rFonts w:cs="Segoe UI"/>
        <w:noProof/>
        <w:szCs w:val="18"/>
      </w:rPr>
      <w:t xml:space="preserve"> |</w:t>
    </w:r>
    <w:r w:rsidR="004A24F8">
      <w:rPr>
        <w:rFonts w:cs="Segoe UI"/>
        <w:noProof/>
        <w:szCs w:val="18"/>
      </w:rPr>
      <w:t xml:space="preserve"> </w:t>
    </w:r>
    <w:hyperlink r:id="rId3" w:history="1">
      <w:r w:rsidR="004A24F8"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FC" w:rsidRDefault="00E259FC" w:rsidP="00FC413F">
      <w:pPr>
        <w:spacing w:after="0"/>
      </w:pPr>
      <w:r>
        <w:separator/>
      </w:r>
    </w:p>
  </w:footnote>
  <w:footnote w:type="continuationSeparator" w:id="0">
    <w:p w:rsidR="00E259FC" w:rsidRDefault="00E259FC" w:rsidP="00FC413F">
      <w:pPr>
        <w:spacing w:after="0"/>
      </w:pPr>
      <w:r>
        <w:continuationSeparator/>
      </w:r>
    </w:p>
  </w:footnote>
  <w:footnote w:type="continuationNotice" w:id="1">
    <w:p w:rsidR="00E259FC" w:rsidRDefault="00E259FC">
      <w:pPr>
        <w:spacing w:after="0"/>
      </w:pPr>
    </w:p>
  </w:footnote>
  <w:footnote w:id="2">
    <w:p w:rsidR="0011200C" w:rsidRDefault="0011200C">
      <w:pPr>
        <w:pStyle w:val="FootnoteText"/>
      </w:pPr>
      <w:r>
        <w:rPr>
          <w:rStyle w:val="FootnoteReference"/>
        </w:rPr>
        <w:footnoteRef/>
      </w:r>
      <w:r>
        <w:t xml:space="preserve"> </w:t>
      </w:r>
      <w:r w:rsidRPr="00353913">
        <w:rPr>
          <w:sz w:val="14"/>
          <w:szCs w:val="14"/>
        </w:rPr>
        <w:t>References to ‘networks’ in this paper should be read to mean controllers of superfast fixed line networks. ‘Superfast’ networks are those networks that can provide peak download speeds of 25 Megabits per second (Mbps). This includes fibre networks, but excludes copper (ADSL) networks.</w:t>
      </w:r>
    </w:p>
  </w:footnote>
  <w:footnote w:id="3">
    <w:p w:rsidR="004A24F8" w:rsidRDefault="004A24F8" w:rsidP="00B0584A">
      <w:pPr>
        <w:pStyle w:val="FootnoteText"/>
      </w:pPr>
      <w:r>
        <w:rPr>
          <w:rStyle w:val="FootnoteReference"/>
        </w:rPr>
        <w:footnoteRef/>
      </w:r>
      <w:r>
        <w:t xml:space="preserve"> </w:t>
      </w:r>
      <w:r w:rsidRPr="00DA6897">
        <w:rPr>
          <w:sz w:val="14"/>
        </w:rPr>
        <w:t xml:space="preserve">See ACCC </w:t>
      </w:r>
      <w:r>
        <w:rPr>
          <w:sz w:val="14"/>
        </w:rPr>
        <w:t xml:space="preserve">Explanatory Statement for the </w:t>
      </w:r>
      <w:r w:rsidRPr="00DA6897">
        <w:rPr>
          <w:i/>
          <w:sz w:val="14"/>
        </w:rPr>
        <w:t>Telecommunications (Superfast Broadband Network Class Exemption) Determination 2020</w:t>
      </w:r>
      <w:r>
        <w:rPr>
          <w:sz w:val="14"/>
        </w:rPr>
        <w:t>, p.2,</w:t>
      </w:r>
      <w:r w:rsidRPr="00DA6897">
        <w:rPr>
          <w:sz w:val="14"/>
        </w:rPr>
        <w:t xml:space="preserve"> which is available at</w:t>
      </w:r>
      <w:r>
        <w:rPr>
          <w:sz w:val="14"/>
        </w:rPr>
        <w:t xml:space="preserve"> </w:t>
      </w:r>
      <w:hyperlink r:id="rId1" w:history="1">
        <w:r w:rsidR="009D6250" w:rsidRPr="004C5006">
          <w:rPr>
            <w:rStyle w:val="Hyperlink"/>
            <w:sz w:val="14"/>
          </w:rPr>
          <w:t>www.accc.gov.au/system/files/Superfast%20Broadband%20Network%20Class%20Exemption%20Determination%20-%20Explanatory%20Statement_0.pdf</w:t>
        </w:r>
      </w:hyperlink>
    </w:p>
  </w:footnote>
  <w:footnote w:id="4">
    <w:p w:rsidR="004A24F8" w:rsidRDefault="004A24F8" w:rsidP="00B0584A">
      <w:pPr>
        <w:pStyle w:val="FootnoteText"/>
      </w:pPr>
      <w:r>
        <w:rPr>
          <w:rStyle w:val="FootnoteReference"/>
        </w:rPr>
        <w:footnoteRef/>
      </w:r>
      <w:r>
        <w:t xml:space="preserve"> </w:t>
      </w:r>
      <w:r>
        <w:rPr>
          <w:sz w:val="14"/>
        </w:rPr>
        <w:t xml:space="preserve">See subparagrahs 7(a)(ii) and 7(b)(ii) of the </w:t>
      </w:r>
      <w:r w:rsidRPr="00AB4CDB">
        <w:rPr>
          <w:i/>
          <w:sz w:val="14"/>
        </w:rPr>
        <w:t>Telecommunications (Superfast Broadband Network Class Exemption) Determination 2020</w:t>
      </w:r>
      <w:r>
        <w:rPr>
          <w:sz w:val="14"/>
        </w:rPr>
        <w:t xml:space="preserve">, which is available at </w:t>
      </w:r>
      <w:hyperlink r:id="rId2" w:history="1">
        <w:r w:rsidR="009D6250" w:rsidRPr="004C5006">
          <w:rPr>
            <w:rStyle w:val="Hyperlink"/>
            <w:sz w:val="14"/>
          </w:rPr>
          <w:t>www.accc.gov.au/system/files/Superfast%20Broadband%20Network%20Class%20Exemption%20Determination.pdf</w:t>
        </w:r>
      </w:hyperlink>
      <w:r>
        <w:rPr>
          <w:sz w:val="14"/>
        </w:rPr>
        <w:t>.</w:t>
      </w:r>
    </w:p>
  </w:footnote>
  <w:footnote w:id="5">
    <w:p w:rsidR="004A24F8" w:rsidRPr="00894D5F" w:rsidRDefault="004A24F8">
      <w:pPr>
        <w:pStyle w:val="FootnoteText"/>
        <w:rPr>
          <w:sz w:val="14"/>
        </w:rPr>
      </w:pPr>
      <w:r>
        <w:rPr>
          <w:rStyle w:val="FootnoteReference"/>
        </w:rPr>
        <w:footnoteRef/>
      </w:r>
      <w:r>
        <w:t xml:space="preserve"> </w:t>
      </w:r>
      <w:r w:rsidRPr="00894D5F">
        <w:rPr>
          <w:sz w:val="14"/>
        </w:rPr>
        <w:t>More details on th</w:t>
      </w:r>
      <w:r>
        <w:rPr>
          <w:sz w:val="14"/>
        </w:rPr>
        <w:t xml:space="preserve">e ACCC’s current consultation process on a draft deemed functional separation undertaking are available at </w:t>
      </w:r>
      <w:hyperlink r:id="rId3" w:history="1">
        <w:r w:rsidR="009D6250" w:rsidRPr="004C5006">
          <w:rPr>
            <w:rStyle w:val="Hyperlink"/>
            <w:sz w:val="14"/>
          </w:rPr>
          <w:t>www.accc.gov.au/regulated-infrastructure/communications/fixed-line-services/superfast-broadband-network-class-exemption-deemed-functional-separation-undertaking/final-deemed-functional-separation-undertaking-instrument</w:t>
        </w:r>
      </w:hyperlink>
      <w:r w:rsidR="009D6250">
        <w:rPr>
          <w:sz w:val="14"/>
        </w:rPr>
        <w:t>.</w:t>
      </w:r>
    </w:p>
  </w:footnote>
  <w:footnote w:id="6">
    <w:p w:rsidR="00903429" w:rsidRDefault="00903429">
      <w:pPr>
        <w:pStyle w:val="FootnoteText"/>
      </w:pPr>
      <w:r>
        <w:rPr>
          <w:rStyle w:val="FootnoteReference"/>
        </w:rPr>
        <w:footnoteRef/>
      </w:r>
      <w:r>
        <w:t xml:space="preserve"> See the </w:t>
      </w:r>
      <w:r w:rsidRPr="00282062">
        <w:rPr>
          <w:rFonts w:ascii="Arial" w:hAnsi="Arial" w:cs="Arial"/>
          <w:i/>
          <w:sz w:val="19"/>
          <w:szCs w:val="19"/>
        </w:rPr>
        <w:t>Telecommunications (Designated Service Area and Statutory Infrastruc</w:t>
      </w:r>
      <w:r w:rsidRPr="00903429">
        <w:rPr>
          <w:rFonts w:ascii="Arial" w:hAnsi="Arial" w:cs="Arial"/>
          <w:i/>
          <w:sz w:val="19"/>
          <w:szCs w:val="19"/>
        </w:rPr>
        <w:t>ture Provider) Declaration (No. </w:t>
      </w:r>
      <w:r w:rsidRPr="00282062">
        <w:rPr>
          <w:rFonts w:ascii="Arial" w:hAnsi="Arial" w:cs="Arial"/>
          <w:i/>
          <w:sz w:val="19"/>
          <w:szCs w:val="19"/>
        </w:rPr>
        <w:t>1) 2020</w:t>
      </w:r>
      <w:r w:rsidRPr="00282062">
        <w:rPr>
          <w:rFonts w:ascii="Arial" w:hAnsi="Arial" w:cs="Arial"/>
          <w:sz w:val="19"/>
          <w:szCs w:val="19"/>
        </w:rPr>
        <w:t xml:space="preserve">, which is available at </w:t>
      </w:r>
      <w:hyperlink r:id="rId4" w:history="1">
        <w:r w:rsidRPr="00282062">
          <w:rPr>
            <w:rStyle w:val="Hyperlink"/>
            <w:rFonts w:ascii="Arial" w:hAnsi="Arial" w:cs="Arial"/>
            <w:sz w:val="19"/>
            <w:szCs w:val="19"/>
          </w:rPr>
          <w:t>www.legislation.gov.au/Details/F2020L01053</w:t>
        </w:r>
      </w:hyperlink>
      <w:r>
        <w:rPr>
          <w:rFonts w:ascii="Arial" w:hAnsi="Arial" w:cs="Arial"/>
          <w:sz w:val="19"/>
          <w:szCs w:val="19"/>
        </w:rPr>
        <w:t>.</w:t>
      </w:r>
    </w:p>
  </w:footnote>
  <w:footnote w:id="7">
    <w:p w:rsidR="00A67B25" w:rsidRDefault="004A24F8" w:rsidP="000544D0">
      <w:pPr>
        <w:pStyle w:val="FootnoteText"/>
        <w:rPr>
          <w:sz w:val="14"/>
        </w:rPr>
      </w:pPr>
      <w:r>
        <w:rPr>
          <w:rStyle w:val="FootnoteReference"/>
        </w:rPr>
        <w:footnoteRef/>
      </w:r>
      <w:r>
        <w:t xml:space="preserve"> </w:t>
      </w:r>
      <w:r w:rsidRPr="00CB22B4">
        <w:rPr>
          <w:sz w:val="14"/>
        </w:rPr>
        <w:t xml:space="preserve">See </w:t>
      </w:r>
      <w:r w:rsidRPr="008A4CF8">
        <w:rPr>
          <w:i/>
          <w:sz w:val="14"/>
        </w:rPr>
        <w:t>ACCC Superfast Broadband Network Class Exemption and Deemed Functional Separation Undertaking</w:t>
      </w:r>
      <w:r>
        <w:rPr>
          <w:sz w:val="14"/>
        </w:rPr>
        <w:t xml:space="preserve"> </w:t>
      </w:r>
      <w:r w:rsidRPr="00CB22B4">
        <w:rPr>
          <w:sz w:val="14"/>
        </w:rPr>
        <w:t xml:space="preserve">consultation </w:t>
      </w:r>
      <w:r>
        <w:rPr>
          <w:sz w:val="14"/>
        </w:rPr>
        <w:t xml:space="preserve">paper, which is available at </w:t>
      </w:r>
      <w:hyperlink r:id="rId5" w:history="1">
        <w:r w:rsidR="009D6250" w:rsidRPr="004C5006">
          <w:rPr>
            <w:rStyle w:val="Hyperlink"/>
            <w:sz w:val="14"/>
          </w:rPr>
          <w:t>www.accc.gov.au/regulated-infrastructure/communications/fixed-line-services/superfast-broadband-network-class-exemption-deemed-functional-separation-undertaking</w:t>
        </w:r>
      </w:hyperlink>
      <w:r w:rsidR="00A67B25">
        <w:rPr>
          <w:sz w:val="14"/>
        </w:rPr>
        <w:t>.</w:t>
      </w:r>
    </w:p>
    <w:p w:rsidR="004A24F8" w:rsidRDefault="004A24F8" w:rsidP="000544D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F8" w:rsidRDefault="004A24F8" w:rsidP="00FC413F">
    <w:pPr>
      <w:pStyle w:val="Header"/>
      <w:tabs>
        <w:tab w:val="right" w:pos="9475"/>
      </w:tabs>
      <w:ind w:left="-1418"/>
    </w:pPr>
    <w:r>
      <w:rPr>
        <w:noProof/>
        <w:lang w:eastAsia="en-AU"/>
      </w:rPr>
      <w:drawing>
        <wp:inline distT="0" distB="0" distL="0" distR="0" wp14:anchorId="1F82593A" wp14:editId="66A5BA38">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4A24F8" w:rsidRPr="00261FFA" w:rsidRDefault="00E535D6" w:rsidP="00D47BFD">
    <w:pPr>
      <w:pStyle w:val="Header"/>
      <w:tabs>
        <w:tab w:val="clear" w:pos="4678"/>
      </w:tabs>
      <w:rPr>
        <w:rFonts w:cs="Segoe UI Light"/>
        <w:color w:val="001C40"/>
        <w:szCs w:val="18"/>
      </w:rPr>
    </w:pPr>
    <w:r>
      <w:rPr>
        <w:rFonts w:cs="Segoe UI Light"/>
        <w:szCs w:val="18"/>
      </w:rPr>
      <w:t>January 2021</w:t>
    </w:r>
    <w:r w:rsidR="004A24F8" w:rsidRPr="00261FFA">
      <w:rPr>
        <w:rFonts w:cs="Segoe UI Light"/>
        <w:szCs w:val="18"/>
      </w:rPr>
      <w:tab/>
    </w:r>
    <w:r w:rsidR="004A24F8">
      <w:rPr>
        <w:rFonts w:cs="Segoe UI Light"/>
        <w:color w:val="001C40"/>
        <w:szCs w:val="18"/>
      </w:rPr>
      <w:fldChar w:fldCharType="begin"/>
    </w:r>
    <w:r w:rsidR="004A24F8">
      <w:rPr>
        <w:rFonts w:cs="Segoe UI Light"/>
        <w:color w:val="001C40"/>
        <w:szCs w:val="18"/>
      </w:rPr>
      <w:instrText xml:space="preserve"> STYLEREF  "Heading 2"  \* MERGEFORMAT </w:instrText>
    </w:r>
    <w:r w:rsidR="004A24F8">
      <w:rPr>
        <w:rFonts w:cs="Segoe UI Light"/>
        <w:color w:val="001C40"/>
        <w:szCs w:val="18"/>
      </w:rPr>
      <w:fldChar w:fldCharType="separate"/>
    </w:r>
    <w:r w:rsidR="003D01A4">
      <w:rPr>
        <w:rFonts w:cs="Segoe UI Light"/>
        <w:noProof/>
        <w:color w:val="001C40"/>
        <w:szCs w:val="18"/>
      </w:rPr>
      <w:t>Background</w:t>
    </w:r>
    <w:r w:rsidR="004A24F8">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4E1B"/>
    <w:multiLevelType w:val="hybridMultilevel"/>
    <w:tmpl w:val="66543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D928F9"/>
    <w:multiLevelType w:val="hybridMultilevel"/>
    <w:tmpl w:val="1E8EA3D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A50CE9"/>
    <w:multiLevelType w:val="hybridMultilevel"/>
    <w:tmpl w:val="F162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160F42"/>
    <w:multiLevelType w:val="hybridMultilevel"/>
    <w:tmpl w:val="03A8B3A0"/>
    <w:lvl w:ilvl="0" w:tplc="CBD672BC">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3629E"/>
    <w:multiLevelType w:val="hybridMultilevel"/>
    <w:tmpl w:val="D25A5BCE"/>
    <w:lvl w:ilvl="0" w:tplc="3BCEC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183F7C"/>
    <w:multiLevelType w:val="hybridMultilevel"/>
    <w:tmpl w:val="5F9C6C70"/>
    <w:lvl w:ilvl="0" w:tplc="C0784BD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70B9B"/>
    <w:multiLevelType w:val="hybridMultilevel"/>
    <w:tmpl w:val="D53C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06391"/>
    <w:multiLevelType w:val="hybridMultilevel"/>
    <w:tmpl w:val="E0F0E8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F139AB"/>
    <w:multiLevelType w:val="hybridMultilevel"/>
    <w:tmpl w:val="0DD4EA64"/>
    <w:lvl w:ilvl="0" w:tplc="687612F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5D1469F"/>
    <w:multiLevelType w:val="hybridMultilevel"/>
    <w:tmpl w:val="64044BDA"/>
    <w:lvl w:ilvl="0" w:tplc="239ED49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0514DB"/>
    <w:multiLevelType w:val="hybridMultilevel"/>
    <w:tmpl w:val="A76E9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7178D4"/>
    <w:multiLevelType w:val="hybridMultilevel"/>
    <w:tmpl w:val="8E92F9B2"/>
    <w:lvl w:ilvl="0" w:tplc="2A5C5F68">
      <w:numFmt w:val="bullet"/>
      <w:lvlText w:val="-"/>
      <w:lvlJc w:val="left"/>
      <w:pPr>
        <w:ind w:left="720" w:hanging="360"/>
      </w:pPr>
      <w:rPr>
        <w:rFonts w:ascii="Segoe UI" w:eastAsiaTheme="minorHAnsi"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8"/>
  </w:num>
  <w:num w:numId="16">
    <w:abstractNumId w:val="16"/>
  </w:num>
  <w:num w:numId="17">
    <w:abstractNumId w:val="17"/>
  </w:num>
  <w:num w:numId="18">
    <w:abstractNumId w:val="23"/>
  </w:num>
  <w:num w:numId="19">
    <w:abstractNumId w:val="15"/>
  </w:num>
  <w:num w:numId="20">
    <w:abstractNumId w:val="15"/>
  </w:num>
  <w:num w:numId="21">
    <w:abstractNumId w:val="15"/>
  </w:num>
  <w:num w:numId="22">
    <w:abstractNumId w:val="15"/>
  </w:num>
  <w:num w:numId="23">
    <w:abstractNumId w:val="24"/>
  </w:num>
  <w:num w:numId="24">
    <w:abstractNumId w:val="20"/>
  </w:num>
  <w:num w:numId="25">
    <w:abstractNumId w:val="10"/>
  </w:num>
  <w:num w:numId="26">
    <w:abstractNumId w:val="15"/>
  </w:num>
  <w:num w:numId="27">
    <w:abstractNumId w:val="12"/>
  </w:num>
  <w:num w:numId="28">
    <w:abstractNumId w:val="14"/>
  </w:num>
  <w:num w:numId="29">
    <w:abstractNumId w:val="15"/>
  </w:num>
  <w:num w:numId="30">
    <w:abstractNumId w:val="15"/>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1C"/>
    <w:rsid w:val="0000270B"/>
    <w:rsid w:val="00006F9C"/>
    <w:rsid w:val="000130D0"/>
    <w:rsid w:val="000178A6"/>
    <w:rsid w:val="00020813"/>
    <w:rsid w:val="00025DF5"/>
    <w:rsid w:val="0003310D"/>
    <w:rsid w:val="0003502E"/>
    <w:rsid w:val="000522E7"/>
    <w:rsid w:val="00052FC0"/>
    <w:rsid w:val="000544D0"/>
    <w:rsid w:val="000610DE"/>
    <w:rsid w:val="000737E2"/>
    <w:rsid w:val="000740FB"/>
    <w:rsid w:val="0007469F"/>
    <w:rsid w:val="00090E62"/>
    <w:rsid w:val="000A1CC2"/>
    <w:rsid w:val="000A2C7A"/>
    <w:rsid w:val="000A3747"/>
    <w:rsid w:val="000A75A0"/>
    <w:rsid w:val="000C0244"/>
    <w:rsid w:val="000C3A0D"/>
    <w:rsid w:val="000E249D"/>
    <w:rsid w:val="000F1F0C"/>
    <w:rsid w:val="000F5184"/>
    <w:rsid w:val="001017BC"/>
    <w:rsid w:val="00105DA4"/>
    <w:rsid w:val="0011200C"/>
    <w:rsid w:val="0012611D"/>
    <w:rsid w:val="00133A45"/>
    <w:rsid w:val="00136B6D"/>
    <w:rsid w:val="0013764C"/>
    <w:rsid w:val="00146715"/>
    <w:rsid w:val="001471A0"/>
    <w:rsid w:val="001512D2"/>
    <w:rsid w:val="0016288C"/>
    <w:rsid w:val="001630FA"/>
    <w:rsid w:val="00172E77"/>
    <w:rsid w:val="001734F5"/>
    <w:rsid w:val="00176648"/>
    <w:rsid w:val="0018250A"/>
    <w:rsid w:val="00185067"/>
    <w:rsid w:val="00195FA5"/>
    <w:rsid w:val="001A5098"/>
    <w:rsid w:val="001A5942"/>
    <w:rsid w:val="001B138D"/>
    <w:rsid w:val="001B6710"/>
    <w:rsid w:val="001C3AED"/>
    <w:rsid w:val="001D1F44"/>
    <w:rsid w:val="001E118C"/>
    <w:rsid w:val="001E7E8B"/>
    <w:rsid w:val="001F2F9E"/>
    <w:rsid w:val="001F5B9D"/>
    <w:rsid w:val="00204A64"/>
    <w:rsid w:val="002073A8"/>
    <w:rsid w:val="00215931"/>
    <w:rsid w:val="00217C11"/>
    <w:rsid w:val="002255B6"/>
    <w:rsid w:val="00236F1B"/>
    <w:rsid w:val="00236F1E"/>
    <w:rsid w:val="0024745C"/>
    <w:rsid w:val="002520F0"/>
    <w:rsid w:val="00261FFA"/>
    <w:rsid w:val="0026470D"/>
    <w:rsid w:val="00270074"/>
    <w:rsid w:val="00272982"/>
    <w:rsid w:val="00282062"/>
    <w:rsid w:val="002863B0"/>
    <w:rsid w:val="00287C7E"/>
    <w:rsid w:val="002925AC"/>
    <w:rsid w:val="00297545"/>
    <w:rsid w:val="00297933"/>
    <w:rsid w:val="002A5AB5"/>
    <w:rsid w:val="002A6441"/>
    <w:rsid w:val="002B65BC"/>
    <w:rsid w:val="002D26D7"/>
    <w:rsid w:val="002D4067"/>
    <w:rsid w:val="002D756A"/>
    <w:rsid w:val="002E5B93"/>
    <w:rsid w:val="002F1A23"/>
    <w:rsid w:val="002F5EAA"/>
    <w:rsid w:val="002F66D5"/>
    <w:rsid w:val="00300077"/>
    <w:rsid w:val="0030494F"/>
    <w:rsid w:val="00310148"/>
    <w:rsid w:val="00310E8F"/>
    <w:rsid w:val="00310F1B"/>
    <w:rsid w:val="00323710"/>
    <w:rsid w:val="00330EEE"/>
    <w:rsid w:val="0033331E"/>
    <w:rsid w:val="00335EC6"/>
    <w:rsid w:val="00342348"/>
    <w:rsid w:val="00344D3D"/>
    <w:rsid w:val="00353913"/>
    <w:rsid w:val="00361BF2"/>
    <w:rsid w:val="00363C72"/>
    <w:rsid w:val="0036555C"/>
    <w:rsid w:val="00377523"/>
    <w:rsid w:val="00385932"/>
    <w:rsid w:val="003868A4"/>
    <w:rsid w:val="003A72E3"/>
    <w:rsid w:val="003B6D01"/>
    <w:rsid w:val="003C1C3D"/>
    <w:rsid w:val="003C6466"/>
    <w:rsid w:val="003D01A4"/>
    <w:rsid w:val="003D388A"/>
    <w:rsid w:val="003D692C"/>
    <w:rsid w:val="003D71C5"/>
    <w:rsid w:val="003F3889"/>
    <w:rsid w:val="003F435C"/>
    <w:rsid w:val="00421DC4"/>
    <w:rsid w:val="004537B1"/>
    <w:rsid w:val="00462FE5"/>
    <w:rsid w:val="004679E0"/>
    <w:rsid w:val="00477AC8"/>
    <w:rsid w:val="00490D67"/>
    <w:rsid w:val="00492BB2"/>
    <w:rsid w:val="004979CF"/>
    <w:rsid w:val="004A24F8"/>
    <w:rsid w:val="004A5DCC"/>
    <w:rsid w:val="004B008E"/>
    <w:rsid w:val="004B12D2"/>
    <w:rsid w:val="004B716E"/>
    <w:rsid w:val="004C43F5"/>
    <w:rsid w:val="004D2F8D"/>
    <w:rsid w:val="004F1512"/>
    <w:rsid w:val="00504C2F"/>
    <w:rsid w:val="00512050"/>
    <w:rsid w:val="00527444"/>
    <w:rsid w:val="0053017A"/>
    <w:rsid w:val="00532879"/>
    <w:rsid w:val="005547EE"/>
    <w:rsid w:val="00554968"/>
    <w:rsid w:val="00556CE7"/>
    <w:rsid w:val="00557B18"/>
    <w:rsid w:val="005668DF"/>
    <w:rsid w:val="00570550"/>
    <w:rsid w:val="0058414E"/>
    <w:rsid w:val="00590544"/>
    <w:rsid w:val="00591223"/>
    <w:rsid w:val="00591283"/>
    <w:rsid w:val="005939AD"/>
    <w:rsid w:val="00594C08"/>
    <w:rsid w:val="00595CE3"/>
    <w:rsid w:val="005A61F2"/>
    <w:rsid w:val="005B3B76"/>
    <w:rsid w:val="005C6616"/>
    <w:rsid w:val="005C6DD5"/>
    <w:rsid w:val="005D00EA"/>
    <w:rsid w:val="005D038B"/>
    <w:rsid w:val="005E55BD"/>
    <w:rsid w:val="005F00D3"/>
    <w:rsid w:val="005F6BDC"/>
    <w:rsid w:val="006016E6"/>
    <w:rsid w:val="00603821"/>
    <w:rsid w:val="00605EE9"/>
    <w:rsid w:val="006072A1"/>
    <w:rsid w:val="00615E8F"/>
    <w:rsid w:val="00626D11"/>
    <w:rsid w:val="0063036A"/>
    <w:rsid w:val="00630D43"/>
    <w:rsid w:val="006356F1"/>
    <w:rsid w:val="006452B1"/>
    <w:rsid w:val="00645B59"/>
    <w:rsid w:val="00647867"/>
    <w:rsid w:val="006542FA"/>
    <w:rsid w:val="00654FFF"/>
    <w:rsid w:val="006656F3"/>
    <w:rsid w:val="00683F40"/>
    <w:rsid w:val="0068433E"/>
    <w:rsid w:val="00691FA2"/>
    <w:rsid w:val="00694ECA"/>
    <w:rsid w:val="006A0197"/>
    <w:rsid w:val="006B09A1"/>
    <w:rsid w:val="006C0020"/>
    <w:rsid w:val="006D43C7"/>
    <w:rsid w:val="006D4D82"/>
    <w:rsid w:val="006E4B4D"/>
    <w:rsid w:val="006E6EC2"/>
    <w:rsid w:val="00700994"/>
    <w:rsid w:val="00733B69"/>
    <w:rsid w:val="00746129"/>
    <w:rsid w:val="007477AE"/>
    <w:rsid w:val="007630FD"/>
    <w:rsid w:val="00767149"/>
    <w:rsid w:val="00772C27"/>
    <w:rsid w:val="0078689E"/>
    <w:rsid w:val="00790F25"/>
    <w:rsid w:val="00793843"/>
    <w:rsid w:val="00795B60"/>
    <w:rsid w:val="0079788A"/>
    <w:rsid w:val="007A45BD"/>
    <w:rsid w:val="007A53A2"/>
    <w:rsid w:val="007B68AB"/>
    <w:rsid w:val="007C0AD7"/>
    <w:rsid w:val="007C59F5"/>
    <w:rsid w:val="007C7D0D"/>
    <w:rsid w:val="007D2EBB"/>
    <w:rsid w:val="007E07DE"/>
    <w:rsid w:val="007F314E"/>
    <w:rsid w:val="0081379F"/>
    <w:rsid w:val="0081690E"/>
    <w:rsid w:val="00821369"/>
    <w:rsid w:val="00822DBF"/>
    <w:rsid w:val="00825B19"/>
    <w:rsid w:val="008260DA"/>
    <w:rsid w:val="008354F3"/>
    <w:rsid w:val="0084661F"/>
    <w:rsid w:val="00860354"/>
    <w:rsid w:val="00865C16"/>
    <w:rsid w:val="008730E0"/>
    <w:rsid w:val="00883C34"/>
    <w:rsid w:val="00886512"/>
    <w:rsid w:val="008901B4"/>
    <w:rsid w:val="00892839"/>
    <w:rsid w:val="00892A8B"/>
    <w:rsid w:val="00892E0D"/>
    <w:rsid w:val="00894D5F"/>
    <w:rsid w:val="008A2395"/>
    <w:rsid w:val="008A2BFB"/>
    <w:rsid w:val="008A4CF8"/>
    <w:rsid w:val="008A584F"/>
    <w:rsid w:val="008A7B93"/>
    <w:rsid w:val="008B5BF1"/>
    <w:rsid w:val="008C1AAB"/>
    <w:rsid w:val="008C4777"/>
    <w:rsid w:val="008C726E"/>
    <w:rsid w:val="008D1CC1"/>
    <w:rsid w:val="008D39D1"/>
    <w:rsid w:val="008D4DCD"/>
    <w:rsid w:val="008E0532"/>
    <w:rsid w:val="008F2420"/>
    <w:rsid w:val="008F24DE"/>
    <w:rsid w:val="008F2D78"/>
    <w:rsid w:val="00903429"/>
    <w:rsid w:val="0090729F"/>
    <w:rsid w:val="00912D17"/>
    <w:rsid w:val="00920834"/>
    <w:rsid w:val="009276A3"/>
    <w:rsid w:val="009279AE"/>
    <w:rsid w:val="009327F2"/>
    <w:rsid w:val="0093306E"/>
    <w:rsid w:val="0097024D"/>
    <w:rsid w:val="00985DD5"/>
    <w:rsid w:val="009A080E"/>
    <w:rsid w:val="009A3036"/>
    <w:rsid w:val="009C0115"/>
    <w:rsid w:val="009C27B5"/>
    <w:rsid w:val="009D1148"/>
    <w:rsid w:val="009D5043"/>
    <w:rsid w:val="009D5745"/>
    <w:rsid w:val="009D6250"/>
    <w:rsid w:val="009E752C"/>
    <w:rsid w:val="009F757F"/>
    <w:rsid w:val="00A06D37"/>
    <w:rsid w:val="00A10231"/>
    <w:rsid w:val="00A15D0B"/>
    <w:rsid w:val="00A33C5B"/>
    <w:rsid w:val="00A45264"/>
    <w:rsid w:val="00A4759C"/>
    <w:rsid w:val="00A52101"/>
    <w:rsid w:val="00A5600C"/>
    <w:rsid w:val="00A5739D"/>
    <w:rsid w:val="00A628D1"/>
    <w:rsid w:val="00A63308"/>
    <w:rsid w:val="00A668AC"/>
    <w:rsid w:val="00A67B25"/>
    <w:rsid w:val="00A72FBA"/>
    <w:rsid w:val="00A7460C"/>
    <w:rsid w:val="00A75110"/>
    <w:rsid w:val="00A77318"/>
    <w:rsid w:val="00A77757"/>
    <w:rsid w:val="00A82DAF"/>
    <w:rsid w:val="00A855BD"/>
    <w:rsid w:val="00A8727F"/>
    <w:rsid w:val="00A9056E"/>
    <w:rsid w:val="00A92B22"/>
    <w:rsid w:val="00AA1042"/>
    <w:rsid w:val="00AB274A"/>
    <w:rsid w:val="00AC76A7"/>
    <w:rsid w:val="00AE3FF6"/>
    <w:rsid w:val="00B00770"/>
    <w:rsid w:val="00B024A8"/>
    <w:rsid w:val="00B0584A"/>
    <w:rsid w:val="00B20303"/>
    <w:rsid w:val="00B21963"/>
    <w:rsid w:val="00B26ADD"/>
    <w:rsid w:val="00B3563C"/>
    <w:rsid w:val="00B46013"/>
    <w:rsid w:val="00B52BD6"/>
    <w:rsid w:val="00B534F7"/>
    <w:rsid w:val="00B5393D"/>
    <w:rsid w:val="00B61266"/>
    <w:rsid w:val="00B62996"/>
    <w:rsid w:val="00B96161"/>
    <w:rsid w:val="00BA4771"/>
    <w:rsid w:val="00BA7927"/>
    <w:rsid w:val="00BB3D46"/>
    <w:rsid w:val="00BC0598"/>
    <w:rsid w:val="00BC5537"/>
    <w:rsid w:val="00BD29FD"/>
    <w:rsid w:val="00C103D8"/>
    <w:rsid w:val="00C11496"/>
    <w:rsid w:val="00C15849"/>
    <w:rsid w:val="00C17A7A"/>
    <w:rsid w:val="00C32107"/>
    <w:rsid w:val="00C33330"/>
    <w:rsid w:val="00C36E40"/>
    <w:rsid w:val="00C37332"/>
    <w:rsid w:val="00C526D5"/>
    <w:rsid w:val="00C532A3"/>
    <w:rsid w:val="00C556FB"/>
    <w:rsid w:val="00C57539"/>
    <w:rsid w:val="00C6149A"/>
    <w:rsid w:val="00C62177"/>
    <w:rsid w:val="00C807E0"/>
    <w:rsid w:val="00CA3BDA"/>
    <w:rsid w:val="00CB01A4"/>
    <w:rsid w:val="00CB22B4"/>
    <w:rsid w:val="00CF2930"/>
    <w:rsid w:val="00CF31C0"/>
    <w:rsid w:val="00D02153"/>
    <w:rsid w:val="00D0318E"/>
    <w:rsid w:val="00D10E1A"/>
    <w:rsid w:val="00D16A6B"/>
    <w:rsid w:val="00D16AC2"/>
    <w:rsid w:val="00D20BBD"/>
    <w:rsid w:val="00D22D6C"/>
    <w:rsid w:val="00D40EDB"/>
    <w:rsid w:val="00D41756"/>
    <w:rsid w:val="00D459F1"/>
    <w:rsid w:val="00D47BFD"/>
    <w:rsid w:val="00D64922"/>
    <w:rsid w:val="00D7098A"/>
    <w:rsid w:val="00D74402"/>
    <w:rsid w:val="00D74539"/>
    <w:rsid w:val="00D86BD0"/>
    <w:rsid w:val="00D9056F"/>
    <w:rsid w:val="00DB0715"/>
    <w:rsid w:val="00DB2E05"/>
    <w:rsid w:val="00DC0227"/>
    <w:rsid w:val="00DC6D91"/>
    <w:rsid w:val="00DE0A1E"/>
    <w:rsid w:val="00DE5FFC"/>
    <w:rsid w:val="00DE7322"/>
    <w:rsid w:val="00DF79B9"/>
    <w:rsid w:val="00E06C7B"/>
    <w:rsid w:val="00E259FC"/>
    <w:rsid w:val="00E307FF"/>
    <w:rsid w:val="00E318B5"/>
    <w:rsid w:val="00E46008"/>
    <w:rsid w:val="00E535D6"/>
    <w:rsid w:val="00E7227D"/>
    <w:rsid w:val="00E7282A"/>
    <w:rsid w:val="00E76BC6"/>
    <w:rsid w:val="00E77AB0"/>
    <w:rsid w:val="00E80E04"/>
    <w:rsid w:val="00E8455F"/>
    <w:rsid w:val="00E8514A"/>
    <w:rsid w:val="00E9396C"/>
    <w:rsid w:val="00EA1781"/>
    <w:rsid w:val="00EA54CA"/>
    <w:rsid w:val="00EB3243"/>
    <w:rsid w:val="00EC2A0C"/>
    <w:rsid w:val="00EC353C"/>
    <w:rsid w:val="00EE45F3"/>
    <w:rsid w:val="00EE6CD6"/>
    <w:rsid w:val="00EE6EE8"/>
    <w:rsid w:val="00EF336E"/>
    <w:rsid w:val="00F01627"/>
    <w:rsid w:val="00F058EA"/>
    <w:rsid w:val="00F13542"/>
    <w:rsid w:val="00F13BB3"/>
    <w:rsid w:val="00F22497"/>
    <w:rsid w:val="00F36FB6"/>
    <w:rsid w:val="00F42E45"/>
    <w:rsid w:val="00F476FA"/>
    <w:rsid w:val="00F50F7D"/>
    <w:rsid w:val="00F61FA1"/>
    <w:rsid w:val="00F641DC"/>
    <w:rsid w:val="00F80560"/>
    <w:rsid w:val="00F813AE"/>
    <w:rsid w:val="00F814AD"/>
    <w:rsid w:val="00F914DB"/>
    <w:rsid w:val="00FC413F"/>
    <w:rsid w:val="00FD3DAB"/>
    <w:rsid w:val="00FD5839"/>
    <w:rsid w:val="00FE1ABF"/>
    <w:rsid w:val="00FE7A14"/>
    <w:rsid w:val="00FF44DD"/>
    <w:rsid w:val="00FF49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0EB7427-D606-4FE9-8033-F4BD5ABB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A67B25"/>
    <w:pPr>
      <w:keepNext/>
      <w:spacing w:before="120" w:after="120"/>
      <w:outlineLvl w:val="2"/>
    </w:pPr>
    <w:rPr>
      <w:rFonts w:ascii="Segoe UI Semibold" w:eastAsia="MingLiU" w:hAnsi="Segoe UI Semibold" w:cs="Segoe UI Semibold"/>
      <w:color w:val="002D72"/>
      <w:sz w:val="28"/>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A67B25"/>
    <w:rPr>
      <w:rFonts w:ascii="Segoe UI Semibold" w:eastAsia="MingLiU" w:hAnsi="Segoe UI Semibold" w:cs="Segoe UI Semibold"/>
      <w:color w:val="002D72"/>
      <w:sz w:val="28"/>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B3243"/>
    <w:rPr>
      <w:sz w:val="16"/>
      <w:szCs w:val="16"/>
    </w:rPr>
  </w:style>
  <w:style w:type="paragraph" w:styleId="CommentText">
    <w:name w:val="annotation text"/>
    <w:basedOn w:val="Normal"/>
    <w:link w:val="CommentTextChar"/>
    <w:uiPriority w:val="99"/>
    <w:unhideWhenUsed/>
    <w:rsid w:val="00EB3243"/>
    <w:rPr>
      <w:rFonts w:asciiTheme="minorHAnsi" w:hAnsiTheme="minorHAnsi"/>
      <w:sz w:val="20"/>
      <w:szCs w:val="20"/>
    </w:rPr>
  </w:style>
  <w:style w:type="character" w:customStyle="1" w:styleId="CommentTextChar">
    <w:name w:val="Comment Text Char"/>
    <w:basedOn w:val="DefaultParagraphFont"/>
    <w:link w:val="CommentText"/>
    <w:uiPriority w:val="99"/>
    <w:rsid w:val="00EB3243"/>
    <w:rPr>
      <w:sz w:val="20"/>
      <w:szCs w:val="20"/>
    </w:rPr>
  </w:style>
  <w:style w:type="paragraph" w:styleId="BalloonText">
    <w:name w:val="Balloon Text"/>
    <w:basedOn w:val="Normal"/>
    <w:link w:val="BalloonTextChar"/>
    <w:uiPriority w:val="99"/>
    <w:semiHidden/>
    <w:unhideWhenUsed/>
    <w:rsid w:val="00EB3243"/>
    <w:pPr>
      <w:spacing w:after="0"/>
    </w:pPr>
    <w:rPr>
      <w:rFonts w:cs="Segoe UI"/>
      <w:sz w:val="18"/>
      <w:szCs w:val="18"/>
    </w:rPr>
  </w:style>
  <w:style w:type="character" w:customStyle="1" w:styleId="BalloonTextChar">
    <w:name w:val="Balloon Text Char"/>
    <w:basedOn w:val="DefaultParagraphFont"/>
    <w:link w:val="BalloonText"/>
    <w:uiPriority w:val="99"/>
    <w:semiHidden/>
    <w:rsid w:val="00EB32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288C"/>
    <w:rPr>
      <w:rFonts w:ascii="Segoe UI" w:hAnsi="Segoe UI"/>
      <w:b/>
      <w:bCs/>
    </w:rPr>
  </w:style>
  <w:style w:type="character" w:customStyle="1" w:styleId="CommentSubjectChar">
    <w:name w:val="Comment Subject Char"/>
    <w:basedOn w:val="CommentTextChar"/>
    <w:link w:val="CommentSubject"/>
    <w:uiPriority w:val="99"/>
    <w:semiHidden/>
    <w:rsid w:val="0016288C"/>
    <w:rPr>
      <w:rFonts w:ascii="Segoe UI" w:hAnsi="Segoe UI"/>
      <w:b/>
      <w:bCs/>
      <w:sz w:val="20"/>
      <w:szCs w:val="20"/>
    </w:rPr>
  </w:style>
  <w:style w:type="paragraph" w:styleId="EndnoteText">
    <w:name w:val="endnote text"/>
    <w:basedOn w:val="Normal"/>
    <w:link w:val="EndnoteTextChar"/>
    <w:uiPriority w:val="99"/>
    <w:semiHidden/>
    <w:unhideWhenUsed/>
    <w:rsid w:val="00BA4771"/>
    <w:pPr>
      <w:spacing w:after="0"/>
    </w:pPr>
    <w:rPr>
      <w:sz w:val="20"/>
      <w:szCs w:val="20"/>
    </w:rPr>
  </w:style>
  <w:style w:type="character" w:customStyle="1" w:styleId="EndnoteTextChar">
    <w:name w:val="Endnote Text Char"/>
    <w:basedOn w:val="DefaultParagraphFont"/>
    <w:link w:val="EndnoteText"/>
    <w:uiPriority w:val="99"/>
    <w:semiHidden/>
    <w:rsid w:val="00BA4771"/>
    <w:rPr>
      <w:rFonts w:ascii="Segoe UI" w:hAnsi="Segoe UI"/>
      <w:sz w:val="20"/>
      <w:szCs w:val="20"/>
    </w:rPr>
  </w:style>
  <w:style w:type="character" w:styleId="EndnoteReference">
    <w:name w:val="endnote reference"/>
    <w:basedOn w:val="DefaultParagraphFont"/>
    <w:uiPriority w:val="99"/>
    <w:semiHidden/>
    <w:unhideWhenUsed/>
    <w:rsid w:val="00BA4771"/>
    <w:rPr>
      <w:vertAlign w:val="superscript"/>
    </w:rPr>
  </w:style>
  <w:style w:type="paragraph" w:styleId="Revision">
    <w:name w:val="Revision"/>
    <w:hidden/>
    <w:uiPriority w:val="99"/>
    <w:semiHidden/>
    <w:rsid w:val="006E4B4D"/>
    <w:pPr>
      <w:spacing w:after="0" w:line="240" w:lineRule="auto"/>
    </w:pPr>
    <w:rPr>
      <w:rFonts w:ascii="Segoe UI" w:hAnsi="Segoe UI"/>
      <w:sz w:val="21"/>
    </w:rPr>
  </w:style>
  <w:style w:type="character" w:styleId="FollowedHyperlink">
    <w:name w:val="FollowedHyperlink"/>
    <w:basedOn w:val="DefaultParagraphFont"/>
    <w:uiPriority w:val="99"/>
    <w:semiHidden/>
    <w:unhideWhenUsed/>
    <w:rsid w:val="00CB22B4"/>
    <w:rPr>
      <w:color w:val="954F72" w:themeColor="followedHyperlink"/>
      <w:u w:val="single"/>
    </w:rPr>
  </w:style>
  <w:style w:type="paragraph" w:customStyle="1" w:styleId="Default">
    <w:name w:val="Default"/>
    <w:rsid w:val="008169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3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InfrastructureAndAccess@infrastructure.gov.au" TargetMode="External"/><Relationship Id="rId2" Type="http://schemas.openxmlformats.org/officeDocument/2006/relationships/customXml" Target="../customXml/item2.xml"/><Relationship Id="rId16" Type="http://schemas.openxmlformats.org/officeDocument/2006/relationships/hyperlink" Target="mailto:InfrastructureAndAccess@infrastructure.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ccc.gov.au/regulated-infrastructure/communications/fixed-line-services/superfast-broadband-network-class-exemption-deemed-functional-separation-undertaking/final-deemed-functional-separation-undertaking-instrument" TargetMode="External"/><Relationship Id="rId2" Type="http://schemas.openxmlformats.org/officeDocument/2006/relationships/hyperlink" Target="http://www.accc.gov.au/system/files/Superfast%20Broadband%20Network%20Class%20Exemption%20Determination.pdf" TargetMode="External"/><Relationship Id="rId1" Type="http://schemas.openxmlformats.org/officeDocument/2006/relationships/hyperlink" Target="http://www.accc.gov.au/system/files/Superfast%20Broadband%20Network%20Class%20Exemption%20Determination%20-%20Explanatory%20Statement_0.pdf" TargetMode="External"/><Relationship Id="rId5" Type="http://schemas.openxmlformats.org/officeDocument/2006/relationships/hyperlink" Target="http://www.accc.gov.au/regulated-infrastructure/communications/fixed-line-services/superfast-broadband-network-class-exemption-deemed-functional-separation-undertaking" TargetMode="External"/><Relationship Id="rId4" Type="http://schemas.openxmlformats.org/officeDocument/2006/relationships/hyperlink" Target="http://www.legislation.gov.au/Details/F2020L010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ara\AppData\Local\Microsoft\Windows\INetCache\Content.Outlook\ELQUFK0G\DRAFT%20Class%20Exemption%20Issues%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 A C C C a n d A E R ! 1 1 6 6 4 6 7 0 . 1 < / d o c u m e n t i d >  
     < s e n d e r i d > S F A R A < / s e n d e r i d >  
     < s e n d e r e m a i l > S T E P H E N . F A R A G O @ A C C C . G O V . A U < / s e n d e r e m a i l >  
     < l a s t m o d i f i e d > 2 0 2 0 - 1 0 - 3 0 T 1 6 : 1 1 : 0 0 . 0 0 0 0 0 0 0 + 1 1 : 0 0 < / l a s t m o d i f i e d >  
     < d a t a b a s e > A C C C a n d A E R < / 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AFABF-2DA6-481D-93F2-85E12CDDE9A5}">
  <ds:schemaRefs>
    <ds:schemaRef ds:uri="http://www.imanage.com/work/xmlschema"/>
  </ds:schemaRefs>
</ds:datastoreItem>
</file>

<file path=customXml/itemProps2.xml><?xml version="1.0" encoding="utf-8"?>
<ds:datastoreItem xmlns:ds="http://schemas.openxmlformats.org/officeDocument/2006/customXml" ds:itemID="{199ABE8D-A53E-4CCC-A551-28D15A72A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9712A4-0D70-4B28-ABF3-A3151D307758}">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AC55C6FB-5268-4466-BB62-C10D307B98EF}">
  <ds:schemaRefs>
    <ds:schemaRef ds:uri="http://schemas.microsoft.com/sharepoint/v3/contenttype/forms"/>
  </ds:schemaRefs>
</ds:datastoreItem>
</file>

<file path=customXml/itemProps5.xml><?xml version="1.0" encoding="utf-8"?>
<ds:datastoreItem xmlns:ds="http://schemas.openxmlformats.org/officeDocument/2006/customXml" ds:itemID="{985770A9-638F-4DD2-9920-2B4A44C6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Class Exemption Issues Paper.dotx</Template>
  <TotalTime>1</TotalTime>
  <Pages>7</Pages>
  <Words>2942</Words>
  <Characters>16773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Consultation Paper: Exemptions for controllers of superfast fixed-line networks from separation requirements</vt:lpstr>
    </vt:vector>
  </TitlesOfParts>
  <Company>Department of Infrastructure, Transport, Regional Development and Communications</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Exemptions for controllers of superfast fixed-line networks from separation requirements</dc:title>
  <dc:subject/>
  <dc:creator>Department of Infrastructure, Transport, Regional Development and Communications</dc:creator>
  <cp:keywords/>
  <dc:description>6 May 2020</dc:description>
  <cp:lastModifiedBy>Hall, Theresa</cp:lastModifiedBy>
  <cp:revision>2</cp:revision>
  <cp:lastPrinted>2020-10-19T23:01:00Z</cp:lastPrinted>
  <dcterms:created xsi:type="dcterms:W3CDTF">2021-01-13T04:53:00Z</dcterms:created>
  <dcterms:modified xsi:type="dcterms:W3CDTF">2021-01-13T04:53:00Z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12</vt:i4>
  </property>
</Properties>
</file>