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EC5AA" w14:textId="77777777" w:rsidR="00BC6AC3" w:rsidRPr="00601B0E" w:rsidRDefault="00BC6AC3" w:rsidP="000345E5">
      <w:pPr>
        <w:jc w:val="both"/>
        <w:rPr>
          <w:b/>
          <w:sz w:val="40"/>
          <w:szCs w:val="40"/>
        </w:rPr>
      </w:pPr>
      <w:bookmarkStart w:id="0" w:name="_GoBack"/>
      <w:bookmarkEnd w:id="0"/>
    </w:p>
    <w:p w14:paraId="39E1E2A6" w14:textId="0CADE9CA" w:rsidR="00BA4F48" w:rsidRPr="008D244E" w:rsidRDefault="00AD12BE" w:rsidP="00857858">
      <w:pPr>
        <w:spacing w:before="520" w:after="1800"/>
        <w:jc w:val="center"/>
        <w:rPr>
          <w:b/>
          <w:sz w:val="40"/>
          <w:szCs w:val="40"/>
        </w:rPr>
      </w:pPr>
      <w:r w:rsidRPr="008D244E">
        <w:rPr>
          <w:b/>
          <w:sz w:val="40"/>
          <w:szCs w:val="40"/>
        </w:rPr>
        <w:t>Vehicle Standard (Australian Design Rule 98/0</w:t>
      </w:r>
      <w:r w:rsidR="00A46609">
        <w:rPr>
          <w:b/>
          <w:sz w:val="40"/>
          <w:szCs w:val="40"/>
        </w:rPr>
        <w:t>2</w:t>
      </w:r>
      <w:r w:rsidRPr="008D244E">
        <w:rPr>
          <w:b/>
          <w:sz w:val="40"/>
          <w:szCs w:val="40"/>
        </w:rPr>
        <w:t xml:space="preserve"> –Advanced Emergency Braking </w:t>
      </w:r>
      <w:r w:rsidRPr="008D244E">
        <w:rPr>
          <w:b/>
          <w:sz w:val="40"/>
          <w:szCs w:val="40"/>
          <w:lang w:val="en-GB"/>
        </w:rPr>
        <w:t>for Passenger Vehicles and Light Goods Vehicles</w:t>
      </w:r>
      <w:r w:rsidRPr="008D244E">
        <w:rPr>
          <w:b/>
          <w:sz w:val="40"/>
          <w:szCs w:val="40"/>
        </w:rPr>
        <w:t>) 202</w:t>
      </w:r>
      <w:r w:rsidR="00576520">
        <w:rPr>
          <w:b/>
          <w:sz w:val="40"/>
          <w:szCs w:val="40"/>
        </w:rPr>
        <w:t>6</w:t>
      </w:r>
    </w:p>
    <w:p w14:paraId="35F82715" w14:textId="77777777" w:rsidR="00AD12BE" w:rsidRPr="008D244E" w:rsidRDefault="00AD12BE" w:rsidP="00857858">
      <w:pPr>
        <w:spacing w:after="2160"/>
        <w:jc w:val="center"/>
      </w:pPr>
      <w:r w:rsidRPr="008D244E">
        <w:t xml:space="preserve">Made under section 12 of the </w:t>
      </w:r>
      <w:r w:rsidRPr="008D244E">
        <w:rPr>
          <w:i/>
        </w:rPr>
        <w:t>Road Vehicle Standards Act 2018</w:t>
      </w:r>
    </w:p>
    <w:p w14:paraId="705E997D" w14:textId="68C80C59" w:rsidR="000D7E8A" w:rsidRDefault="000D7E8A" w:rsidP="008E495E">
      <w:pPr>
        <w:jc w:val="center"/>
        <w:rPr>
          <w:b/>
          <w:bCs/>
          <w:sz w:val="40"/>
        </w:rPr>
      </w:pPr>
      <w:r>
        <w:rPr>
          <w:b/>
          <w:bCs/>
          <w:sz w:val="40"/>
        </w:rPr>
        <w:t>DRAFT FOR CONSULTATION</w:t>
      </w:r>
    </w:p>
    <w:p w14:paraId="78334EF6" w14:textId="77777777" w:rsidR="000D7E8A" w:rsidRDefault="000D7E8A" w:rsidP="00B15730">
      <w:pPr>
        <w:spacing w:after="2160"/>
        <w:jc w:val="center"/>
        <w:rPr>
          <w:b/>
          <w:bCs/>
          <w:sz w:val="40"/>
        </w:rPr>
      </w:pPr>
      <w:r>
        <w:rPr>
          <w:b/>
          <w:bCs/>
          <w:sz w:val="40"/>
        </w:rPr>
        <w:t>Explanatory Statement</w:t>
      </w:r>
    </w:p>
    <w:p w14:paraId="78FB88EA" w14:textId="6ED804AE" w:rsidR="00AD12BE" w:rsidRPr="008D244E" w:rsidRDefault="00A46609" w:rsidP="00857858">
      <w:pPr>
        <w:spacing w:after="2160"/>
        <w:jc w:val="center"/>
      </w:pPr>
      <w:r w:rsidRPr="00A46609">
        <w:t xml:space="preserve">Approved by the </w:t>
      </w:r>
      <w:r w:rsidR="00CB4B13">
        <w:t>XXX, XXX</w:t>
      </w:r>
    </w:p>
    <w:p w14:paraId="2CB1312E" w14:textId="0BC60B9D" w:rsidR="00BA4F48" w:rsidRPr="008D244E" w:rsidRDefault="00A46609" w:rsidP="008E495E">
      <w:pPr>
        <w:jc w:val="center"/>
        <w:rPr>
          <w:b/>
          <w:bCs/>
          <w:sz w:val="40"/>
        </w:rPr>
      </w:pPr>
      <w:r>
        <w:rPr>
          <w:b/>
          <w:bCs/>
          <w:sz w:val="40"/>
        </w:rPr>
        <w:t>XXX</w:t>
      </w:r>
      <w:r w:rsidR="005A7A67" w:rsidRPr="008D244E">
        <w:rPr>
          <w:b/>
          <w:bCs/>
          <w:sz w:val="40"/>
        </w:rPr>
        <w:t xml:space="preserve"> </w:t>
      </w:r>
      <w:r w:rsidR="00AD12BE" w:rsidRPr="008D244E">
        <w:rPr>
          <w:b/>
          <w:bCs/>
          <w:sz w:val="40"/>
        </w:rPr>
        <w:t>202</w:t>
      </w:r>
      <w:r w:rsidR="00576520">
        <w:rPr>
          <w:b/>
          <w:bCs/>
          <w:sz w:val="40"/>
        </w:rPr>
        <w:t>6</w:t>
      </w:r>
    </w:p>
    <w:p w14:paraId="5555E2D6" w14:textId="77777777" w:rsidR="00BA4F48" w:rsidRPr="008D244E" w:rsidRDefault="00BA4F48" w:rsidP="000345E5">
      <w:pPr>
        <w:jc w:val="both"/>
      </w:pPr>
    </w:p>
    <w:p w14:paraId="5AEC07E7" w14:textId="77777777" w:rsidR="00FD272C" w:rsidRPr="008D244E" w:rsidRDefault="00FD272C" w:rsidP="000345E5">
      <w:pPr>
        <w:pStyle w:val="ContentsHeading"/>
        <w:jc w:val="both"/>
        <w:sectPr w:rsidR="00FD272C" w:rsidRPr="008D244E" w:rsidSect="00767D05">
          <w:headerReference w:type="default" r:id="rId8"/>
          <w:pgSz w:w="11906" w:h="16838" w:code="9"/>
          <w:pgMar w:top="1440" w:right="1474" w:bottom="1440" w:left="1474" w:header="709" w:footer="709" w:gutter="0"/>
          <w:pgNumType w:start="1"/>
          <w:cols w:space="708"/>
          <w:titlePg/>
          <w:docGrid w:linePitch="360"/>
        </w:sectPr>
      </w:pPr>
    </w:p>
    <w:p w14:paraId="2BF812CB" w14:textId="77777777" w:rsidR="00BA4F48" w:rsidRPr="008D244E" w:rsidRDefault="00BA4F48" w:rsidP="00E225D0">
      <w:pPr>
        <w:pStyle w:val="ContentsHeading"/>
      </w:pPr>
      <w:r w:rsidRPr="008D244E">
        <w:lastRenderedPageBreak/>
        <w:t>CONTENTS</w:t>
      </w:r>
    </w:p>
    <w:p w14:paraId="66F5C278" w14:textId="77777777" w:rsidR="00DD4F22" w:rsidRPr="008D244E" w:rsidRDefault="00DD4F22" w:rsidP="000345E5">
      <w:pPr>
        <w:jc w:val="both"/>
      </w:pPr>
    </w:p>
    <w:p w14:paraId="55F9E0A0" w14:textId="575C2619" w:rsidR="00E225D0" w:rsidRDefault="00DD4F22">
      <w:pPr>
        <w:pStyle w:val="TOC1"/>
        <w:rPr>
          <w:rFonts w:asciiTheme="minorHAnsi" w:eastAsiaTheme="minorEastAsia" w:hAnsiTheme="minorHAnsi" w:cstheme="minorBidi"/>
          <w:caps w:val="0"/>
          <w:noProof/>
          <w:sz w:val="22"/>
          <w:szCs w:val="22"/>
        </w:rPr>
      </w:pPr>
      <w:r w:rsidRPr="008D244E">
        <w:fldChar w:fldCharType="begin"/>
      </w:r>
      <w:r w:rsidRPr="008D244E">
        <w:instrText xml:space="preserve"> TOC \t "Heading Level 1,1,Heading Level 2,2" </w:instrText>
      </w:r>
      <w:r w:rsidRPr="008D244E">
        <w:fldChar w:fldCharType="separate"/>
      </w:r>
      <w:r w:rsidR="00E225D0">
        <w:rPr>
          <w:noProof/>
        </w:rPr>
        <w:t>1.</w:t>
      </w:r>
      <w:r w:rsidR="00E225D0">
        <w:rPr>
          <w:rFonts w:asciiTheme="minorHAnsi" w:eastAsiaTheme="minorEastAsia" w:hAnsiTheme="minorHAnsi" w:cstheme="minorBidi"/>
          <w:caps w:val="0"/>
          <w:noProof/>
          <w:sz w:val="22"/>
          <w:szCs w:val="22"/>
        </w:rPr>
        <w:tab/>
      </w:r>
      <w:r w:rsidR="00E225D0">
        <w:rPr>
          <w:noProof/>
        </w:rPr>
        <w:t>legislative Authority</w:t>
      </w:r>
      <w:r w:rsidR="00E225D0">
        <w:rPr>
          <w:noProof/>
        </w:rPr>
        <w:tab/>
      </w:r>
      <w:r w:rsidR="00E225D0">
        <w:rPr>
          <w:noProof/>
        </w:rPr>
        <w:fldChar w:fldCharType="begin"/>
      </w:r>
      <w:r w:rsidR="00E225D0">
        <w:rPr>
          <w:noProof/>
        </w:rPr>
        <w:instrText xml:space="preserve"> PAGEREF _Toc210305539 \h </w:instrText>
      </w:r>
      <w:r w:rsidR="00E225D0">
        <w:rPr>
          <w:noProof/>
        </w:rPr>
      </w:r>
      <w:r w:rsidR="00E225D0">
        <w:rPr>
          <w:noProof/>
        </w:rPr>
        <w:fldChar w:fldCharType="separate"/>
      </w:r>
      <w:r w:rsidR="00DA1AA1">
        <w:rPr>
          <w:noProof/>
        </w:rPr>
        <w:t>3</w:t>
      </w:r>
      <w:r w:rsidR="00E225D0">
        <w:rPr>
          <w:noProof/>
        </w:rPr>
        <w:fldChar w:fldCharType="end"/>
      </w:r>
    </w:p>
    <w:p w14:paraId="6E2B3C6E" w14:textId="6090F902" w:rsidR="00E225D0" w:rsidRDefault="00E225D0">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Pr>
          <w:noProof/>
        </w:rPr>
        <w:fldChar w:fldCharType="begin"/>
      </w:r>
      <w:r>
        <w:rPr>
          <w:noProof/>
        </w:rPr>
        <w:instrText xml:space="preserve"> PAGEREF _Toc210305540 \h </w:instrText>
      </w:r>
      <w:r>
        <w:rPr>
          <w:noProof/>
        </w:rPr>
      </w:r>
      <w:r>
        <w:rPr>
          <w:noProof/>
        </w:rPr>
        <w:fldChar w:fldCharType="separate"/>
      </w:r>
      <w:r w:rsidR="00DA1AA1">
        <w:rPr>
          <w:noProof/>
        </w:rPr>
        <w:t>3</w:t>
      </w:r>
      <w:r>
        <w:rPr>
          <w:noProof/>
        </w:rPr>
        <w:fldChar w:fldCharType="end"/>
      </w:r>
    </w:p>
    <w:p w14:paraId="0BBA2DCB" w14:textId="0524451C" w:rsidR="00E225D0" w:rsidRDefault="00E225D0">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Pr>
          <w:noProof/>
        </w:rPr>
        <w:fldChar w:fldCharType="begin"/>
      </w:r>
      <w:r>
        <w:rPr>
          <w:noProof/>
        </w:rPr>
        <w:instrText xml:space="preserve"> PAGEREF _Toc210305541 \h </w:instrText>
      </w:r>
      <w:r>
        <w:rPr>
          <w:noProof/>
        </w:rPr>
      </w:r>
      <w:r>
        <w:rPr>
          <w:noProof/>
        </w:rPr>
        <w:fldChar w:fldCharType="separate"/>
      </w:r>
      <w:r w:rsidR="00DA1AA1">
        <w:rPr>
          <w:noProof/>
        </w:rPr>
        <w:t>3</w:t>
      </w:r>
      <w:r>
        <w:rPr>
          <w:noProof/>
        </w:rPr>
        <w:fldChar w:fldCharType="end"/>
      </w:r>
    </w:p>
    <w:p w14:paraId="007B7288" w14:textId="3AE3704F" w:rsidR="00E225D0" w:rsidRDefault="00E225D0">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International Harmonisation</w:t>
      </w:r>
      <w:r>
        <w:rPr>
          <w:noProof/>
        </w:rPr>
        <w:tab/>
      </w:r>
      <w:r>
        <w:rPr>
          <w:noProof/>
        </w:rPr>
        <w:fldChar w:fldCharType="begin"/>
      </w:r>
      <w:r>
        <w:rPr>
          <w:noProof/>
        </w:rPr>
        <w:instrText xml:space="preserve"> PAGEREF _Toc210305542 \h </w:instrText>
      </w:r>
      <w:r>
        <w:rPr>
          <w:noProof/>
        </w:rPr>
      </w:r>
      <w:r>
        <w:rPr>
          <w:noProof/>
        </w:rPr>
        <w:fldChar w:fldCharType="separate"/>
      </w:r>
      <w:r w:rsidR="00DA1AA1">
        <w:rPr>
          <w:noProof/>
        </w:rPr>
        <w:t>4</w:t>
      </w:r>
      <w:r>
        <w:rPr>
          <w:noProof/>
        </w:rPr>
        <w:fldChar w:fldCharType="end"/>
      </w:r>
    </w:p>
    <w:p w14:paraId="1AE57E36" w14:textId="52966A26" w:rsidR="00E225D0" w:rsidRDefault="00E225D0">
      <w:pPr>
        <w:pStyle w:val="TOC1"/>
        <w:rPr>
          <w:rFonts w:asciiTheme="minorHAnsi" w:eastAsiaTheme="minorEastAsia" w:hAnsiTheme="minorHAnsi" w:cstheme="minorBidi"/>
          <w:caps w:val="0"/>
          <w:noProof/>
          <w:sz w:val="22"/>
          <w:szCs w:val="22"/>
        </w:rPr>
      </w:pPr>
      <w:r w:rsidRPr="00872A95">
        <w:rPr>
          <w:rFonts w:cs="Arial"/>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_Toc210305543 \h </w:instrText>
      </w:r>
      <w:r>
        <w:rPr>
          <w:noProof/>
        </w:rPr>
      </w:r>
      <w:r>
        <w:rPr>
          <w:noProof/>
        </w:rPr>
        <w:fldChar w:fldCharType="separate"/>
      </w:r>
      <w:r w:rsidR="00DA1AA1">
        <w:rPr>
          <w:noProof/>
        </w:rPr>
        <w:t>5</w:t>
      </w:r>
      <w:r>
        <w:rPr>
          <w:noProof/>
        </w:rPr>
        <w:fldChar w:fldCharType="end"/>
      </w:r>
    </w:p>
    <w:p w14:paraId="712796F0" w14:textId="2F37DE13" w:rsidR="00E225D0" w:rsidRDefault="00E225D0">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Pr>
          <w:noProof/>
        </w:rPr>
        <w:fldChar w:fldCharType="begin"/>
      </w:r>
      <w:r>
        <w:rPr>
          <w:noProof/>
        </w:rPr>
        <w:instrText xml:space="preserve"> PAGEREF _Toc210305544 \h </w:instrText>
      </w:r>
      <w:r>
        <w:rPr>
          <w:noProof/>
        </w:rPr>
      </w:r>
      <w:r>
        <w:rPr>
          <w:noProof/>
        </w:rPr>
        <w:fldChar w:fldCharType="separate"/>
      </w:r>
      <w:r w:rsidR="00DA1AA1">
        <w:rPr>
          <w:noProof/>
        </w:rPr>
        <w:t>5</w:t>
      </w:r>
      <w:r>
        <w:rPr>
          <w:noProof/>
        </w:rPr>
        <w:fldChar w:fldCharType="end"/>
      </w:r>
    </w:p>
    <w:p w14:paraId="16D658CF" w14:textId="37E9C43F" w:rsidR="00E225D0" w:rsidRDefault="00E225D0">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_Toc210305545 \h </w:instrText>
      </w:r>
      <w:r>
        <w:rPr>
          <w:noProof/>
        </w:rPr>
      </w:r>
      <w:r>
        <w:rPr>
          <w:noProof/>
        </w:rPr>
        <w:fldChar w:fldCharType="separate"/>
      </w:r>
      <w:r w:rsidR="00DA1AA1">
        <w:rPr>
          <w:noProof/>
        </w:rPr>
        <w:t>5</w:t>
      </w:r>
      <w:r>
        <w:rPr>
          <w:noProof/>
        </w:rPr>
        <w:fldChar w:fldCharType="end"/>
      </w:r>
    </w:p>
    <w:p w14:paraId="3819B060" w14:textId="7B14A4E0" w:rsidR="00E225D0" w:rsidRDefault="00E225D0">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Design Requirements</w:t>
      </w:r>
      <w:r>
        <w:rPr>
          <w:noProof/>
        </w:rPr>
        <w:tab/>
      </w:r>
      <w:r>
        <w:rPr>
          <w:noProof/>
        </w:rPr>
        <w:fldChar w:fldCharType="begin"/>
      </w:r>
      <w:r>
        <w:rPr>
          <w:noProof/>
        </w:rPr>
        <w:instrText xml:space="preserve"> PAGEREF _Toc210305546 \h </w:instrText>
      </w:r>
      <w:r>
        <w:rPr>
          <w:noProof/>
        </w:rPr>
      </w:r>
      <w:r>
        <w:rPr>
          <w:noProof/>
        </w:rPr>
        <w:fldChar w:fldCharType="separate"/>
      </w:r>
      <w:r w:rsidR="00DA1AA1">
        <w:rPr>
          <w:noProof/>
        </w:rPr>
        <w:t>5</w:t>
      </w:r>
      <w:r>
        <w:rPr>
          <w:noProof/>
        </w:rPr>
        <w:fldChar w:fldCharType="end"/>
      </w:r>
    </w:p>
    <w:p w14:paraId="4C902F09" w14:textId="1F55821A" w:rsidR="00E225D0" w:rsidRDefault="00E225D0">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AEBS Warnings</w:t>
      </w:r>
      <w:r>
        <w:rPr>
          <w:noProof/>
        </w:rPr>
        <w:tab/>
      </w:r>
      <w:r>
        <w:rPr>
          <w:noProof/>
        </w:rPr>
        <w:fldChar w:fldCharType="begin"/>
      </w:r>
      <w:r>
        <w:rPr>
          <w:noProof/>
        </w:rPr>
        <w:instrText xml:space="preserve"> PAGEREF _Toc210305547 \h </w:instrText>
      </w:r>
      <w:r>
        <w:rPr>
          <w:noProof/>
        </w:rPr>
      </w:r>
      <w:r>
        <w:rPr>
          <w:noProof/>
        </w:rPr>
        <w:fldChar w:fldCharType="separate"/>
      </w:r>
      <w:r w:rsidR="00DA1AA1">
        <w:rPr>
          <w:noProof/>
        </w:rPr>
        <w:t>6</w:t>
      </w:r>
      <w:r>
        <w:rPr>
          <w:noProof/>
        </w:rPr>
        <w:fldChar w:fldCharType="end"/>
      </w:r>
    </w:p>
    <w:p w14:paraId="52695624" w14:textId="245F65CF" w:rsidR="00E225D0" w:rsidRDefault="00E225D0">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AEBS Capability</w:t>
      </w:r>
      <w:r>
        <w:rPr>
          <w:noProof/>
        </w:rPr>
        <w:tab/>
      </w:r>
      <w:r>
        <w:rPr>
          <w:noProof/>
        </w:rPr>
        <w:fldChar w:fldCharType="begin"/>
      </w:r>
      <w:r>
        <w:rPr>
          <w:noProof/>
        </w:rPr>
        <w:instrText xml:space="preserve"> PAGEREF _Toc210305548 \h </w:instrText>
      </w:r>
      <w:r>
        <w:rPr>
          <w:noProof/>
        </w:rPr>
      </w:r>
      <w:r>
        <w:rPr>
          <w:noProof/>
        </w:rPr>
        <w:fldChar w:fldCharType="separate"/>
      </w:r>
      <w:r w:rsidR="00DA1AA1">
        <w:rPr>
          <w:noProof/>
        </w:rPr>
        <w:t>6</w:t>
      </w:r>
      <w:r>
        <w:rPr>
          <w:noProof/>
        </w:rPr>
        <w:fldChar w:fldCharType="end"/>
      </w:r>
    </w:p>
    <w:p w14:paraId="2E1A962B" w14:textId="4F8ABB1D" w:rsidR="00E225D0" w:rsidRDefault="00E225D0">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AEBS Performance and limitations</w:t>
      </w:r>
      <w:r>
        <w:rPr>
          <w:noProof/>
        </w:rPr>
        <w:tab/>
      </w:r>
      <w:r>
        <w:rPr>
          <w:noProof/>
        </w:rPr>
        <w:fldChar w:fldCharType="begin"/>
      </w:r>
      <w:r>
        <w:rPr>
          <w:noProof/>
        </w:rPr>
        <w:instrText xml:space="preserve"> PAGEREF _Toc210305549 \h </w:instrText>
      </w:r>
      <w:r>
        <w:rPr>
          <w:noProof/>
        </w:rPr>
      </w:r>
      <w:r>
        <w:rPr>
          <w:noProof/>
        </w:rPr>
        <w:fldChar w:fldCharType="separate"/>
      </w:r>
      <w:r w:rsidR="00DA1AA1">
        <w:rPr>
          <w:noProof/>
        </w:rPr>
        <w:t>7</w:t>
      </w:r>
      <w:r>
        <w:rPr>
          <w:noProof/>
        </w:rPr>
        <w:fldChar w:fldCharType="end"/>
      </w:r>
    </w:p>
    <w:p w14:paraId="4CFFC976" w14:textId="62CDB107" w:rsidR="00E225D0" w:rsidRDefault="00E225D0">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Exemptions and Alternative Procedures</w:t>
      </w:r>
      <w:r>
        <w:rPr>
          <w:noProof/>
        </w:rPr>
        <w:tab/>
      </w:r>
      <w:r>
        <w:rPr>
          <w:noProof/>
        </w:rPr>
        <w:fldChar w:fldCharType="begin"/>
      </w:r>
      <w:r>
        <w:rPr>
          <w:noProof/>
        </w:rPr>
        <w:instrText xml:space="preserve"> PAGEREF _Toc210305550 \h </w:instrText>
      </w:r>
      <w:r>
        <w:rPr>
          <w:noProof/>
        </w:rPr>
      </w:r>
      <w:r>
        <w:rPr>
          <w:noProof/>
        </w:rPr>
        <w:fldChar w:fldCharType="separate"/>
      </w:r>
      <w:r w:rsidR="00DA1AA1">
        <w:rPr>
          <w:noProof/>
        </w:rPr>
        <w:t>7</w:t>
      </w:r>
      <w:r>
        <w:rPr>
          <w:noProof/>
        </w:rPr>
        <w:fldChar w:fldCharType="end"/>
      </w:r>
    </w:p>
    <w:p w14:paraId="0BE0858B" w14:textId="00AF234A" w:rsidR="00E225D0" w:rsidRDefault="00E225D0">
      <w:pPr>
        <w:pStyle w:val="TOC2"/>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Alternative Standards</w:t>
      </w:r>
      <w:r>
        <w:rPr>
          <w:noProof/>
        </w:rPr>
        <w:tab/>
      </w:r>
      <w:r>
        <w:rPr>
          <w:noProof/>
        </w:rPr>
        <w:fldChar w:fldCharType="begin"/>
      </w:r>
      <w:r>
        <w:rPr>
          <w:noProof/>
        </w:rPr>
        <w:instrText xml:space="preserve"> PAGEREF _Toc210305551 \h </w:instrText>
      </w:r>
      <w:r>
        <w:rPr>
          <w:noProof/>
        </w:rPr>
      </w:r>
      <w:r>
        <w:rPr>
          <w:noProof/>
        </w:rPr>
        <w:fldChar w:fldCharType="separate"/>
      </w:r>
      <w:r w:rsidR="00DA1AA1">
        <w:rPr>
          <w:noProof/>
        </w:rPr>
        <w:t>8</w:t>
      </w:r>
      <w:r>
        <w:rPr>
          <w:noProof/>
        </w:rPr>
        <w:fldChar w:fldCharType="end"/>
      </w:r>
    </w:p>
    <w:p w14:paraId="3F6FD886" w14:textId="6F9B6681" w:rsidR="00E225D0" w:rsidRDefault="00E225D0">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_Toc210305552 \h </w:instrText>
      </w:r>
      <w:r>
        <w:rPr>
          <w:noProof/>
        </w:rPr>
      </w:r>
      <w:r>
        <w:rPr>
          <w:noProof/>
        </w:rPr>
        <w:fldChar w:fldCharType="separate"/>
      </w:r>
      <w:r w:rsidR="00DA1AA1">
        <w:rPr>
          <w:noProof/>
        </w:rPr>
        <w:t>8</w:t>
      </w:r>
      <w:r>
        <w:rPr>
          <w:noProof/>
        </w:rPr>
        <w:fldChar w:fldCharType="end"/>
      </w:r>
    </w:p>
    <w:p w14:paraId="40D25AE8" w14:textId="35E30A56" w:rsidR="00E225D0" w:rsidRDefault="00E225D0">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Pr>
          <w:noProof/>
        </w:rPr>
        <w:fldChar w:fldCharType="begin"/>
      </w:r>
      <w:r>
        <w:rPr>
          <w:noProof/>
        </w:rPr>
        <w:instrText xml:space="preserve"> PAGEREF _Toc210305553 \h </w:instrText>
      </w:r>
      <w:r>
        <w:rPr>
          <w:noProof/>
        </w:rPr>
      </w:r>
      <w:r>
        <w:rPr>
          <w:noProof/>
        </w:rPr>
        <w:fldChar w:fldCharType="separate"/>
      </w:r>
      <w:r w:rsidR="00DA1AA1">
        <w:rPr>
          <w:noProof/>
        </w:rPr>
        <w:t>8</w:t>
      </w:r>
      <w:r>
        <w:rPr>
          <w:noProof/>
        </w:rPr>
        <w:fldChar w:fldCharType="end"/>
      </w:r>
    </w:p>
    <w:p w14:paraId="60F64208" w14:textId="298C9542" w:rsidR="00E225D0" w:rsidRDefault="00E225D0">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Pr>
          <w:noProof/>
        </w:rPr>
        <w:fldChar w:fldCharType="begin"/>
      </w:r>
      <w:r>
        <w:rPr>
          <w:noProof/>
        </w:rPr>
        <w:instrText xml:space="preserve"> PAGEREF _Toc210305554 \h </w:instrText>
      </w:r>
      <w:r>
        <w:rPr>
          <w:noProof/>
        </w:rPr>
      </w:r>
      <w:r>
        <w:rPr>
          <w:noProof/>
        </w:rPr>
        <w:fldChar w:fldCharType="separate"/>
      </w:r>
      <w:r w:rsidR="00DA1AA1">
        <w:rPr>
          <w:noProof/>
        </w:rPr>
        <w:t>9</w:t>
      </w:r>
      <w:r>
        <w:rPr>
          <w:noProof/>
        </w:rPr>
        <w:fldChar w:fldCharType="end"/>
      </w:r>
    </w:p>
    <w:p w14:paraId="62501F3F" w14:textId="65B6B6EB" w:rsidR="00E225D0" w:rsidRDefault="00E225D0">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_Toc210305555 \h </w:instrText>
      </w:r>
      <w:r>
        <w:rPr>
          <w:noProof/>
        </w:rPr>
      </w:r>
      <w:r>
        <w:rPr>
          <w:noProof/>
        </w:rPr>
        <w:fldChar w:fldCharType="separate"/>
      </w:r>
      <w:r w:rsidR="00DA1AA1">
        <w:rPr>
          <w:noProof/>
        </w:rPr>
        <w:t>10</w:t>
      </w:r>
      <w:r>
        <w:rPr>
          <w:noProof/>
        </w:rPr>
        <w:fldChar w:fldCharType="end"/>
      </w:r>
    </w:p>
    <w:p w14:paraId="36CB94C5" w14:textId="293198CD" w:rsidR="00E225D0" w:rsidRDefault="00E225D0">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_Toc210305556 \h </w:instrText>
      </w:r>
      <w:r>
        <w:rPr>
          <w:noProof/>
        </w:rPr>
      </w:r>
      <w:r>
        <w:rPr>
          <w:noProof/>
        </w:rPr>
        <w:fldChar w:fldCharType="separate"/>
      </w:r>
      <w:r w:rsidR="00DA1AA1">
        <w:rPr>
          <w:noProof/>
        </w:rPr>
        <w:t>10</w:t>
      </w:r>
      <w:r>
        <w:rPr>
          <w:noProof/>
        </w:rPr>
        <w:fldChar w:fldCharType="end"/>
      </w:r>
    </w:p>
    <w:p w14:paraId="3B171E16" w14:textId="4982CD21" w:rsidR="00E225D0" w:rsidRDefault="00E225D0">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Pr>
          <w:noProof/>
        </w:rPr>
        <w:fldChar w:fldCharType="begin"/>
      </w:r>
      <w:r>
        <w:rPr>
          <w:noProof/>
        </w:rPr>
        <w:instrText xml:space="preserve"> PAGEREF _Toc210305557 \h </w:instrText>
      </w:r>
      <w:r>
        <w:rPr>
          <w:noProof/>
        </w:rPr>
      </w:r>
      <w:r>
        <w:rPr>
          <w:noProof/>
        </w:rPr>
        <w:fldChar w:fldCharType="separate"/>
      </w:r>
      <w:r w:rsidR="00DA1AA1">
        <w:rPr>
          <w:noProof/>
        </w:rPr>
        <w:t>11</w:t>
      </w:r>
      <w:r>
        <w:rPr>
          <w:noProof/>
        </w:rPr>
        <w:fldChar w:fldCharType="end"/>
      </w:r>
    </w:p>
    <w:p w14:paraId="00EA07A4" w14:textId="51B74057" w:rsidR="00E225D0" w:rsidRDefault="00E225D0">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_Toc210305558 \h </w:instrText>
      </w:r>
      <w:r>
        <w:rPr>
          <w:noProof/>
        </w:rPr>
      </w:r>
      <w:r>
        <w:rPr>
          <w:noProof/>
        </w:rPr>
        <w:fldChar w:fldCharType="separate"/>
      </w:r>
      <w:r w:rsidR="00DA1AA1">
        <w:rPr>
          <w:noProof/>
        </w:rPr>
        <w:t>11</w:t>
      </w:r>
      <w:r>
        <w:rPr>
          <w:noProof/>
        </w:rPr>
        <w:fldChar w:fldCharType="end"/>
      </w:r>
    </w:p>
    <w:p w14:paraId="2D33C34B" w14:textId="009D43F7" w:rsidR="00E225D0" w:rsidRDefault="00E225D0">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Benefits and Costs</w:t>
      </w:r>
      <w:r>
        <w:rPr>
          <w:noProof/>
        </w:rPr>
        <w:tab/>
      </w:r>
      <w:r>
        <w:rPr>
          <w:noProof/>
        </w:rPr>
        <w:fldChar w:fldCharType="begin"/>
      </w:r>
      <w:r>
        <w:rPr>
          <w:noProof/>
        </w:rPr>
        <w:instrText xml:space="preserve"> PAGEREF _Toc210305559 \h </w:instrText>
      </w:r>
      <w:r>
        <w:rPr>
          <w:noProof/>
        </w:rPr>
      </w:r>
      <w:r>
        <w:rPr>
          <w:noProof/>
        </w:rPr>
        <w:fldChar w:fldCharType="separate"/>
      </w:r>
      <w:r w:rsidR="00DA1AA1">
        <w:rPr>
          <w:noProof/>
        </w:rPr>
        <w:t>11</w:t>
      </w:r>
      <w:r>
        <w:rPr>
          <w:noProof/>
        </w:rPr>
        <w:fldChar w:fldCharType="end"/>
      </w:r>
    </w:p>
    <w:p w14:paraId="35D7EE3D" w14:textId="71E845C9" w:rsidR="00E225D0" w:rsidRDefault="00E225D0">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Impact Analysis</w:t>
      </w:r>
      <w:r>
        <w:rPr>
          <w:noProof/>
        </w:rPr>
        <w:tab/>
      </w:r>
      <w:r>
        <w:rPr>
          <w:noProof/>
        </w:rPr>
        <w:fldChar w:fldCharType="begin"/>
      </w:r>
      <w:r>
        <w:rPr>
          <w:noProof/>
        </w:rPr>
        <w:instrText xml:space="preserve"> PAGEREF _Toc210305560 \h </w:instrText>
      </w:r>
      <w:r>
        <w:rPr>
          <w:noProof/>
        </w:rPr>
      </w:r>
      <w:r>
        <w:rPr>
          <w:noProof/>
        </w:rPr>
        <w:fldChar w:fldCharType="separate"/>
      </w:r>
      <w:r w:rsidR="00DA1AA1">
        <w:rPr>
          <w:noProof/>
        </w:rPr>
        <w:t>11</w:t>
      </w:r>
      <w:r>
        <w:rPr>
          <w:noProof/>
        </w:rPr>
        <w:fldChar w:fldCharType="end"/>
      </w:r>
    </w:p>
    <w:p w14:paraId="37DB5EE8" w14:textId="422684E8" w:rsidR="00E225D0" w:rsidRDefault="00E225D0">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_Toc210305561 \h </w:instrText>
      </w:r>
      <w:r>
        <w:rPr>
          <w:noProof/>
        </w:rPr>
      </w:r>
      <w:r>
        <w:rPr>
          <w:noProof/>
        </w:rPr>
        <w:fldChar w:fldCharType="separate"/>
      </w:r>
      <w:r w:rsidR="00DA1AA1">
        <w:rPr>
          <w:noProof/>
        </w:rPr>
        <w:t>11</w:t>
      </w:r>
      <w:r>
        <w:rPr>
          <w:noProof/>
        </w:rPr>
        <w:fldChar w:fldCharType="end"/>
      </w:r>
    </w:p>
    <w:p w14:paraId="75D4CA09" w14:textId="678C4C0E" w:rsidR="00E225D0" w:rsidRDefault="00E225D0">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_Toc210305562 \h </w:instrText>
      </w:r>
      <w:r>
        <w:rPr>
          <w:noProof/>
        </w:rPr>
      </w:r>
      <w:r>
        <w:rPr>
          <w:noProof/>
        </w:rPr>
        <w:fldChar w:fldCharType="separate"/>
      </w:r>
      <w:r w:rsidR="00DA1AA1">
        <w:rPr>
          <w:noProof/>
        </w:rPr>
        <w:t>11</w:t>
      </w:r>
      <w:r>
        <w:rPr>
          <w:noProof/>
        </w:rPr>
        <w:fldChar w:fldCharType="end"/>
      </w:r>
    </w:p>
    <w:p w14:paraId="7F57C0B7" w14:textId="3E1B5CC5" w:rsidR="00E225D0" w:rsidRDefault="00E225D0">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_Toc210305563 \h </w:instrText>
      </w:r>
      <w:r>
        <w:rPr>
          <w:noProof/>
        </w:rPr>
      </w:r>
      <w:r>
        <w:rPr>
          <w:noProof/>
        </w:rPr>
        <w:fldChar w:fldCharType="separate"/>
      </w:r>
      <w:r w:rsidR="00DA1AA1">
        <w:rPr>
          <w:noProof/>
        </w:rPr>
        <w:t>11</w:t>
      </w:r>
      <w:r>
        <w:rPr>
          <w:noProof/>
        </w:rPr>
        <w:fldChar w:fldCharType="end"/>
      </w:r>
    </w:p>
    <w:p w14:paraId="648919A6" w14:textId="5B4A85C0" w:rsidR="00E225D0" w:rsidRDefault="00E225D0">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_Toc210305564 \h </w:instrText>
      </w:r>
      <w:r>
        <w:rPr>
          <w:noProof/>
        </w:rPr>
      </w:r>
      <w:r>
        <w:rPr>
          <w:noProof/>
        </w:rPr>
        <w:fldChar w:fldCharType="separate"/>
      </w:r>
      <w:r w:rsidR="00DA1AA1">
        <w:rPr>
          <w:noProof/>
        </w:rPr>
        <w:t>12</w:t>
      </w:r>
      <w:r>
        <w:rPr>
          <w:noProof/>
        </w:rPr>
        <w:fldChar w:fldCharType="end"/>
      </w:r>
    </w:p>
    <w:p w14:paraId="6C960D7C" w14:textId="105D1649" w:rsidR="00DD4F22" w:rsidRPr="008D244E" w:rsidRDefault="00DD4F22" w:rsidP="000345E5">
      <w:pPr>
        <w:jc w:val="both"/>
      </w:pPr>
      <w:r w:rsidRPr="008D244E">
        <w:fldChar w:fldCharType="end"/>
      </w:r>
    </w:p>
    <w:p w14:paraId="4209BE5D" w14:textId="77777777" w:rsidR="000345E5" w:rsidRPr="005E0F80" w:rsidRDefault="00BA4F48" w:rsidP="000345E5">
      <w:pPr>
        <w:pStyle w:val="HeadingLevel1"/>
        <w:keepNext/>
        <w:tabs>
          <w:tab w:val="left" w:pos="851"/>
          <w:tab w:val="right" w:leader="dot" w:pos="8312"/>
        </w:tabs>
        <w:jc w:val="both"/>
      </w:pPr>
      <w:r w:rsidRPr="008D244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47693307"/>
      <w:bookmarkStart w:id="10" w:name="_Toc203641530"/>
      <w:bookmarkStart w:id="11" w:name="_Toc210305539"/>
      <w:bookmarkStart w:id="12" w:name="_Toc77772860"/>
      <w:r w:rsidR="000345E5" w:rsidRPr="005E0F80">
        <w:lastRenderedPageBreak/>
        <w:t xml:space="preserve">legislative </w:t>
      </w:r>
      <w:bookmarkEnd w:id="1"/>
      <w:bookmarkEnd w:id="2"/>
      <w:r w:rsidR="000345E5" w:rsidRPr="005E0F80">
        <w:t>Authority</w:t>
      </w:r>
      <w:bookmarkEnd w:id="3"/>
      <w:bookmarkEnd w:id="4"/>
      <w:bookmarkEnd w:id="5"/>
      <w:bookmarkEnd w:id="6"/>
      <w:bookmarkEnd w:id="7"/>
      <w:bookmarkEnd w:id="8"/>
      <w:bookmarkEnd w:id="9"/>
      <w:bookmarkEnd w:id="10"/>
      <w:bookmarkEnd w:id="11"/>
    </w:p>
    <w:p w14:paraId="0AD8C86F" w14:textId="77777777" w:rsidR="000345E5" w:rsidRPr="00ED5334" w:rsidRDefault="000345E5" w:rsidP="000345E5">
      <w:pPr>
        <w:pStyle w:val="HeadingLevel2"/>
        <w:keepNext/>
        <w:tabs>
          <w:tab w:val="clear" w:pos="3545"/>
          <w:tab w:val="num" w:pos="993"/>
          <w:tab w:val="num" w:pos="3829"/>
        </w:tabs>
        <w:ind w:left="851"/>
        <w:jc w:val="both"/>
      </w:pPr>
      <w:bookmarkStart w:id="13" w:name="_Toc203641531"/>
      <w:bookmarkStart w:id="14" w:name="_Toc210305540"/>
      <w:bookmarkStart w:id="15" w:name="_Hlk195685119"/>
      <w:r w:rsidRPr="00ED5334">
        <w:t>National Road Vehicle Standards</w:t>
      </w:r>
      <w:bookmarkEnd w:id="13"/>
      <w:bookmarkEnd w:id="14"/>
    </w:p>
    <w:bookmarkEnd w:id="15"/>
    <w:p w14:paraId="304C6997" w14:textId="5DAC7439" w:rsidR="00624465" w:rsidRDefault="000345E5" w:rsidP="000345E5">
      <w:pPr>
        <w:jc w:val="both"/>
      </w:pPr>
      <w:r w:rsidRPr="00ED5334">
        <w:t xml:space="preserve">The Vehicle Standard (Australian Design Rule </w:t>
      </w:r>
      <w:r>
        <w:t>98/02</w:t>
      </w:r>
      <w:r w:rsidRPr="00ED5334">
        <w:t xml:space="preserve"> – </w:t>
      </w:r>
      <w:r w:rsidRPr="001F5393">
        <w:t>Advanced Emergency Braking</w:t>
      </w:r>
      <w:r>
        <w:t xml:space="preserve"> </w:t>
      </w:r>
      <w:r w:rsidRPr="00AD10AF">
        <w:t>for Passenger Vehicles and Light Goods Vehicles</w:t>
      </w:r>
      <w:r w:rsidRPr="00ED5334">
        <w:t>) 202</w:t>
      </w:r>
      <w:r w:rsidR="002843FC">
        <w:t>6</w:t>
      </w:r>
      <w:r w:rsidRPr="00ED5334">
        <w:t xml:space="preserve">, which may also be cited as the Australian Design Rule </w:t>
      </w:r>
      <w:r>
        <w:t>98/02</w:t>
      </w:r>
      <w:r w:rsidRPr="00ED5334">
        <w:t xml:space="preserve"> – </w:t>
      </w:r>
      <w:r w:rsidRPr="001F5393">
        <w:t xml:space="preserve">Advanced Emergency Braking </w:t>
      </w:r>
      <w:r w:rsidRPr="00AD10AF">
        <w:t xml:space="preserve">for Passenger Vehicles and Light Goods Vehicles </w:t>
      </w:r>
      <w:r w:rsidRPr="00ED5334">
        <w:t xml:space="preserve">or ADR </w:t>
      </w:r>
      <w:r>
        <w:t>98/02</w:t>
      </w:r>
      <w:r w:rsidRPr="00ED5334">
        <w:t xml:space="preserve">, is made under the </w:t>
      </w:r>
      <w:r w:rsidRPr="00ED5334">
        <w:rPr>
          <w:i/>
        </w:rPr>
        <w:t>Road Vehicle Standards Act 2018</w:t>
      </w:r>
      <w:r w:rsidRPr="00ED5334">
        <w:t xml:space="preserve"> (RVSA).</w:t>
      </w:r>
    </w:p>
    <w:p w14:paraId="398E0B36" w14:textId="1DFF71AF" w:rsidR="000345E5" w:rsidRPr="00ED5334" w:rsidRDefault="000345E5" w:rsidP="000345E5">
      <w:pPr>
        <w:jc w:val="both"/>
      </w:pPr>
      <w:r w:rsidRPr="00ED5334">
        <w:t xml:space="preserve">The RVSA enables the Australian Government to establish nationally uniform standards that apply to road vehicles </w:t>
      </w:r>
      <w:r w:rsidR="009B491F">
        <w:t>and/</w:t>
      </w:r>
      <w:r w:rsidRPr="00ED5334">
        <w:t>or road vehicle components when they are provided to the market in Australia</w:t>
      </w:r>
      <w:r w:rsidR="009B491F">
        <w:t xml:space="preserve"> for the first time</w:t>
      </w:r>
      <w:r w:rsidRPr="00ED5334">
        <w:t>. The RVSA applies to vehicles or components whether they are manufactured in Australia or imported.</w:t>
      </w:r>
    </w:p>
    <w:p w14:paraId="1950FBFF" w14:textId="4C12BD70" w:rsidR="000345E5" w:rsidRPr="00ED5334" w:rsidRDefault="000345E5" w:rsidP="000345E5">
      <w:pPr>
        <w:jc w:val="both"/>
      </w:pPr>
      <w:r w:rsidRPr="00ED5334">
        <w:t xml:space="preserve">The making of the </w:t>
      </w:r>
      <w:r w:rsidR="009B491F">
        <w:t xml:space="preserve">national road </w:t>
      </w:r>
      <w:r w:rsidRPr="00ED5334">
        <w:t>vehicle standards necessary for the RVSA’s effective operation is provided for in section 12, which empowers the Minister to “determine standards for road vehicles or road vehicle components”.</w:t>
      </w:r>
      <w:r w:rsidR="00624465">
        <w:t xml:space="preserve"> These standards are </w:t>
      </w:r>
      <w:r w:rsidR="00624465" w:rsidRPr="0028498A">
        <w:t xml:space="preserve">also </w:t>
      </w:r>
      <w:r w:rsidR="00624465">
        <w:t>referred to</w:t>
      </w:r>
      <w:r w:rsidR="00624465" w:rsidRPr="0028498A">
        <w:t xml:space="preserve"> as the Australian Design Rules (ADRs)</w:t>
      </w:r>
      <w:r w:rsidR="00624465">
        <w:t>.</w:t>
      </w:r>
    </w:p>
    <w:p w14:paraId="52E03642" w14:textId="77777777" w:rsidR="000345E5" w:rsidRPr="00ED5334" w:rsidRDefault="000345E5" w:rsidP="000345E5">
      <w:pPr>
        <w:pStyle w:val="HeadingLevel2"/>
        <w:keepNext/>
        <w:tabs>
          <w:tab w:val="clear" w:pos="3545"/>
          <w:tab w:val="num" w:pos="993"/>
          <w:tab w:val="num" w:pos="3829"/>
        </w:tabs>
        <w:ind w:left="851"/>
        <w:jc w:val="both"/>
      </w:pPr>
      <w:bookmarkStart w:id="16" w:name="_Toc203641532"/>
      <w:bookmarkStart w:id="17" w:name="_Toc210305541"/>
      <w:r w:rsidRPr="00ED5334">
        <w:t>Exemption from Sunsetting</w:t>
      </w:r>
      <w:bookmarkEnd w:id="16"/>
      <w:bookmarkEnd w:id="17"/>
    </w:p>
    <w:p w14:paraId="7E8E6CE5" w14:textId="7B76E031" w:rsidR="000345E5" w:rsidRPr="009B0737" w:rsidRDefault="000345E5" w:rsidP="000345E5">
      <w:pPr>
        <w:jc w:val="both"/>
      </w:pPr>
      <w:r w:rsidRPr="00ED5334">
        <w:t xml:space="preserve">ADR </w:t>
      </w:r>
      <w:r w:rsidR="000F6E44">
        <w:t>98/02</w:t>
      </w:r>
      <w:r w:rsidRPr="00ED5334">
        <w:t xml:space="preserve"> is exempt from the sunsetting provisions of the </w:t>
      </w:r>
      <w:r w:rsidRPr="00D355F4">
        <w:rPr>
          <w:i/>
        </w:rPr>
        <w:t>Legislation Act 2003</w:t>
      </w:r>
      <w:r w:rsidRPr="009B0737">
        <w:t>.</w:t>
      </w:r>
    </w:p>
    <w:p w14:paraId="38F4951D" w14:textId="77777777" w:rsidR="000345E5" w:rsidRPr="00ED5334" w:rsidRDefault="000345E5" w:rsidP="000345E5">
      <w:pPr>
        <w:pStyle w:val="Subsubsection"/>
        <w:numPr>
          <w:ilvl w:val="0"/>
          <w:numId w:val="0"/>
        </w:numPr>
        <w:ind w:left="851" w:hanging="851"/>
        <w:jc w:val="both"/>
        <w:rPr>
          <w:i/>
        </w:rPr>
      </w:pPr>
      <w:r w:rsidRPr="00ED5334">
        <w:rPr>
          <w:i/>
        </w:rPr>
        <w:t>Source of the exemption</w:t>
      </w:r>
    </w:p>
    <w:p w14:paraId="1A094032" w14:textId="36E5344F" w:rsidR="000345E5" w:rsidRPr="00ED5334" w:rsidRDefault="000345E5" w:rsidP="000345E5">
      <w:pPr>
        <w:jc w:val="both"/>
      </w:pPr>
      <w:r w:rsidRPr="00ED5334">
        <w:t>A standard made under section 12 of the RVSA is not subject to the sunsetting provisions of section 50 of the </w:t>
      </w:r>
      <w:r w:rsidRPr="00ED5334">
        <w:rPr>
          <w:i/>
          <w:iCs/>
        </w:rPr>
        <w:t>Legislation Act 2003</w:t>
      </w:r>
      <w:r w:rsidRPr="00ED5334">
        <w:t> through section 12 of the Legislation (Exemptions and Other Matters) Regulation 2015 (table item 56C). A similar exemption was previously granted in respect of national road vehicle standards made under section 7 of the </w:t>
      </w:r>
      <w:r w:rsidRPr="00ED5334">
        <w:rPr>
          <w:i/>
          <w:iCs/>
        </w:rPr>
        <w:t>Motor Vehicle Standards Act 1989</w:t>
      </w:r>
      <w:r w:rsidRPr="00ED5334">
        <w:t xml:space="preserve"> (MVSA) (item 40, section 12 of the Legislation (Exemptions and Other Matters) Regulation 2015). This exemption is important to ensure that Australian Design Rules (ADRs), including ADR </w:t>
      </w:r>
      <w:r>
        <w:t>98/02</w:t>
      </w:r>
      <w:r w:rsidRPr="00ED5334">
        <w:t>, continue to remain in force and available to regulators</w:t>
      </w:r>
      <w:r w:rsidR="00B4341D">
        <w:t>,</w:t>
      </w:r>
      <w:r w:rsidRPr="00ED5334">
        <w:t xml:space="preserve"> industry</w:t>
      </w:r>
      <w:r w:rsidR="00B4341D">
        <w:t xml:space="preserve"> and the public</w:t>
      </w:r>
      <w:r w:rsidRPr="00ED5334">
        <w:t>.</w:t>
      </w:r>
    </w:p>
    <w:p w14:paraId="6FF07CA7" w14:textId="77777777" w:rsidR="000345E5" w:rsidRPr="00ED5334" w:rsidRDefault="000345E5" w:rsidP="000345E5">
      <w:pPr>
        <w:pStyle w:val="Subsubsubsection"/>
        <w:numPr>
          <w:ilvl w:val="0"/>
          <w:numId w:val="0"/>
        </w:numPr>
        <w:jc w:val="both"/>
        <w:rPr>
          <w:i/>
        </w:rPr>
      </w:pPr>
      <w:r w:rsidRPr="00ED5334">
        <w:rPr>
          <w:i/>
        </w:rPr>
        <w:t>Intergovernmental dependencies</w:t>
      </w:r>
    </w:p>
    <w:p w14:paraId="77EAFF3C" w14:textId="3B81D912" w:rsidR="000345E5" w:rsidRPr="00ED5334" w:rsidRDefault="000345E5" w:rsidP="000345E5">
      <w:pPr>
        <w:jc w:val="both"/>
      </w:pPr>
      <w:r w:rsidRPr="00ED5334">
        <w:t xml:space="preserve">The exemption concerns ADRs which facilitate the establishment and operation of the intergovernmental vehicle standard regime that Commonwealth, </w:t>
      </w:r>
      <w:r w:rsidR="004F7FB4">
        <w:t>s</w:t>
      </w:r>
      <w:r w:rsidRPr="00ED5334">
        <w:t xml:space="preserve">tate and </w:t>
      </w:r>
      <w:r w:rsidR="004F7FB4">
        <w:t>t</w:t>
      </w:r>
      <w:r w:rsidRPr="00ED5334">
        <w:t xml:space="preserve">erritory governments rely on to regulate the safety of vehicles on public roads. </w:t>
      </w:r>
    </w:p>
    <w:p w14:paraId="0D4EA8A5" w14:textId="7F716426" w:rsidR="000345E5" w:rsidRPr="00ED5334" w:rsidRDefault="000345E5" w:rsidP="000345E5">
      <w:pPr>
        <w:jc w:val="both"/>
      </w:pPr>
      <w:r w:rsidRPr="00ED5334">
        <w:t xml:space="preserve">The Commonwealth uses the ADRs as the basis on which approvals to supply types of road vehicles to the market are granted under the Road Vehicle Standards Rules 2019. States and </w:t>
      </w:r>
      <w:r w:rsidR="007D51A9">
        <w:t>t</w:t>
      </w:r>
      <w:r w:rsidRPr="00ED5334">
        <w:t xml:space="preserve">erritories </w:t>
      </w:r>
      <w:r w:rsidR="004F7FB4">
        <w:t>and the National Heavy Vehicle Regulator</w:t>
      </w:r>
      <w:r w:rsidR="004F7FB4" w:rsidRPr="00ED5334">
        <w:t xml:space="preserve"> </w:t>
      </w:r>
      <w:r w:rsidRPr="00ED5334">
        <w:t>use the ADRs as the primary criteria on which vehicles are assessed for roadworthiness.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over 10 years.</w:t>
      </w:r>
    </w:p>
    <w:p w14:paraId="1DA8818F" w14:textId="174AED11" w:rsidR="000345E5" w:rsidRPr="00ED5334" w:rsidRDefault="000345E5" w:rsidP="003468EE">
      <w:pPr>
        <w:keepLines/>
        <w:jc w:val="both"/>
      </w:pPr>
      <w:r w:rsidRPr="00ED5334">
        <w:lastRenderedPageBreak/>
        <w:t xml:space="preserve">While the ADRs are regularly updated to reflect changes in technology, it is not possible to apply these new standards retrospectively to vehicles that are already in use. With former ADRs kept on the Federal Register of Legislation, </w:t>
      </w:r>
      <w:r w:rsidR="004F7FB4">
        <w:t>s</w:t>
      </w:r>
      <w:r w:rsidRPr="00ED5334">
        <w:t xml:space="preserve">tate and </w:t>
      </w:r>
      <w:r w:rsidR="004F7FB4">
        <w:t>t</w:t>
      </w:r>
      <w:r w:rsidRPr="00ED5334">
        <w:t>erritory governments can use them to ensure vehicles continue to comply with the ADRs that were in force when they were first supplied to the market.</w:t>
      </w:r>
    </w:p>
    <w:p w14:paraId="647F0697" w14:textId="26745A6D" w:rsidR="000345E5" w:rsidRPr="00475FCD" w:rsidRDefault="000345E5" w:rsidP="000345E5">
      <w:pPr>
        <w:jc w:val="both"/>
        <w:rPr>
          <w:u w:val="single"/>
        </w:rPr>
      </w:pPr>
      <w:r w:rsidRPr="00ED5334">
        <w:t xml:space="preserve">In the event that the Commonwealth could not justify the maintenance of the ADRs, </w:t>
      </w:r>
      <w:r w:rsidR="004F7FB4">
        <w:t>s</w:t>
      </w:r>
      <w:r w:rsidRPr="00ED5334">
        <w:t xml:space="preserve">tate and </w:t>
      </w:r>
      <w:r w:rsidR="004F7FB4">
        <w:t>t</w:t>
      </w:r>
      <w:r w:rsidRPr="00ED5334">
        <w:t xml:space="preserve">erritory governments would be compelled to create their own vehicle standards. Whilst this could mean adopting the substance of the lapsed ADRs as an interim measure, the differing needs and agendas of each </w:t>
      </w:r>
      <w:r w:rsidR="004F7FB4">
        <w:t>s</w:t>
      </w:r>
      <w:r w:rsidRPr="00ED5334">
        <w:t xml:space="preserve">tate and </w:t>
      </w:r>
      <w:r w:rsidR="004F7FB4">
        <w:t>t</w:t>
      </w:r>
      <w:r w:rsidRPr="00ED5334">
        <w:t xml:space="preserve">erritory government may result in variations to in-service regulations. Having different vehicle standards across the states and territories would make the scheme operate contrary to the underlying policy intent of the </w:t>
      </w:r>
      <w:r w:rsidR="001C290C">
        <w:t>RVSA</w:t>
      </w:r>
      <w:r w:rsidR="0007673F">
        <w:t>,</w:t>
      </w:r>
      <w:r w:rsidR="001C290C" w:rsidRPr="00ED5334">
        <w:t xml:space="preserve"> </w:t>
      </w:r>
      <w:r w:rsidRPr="00ED5334">
        <w:t>which is to set nationally consistent performance</w:t>
      </w:r>
      <w:r w:rsidR="00E03B75">
        <w:t>-</w:t>
      </w:r>
      <w:r w:rsidRPr="00857BE0">
        <w:t>based standards.</w:t>
      </w:r>
    </w:p>
    <w:p w14:paraId="782CBF2B" w14:textId="77777777" w:rsidR="000345E5" w:rsidRPr="00EF03E5" w:rsidRDefault="000345E5" w:rsidP="000345E5">
      <w:pPr>
        <w:pStyle w:val="Subsubsubsection"/>
        <w:numPr>
          <w:ilvl w:val="0"/>
          <w:numId w:val="0"/>
        </w:numPr>
        <w:ind w:left="851" w:hanging="851"/>
        <w:jc w:val="both"/>
        <w:rPr>
          <w:i/>
        </w:rPr>
      </w:pPr>
      <w:r w:rsidRPr="00EF03E5">
        <w:rPr>
          <w:i/>
        </w:rPr>
        <w:t>Commercial dependencies</w:t>
      </w:r>
    </w:p>
    <w:p w14:paraId="67AEDF89" w14:textId="77777777" w:rsidR="000345E5" w:rsidRPr="00ED5334" w:rsidRDefault="000345E5" w:rsidP="000345E5">
      <w:pPr>
        <w:jc w:val="both"/>
      </w:pPr>
      <w:r w:rsidRPr="00475FCD">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w:t>
      </w:r>
      <w:r w:rsidRPr="00ED5334">
        <w:t xml:space="preserve"> consumer confidence with significant financial impact to manufacturers. This exemption allows vehicle manufacturers to focus their efforts to ensure new models supplied to the market continue to comply.</w:t>
      </w:r>
    </w:p>
    <w:p w14:paraId="3AC281FB" w14:textId="77777777" w:rsidR="000345E5" w:rsidRPr="00ED5334" w:rsidRDefault="000345E5" w:rsidP="000345E5">
      <w:pPr>
        <w:pStyle w:val="Subsubsection"/>
        <w:numPr>
          <w:ilvl w:val="0"/>
          <w:numId w:val="0"/>
        </w:numPr>
        <w:jc w:val="both"/>
        <w:rPr>
          <w:i/>
        </w:rPr>
      </w:pPr>
      <w:r w:rsidRPr="00ED5334">
        <w:rPr>
          <w:i/>
        </w:rPr>
        <w:t>Review of Australian Design Rules</w:t>
      </w:r>
    </w:p>
    <w:p w14:paraId="530153A6" w14:textId="77777777" w:rsidR="000345E5" w:rsidRPr="00ED5334" w:rsidRDefault="000345E5" w:rsidP="000345E5">
      <w:pPr>
        <w:jc w:val="both"/>
        <w:rPr>
          <w:color w:val="000000"/>
        </w:rPr>
      </w:pPr>
      <w:r w:rsidRPr="00ED5334">
        <w:rPr>
          <w:color w:val="000000"/>
        </w:rPr>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74F2DC7F" w14:textId="77777777" w:rsidR="000345E5" w:rsidRPr="00ED5334" w:rsidRDefault="000345E5" w:rsidP="000345E5">
      <w:pPr>
        <w:pStyle w:val="HeadingLevel2"/>
        <w:keepNext/>
        <w:tabs>
          <w:tab w:val="clear" w:pos="3545"/>
          <w:tab w:val="num" w:pos="993"/>
          <w:tab w:val="num" w:pos="3829"/>
        </w:tabs>
        <w:ind w:left="851"/>
        <w:jc w:val="both"/>
      </w:pPr>
      <w:bookmarkStart w:id="18" w:name="_Toc203641533"/>
      <w:bookmarkStart w:id="19" w:name="_Toc210305542"/>
      <w:r w:rsidRPr="00ED5334">
        <w:t>International Harmonisation</w:t>
      </w:r>
      <w:bookmarkEnd w:id="18"/>
      <w:bookmarkEnd w:id="19"/>
    </w:p>
    <w:p w14:paraId="2401E222" w14:textId="58BDD140" w:rsidR="000345E5" w:rsidRPr="00ED5334" w:rsidRDefault="000345E5" w:rsidP="000345E5">
      <w:pPr>
        <w:pStyle w:val="NormalWeb"/>
        <w:spacing w:before="120" w:beforeAutospacing="0" w:after="120" w:afterAutospacing="0"/>
        <w:jc w:val="both"/>
        <w:rPr>
          <w:color w:val="000000"/>
        </w:rPr>
      </w:pPr>
      <w:r w:rsidRPr="00ED5334">
        <w:rPr>
          <w:color w:val="000000"/>
        </w:rPr>
        <w:t xml:space="preserve">A majority of Australian road vehicle standards, including ADR </w:t>
      </w:r>
      <w:r>
        <w:rPr>
          <w:color w:val="000000"/>
        </w:rPr>
        <w:t>98/02</w:t>
      </w:r>
      <w:r w:rsidRPr="00ED5334">
        <w:rPr>
          <w:color w:val="000000"/>
        </w:rPr>
        <w:t>, are closely harmonised with internationally based UN regulations, which are developed by the UN</w:t>
      </w:r>
      <w:r w:rsidR="00552778">
        <w:rPr>
          <w:color w:val="000000"/>
        </w:rPr>
        <w:t> </w:t>
      </w:r>
      <w:r w:rsidRPr="00ED5334">
        <w:rPr>
          <w:color w:val="000000"/>
        </w:rPr>
        <w:t>World Forum for Harmonization of Vehicle Regulations. Harmonisation ensures that vehicles built to the most recent safety, environmental and anti-theft standards are supplied to the Australian market at the least cost and that Australia has access to the latest vehicle technologies. In contrast, more Australian specific standards would require vehicles to be designed, developed and produced specifically for the relatively small Australian market. Unless needed to achieve legitimate policy objectives, a market specific standard would generally result in a significantly lower net benefit and benefit-cost ratio, than if costs were amortised over a number of markets, such as occurs with UN regulations.</w:t>
      </w:r>
    </w:p>
    <w:p w14:paraId="52ABB58C" w14:textId="71311B52" w:rsidR="00BA4F48" w:rsidRPr="008D244E" w:rsidRDefault="000B1B1F" w:rsidP="00EE2E77">
      <w:pPr>
        <w:pStyle w:val="HeadingLevel1"/>
        <w:pageBreakBefore/>
        <w:jc w:val="both"/>
        <w:rPr>
          <w:rFonts w:cs="Arial"/>
        </w:rPr>
      </w:pPr>
      <w:bookmarkStart w:id="20" w:name="_Toc210305543"/>
      <w:r w:rsidRPr="008D244E">
        <w:lastRenderedPageBreak/>
        <w:t>Purpose and operation</w:t>
      </w:r>
      <w:bookmarkEnd w:id="12"/>
      <w:bookmarkEnd w:id="20"/>
    </w:p>
    <w:p w14:paraId="2060AEBA" w14:textId="77777777" w:rsidR="00A36742" w:rsidRPr="005643E4" w:rsidRDefault="00A36742" w:rsidP="000345E5">
      <w:pPr>
        <w:pStyle w:val="HeadingLevel2"/>
        <w:keepNext/>
        <w:tabs>
          <w:tab w:val="clear" w:pos="3545"/>
          <w:tab w:val="num" w:pos="993"/>
          <w:tab w:val="num" w:pos="3829"/>
        </w:tabs>
        <w:ind w:left="851"/>
        <w:jc w:val="both"/>
      </w:pPr>
      <w:bookmarkStart w:id="21" w:name="_Toc210305544"/>
      <w:bookmarkStart w:id="22" w:name="_Toc167864613"/>
      <w:bookmarkStart w:id="23" w:name="_Toc505092260"/>
      <w:bookmarkStart w:id="24" w:name="_Toc77772861"/>
      <w:r w:rsidRPr="005643E4">
        <w:t>Overview of the Regulatory Framework</w:t>
      </w:r>
      <w:bookmarkEnd w:id="21"/>
    </w:p>
    <w:p w14:paraId="5DF7FDD1" w14:textId="77777777" w:rsidR="000345E5" w:rsidRDefault="000345E5" w:rsidP="000345E5">
      <w:pPr>
        <w:jc w:val="both"/>
      </w:pPr>
      <w:r>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determined as national standards. The RVSA commenced in full and replaced the MVSA on 1 July 2021. A two-year transition period was provided between 1 July 2021 and 30 June 2023.</w:t>
      </w:r>
    </w:p>
    <w:p w14:paraId="635A68CD" w14:textId="56AEF872" w:rsidR="000345E5" w:rsidRDefault="000345E5" w:rsidP="000345E5">
      <w:pPr>
        <w:jc w:val="both"/>
      </w:pPr>
      <w:r>
        <w:t xml:space="preserve">Under the RVSA, the ADRs are </w:t>
      </w:r>
      <w:r w:rsidR="00EA2FB7">
        <w:t>n</w:t>
      </w:r>
      <w:r>
        <w:t xml:space="preserve">ational </w:t>
      </w:r>
      <w:r w:rsidR="00EA2FB7">
        <w:t xml:space="preserve">road vehicle standards </w:t>
      </w:r>
      <w:r>
        <w:t>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r w:rsidR="003D4861" w:rsidRPr="008D244E">
        <w:t xml:space="preserve"> </w:t>
      </w:r>
    </w:p>
    <w:p w14:paraId="5813598B" w14:textId="72389C4D" w:rsidR="009E623C" w:rsidRDefault="00BA4F48" w:rsidP="000345E5">
      <w:pPr>
        <w:pStyle w:val="HeadingLevel2"/>
        <w:keepNext/>
        <w:tabs>
          <w:tab w:val="clear" w:pos="3545"/>
          <w:tab w:val="num" w:pos="993"/>
          <w:tab w:val="num" w:pos="3829"/>
        </w:tabs>
        <w:ind w:left="851"/>
        <w:jc w:val="both"/>
      </w:pPr>
      <w:bookmarkStart w:id="25" w:name="_Toc210305545"/>
      <w:r w:rsidRPr="008D244E">
        <w:t>Overview of the ADR</w:t>
      </w:r>
      <w:bookmarkStart w:id="26" w:name="_Toc77000451"/>
      <w:bookmarkStart w:id="27" w:name="_Toc77091652"/>
      <w:bookmarkStart w:id="28" w:name="_Toc77253496"/>
      <w:bookmarkStart w:id="29" w:name="_Toc77253547"/>
      <w:bookmarkStart w:id="30" w:name="_Toc77263167"/>
      <w:bookmarkStart w:id="31" w:name="_Toc77264477"/>
      <w:bookmarkStart w:id="32" w:name="_Toc74044070"/>
      <w:bookmarkStart w:id="33" w:name="_Toc74044717"/>
      <w:bookmarkStart w:id="34" w:name="_Toc77772862"/>
      <w:bookmarkEnd w:id="22"/>
      <w:bookmarkEnd w:id="23"/>
      <w:bookmarkEnd w:id="24"/>
      <w:bookmarkEnd w:id="26"/>
      <w:bookmarkEnd w:id="27"/>
      <w:bookmarkEnd w:id="28"/>
      <w:bookmarkEnd w:id="29"/>
      <w:bookmarkEnd w:id="30"/>
      <w:bookmarkEnd w:id="31"/>
      <w:bookmarkEnd w:id="25"/>
    </w:p>
    <w:p w14:paraId="0F1E8EEF" w14:textId="7A14213B" w:rsidR="000345E5" w:rsidRDefault="000345E5" w:rsidP="000345E5">
      <w:pPr>
        <w:jc w:val="both"/>
      </w:pPr>
      <w:bookmarkStart w:id="35" w:name="_Toc167864614"/>
      <w:r>
        <w:t xml:space="preserve">The policy intent of the </w:t>
      </w:r>
      <w:r w:rsidR="00790F39">
        <w:t xml:space="preserve">additional </w:t>
      </w:r>
      <w:r w:rsidRPr="008D244E">
        <w:t xml:space="preserve">AEBS </w:t>
      </w:r>
      <w:r>
        <w:t xml:space="preserve">requirements mandated through ADR 98/02 </w:t>
      </w:r>
      <w:r w:rsidRPr="008D244E">
        <w:t>is to reduce the occurrence of impacts</w:t>
      </w:r>
      <w:r w:rsidR="00790F39">
        <w:t xml:space="preserve"> </w:t>
      </w:r>
      <w:r w:rsidR="001F218C">
        <w:t>on</w:t>
      </w:r>
      <w:r w:rsidR="001F218C" w:rsidRPr="008D244E">
        <w:t xml:space="preserve"> </w:t>
      </w:r>
      <w:r>
        <w:t>bicy</w:t>
      </w:r>
      <w:r w:rsidRPr="009E623C">
        <w:t>cles</w:t>
      </w:r>
      <w:r w:rsidR="001F218C">
        <w:t xml:space="preserve"> and </w:t>
      </w:r>
      <w:r w:rsidR="006F316A">
        <w:t>bi</w:t>
      </w:r>
      <w:r w:rsidR="001F218C">
        <w:t>cyclists</w:t>
      </w:r>
      <w:r w:rsidRPr="009E623C">
        <w:t>.</w:t>
      </w:r>
    </w:p>
    <w:bookmarkEnd w:id="35"/>
    <w:p w14:paraId="319EF76D" w14:textId="76D3E3D2" w:rsidR="009E623C" w:rsidRDefault="009E623C" w:rsidP="000345E5">
      <w:pPr>
        <w:jc w:val="both"/>
      </w:pPr>
      <w:r>
        <w:t xml:space="preserve">Where </w:t>
      </w:r>
      <w:r w:rsidRPr="008D244E">
        <w:t xml:space="preserve">Advanced Emergency Braking Systems (AEBS) are fitted to new vehicles, they are closely integrated with a vehicle’s other systems, feature a sensor array and have the capacity to anticipate certain crashes based on the sensor data collected. </w:t>
      </w:r>
      <w:r>
        <w:t>The function of an AEBS conforming to ADR 98/02 is to:</w:t>
      </w:r>
    </w:p>
    <w:p w14:paraId="516F06F7" w14:textId="714BC6A0" w:rsidR="009E623C" w:rsidRDefault="009E623C" w:rsidP="000345E5">
      <w:pPr>
        <w:pStyle w:val="ListParagraph"/>
        <w:numPr>
          <w:ilvl w:val="0"/>
          <w:numId w:val="5"/>
        </w:numPr>
        <w:jc w:val="both"/>
      </w:pPr>
      <w:r w:rsidRPr="009E623C">
        <w:t>Avoid or mitigate the severity of a rear-end in</w:t>
      </w:r>
      <w:r w:rsidR="006F316A">
        <w:t>-</w:t>
      </w:r>
      <w:r w:rsidRPr="009E623C">
        <w:t xml:space="preserve">lane collision with a passenger car; </w:t>
      </w:r>
    </w:p>
    <w:p w14:paraId="580E4995" w14:textId="5455FE00" w:rsidR="009E623C" w:rsidRDefault="009E623C" w:rsidP="000345E5">
      <w:pPr>
        <w:pStyle w:val="ListParagraph"/>
        <w:numPr>
          <w:ilvl w:val="0"/>
          <w:numId w:val="5"/>
        </w:numPr>
        <w:jc w:val="both"/>
      </w:pPr>
      <w:r w:rsidRPr="009E623C">
        <w:t xml:space="preserve">Avoid or mitigate the severity of an impact with a pedestrian; </w:t>
      </w:r>
      <w:r>
        <w:t>and</w:t>
      </w:r>
    </w:p>
    <w:p w14:paraId="7AF96078" w14:textId="0DE994F9" w:rsidR="009E623C" w:rsidRDefault="009E623C" w:rsidP="000345E5">
      <w:pPr>
        <w:pStyle w:val="ListParagraph"/>
        <w:numPr>
          <w:ilvl w:val="0"/>
          <w:numId w:val="5"/>
        </w:numPr>
        <w:jc w:val="both"/>
      </w:pPr>
      <w:r>
        <w:t>Avoid or mitigate the severity of an impact with a bicycle.</w:t>
      </w:r>
    </w:p>
    <w:p w14:paraId="52692609" w14:textId="4076FBEC" w:rsidR="00AD12BE" w:rsidRPr="008D244E" w:rsidRDefault="00AD12BE" w:rsidP="000345E5">
      <w:pPr>
        <w:pStyle w:val="HeadingLevel2"/>
        <w:keepNext/>
        <w:tabs>
          <w:tab w:val="clear" w:pos="3545"/>
          <w:tab w:val="num" w:pos="993"/>
          <w:tab w:val="num" w:pos="3829"/>
        </w:tabs>
        <w:ind w:left="851"/>
        <w:jc w:val="both"/>
      </w:pPr>
      <w:bookmarkStart w:id="36" w:name="_Toc210305546"/>
      <w:r w:rsidRPr="008D244E">
        <w:t>Design Requirement</w:t>
      </w:r>
      <w:r w:rsidR="009E623C">
        <w:t>s</w:t>
      </w:r>
      <w:bookmarkEnd w:id="32"/>
      <w:bookmarkEnd w:id="33"/>
      <w:bookmarkEnd w:id="34"/>
      <w:bookmarkEnd w:id="36"/>
    </w:p>
    <w:p w14:paraId="101D405D" w14:textId="55AD65AB" w:rsidR="00A74F7F" w:rsidRPr="008D244E" w:rsidRDefault="00A74F7F" w:rsidP="000345E5">
      <w:pPr>
        <w:jc w:val="both"/>
      </w:pPr>
      <w:r w:rsidRPr="00A74F7F">
        <w:t>AEBS automatically detects an imminent forward collision and activates the vehicle braking system to decelerate the vehicle with the purpose of avoiding or mitigating a collision.</w:t>
      </w:r>
    </w:p>
    <w:p w14:paraId="3E64D2EF" w14:textId="6EF9F06F" w:rsidR="001B2451" w:rsidRPr="008D244E" w:rsidRDefault="00AD12BE" w:rsidP="000345E5">
      <w:pPr>
        <w:jc w:val="both"/>
      </w:pPr>
      <w:r w:rsidRPr="008D244E">
        <w:t xml:space="preserve">AEBS </w:t>
      </w:r>
      <w:r w:rsidR="00D12D31">
        <w:t>conforming to ADR 98/0</w:t>
      </w:r>
      <w:r w:rsidR="002808B0">
        <w:t>2</w:t>
      </w:r>
      <w:r w:rsidR="00D12D31">
        <w:t xml:space="preserve"> </w:t>
      </w:r>
      <w:r w:rsidR="000F162D" w:rsidRPr="008D244E">
        <w:t>are</w:t>
      </w:r>
      <w:r w:rsidRPr="008D244E">
        <w:t xml:space="preserve"> designed to reduce the likelihood of an in-lane rear</w:t>
      </w:r>
      <w:r w:rsidR="006F316A">
        <w:t>-</w:t>
      </w:r>
      <w:r w:rsidRPr="008D244E">
        <w:t xml:space="preserve">end crash </w:t>
      </w:r>
      <w:r w:rsidR="00A36EF9" w:rsidRPr="008D244E">
        <w:t>with a car in front</w:t>
      </w:r>
      <w:r w:rsidR="002808B0">
        <w:t xml:space="preserve">, </w:t>
      </w:r>
      <w:r w:rsidR="00790F39">
        <w:t xml:space="preserve">or </w:t>
      </w:r>
      <w:r w:rsidR="00AA3CAF">
        <w:t>the</w:t>
      </w:r>
      <w:r w:rsidR="00790F39">
        <w:t xml:space="preserve"> impact </w:t>
      </w:r>
      <w:r w:rsidR="00AA3CAF">
        <w:t xml:space="preserve">on </w:t>
      </w:r>
      <w:r w:rsidR="00A36EF9" w:rsidRPr="008D244E">
        <w:t xml:space="preserve">a pedestrian </w:t>
      </w:r>
      <w:r w:rsidR="002808B0">
        <w:t>or a bicycl</w:t>
      </w:r>
      <w:r w:rsidR="00A74F7F">
        <w:t>e</w:t>
      </w:r>
      <w:r w:rsidR="002808B0">
        <w:t xml:space="preserve"> </w:t>
      </w:r>
      <w:r w:rsidRPr="008D244E">
        <w:t xml:space="preserve">by </w:t>
      </w:r>
      <w:r w:rsidR="00880704" w:rsidRPr="008D244E">
        <w:t xml:space="preserve">first </w:t>
      </w:r>
      <w:r w:rsidRPr="008D244E">
        <w:t>warning the driver and then automatically braking to reduce impact speed when a collision is imminent</w:t>
      </w:r>
      <w:r w:rsidR="00880704" w:rsidRPr="008D244E">
        <w:t>, if the driver has not</w:t>
      </w:r>
      <w:r w:rsidR="000F162D" w:rsidRPr="008D244E">
        <w:t xml:space="preserve"> reacted</w:t>
      </w:r>
      <w:r w:rsidRPr="008D244E">
        <w:t>.</w:t>
      </w:r>
      <w:r w:rsidR="00A36EF9" w:rsidRPr="008D244E">
        <w:t xml:space="preserve"> </w:t>
      </w:r>
    </w:p>
    <w:p w14:paraId="3CFCEF0B" w14:textId="3EA86CC6" w:rsidR="00AD12BE" w:rsidRPr="008D244E" w:rsidRDefault="00AD12BE" w:rsidP="000345E5">
      <w:pPr>
        <w:jc w:val="both"/>
      </w:pPr>
      <w:r w:rsidRPr="008D244E">
        <w:t>AEBS read inputs from a variety of sensors and cameras to monitor the road environment. In the event that a collision with a vehicle in front</w:t>
      </w:r>
      <w:r w:rsidR="00790F39">
        <w:t xml:space="preserve">, </w:t>
      </w:r>
      <w:r w:rsidR="00BE6538" w:rsidRPr="008D244E">
        <w:t>pedestrian</w:t>
      </w:r>
      <w:r w:rsidRPr="008D244E">
        <w:t xml:space="preserve"> </w:t>
      </w:r>
      <w:r w:rsidR="00790F39">
        <w:t xml:space="preserve">or bicycle </w:t>
      </w:r>
      <w:r w:rsidRPr="008D244E">
        <w:t>is predicted, the driver is warned.</w:t>
      </w:r>
      <w:r w:rsidRPr="008D244E">
        <w:rPr>
          <w:rFonts w:asciiTheme="majorBidi" w:hAnsiTheme="majorBidi"/>
        </w:rPr>
        <w:t xml:space="preserve"> This warning </w:t>
      </w:r>
      <w:r w:rsidR="00880704" w:rsidRPr="008D244E">
        <w:rPr>
          <w:rFonts w:asciiTheme="majorBidi" w:hAnsiTheme="majorBidi"/>
        </w:rPr>
        <w:t xml:space="preserve">occurs </w:t>
      </w:r>
      <w:r w:rsidRPr="008D244E">
        <w:rPr>
          <w:rFonts w:asciiTheme="majorBidi" w:hAnsiTheme="majorBidi"/>
        </w:rPr>
        <w:t>by at least two modes</w:t>
      </w:r>
      <w:r w:rsidR="00880704" w:rsidRPr="008D244E">
        <w:rPr>
          <w:rFonts w:asciiTheme="majorBidi" w:hAnsiTheme="majorBidi"/>
        </w:rPr>
        <w:t xml:space="preserve"> and may be </w:t>
      </w:r>
      <w:r w:rsidRPr="008D244E">
        <w:rPr>
          <w:rFonts w:asciiTheme="majorBidi" w:hAnsiTheme="majorBidi"/>
        </w:rPr>
        <w:t>acoustic, haptic or optical.</w:t>
      </w:r>
      <w:r w:rsidRPr="008D244E">
        <w:t xml:space="preserve"> If the driver does not respond, a warning brake phase may </w:t>
      </w:r>
      <w:r w:rsidRPr="008D244E">
        <w:lastRenderedPageBreak/>
        <w:t xml:space="preserve">be initiated. If the driver still does not react to the event, the system will execute an emergency braking phase in order to mitigate the collision. </w:t>
      </w:r>
    </w:p>
    <w:p w14:paraId="4E6B5921" w14:textId="1355B71B" w:rsidR="00AD12BE" w:rsidRPr="008D244E" w:rsidRDefault="00AD12BE" w:rsidP="000345E5">
      <w:pPr>
        <w:jc w:val="both"/>
      </w:pPr>
      <w:r w:rsidRPr="008D244E">
        <w:t xml:space="preserve">Clause 5.1 requires that all </w:t>
      </w:r>
      <w:r w:rsidR="00C51F93" w:rsidRPr="008D244E">
        <w:t xml:space="preserve">applicable </w:t>
      </w:r>
      <w:r w:rsidRPr="008D244E">
        <w:t xml:space="preserve">vehicles </w:t>
      </w:r>
      <w:r w:rsidR="004661F6" w:rsidRPr="008D244E">
        <w:t xml:space="preserve">be </w:t>
      </w:r>
      <w:r w:rsidRPr="008D244E">
        <w:t xml:space="preserve">fitted with AEBS and meet </w:t>
      </w:r>
      <w:r w:rsidR="00D12D31">
        <w:t xml:space="preserve">the </w:t>
      </w:r>
      <w:r w:rsidRPr="008D244E">
        <w:t>requirements set out in Appendix A</w:t>
      </w:r>
      <w:r w:rsidR="00D12D31">
        <w:t xml:space="preserve">, as varied by </w:t>
      </w:r>
      <w:r w:rsidR="005877E6">
        <w:t>clause </w:t>
      </w:r>
      <w:r w:rsidR="00D12D31">
        <w:t>6 </w:t>
      </w:r>
      <w:r w:rsidR="00D12D31" w:rsidRPr="001D14F3">
        <w:t>Exemptions and Alternative Procedures</w:t>
      </w:r>
      <w:r w:rsidR="000F162D" w:rsidRPr="008D244E">
        <w:t>. Appendix A is</w:t>
      </w:r>
      <w:r w:rsidR="00691898">
        <w:t xml:space="preserve"> the</w:t>
      </w:r>
      <w:r w:rsidR="000F162D" w:rsidRPr="008D244E">
        <w:t xml:space="preserve"> </w:t>
      </w:r>
      <w:r w:rsidRPr="008D244E">
        <w:t>UN Regulation No. 152 – UNIFORM PROVISIONS CONCERNING THE APPROVAL OF MOTOR VEHICLES WITH REGARD TO THE ADVANCED EMERGENCY BRAKING SYSTEMS (AEBS) FOR M</w:t>
      </w:r>
      <w:r w:rsidRPr="008D244E">
        <w:rPr>
          <w:vertAlign w:val="subscript"/>
        </w:rPr>
        <w:t>1</w:t>
      </w:r>
      <w:r w:rsidRPr="008D244E">
        <w:t xml:space="preserve"> AND N</w:t>
      </w:r>
      <w:r w:rsidRPr="008D244E">
        <w:rPr>
          <w:vertAlign w:val="subscript"/>
        </w:rPr>
        <w:t>1</w:t>
      </w:r>
      <w:r w:rsidRPr="008D244E">
        <w:t xml:space="preserve"> VEHICLES</w:t>
      </w:r>
      <w:r w:rsidR="00691898">
        <w:t xml:space="preserve"> (R152)</w:t>
      </w:r>
      <w:r w:rsidRPr="008D244E">
        <w:t>,</w:t>
      </w:r>
      <w:r w:rsidR="00016C5F" w:rsidRPr="008D244E">
        <w:t xml:space="preserve"> incorporating the 0</w:t>
      </w:r>
      <w:r w:rsidR="002808B0">
        <w:t>2</w:t>
      </w:r>
      <w:r w:rsidR="00691898">
        <w:t xml:space="preserve"> series of amendments</w:t>
      </w:r>
      <w:r w:rsidR="00C74DB3">
        <w:t xml:space="preserve">, including the supplements 1 to </w:t>
      </w:r>
      <w:r w:rsidR="00552778">
        <w:t xml:space="preserve">5 </w:t>
      </w:r>
      <w:r w:rsidR="00C74DB3">
        <w:t>to the 02 series of amendments</w:t>
      </w:r>
      <w:r w:rsidRPr="008D244E">
        <w:t>.</w:t>
      </w:r>
    </w:p>
    <w:p w14:paraId="0747228E" w14:textId="77777777" w:rsidR="00641268" w:rsidRPr="008D244E" w:rsidRDefault="006A4B82" w:rsidP="000345E5">
      <w:pPr>
        <w:pStyle w:val="HeadingLevel2"/>
        <w:keepNext/>
        <w:tabs>
          <w:tab w:val="clear" w:pos="3545"/>
          <w:tab w:val="num" w:pos="993"/>
          <w:tab w:val="num" w:pos="3829"/>
        </w:tabs>
        <w:ind w:left="851"/>
        <w:jc w:val="both"/>
      </w:pPr>
      <w:bookmarkStart w:id="37" w:name="_Toc77772863"/>
      <w:bookmarkStart w:id="38" w:name="_Toc210305547"/>
      <w:r w:rsidRPr="008D244E">
        <w:t>AEBS Warnings</w:t>
      </w:r>
      <w:bookmarkEnd w:id="37"/>
      <w:bookmarkEnd w:id="38"/>
    </w:p>
    <w:p w14:paraId="4F0553B6" w14:textId="612E7923" w:rsidR="00641268" w:rsidRPr="008D244E" w:rsidRDefault="00641268" w:rsidP="000345E5">
      <w:pPr>
        <w:jc w:val="both"/>
      </w:pPr>
      <w:r w:rsidRPr="008D244E">
        <w:t xml:space="preserve">AEBS designed to conform </w:t>
      </w:r>
      <w:r w:rsidR="00826C3A" w:rsidRPr="008D244E">
        <w:t>to</w:t>
      </w:r>
      <w:r w:rsidRPr="008D244E">
        <w:t xml:space="preserve"> ADR 98/0</w:t>
      </w:r>
      <w:r w:rsidR="00A1046B">
        <w:t>2</w:t>
      </w:r>
      <w:r w:rsidRPr="008D244E">
        <w:t xml:space="preserve"> </w:t>
      </w:r>
      <w:r w:rsidR="00880704" w:rsidRPr="008D244E">
        <w:t>ha</w:t>
      </w:r>
      <w:r w:rsidR="00C51F93" w:rsidRPr="008D244E">
        <w:t>ve</w:t>
      </w:r>
      <w:r w:rsidRPr="008D244E">
        <w:t xml:space="preserve"> different types of warnings depending on the road environment</w:t>
      </w:r>
      <w:r w:rsidR="005E24DF" w:rsidRPr="008D244E">
        <w:t xml:space="preserve"> and state of the AEBS</w:t>
      </w:r>
      <w:r w:rsidRPr="008D244E">
        <w:t>.</w:t>
      </w:r>
      <w:r w:rsidR="00880704" w:rsidRPr="008D244E">
        <w:t xml:space="preserve"> </w:t>
      </w:r>
      <w:r w:rsidR="005A3EFB" w:rsidRPr="008D244E">
        <w:t>Some warnings</w:t>
      </w:r>
      <w:r w:rsidR="00AA584B" w:rsidRPr="008D244E">
        <w:t xml:space="preserve"> alert</w:t>
      </w:r>
      <w:r w:rsidR="009E3AB8" w:rsidRPr="008D244E">
        <w:t xml:space="preserve"> the driver in case of potential failures </w:t>
      </w:r>
      <w:r w:rsidR="00AA584B" w:rsidRPr="008D244E">
        <w:t xml:space="preserve">or deactivation </w:t>
      </w:r>
      <w:r w:rsidR="009E3AB8" w:rsidRPr="008D244E">
        <w:t xml:space="preserve">of the </w:t>
      </w:r>
      <w:r w:rsidR="00DA477B" w:rsidRPr="008D244E">
        <w:t xml:space="preserve">AEBS. </w:t>
      </w:r>
      <w:r w:rsidR="00AA584B" w:rsidRPr="008D244E">
        <w:t>Warnings</w:t>
      </w:r>
      <w:r w:rsidR="00DA477B" w:rsidRPr="008D244E">
        <w:t xml:space="preserve"> also</w:t>
      </w:r>
      <w:r w:rsidR="009E3AB8" w:rsidRPr="008D244E">
        <w:t xml:space="preserve"> form an essential part of the </w:t>
      </w:r>
      <w:r w:rsidR="00C51F93" w:rsidRPr="008D244E">
        <w:t xml:space="preserve">core </w:t>
      </w:r>
      <w:r w:rsidR="009E3AB8" w:rsidRPr="008D244E">
        <w:t>functionality of AEBS.</w:t>
      </w:r>
    </w:p>
    <w:p w14:paraId="1A695AD1" w14:textId="5A5E4632" w:rsidR="00641268" w:rsidRPr="008D244E" w:rsidRDefault="00641268" w:rsidP="000345E5">
      <w:pPr>
        <w:jc w:val="both"/>
      </w:pPr>
      <w:r w:rsidRPr="008D244E">
        <w:t xml:space="preserve">A ‘failure warning’ </w:t>
      </w:r>
      <w:r w:rsidR="00826C3A" w:rsidRPr="008D244E">
        <w:t xml:space="preserve">occurs </w:t>
      </w:r>
      <w:r w:rsidRPr="008D244E">
        <w:t xml:space="preserve">when a </w:t>
      </w:r>
      <w:r w:rsidR="00826C3A" w:rsidRPr="008D244E">
        <w:t xml:space="preserve">fault </w:t>
      </w:r>
      <w:r w:rsidRPr="008D244E">
        <w:t>in the AEBS prevents the requirements of ADR</w:t>
      </w:r>
      <w:r w:rsidR="00485134">
        <w:t> </w:t>
      </w:r>
      <w:r w:rsidRPr="008D244E">
        <w:t>98/0</w:t>
      </w:r>
      <w:r w:rsidR="00B966CE">
        <w:t>2</w:t>
      </w:r>
      <w:r w:rsidRPr="008D244E">
        <w:t xml:space="preserve"> being met. </w:t>
      </w:r>
      <w:r w:rsidR="00826C3A" w:rsidRPr="008D244E">
        <w:t xml:space="preserve">A fault in this instance may be </w:t>
      </w:r>
      <w:r w:rsidRPr="008D244E">
        <w:t xml:space="preserve">electrical </w:t>
      </w:r>
      <w:r w:rsidR="00826C3A" w:rsidRPr="008D244E">
        <w:t>in nature</w:t>
      </w:r>
      <w:r w:rsidR="00FD142D" w:rsidRPr="008D244E">
        <w:t xml:space="preserve">, </w:t>
      </w:r>
      <w:r w:rsidR="00826C3A" w:rsidRPr="008D244E">
        <w:t>a failure in the self-check function of the AEBS</w:t>
      </w:r>
      <w:r w:rsidR="00FD142D" w:rsidRPr="008D244E">
        <w:t xml:space="preserve"> or a non-electrical failure such as sensor occlusion or misalignment</w:t>
      </w:r>
      <w:r w:rsidR="00826C3A" w:rsidRPr="008D244E">
        <w:t xml:space="preserve">. The self-check function continuously </w:t>
      </w:r>
      <w:r w:rsidR="00C51F93" w:rsidRPr="008D244E">
        <w:t xml:space="preserve">checks </w:t>
      </w:r>
      <w:r w:rsidR="00826C3A" w:rsidRPr="008D244E">
        <w:t xml:space="preserve">the AEBS for a system failure while </w:t>
      </w:r>
      <w:r w:rsidR="00C51F93" w:rsidRPr="008D244E">
        <w:t>AEBS is</w:t>
      </w:r>
      <w:r w:rsidR="00826C3A" w:rsidRPr="008D244E">
        <w:t xml:space="preserve"> active. </w:t>
      </w:r>
      <w:r w:rsidR="009805AB" w:rsidRPr="008D244E">
        <w:t>The</w:t>
      </w:r>
      <w:r w:rsidR="004001EB" w:rsidRPr="008D244E">
        <w:t xml:space="preserve"> AEBS communicates a</w:t>
      </w:r>
      <w:r w:rsidR="009E3AB8" w:rsidRPr="008D244E">
        <w:t xml:space="preserve"> ‘failure</w:t>
      </w:r>
      <w:r w:rsidRPr="008D244E">
        <w:t xml:space="preserve"> warning</w:t>
      </w:r>
      <w:r w:rsidR="009E3AB8" w:rsidRPr="008D244E">
        <w:t xml:space="preserve">’ </w:t>
      </w:r>
      <w:r w:rsidR="004001EB" w:rsidRPr="008D244E">
        <w:t>with a</w:t>
      </w:r>
      <w:r w:rsidRPr="008D244E">
        <w:t xml:space="preserve"> constant yellow optical warning signal. </w:t>
      </w:r>
      <w:r w:rsidR="00DA477B" w:rsidRPr="008D244E">
        <w:t>The purpose of the ‘failure warning’ is to alert the driver to a fault in the AEBS.</w:t>
      </w:r>
    </w:p>
    <w:p w14:paraId="7B990C1D" w14:textId="36B13065" w:rsidR="00641268" w:rsidRPr="008D244E" w:rsidRDefault="00B774F3" w:rsidP="000345E5">
      <w:pPr>
        <w:jc w:val="both"/>
      </w:pPr>
      <w:r w:rsidRPr="008D244E">
        <w:t>A ‘deactivation warning’</w:t>
      </w:r>
      <w:r w:rsidR="0066531B" w:rsidRPr="008D244E">
        <w:t xml:space="preserve"> occurs </w:t>
      </w:r>
      <w:r w:rsidR="00A81491" w:rsidRPr="008D244E">
        <w:t xml:space="preserve">when </w:t>
      </w:r>
      <w:r w:rsidR="009805AB" w:rsidRPr="008D244E">
        <w:t xml:space="preserve">the driver deactivates the </w:t>
      </w:r>
      <w:r w:rsidR="0066531B" w:rsidRPr="008D244E">
        <w:t>AEBS. This is only possible if the vehicle is fitted with a means to deactivate the AEBS</w:t>
      </w:r>
      <w:r w:rsidR="00485134">
        <w:t>,</w:t>
      </w:r>
      <w:r w:rsidR="009805AB" w:rsidRPr="008D244E">
        <w:t xml:space="preserve"> and such a means</w:t>
      </w:r>
      <w:r w:rsidR="009E3AB8" w:rsidRPr="008D244E">
        <w:t xml:space="preserve"> is </w:t>
      </w:r>
      <w:r w:rsidR="009805AB" w:rsidRPr="008D244E">
        <w:t xml:space="preserve">not </w:t>
      </w:r>
      <w:r w:rsidR="009E3AB8" w:rsidRPr="008D244E">
        <w:t>require</w:t>
      </w:r>
      <w:r w:rsidR="009805AB" w:rsidRPr="008D244E">
        <w:t xml:space="preserve">d by this </w:t>
      </w:r>
      <w:r w:rsidR="00C74DB3">
        <w:t>s</w:t>
      </w:r>
      <w:r w:rsidR="009805AB" w:rsidRPr="008D244E">
        <w:t>tandard</w:t>
      </w:r>
      <w:r w:rsidR="009E3AB8" w:rsidRPr="008D244E">
        <w:t>.</w:t>
      </w:r>
      <w:r w:rsidR="0066531B" w:rsidRPr="008D244E">
        <w:t xml:space="preserve"> </w:t>
      </w:r>
      <w:r w:rsidR="00C74DB3">
        <w:t xml:space="preserve">A deactivation warning also occurs when the vehicle is equipped with a means to automatically deactivate the AEBS function, for example, in situations such as off-road use. </w:t>
      </w:r>
      <w:r w:rsidR="0066531B" w:rsidRPr="008D244E">
        <w:t>The warning signal us</w:t>
      </w:r>
      <w:r w:rsidR="009E0D86" w:rsidRPr="008D244E">
        <w:t xml:space="preserve">ed </w:t>
      </w:r>
      <w:r w:rsidR="00C74DB3">
        <w:t>in both</w:t>
      </w:r>
      <w:r w:rsidR="009E0D86" w:rsidRPr="008D244E">
        <w:t xml:space="preserve"> instance</w:t>
      </w:r>
      <w:r w:rsidR="00C74DB3">
        <w:t>s</w:t>
      </w:r>
      <w:r w:rsidR="009E0D86" w:rsidRPr="008D244E">
        <w:t xml:space="preserve"> may be the same as the ‘failure warning’ signal</w:t>
      </w:r>
      <w:r w:rsidR="00352BF0" w:rsidRPr="008D244E">
        <w:t>.</w:t>
      </w:r>
      <w:r w:rsidR="00DA477B" w:rsidRPr="008D244E">
        <w:t xml:space="preserve"> The purpose of the ‘</w:t>
      </w:r>
      <w:r w:rsidR="00BE0FE0" w:rsidRPr="008D244E">
        <w:t>deactivation</w:t>
      </w:r>
      <w:r w:rsidR="00AA584B" w:rsidRPr="008D244E">
        <w:t xml:space="preserve"> </w:t>
      </w:r>
      <w:r w:rsidR="00DA477B" w:rsidRPr="008D244E">
        <w:t xml:space="preserve">warning’ is to alert the driver </w:t>
      </w:r>
      <w:r w:rsidR="00050C17" w:rsidRPr="008D244E">
        <w:t>that the A</w:t>
      </w:r>
      <w:r w:rsidR="00DA477B" w:rsidRPr="008D244E">
        <w:t xml:space="preserve">EBS </w:t>
      </w:r>
      <w:r w:rsidR="00050C17" w:rsidRPr="008D244E">
        <w:t xml:space="preserve">function </w:t>
      </w:r>
      <w:r w:rsidR="00325734" w:rsidRPr="008D244E">
        <w:t>has been</w:t>
      </w:r>
      <w:r w:rsidR="00050C17" w:rsidRPr="008D244E">
        <w:t xml:space="preserve"> deactivated</w:t>
      </w:r>
      <w:r w:rsidR="00DA477B" w:rsidRPr="008D244E">
        <w:t>.</w:t>
      </w:r>
    </w:p>
    <w:p w14:paraId="3972C080" w14:textId="599AD970" w:rsidR="00BD4467" w:rsidRPr="008D244E" w:rsidRDefault="007C42D9" w:rsidP="000345E5">
      <w:pPr>
        <w:jc w:val="both"/>
      </w:pPr>
      <w:r w:rsidRPr="008D244E">
        <w:t xml:space="preserve">A ‘collision warning’ occurs when the AEBS detects an imminent </w:t>
      </w:r>
      <w:r w:rsidR="00A74F7F">
        <w:t xml:space="preserve">forward </w:t>
      </w:r>
      <w:r w:rsidRPr="008D244E">
        <w:t>collision. The warning signal used in this instance must be provided by at least two modes selected from acoustic, haptic or optical.</w:t>
      </w:r>
      <w:r w:rsidR="00E91645" w:rsidRPr="008D244E">
        <w:t xml:space="preserve"> Optical warning signals must be visible even in daylight and be easily verifiable by the driver from the driver’s seat.</w:t>
      </w:r>
      <w:r w:rsidR="00290ABB" w:rsidRPr="008D244E">
        <w:t xml:space="preserve"> The purpose of the ‘collision warning’ is to alert the driver that a collision is imminent so that the driver can take immediate action. This is because even small margins count in reducing speed to prevent or lessen the risk of fatality or severe injury.</w:t>
      </w:r>
    </w:p>
    <w:p w14:paraId="024FD408" w14:textId="77777777" w:rsidR="00290ABB" w:rsidRPr="008D244E" w:rsidRDefault="00290ABB" w:rsidP="000345E5">
      <w:pPr>
        <w:pStyle w:val="HeadingLevel2"/>
        <w:keepNext/>
        <w:tabs>
          <w:tab w:val="clear" w:pos="3545"/>
          <w:tab w:val="num" w:pos="993"/>
          <w:tab w:val="num" w:pos="3829"/>
        </w:tabs>
        <w:ind w:left="851"/>
        <w:jc w:val="both"/>
      </w:pPr>
      <w:bookmarkStart w:id="39" w:name="_Toc77772864"/>
      <w:bookmarkStart w:id="40" w:name="_Toc210305548"/>
      <w:r w:rsidRPr="008D244E">
        <w:t>AEBS Capability</w:t>
      </w:r>
      <w:bookmarkEnd w:id="39"/>
      <w:bookmarkEnd w:id="40"/>
    </w:p>
    <w:p w14:paraId="5A05E782" w14:textId="708ED2A2" w:rsidR="005C3398" w:rsidRDefault="00E15849" w:rsidP="000345E5">
      <w:pPr>
        <w:jc w:val="both"/>
      </w:pPr>
      <w:r w:rsidRPr="008D244E">
        <w:t xml:space="preserve">An </w:t>
      </w:r>
      <w:r w:rsidR="0039041B" w:rsidRPr="008D244E">
        <w:t>‘</w:t>
      </w:r>
      <w:r w:rsidRPr="008D244E">
        <w:t>emergency braking</w:t>
      </w:r>
      <w:r w:rsidR="0039041B" w:rsidRPr="008D244E">
        <w:t>’</w:t>
      </w:r>
      <w:r w:rsidRPr="008D244E">
        <w:t xml:space="preserve"> </w:t>
      </w:r>
      <w:r w:rsidR="00050C17" w:rsidRPr="008D244E">
        <w:t xml:space="preserve">intervention </w:t>
      </w:r>
      <w:r w:rsidRPr="008D244E">
        <w:t>o</w:t>
      </w:r>
      <w:r w:rsidR="0058306B" w:rsidRPr="008D244E">
        <w:t xml:space="preserve">ccurs when the AEBS has detected the possibility of an imminent </w:t>
      </w:r>
      <w:r w:rsidR="00290ABB" w:rsidRPr="008D244E">
        <w:t xml:space="preserve">collision </w:t>
      </w:r>
      <w:r w:rsidR="0058306B" w:rsidRPr="008D244E">
        <w:t>with a leading vehicle in the same lane</w:t>
      </w:r>
      <w:r w:rsidR="00A74F7F">
        <w:t xml:space="preserve">, </w:t>
      </w:r>
      <w:r w:rsidR="007602CF" w:rsidRPr="008D244E">
        <w:t>a pedestrian</w:t>
      </w:r>
      <w:r w:rsidR="008750AE" w:rsidRPr="008D244E">
        <w:t>,</w:t>
      </w:r>
      <w:r w:rsidR="00A74F7F">
        <w:t xml:space="preserve"> or a bicycle,</w:t>
      </w:r>
      <w:r w:rsidR="0058306B" w:rsidRPr="008D244E">
        <w:t xml:space="preserve"> </w:t>
      </w:r>
      <w:r w:rsidR="008750AE" w:rsidRPr="008D244E">
        <w:t xml:space="preserve">after </w:t>
      </w:r>
      <w:r w:rsidR="008C2F93" w:rsidRPr="008D244E">
        <w:t xml:space="preserve">a ‘collision </w:t>
      </w:r>
      <w:r w:rsidR="008750AE" w:rsidRPr="008D244E">
        <w:t>warning’;</w:t>
      </w:r>
      <w:r w:rsidR="008C2F93" w:rsidRPr="008D244E">
        <w:t xml:space="preserve"> if</w:t>
      </w:r>
      <w:r w:rsidR="0058306B" w:rsidRPr="008D244E">
        <w:t xml:space="preserve"> no action from the driver has been detected. During</w:t>
      </w:r>
      <w:r w:rsidR="0099296E" w:rsidRPr="008D244E">
        <w:t xml:space="preserve"> an</w:t>
      </w:r>
      <w:r w:rsidR="0058306B" w:rsidRPr="008D244E">
        <w:t xml:space="preserve"> emergency braking intervention, the AEBS </w:t>
      </w:r>
      <w:r w:rsidR="008C2F93" w:rsidRPr="008D244E">
        <w:t>shall use the vehicle’s service brake system to cause</w:t>
      </w:r>
      <w:r w:rsidR="00471F50" w:rsidRPr="008D244E">
        <w:t xml:space="preserve"> </w:t>
      </w:r>
      <w:r w:rsidR="0058306B" w:rsidRPr="008D244E">
        <w:t>deceleration of at least 5 m/s</w:t>
      </w:r>
      <w:r w:rsidR="0058306B" w:rsidRPr="008D244E">
        <w:rPr>
          <w:vertAlign w:val="superscript"/>
        </w:rPr>
        <w:t>2</w:t>
      </w:r>
      <w:r w:rsidR="0058306B" w:rsidRPr="008D244E">
        <w:t xml:space="preserve"> </w:t>
      </w:r>
      <w:r w:rsidR="008C2F93" w:rsidRPr="008D244E">
        <w:t>for</w:t>
      </w:r>
      <w:r w:rsidR="0058306B" w:rsidRPr="008D244E">
        <w:t xml:space="preserve"> the purpose of</w:t>
      </w:r>
      <w:r w:rsidR="00D65666" w:rsidRPr="008D244E">
        <w:t xml:space="preserve"> </w:t>
      </w:r>
      <w:r w:rsidR="008C2F93" w:rsidRPr="008D244E">
        <w:t xml:space="preserve">avoiding or reducing </w:t>
      </w:r>
      <w:r w:rsidR="00D65666" w:rsidRPr="008D244E">
        <w:t>the severity of impact with the leading vehicle</w:t>
      </w:r>
      <w:r w:rsidR="005C3398">
        <w:t xml:space="preserve">, </w:t>
      </w:r>
      <w:r w:rsidR="007602CF" w:rsidRPr="008D244E">
        <w:t>pedestrian</w:t>
      </w:r>
      <w:r w:rsidR="005C3398">
        <w:t xml:space="preserve"> or bicycle</w:t>
      </w:r>
      <w:r w:rsidR="0039041B" w:rsidRPr="008D244E">
        <w:t xml:space="preserve">. </w:t>
      </w:r>
    </w:p>
    <w:p w14:paraId="4B85EF1A" w14:textId="6DB7DFA0" w:rsidR="0058306B" w:rsidRPr="008D244E" w:rsidRDefault="0058306B" w:rsidP="000345E5">
      <w:pPr>
        <w:jc w:val="both"/>
      </w:pPr>
      <w:r w:rsidRPr="008D244E">
        <w:t>The</w:t>
      </w:r>
      <w:r w:rsidR="0039041B" w:rsidRPr="008D244E">
        <w:t xml:space="preserve"> </w:t>
      </w:r>
      <w:r w:rsidRPr="008D244E">
        <w:t xml:space="preserve">AEBS </w:t>
      </w:r>
      <w:r w:rsidR="00C74DB3">
        <w:t xml:space="preserve">may </w:t>
      </w:r>
      <w:r w:rsidRPr="008D244E">
        <w:t xml:space="preserve">abort </w:t>
      </w:r>
      <w:r w:rsidR="00E7707B" w:rsidRPr="008D244E">
        <w:t xml:space="preserve">an </w:t>
      </w:r>
      <w:r w:rsidR="0039041B" w:rsidRPr="008D244E">
        <w:t>automated ‘emergency braking’</w:t>
      </w:r>
      <w:r w:rsidRPr="008D244E">
        <w:t xml:space="preserve"> </w:t>
      </w:r>
      <w:r w:rsidR="0039041B" w:rsidRPr="008D244E">
        <w:t xml:space="preserve">intervention in the event that the AEBS no longer detects </w:t>
      </w:r>
      <w:r w:rsidR="00290ABB" w:rsidRPr="008D244E">
        <w:t xml:space="preserve">that </w:t>
      </w:r>
      <w:r w:rsidR="0039041B" w:rsidRPr="008D244E">
        <w:t xml:space="preserve">a collision is likely. </w:t>
      </w:r>
      <w:r w:rsidR="008750AE" w:rsidRPr="008D244E">
        <w:t>The AEBS may also abort the</w:t>
      </w:r>
      <w:r w:rsidR="00E7707B" w:rsidRPr="008D244E">
        <w:t xml:space="preserve"> </w:t>
      </w:r>
      <w:r w:rsidR="0039041B" w:rsidRPr="008D244E">
        <w:lastRenderedPageBreak/>
        <w:t xml:space="preserve">emergency braking intervention </w:t>
      </w:r>
      <w:r w:rsidR="008750AE" w:rsidRPr="008D244E">
        <w:t>if it detects</w:t>
      </w:r>
      <w:r w:rsidR="0039041B" w:rsidRPr="008D244E">
        <w:t xml:space="preserve"> </w:t>
      </w:r>
      <w:r w:rsidR="008C2F93" w:rsidRPr="008D244E">
        <w:t xml:space="preserve">a </w:t>
      </w:r>
      <w:r w:rsidR="00E7707B" w:rsidRPr="008D244E">
        <w:t>‘</w:t>
      </w:r>
      <w:r w:rsidR="0039041B" w:rsidRPr="008D244E">
        <w:t>deliberate action</w:t>
      </w:r>
      <w:r w:rsidR="00E7707B" w:rsidRPr="008D244E">
        <w:t>’</w:t>
      </w:r>
      <w:r w:rsidR="0039041B" w:rsidRPr="008D244E">
        <w:t xml:space="preserve"> by the </w:t>
      </w:r>
      <w:r w:rsidR="008C2F93" w:rsidRPr="008D244E">
        <w:t>driver which</w:t>
      </w:r>
      <w:r w:rsidR="0039041B" w:rsidRPr="008D244E">
        <w:t xml:space="preserve"> indicate</w:t>
      </w:r>
      <w:r w:rsidR="008C2F93" w:rsidRPr="008D244E">
        <w:t>s</w:t>
      </w:r>
      <w:r w:rsidR="0039041B" w:rsidRPr="008D244E">
        <w:t xml:space="preserve"> that </w:t>
      </w:r>
      <w:r w:rsidR="008C2F93" w:rsidRPr="008D244E">
        <w:t>they are</w:t>
      </w:r>
      <w:r w:rsidR="0039041B" w:rsidRPr="008D244E">
        <w:t xml:space="preserve"> aware of the </w:t>
      </w:r>
      <w:r w:rsidR="00485134">
        <w:t>situation</w:t>
      </w:r>
      <w:r w:rsidR="0039041B" w:rsidRPr="008D244E">
        <w:t>, e.g. operating the direction indicator control.</w:t>
      </w:r>
    </w:p>
    <w:p w14:paraId="6C329B20" w14:textId="3A1E3744" w:rsidR="00970EA1" w:rsidRPr="008D244E" w:rsidRDefault="00583EAD" w:rsidP="000345E5">
      <w:pPr>
        <w:jc w:val="both"/>
      </w:pPr>
      <w:r w:rsidRPr="008D244E">
        <w:t>AEBS is required to be active and work within speed</w:t>
      </w:r>
      <w:r w:rsidR="004A1EB6">
        <w:t>s ranging from 10 km/h up to 60 </w:t>
      </w:r>
      <w:r w:rsidRPr="008D244E">
        <w:t>km/h</w:t>
      </w:r>
      <w:r w:rsidR="005C3398">
        <w:t xml:space="preserve"> (20 km/h to 60 km/h for pedestrian and bicycle scenarios).</w:t>
      </w:r>
      <w:r w:rsidRPr="008D244E">
        <w:t xml:space="preserve"> AEBS should work </w:t>
      </w:r>
      <w:r w:rsidR="005C3398">
        <w:t>at all load conditions</w:t>
      </w:r>
      <w:r w:rsidRPr="008D244E">
        <w:t xml:space="preserve">. This requirement </w:t>
      </w:r>
      <w:r w:rsidR="00E7707B" w:rsidRPr="008D244E">
        <w:t>does not apply</w:t>
      </w:r>
      <w:r w:rsidRPr="008D244E">
        <w:t xml:space="preserve"> </w:t>
      </w:r>
      <w:r w:rsidR="00872FD2" w:rsidRPr="008D244E">
        <w:t>if the</w:t>
      </w:r>
      <w:r w:rsidRPr="008D244E">
        <w:t xml:space="preserve"> driver </w:t>
      </w:r>
      <w:r w:rsidR="0099296E" w:rsidRPr="008D244E">
        <w:t>has</w:t>
      </w:r>
      <w:r w:rsidRPr="008D244E">
        <w:t xml:space="preserve"> </w:t>
      </w:r>
      <w:r w:rsidR="00872FD2" w:rsidRPr="008D244E">
        <w:t>deactivated the</w:t>
      </w:r>
      <w:r w:rsidRPr="008D244E">
        <w:t xml:space="preserve"> AEBS</w:t>
      </w:r>
      <w:r w:rsidR="00872FD2" w:rsidRPr="008D244E">
        <w:t xml:space="preserve"> (</w:t>
      </w:r>
      <w:r w:rsidR="00C5558E">
        <w:t>where</w:t>
      </w:r>
      <w:r w:rsidR="00C5558E" w:rsidRPr="008D244E">
        <w:t xml:space="preserve"> </w:t>
      </w:r>
      <w:r w:rsidR="00872FD2" w:rsidRPr="008D244E">
        <w:t>the option is available)</w:t>
      </w:r>
      <w:r w:rsidRPr="008D244E">
        <w:t xml:space="preserve">. </w:t>
      </w:r>
    </w:p>
    <w:p w14:paraId="6C7613EE" w14:textId="343B06F8" w:rsidR="00050C17" w:rsidRPr="008D244E" w:rsidRDefault="00581F4C" w:rsidP="000345E5">
      <w:pPr>
        <w:pStyle w:val="HeadingLevel2"/>
        <w:keepNext/>
        <w:tabs>
          <w:tab w:val="clear" w:pos="3545"/>
          <w:tab w:val="num" w:pos="993"/>
          <w:tab w:val="num" w:pos="3829"/>
        </w:tabs>
        <w:ind w:left="851"/>
        <w:jc w:val="both"/>
      </w:pPr>
      <w:bookmarkStart w:id="41" w:name="_Toc77772865"/>
      <w:bookmarkStart w:id="42" w:name="_Toc210305549"/>
      <w:r w:rsidRPr="008D244E">
        <w:t>AEB</w:t>
      </w:r>
      <w:r w:rsidR="00F763DA" w:rsidRPr="008D244E">
        <w:t>S</w:t>
      </w:r>
      <w:r w:rsidRPr="008D244E">
        <w:t xml:space="preserve"> </w:t>
      </w:r>
      <w:r w:rsidR="00F763DA" w:rsidRPr="008D244E">
        <w:t>P</w:t>
      </w:r>
      <w:r w:rsidRPr="008D244E">
        <w:t>erformance</w:t>
      </w:r>
      <w:r w:rsidR="005B62EF" w:rsidRPr="008D244E">
        <w:t xml:space="preserve"> and </w:t>
      </w:r>
      <w:r w:rsidR="004E3E41">
        <w:t>L</w:t>
      </w:r>
      <w:r w:rsidR="005B62EF" w:rsidRPr="008D244E">
        <w:t>imitations</w:t>
      </w:r>
      <w:bookmarkEnd w:id="41"/>
      <w:bookmarkEnd w:id="42"/>
    </w:p>
    <w:p w14:paraId="08E794AA" w14:textId="71D7E382" w:rsidR="00970EA1" w:rsidRPr="008D244E" w:rsidRDefault="00390444" w:rsidP="000345E5">
      <w:pPr>
        <w:jc w:val="both"/>
      </w:pPr>
      <w:r w:rsidRPr="008D244E">
        <w:t>‘</w:t>
      </w:r>
      <w:r w:rsidR="00970EA1" w:rsidRPr="008D244E">
        <w:t>Speed reduction by braking demand</w:t>
      </w:r>
      <w:r w:rsidRPr="008D244E">
        <w:t>’</w:t>
      </w:r>
      <w:r w:rsidR="00970EA1" w:rsidRPr="008D244E">
        <w:t xml:space="preserve"> </w:t>
      </w:r>
      <w:r w:rsidRPr="008D244E">
        <w:t xml:space="preserve">sets out </w:t>
      </w:r>
      <w:r w:rsidR="00872FD2" w:rsidRPr="008D244E">
        <w:t xml:space="preserve">the </w:t>
      </w:r>
      <w:r w:rsidR="00C62C8A" w:rsidRPr="008D244E">
        <w:t xml:space="preserve">environmental </w:t>
      </w:r>
      <w:r w:rsidRPr="008D244E">
        <w:t xml:space="preserve">conditions </w:t>
      </w:r>
      <w:r w:rsidR="00D158C9" w:rsidRPr="008D244E">
        <w:t xml:space="preserve">in </w:t>
      </w:r>
      <w:r w:rsidRPr="008D244E">
        <w:t xml:space="preserve">which the AEBS equipped vehicle </w:t>
      </w:r>
      <w:r w:rsidR="00D158C9" w:rsidRPr="008D244E">
        <w:t>must</w:t>
      </w:r>
      <w:r w:rsidR="00872FD2" w:rsidRPr="008D244E">
        <w:t xml:space="preserve"> demonstrate</w:t>
      </w:r>
      <w:r w:rsidRPr="008D244E">
        <w:t xml:space="preserve"> its braking intervention performanc</w:t>
      </w:r>
      <w:r w:rsidR="00C62C8A" w:rsidRPr="008D244E">
        <w:t>e</w:t>
      </w:r>
      <w:r w:rsidR="00D158C9" w:rsidRPr="008D244E">
        <w:t xml:space="preserve"> as well as the speed reductions required of it, in order to comply with ADR</w:t>
      </w:r>
      <w:r w:rsidR="004E7AF8" w:rsidRPr="008D244E">
        <w:t xml:space="preserve"> </w:t>
      </w:r>
      <w:r w:rsidR="00D158C9" w:rsidRPr="008D244E">
        <w:t>98/0</w:t>
      </w:r>
      <w:r w:rsidR="005C3398">
        <w:t>2</w:t>
      </w:r>
      <w:r w:rsidR="00894A34" w:rsidRPr="008D244E">
        <w:t xml:space="preserve">. </w:t>
      </w:r>
    </w:p>
    <w:p w14:paraId="3D2F2153" w14:textId="25700FFF" w:rsidR="00D53359" w:rsidRPr="008D244E" w:rsidRDefault="002A7B68" w:rsidP="000345E5">
      <w:pPr>
        <w:jc w:val="both"/>
      </w:pPr>
      <w:r w:rsidRPr="008D244E">
        <w:t xml:space="preserve">An AEBS </w:t>
      </w:r>
      <w:r w:rsidR="00B208CF" w:rsidRPr="008D244E">
        <w:t xml:space="preserve">compliant </w:t>
      </w:r>
      <w:r w:rsidRPr="008D244E">
        <w:t xml:space="preserve">to </w:t>
      </w:r>
      <w:r w:rsidR="00FA1357" w:rsidRPr="008D244E">
        <w:t>ADR 98/0</w:t>
      </w:r>
      <w:r w:rsidR="00A31FF2">
        <w:t>2</w:t>
      </w:r>
      <w:r w:rsidR="00FA1357" w:rsidRPr="008D244E">
        <w:t xml:space="preserve"> will be</w:t>
      </w:r>
      <w:r w:rsidRPr="008D244E">
        <w:t xml:space="preserve"> designed to generat</w:t>
      </w:r>
      <w:r w:rsidR="005B62EF" w:rsidRPr="008D244E">
        <w:t xml:space="preserve">e as few </w:t>
      </w:r>
      <w:r w:rsidR="00FA1357" w:rsidRPr="008D244E">
        <w:t xml:space="preserve">unnecessary </w:t>
      </w:r>
      <w:r w:rsidR="00056F3D" w:rsidRPr="008D244E">
        <w:t>‘collision warning’ signals</w:t>
      </w:r>
      <w:r w:rsidR="005B62EF" w:rsidRPr="008D244E">
        <w:t xml:space="preserve"> as possible</w:t>
      </w:r>
      <w:r w:rsidR="00FA1357" w:rsidRPr="008D244E">
        <w:t>,</w:t>
      </w:r>
      <w:r w:rsidR="004F2075" w:rsidRPr="008D244E">
        <w:t xml:space="preserve"> and will </w:t>
      </w:r>
      <w:r w:rsidR="00056F3D" w:rsidRPr="008D244E">
        <w:t xml:space="preserve">avoid </w:t>
      </w:r>
      <w:r w:rsidR="00E814D8" w:rsidRPr="008D244E">
        <w:t xml:space="preserve">initiating </w:t>
      </w:r>
      <w:r w:rsidR="00056F3D" w:rsidRPr="008D244E">
        <w:t xml:space="preserve">emergency braking </w:t>
      </w:r>
      <w:r w:rsidR="00583EAD" w:rsidRPr="008D244E">
        <w:t xml:space="preserve">interventions </w:t>
      </w:r>
      <w:r w:rsidR="00056F3D" w:rsidRPr="008D244E">
        <w:t xml:space="preserve">in situations where </w:t>
      </w:r>
      <w:r w:rsidR="004F2075" w:rsidRPr="008D244E">
        <w:t xml:space="preserve">an attentive </w:t>
      </w:r>
      <w:r w:rsidR="00056F3D" w:rsidRPr="008D244E">
        <w:t xml:space="preserve">driver would not </w:t>
      </w:r>
      <w:r w:rsidR="00B208CF" w:rsidRPr="008D244E">
        <w:t>anticipate a</w:t>
      </w:r>
      <w:r w:rsidR="00056F3D" w:rsidRPr="008D244E">
        <w:t xml:space="preserve"> collision. </w:t>
      </w:r>
    </w:p>
    <w:p w14:paraId="325CF1B4" w14:textId="2D6CFA67" w:rsidR="005C3398" w:rsidRPr="008D244E" w:rsidRDefault="0005054D" w:rsidP="000345E5">
      <w:pPr>
        <w:jc w:val="both"/>
      </w:pPr>
      <w:r>
        <w:t>A key</w:t>
      </w:r>
      <w:r w:rsidR="00644988" w:rsidRPr="008D244E">
        <w:t xml:space="preserve"> </w:t>
      </w:r>
      <w:r w:rsidR="00F376C5" w:rsidRPr="008D244E">
        <w:t xml:space="preserve">purpose of reducing false warnings or </w:t>
      </w:r>
      <w:r w:rsidR="00B208CF" w:rsidRPr="008D244E">
        <w:t xml:space="preserve">emergency </w:t>
      </w:r>
      <w:r w:rsidR="00F376C5" w:rsidRPr="008D244E">
        <w:t xml:space="preserve">braking interventions is to reduce the likelihood of the driver switching the AEBS </w:t>
      </w:r>
      <w:r w:rsidR="00684418" w:rsidRPr="008D244E">
        <w:t xml:space="preserve">off. However, the requirement still exists </w:t>
      </w:r>
      <w:r w:rsidR="00B208CF" w:rsidRPr="008D244E">
        <w:t xml:space="preserve">for vehicles </w:t>
      </w:r>
      <w:r w:rsidR="00684418" w:rsidRPr="008D244E">
        <w:t>where</w:t>
      </w:r>
      <w:r w:rsidR="00B208CF" w:rsidRPr="008D244E">
        <w:t xml:space="preserve"> there</w:t>
      </w:r>
      <w:r w:rsidR="00684418" w:rsidRPr="008D244E">
        <w:t xml:space="preserve"> </w:t>
      </w:r>
      <w:r w:rsidR="00B208CF" w:rsidRPr="008D244E">
        <w:t>is no way to deactivate AE</w:t>
      </w:r>
      <w:r w:rsidR="00D53359" w:rsidRPr="008D244E">
        <w:t>B</w:t>
      </w:r>
      <w:r w:rsidR="00B208CF" w:rsidRPr="008D244E">
        <w:t>S</w:t>
      </w:r>
      <w:r w:rsidR="00644988" w:rsidRPr="008D244E">
        <w:t xml:space="preserve">, as false alarms and interventions are nevertheless </w:t>
      </w:r>
      <w:r>
        <w:t xml:space="preserve">highly </w:t>
      </w:r>
      <w:r w:rsidR="00644988" w:rsidRPr="008D244E">
        <w:t>undesirable</w:t>
      </w:r>
      <w:r>
        <w:t>, including because of the safety risks that could otherwise arise</w:t>
      </w:r>
      <w:r w:rsidR="00684418" w:rsidRPr="008D244E">
        <w:t>.</w:t>
      </w:r>
    </w:p>
    <w:p w14:paraId="473D4327" w14:textId="77777777" w:rsidR="00297D5D" w:rsidRPr="008D244E" w:rsidRDefault="00AD12BE" w:rsidP="000345E5">
      <w:pPr>
        <w:pStyle w:val="HeadingLevel2"/>
        <w:keepNext/>
        <w:tabs>
          <w:tab w:val="clear" w:pos="3545"/>
          <w:tab w:val="num" w:pos="993"/>
          <w:tab w:val="num" w:pos="3829"/>
        </w:tabs>
        <w:ind w:left="851"/>
        <w:jc w:val="both"/>
      </w:pPr>
      <w:bookmarkStart w:id="43" w:name="_Toc74044718"/>
      <w:bookmarkStart w:id="44" w:name="_Toc210305550"/>
      <w:bookmarkStart w:id="45" w:name="_Toc167864615"/>
      <w:r w:rsidRPr="008D244E">
        <w:t>Exemptions and Alternative Procedures</w:t>
      </w:r>
      <w:bookmarkEnd w:id="43"/>
      <w:bookmarkEnd w:id="44"/>
    </w:p>
    <w:p w14:paraId="1445F707" w14:textId="77777777" w:rsidR="00610FED" w:rsidRPr="00EF03E5" w:rsidRDefault="00610FED" w:rsidP="000345E5">
      <w:pPr>
        <w:jc w:val="both"/>
        <w:rPr>
          <w:i/>
        </w:rPr>
      </w:pPr>
      <w:r w:rsidRPr="00EF03E5">
        <w:rPr>
          <w:i/>
        </w:rPr>
        <w:t>Exemptions</w:t>
      </w:r>
    </w:p>
    <w:p w14:paraId="5B22826F" w14:textId="2D5E0FE3" w:rsidR="00610FED" w:rsidRPr="008D244E" w:rsidRDefault="00552778" w:rsidP="000345E5">
      <w:pPr>
        <w:jc w:val="both"/>
      </w:pPr>
      <w:r>
        <w:t>Clause</w:t>
      </w:r>
      <w:r w:rsidRPr="008D244E">
        <w:t xml:space="preserve"> </w:t>
      </w:r>
      <w:r w:rsidR="00C449E5" w:rsidRPr="008D244E">
        <w:t xml:space="preserve">6 </w:t>
      </w:r>
      <w:r w:rsidR="007F5327" w:rsidRPr="008D244E">
        <w:t>creates exemptions from</w:t>
      </w:r>
      <w:r w:rsidR="00610FED" w:rsidRPr="008D244E">
        <w:t xml:space="preserve"> </w:t>
      </w:r>
      <w:r w:rsidR="008A5EAE" w:rsidRPr="008D244E">
        <w:t xml:space="preserve">some </w:t>
      </w:r>
      <w:r w:rsidR="004574BB" w:rsidRPr="008D244E">
        <w:t xml:space="preserve">requirements </w:t>
      </w:r>
      <w:r w:rsidR="00610FED" w:rsidRPr="008D244E">
        <w:t xml:space="preserve">of </w:t>
      </w:r>
      <w:r w:rsidR="00684418" w:rsidRPr="008D244E">
        <w:t>appendix A (</w:t>
      </w:r>
      <w:r w:rsidR="00610FED" w:rsidRPr="008D244E">
        <w:t>UN</w:t>
      </w:r>
      <w:r w:rsidR="00BD65A8">
        <w:t xml:space="preserve"> R</w:t>
      </w:r>
      <w:r w:rsidR="00684418" w:rsidRPr="008D244E">
        <w:t>152)</w:t>
      </w:r>
      <w:r w:rsidR="00610FED" w:rsidRPr="008D244E">
        <w:t xml:space="preserve"> </w:t>
      </w:r>
      <w:r w:rsidR="004574BB" w:rsidRPr="008D244E">
        <w:t>which</w:t>
      </w:r>
      <w:r w:rsidR="00610FED" w:rsidRPr="008D244E">
        <w:t xml:space="preserve"> </w:t>
      </w:r>
      <w:r w:rsidR="00684418" w:rsidRPr="008D244E">
        <w:t xml:space="preserve">pertain </w:t>
      </w:r>
      <w:r w:rsidR="00610FED" w:rsidRPr="008D244E">
        <w:t xml:space="preserve">to gaining a </w:t>
      </w:r>
      <w:r w:rsidR="003D7B96">
        <w:t>t</w:t>
      </w:r>
      <w:r w:rsidR="00610FED" w:rsidRPr="008D244E">
        <w:t xml:space="preserve">ype </w:t>
      </w:r>
      <w:r w:rsidR="003D7B96">
        <w:t>a</w:t>
      </w:r>
      <w:r w:rsidR="00610FED" w:rsidRPr="008D244E">
        <w:t>pproval in the UN context</w:t>
      </w:r>
      <w:r w:rsidR="004574BB" w:rsidRPr="008D244E">
        <w:t xml:space="preserve">. This is because they are not </w:t>
      </w:r>
      <w:r w:rsidR="00BD65A8">
        <w:t>required in</w:t>
      </w:r>
      <w:r w:rsidR="004574BB" w:rsidRPr="008D244E">
        <w:t xml:space="preserve"> the Australian context where t</w:t>
      </w:r>
      <w:r w:rsidR="003F4D6B" w:rsidRPr="008D244E">
        <w:t xml:space="preserve">he Commonwealth administers approvals through the </w:t>
      </w:r>
      <w:r w:rsidR="00335832">
        <w:t xml:space="preserve">RVSA </w:t>
      </w:r>
      <w:r w:rsidR="003F4D6B" w:rsidRPr="008D244E">
        <w:t>and the ADRs</w:t>
      </w:r>
      <w:r w:rsidR="00610FED" w:rsidRPr="008D244E">
        <w:t xml:space="preserve">. </w:t>
      </w:r>
      <w:r w:rsidR="003F4D6B" w:rsidRPr="008D244E">
        <w:t>Consequently, m</w:t>
      </w:r>
      <w:r w:rsidR="00D35304" w:rsidRPr="008D244E">
        <w:t xml:space="preserve">anufacturers supplying new vehicles to Australia are exempt from most </w:t>
      </w:r>
      <w:r w:rsidR="00BD65A8">
        <w:t>administrative (</w:t>
      </w:r>
      <w:r w:rsidR="00D35304" w:rsidRPr="008D244E">
        <w:t>non-technical</w:t>
      </w:r>
      <w:r w:rsidR="00BD65A8">
        <w:t xml:space="preserve">) </w:t>
      </w:r>
      <w:r w:rsidR="00D35304" w:rsidRPr="008D244E">
        <w:t>requirements of UN</w:t>
      </w:r>
      <w:r w:rsidR="00407C31">
        <w:t> </w:t>
      </w:r>
      <w:r w:rsidR="00BD65A8">
        <w:t>R</w:t>
      </w:r>
      <w:r w:rsidR="00D35304" w:rsidRPr="008D244E">
        <w:t>152</w:t>
      </w:r>
      <w:r w:rsidR="003F4D6B" w:rsidRPr="008D244E">
        <w:t>.</w:t>
      </w:r>
    </w:p>
    <w:p w14:paraId="55F2D3AF" w14:textId="57D36559" w:rsidR="00610FED" w:rsidRPr="008D244E" w:rsidRDefault="008A5EAE" w:rsidP="000345E5">
      <w:pPr>
        <w:jc w:val="both"/>
      </w:pPr>
      <w:r w:rsidRPr="008D244E">
        <w:t>C</w:t>
      </w:r>
      <w:r w:rsidR="00610FED" w:rsidRPr="008D244E">
        <w:t>lause 6.1</w:t>
      </w:r>
      <w:r w:rsidRPr="008D244E">
        <w:t xml:space="preserve"> </w:t>
      </w:r>
      <w:r w:rsidR="007B53B1" w:rsidRPr="008D244E">
        <w:t>s</w:t>
      </w:r>
      <w:r w:rsidR="00532D71" w:rsidRPr="008D244E">
        <w:t xml:space="preserve">tates </w:t>
      </w:r>
      <w:r w:rsidRPr="008D244E">
        <w:t>that</w:t>
      </w:r>
      <w:r w:rsidR="003F4D6B" w:rsidRPr="008D244E">
        <w:t>,</w:t>
      </w:r>
      <w:r w:rsidR="00610FED" w:rsidRPr="008D244E">
        <w:t xml:space="preserve"> </w:t>
      </w:r>
      <w:r w:rsidR="00195FFC">
        <w:t>paragraphs</w:t>
      </w:r>
      <w:r w:rsidR="00195FFC" w:rsidRPr="008D244E">
        <w:t xml:space="preserve"> </w:t>
      </w:r>
      <w:r w:rsidR="00610FED" w:rsidRPr="008D244E">
        <w:t>3</w:t>
      </w:r>
      <w:r w:rsidR="007E5ECB">
        <w:t>.</w:t>
      </w:r>
      <w:r w:rsidR="00610FED" w:rsidRPr="008D244E">
        <w:t>, 4</w:t>
      </w:r>
      <w:r w:rsidR="007E5ECB">
        <w:t>.</w:t>
      </w:r>
      <w:r w:rsidR="00610FED" w:rsidRPr="008D244E">
        <w:t>, 7</w:t>
      </w:r>
      <w:r w:rsidR="007E5ECB">
        <w:t>.</w:t>
      </w:r>
      <w:r w:rsidR="00610FED" w:rsidRPr="008D244E">
        <w:t>, 8</w:t>
      </w:r>
      <w:r w:rsidR="007E5ECB">
        <w:t>.</w:t>
      </w:r>
      <w:r w:rsidR="00610FED" w:rsidRPr="008D244E">
        <w:t>, 9</w:t>
      </w:r>
      <w:r w:rsidR="007E5ECB">
        <w:t>.</w:t>
      </w:r>
      <w:r w:rsidR="00610FED" w:rsidRPr="008D244E">
        <w:t>, 10</w:t>
      </w:r>
      <w:r w:rsidR="007E5ECB">
        <w:t>.</w:t>
      </w:r>
      <w:r w:rsidR="00610FED" w:rsidRPr="008D244E">
        <w:t>, 11</w:t>
      </w:r>
      <w:r w:rsidR="007E5ECB">
        <w:t>.</w:t>
      </w:r>
      <w:r w:rsidR="00BD65A8">
        <w:t>, 12</w:t>
      </w:r>
      <w:r w:rsidR="007E5ECB">
        <w:t>.</w:t>
      </w:r>
      <w:r w:rsidR="00BD65A8">
        <w:t xml:space="preserve"> and annexes 1 and 2 of UN R</w:t>
      </w:r>
      <w:r w:rsidR="00610FED" w:rsidRPr="008D244E">
        <w:t xml:space="preserve">152 are not required for the purposes of complying with </w:t>
      </w:r>
      <w:r w:rsidRPr="008D244E">
        <w:t>ADR</w:t>
      </w:r>
      <w:r w:rsidR="008D670C" w:rsidRPr="008D244E">
        <w:t xml:space="preserve"> </w:t>
      </w:r>
      <w:r w:rsidRPr="008D244E">
        <w:t>98/0</w:t>
      </w:r>
      <w:r w:rsidR="005C3398">
        <w:t>2</w:t>
      </w:r>
      <w:r w:rsidR="00610FED" w:rsidRPr="008D244E">
        <w:t>.</w:t>
      </w:r>
      <w:r w:rsidR="003303E7" w:rsidRPr="008D244E">
        <w:t xml:space="preserve"> This is because</w:t>
      </w:r>
      <w:r w:rsidR="00741AB3" w:rsidRPr="008D244E">
        <w:t xml:space="preserve"> they refer to gaining a </w:t>
      </w:r>
      <w:r w:rsidR="003D7B96">
        <w:t>t</w:t>
      </w:r>
      <w:r w:rsidR="00741AB3" w:rsidRPr="008D244E">
        <w:t xml:space="preserve">ype </w:t>
      </w:r>
      <w:r w:rsidR="003D7B96">
        <w:t>a</w:t>
      </w:r>
      <w:r w:rsidR="00741AB3" w:rsidRPr="008D244E">
        <w:t>pproval in the UN context.</w:t>
      </w:r>
    </w:p>
    <w:p w14:paraId="5FAFC7F9" w14:textId="77777777" w:rsidR="00AE2D53" w:rsidRPr="00EF03E5" w:rsidRDefault="00EB14A8" w:rsidP="000345E5">
      <w:pPr>
        <w:jc w:val="both"/>
        <w:rPr>
          <w:i/>
        </w:rPr>
      </w:pPr>
      <w:r w:rsidRPr="00EF03E5">
        <w:rPr>
          <w:i/>
        </w:rPr>
        <w:t>Alternative Procedures</w:t>
      </w:r>
    </w:p>
    <w:p w14:paraId="75978EC5" w14:textId="63E3E690" w:rsidR="003F3B46" w:rsidRPr="008D244E" w:rsidRDefault="00552778" w:rsidP="000345E5">
      <w:pPr>
        <w:jc w:val="both"/>
      </w:pPr>
      <w:r>
        <w:t>Clause</w:t>
      </w:r>
      <w:r w:rsidRPr="008D244E">
        <w:t xml:space="preserve"> </w:t>
      </w:r>
      <w:r w:rsidR="003F3B46" w:rsidRPr="008D244E">
        <w:t xml:space="preserve">6 </w:t>
      </w:r>
      <w:r w:rsidR="004574BB" w:rsidRPr="008D244E">
        <w:t>identifies</w:t>
      </w:r>
      <w:r w:rsidR="007F5327" w:rsidRPr="008D244E">
        <w:t xml:space="preserve"> </w:t>
      </w:r>
      <w:r w:rsidR="00CF5C81" w:rsidRPr="008D244E">
        <w:t xml:space="preserve">procedures to which vehicles may comply, which are </w:t>
      </w:r>
      <w:r w:rsidR="007832B9" w:rsidRPr="008D244E">
        <w:t>acceptable</w:t>
      </w:r>
      <w:r w:rsidR="007B53B1" w:rsidRPr="008D244E">
        <w:t xml:space="preserve"> </w:t>
      </w:r>
      <w:r w:rsidR="00CF5C81" w:rsidRPr="008D244E">
        <w:t>alternative</w:t>
      </w:r>
      <w:r w:rsidR="004574BB" w:rsidRPr="008D244E">
        <w:t>s</w:t>
      </w:r>
      <w:r w:rsidR="00CF5C81" w:rsidRPr="008D244E">
        <w:t xml:space="preserve"> to those created by </w:t>
      </w:r>
      <w:r w:rsidR="00BD65A8">
        <w:t>UN R152</w:t>
      </w:r>
      <w:r w:rsidR="00CF5C81" w:rsidRPr="008D244E">
        <w:t xml:space="preserve">. These </w:t>
      </w:r>
      <w:r w:rsidR="003F3B46" w:rsidRPr="008D244E">
        <w:t>have been adapted for the Australian market to enable vehicle manufacturer to demonstrate compliance to ADR 98/0</w:t>
      </w:r>
      <w:r w:rsidR="00672AA9">
        <w:t>2</w:t>
      </w:r>
      <w:r w:rsidR="003F3B46" w:rsidRPr="008D244E">
        <w:t xml:space="preserve"> where they have not gained a type approval in the UN context.</w:t>
      </w:r>
    </w:p>
    <w:p w14:paraId="524D0A4F" w14:textId="39111D58" w:rsidR="00610FED" w:rsidRPr="008D244E" w:rsidRDefault="00610FED" w:rsidP="000345E5">
      <w:pPr>
        <w:jc w:val="both"/>
      </w:pPr>
      <w:r w:rsidRPr="008D244E">
        <w:t>Clause</w:t>
      </w:r>
      <w:r w:rsidR="006A3A61">
        <w:t>s</w:t>
      </w:r>
      <w:r w:rsidRPr="008D244E">
        <w:t xml:space="preserve"> 6.2</w:t>
      </w:r>
      <w:r w:rsidR="007E5ECB">
        <w:t>.</w:t>
      </w:r>
      <w:r w:rsidR="00672AA9">
        <w:t xml:space="preserve">, </w:t>
      </w:r>
      <w:r w:rsidR="006A3A61">
        <w:t>6.3</w:t>
      </w:r>
      <w:r w:rsidR="007E5ECB">
        <w:t>.</w:t>
      </w:r>
      <w:r w:rsidR="00672AA9">
        <w:t xml:space="preserve"> and 6.4</w:t>
      </w:r>
      <w:r w:rsidR="007E5ECB">
        <w:t>.</w:t>
      </w:r>
      <w:r w:rsidRPr="008D244E">
        <w:t xml:space="preserve"> </w:t>
      </w:r>
      <w:r w:rsidR="00532D71" w:rsidRPr="008D244E">
        <w:t xml:space="preserve">state </w:t>
      </w:r>
      <w:r w:rsidRPr="008D244E">
        <w:t xml:space="preserve">that </w:t>
      </w:r>
      <w:r w:rsidR="0007625E" w:rsidRPr="008D244E">
        <w:t>ADR 98/0</w:t>
      </w:r>
      <w:r w:rsidR="005C3398">
        <w:t>2</w:t>
      </w:r>
      <w:r w:rsidR="0007625E" w:rsidRPr="008D244E">
        <w:t xml:space="preserve"> applies to vehicles seeking to demonstrate that they</w:t>
      </w:r>
      <w:r w:rsidRPr="008D244E">
        <w:t xml:space="preserve"> meet all </w:t>
      </w:r>
      <w:r w:rsidR="001C2946" w:rsidRPr="008D244E">
        <w:t xml:space="preserve">the </w:t>
      </w:r>
      <w:r w:rsidRPr="008D244E">
        <w:t>technical r</w:t>
      </w:r>
      <w:r w:rsidR="00BD65A8">
        <w:t>equirements for AEBS tested in c</w:t>
      </w:r>
      <w:r w:rsidRPr="008D244E">
        <w:t>ar to car</w:t>
      </w:r>
      <w:r w:rsidR="00672AA9">
        <w:t xml:space="preserve">, </w:t>
      </w:r>
      <w:r w:rsidR="00BD65A8">
        <w:t>c</w:t>
      </w:r>
      <w:r w:rsidR="00F066A0" w:rsidRPr="008D244E">
        <w:t xml:space="preserve">ar to pedestrian </w:t>
      </w:r>
      <w:r w:rsidR="00672AA9">
        <w:t xml:space="preserve">and car to bicycle </w:t>
      </w:r>
      <w:r w:rsidR="00F066A0" w:rsidRPr="008D244E">
        <w:t>scenarios</w:t>
      </w:r>
      <w:r w:rsidRPr="008D244E">
        <w:t xml:space="preserve"> as defined in Appendix A.</w:t>
      </w:r>
      <w:r w:rsidR="0007625E" w:rsidRPr="008D244E">
        <w:t xml:space="preserve"> </w:t>
      </w:r>
    </w:p>
    <w:p w14:paraId="70916485" w14:textId="609F9C8C" w:rsidR="007832B9" w:rsidRPr="008D244E" w:rsidRDefault="007832B9" w:rsidP="000345E5">
      <w:pPr>
        <w:jc w:val="both"/>
      </w:pPr>
      <w:r w:rsidRPr="008D244E">
        <w:t>Clause 6.</w:t>
      </w:r>
      <w:r w:rsidR="00672AA9">
        <w:t>5</w:t>
      </w:r>
      <w:r w:rsidR="007E5ECB">
        <w:t>.</w:t>
      </w:r>
      <w:r w:rsidRPr="008D244E">
        <w:t xml:space="preserve"> states that category MA vehicles do not need to meet the requirements i</w:t>
      </w:r>
      <w:r w:rsidR="00BD65A8">
        <w:t>n paragraph 5.1.7</w:t>
      </w:r>
      <w:r w:rsidR="007E5ECB">
        <w:t>.</w:t>
      </w:r>
      <w:r w:rsidR="00BD65A8">
        <w:t xml:space="preserve"> of Appendix A if they comply with ADR 31/</w:t>
      </w:r>
      <w:r w:rsidR="007E5ECB">
        <w:t xml:space="preserve">04. </w:t>
      </w:r>
      <w:r w:rsidR="00BD65A8">
        <w:t>This is because th</w:t>
      </w:r>
      <w:r w:rsidR="00672AA9">
        <w:t>ese</w:t>
      </w:r>
      <w:r w:rsidR="00BD65A8">
        <w:t xml:space="preserve"> standard</w:t>
      </w:r>
      <w:r w:rsidRPr="008D244E">
        <w:t xml:space="preserve"> feature</w:t>
      </w:r>
      <w:r w:rsidR="00BD65A8">
        <w:t>s</w:t>
      </w:r>
      <w:r w:rsidRPr="008D244E">
        <w:t xml:space="preserve"> </w:t>
      </w:r>
      <w:r w:rsidR="007E5ECB">
        <w:t>are sufficiently equivalent requirements</w:t>
      </w:r>
      <w:r w:rsidRPr="008D244E">
        <w:t xml:space="preserve"> pertaining to ABS</w:t>
      </w:r>
      <w:r w:rsidR="007E5ECB">
        <w:t xml:space="preserve">, </w:t>
      </w:r>
      <w:r w:rsidR="00BD65A8">
        <w:t>which are</w:t>
      </w:r>
      <w:r w:rsidRPr="008D244E">
        <w:t xml:space="preserve"> </w:t>
      </w:r>
      <w:r w:rsidRPr="008D244E">
        <w:lastRenderedPageBreak/>
        <w:t>necessary for optimal brake performance during an AEBS intervention. This allows vehicle manufacturers to more easily demonstrate compliance to ADR</w:t>
      </w:r>
      <w:r w:rsidR="00A310A8" w:rsidRPr="008D244E">
        <w:t xml:space="preserve"> </w:t>
      </w:r>
      <w:r w:rsidRPr="008D244E">
        <w:t>98/0</w:t>
      </w:r>
      <w:r w:rsidR="00672AA9">
        <w:t>2</w:t>
      </w:r>
      <w:r w:rsidRPr="008D244E">
        <w:t>.</w:t>
      </w:r>
    </w:p>
    <w:p w14:paraId="14CA2AC5" w14:textId="15B46A31" w:rsidR="00CF5C81" w:rsidRDefault="00CF5C81" w:rsidP="000345E5">
      <w:pPr>
        <w:jc w:val="both"/>
      </w:pPr>
      <w:r w:rsidRPr="008D244E">
        <w:t>Clause 6.</w:t>
      </w:r>
      <w:r w:rsidR="00672AA9">
        <w:t>6</w:t>
      </w:r>
      <w:r w:rsidRPr="008D244E">
        <w:t xml:space="preserve"> states that </w:t>
      </w:r>
      <w:r w:rsidR="00402C27" w:rsidRPr="008D244E">
        <w:t>category MB, MC and NA vehicles do not need to meet the requirements i</w:t>
      </w:r>
      <w:r w:rsidR="00434B77">
        <w:t>n paragraph 5.1.7 of Appendix A</w:t>
      </w:r>
      <w:r w:rsidR="00402C27" w:rsidRPr="008D244E">
        <w:t xml:space="preserve"> if they comply with</w:t>
      </w:r>
      <w:r w:rsidRPr="008D244E">
        <w:t xml:space="preserve"> ADR 31/</w:t>
      </w:r>
      <w:r w:rsidR="007E5ECB">
        <w:t>04</w:t>
      </w:r>
      <w:r w:rsidRPr="008D244E">
        <w:t xml:space="preserve"> or ADR</w:t>
      </w:r>
      <w:r w:rsidR="00552778">
        <w:t> </w:t>
      </w:r>
      <w:r w:rsidRPr="008D244E">
        <w:t>35/</w:t>
      </w:r>
      <w:r w:rsidR="007E5ECB">
        <w:t>07.</w:t>
      </w:r>
      <w:r w:rsidRPr="008D244E">
        <w:t xml:space="preserve"> </w:t>
      </w:r>
      <w:r w:rsidR="00402C27" w:rsidRPr="008D244E">
        <w:t>This is because</w:t>
      </w:r>
      <w:r w:rsidRPr="008D244E">
        <w:t xml:space="preserve"> these </w:t>
      </w:r>
      <w:r w:rsidR="00402C27" w:rsidRPr="008D244E">
        <w:t xml:space="preserve">standards feature </w:t>
      </w:r>
      <w:r w:rsidR="00434B77">
        <w:t xml:space="preserve">sufficiently </w:t>
      </w:r>
      <w:r w:rsidR="00402C27" w:rsidRPr="008D244E">
        <w:t>equivalent requirements pertaining to</w:t>
      </w:r>
      <w:r w:rsidRPr="008D244E">
        <w:t xml:space="preserve"> </w:t>
      </w:r>
      <w:r w:rsidR="00434B77">
        <w:t>ABS</w:t>
      </w:r>
      <w:r w:rsidRPr="008D244E">
        <w:t xml:space="preserve">, which </w:t>
      </w:r>
      <w:r w:rsidR="00402C27" w:rsidRPr="008D244E">
        <w:t>are</w:t>
      </w:r>
      <w:r w:rsidRPr="008D244E">
        <w:t xml:space="preserve"> necessary for optimal brake performance during an AEBS intervention.</w:t>
      </w:r>
      <w:r w:rsidR="00402C27" w:rsidRPr="008D244E">
        <w:t xml:space="preserve"> This allows vehicle manufacturers to more easily demonstrate compliance to ADR</w:t>
      </w:r>
      <w:r w:rsidR="00A310A8" w:rsidRPr="008D244E">
        <w:t xml:space="preserve"> </w:t>
      </w:r>
      <w:r w:rsidR="00402C27" w:rsidRPr="008D244E">
        <w:t>98/0</w:t>
      </w:r>
      <w:r w:rsidR="00672AA9">
        <w:t>2</w:t>
      </w:r>
      <w:r w:rsidR="00402C27" w:rsidRPr="008D244E">
        <w:t>.</w:t>
      </w:r>
    </w:p>
    <w:p w14:paraId="7981DCAD" w14:textId="78B3D0B1" w:rsidR="007E5ECB" w:rsidRDefault="007E5ECB" w:rsidP="007E5ECB">
      <w:pPr>
        <w:jc w:val="both"/>
      </w:pPr>
      <w:r w:rsidRPr="00ED5334">
        <w:t>Clauses 6.</w:t>
      </w:r>
      <w:r>
        <w:t>7</w:t>
      </w:r>
      <w:r w:rsidRPr="00ED5334">
        <w:t xml:space="preserve"> to 6.</w:t>
      </w:r>
      <w:r w:rsidR="001A5D62">
        <w:t>2</w:t>
      </w:r>
      <w:r w:rsidR="003F62AB">
        <w:t>7</w:t>
      </w:r>
      <w:r w:rsidR="001A5D62" w:rsidRPr="00ED5334">
        <w:t xml:space="preserve"> </w:t>
      </w:r>
      <w:r w:rsidRPr="00ED5334">
        <w:t>clarify the administrative arrangements of UN R</w:t>
      </w:r>
      <w:r w:rsidR="00221101">
        <w:t>152</w:t>
      </w:r>
      <w:r w:rsidRPr="00ED5334">
        <w:t xml:space="preserve"> where they differ from the RVSA framework; for example, there is no technical service under the RVSA framework.</w:t>
      </w:r>
    </w:p>
    <w:p w14:paraId="192052DC" w14:textId="0B3B0EC1" w:rsidR="007E5ECB" w:rsidRPr="00ED5334" w:rsidRDefault="007E5ECB" w:rsidP="007E5ECB">
      <w:pPr>
        <w:jc w:val="both"/>
      </w:pPr>
      <w:r w:rsidRPr="00ED5334">
        <w:t>Clause 6.</w:t>
      </w:r>
      <w:r w:rsidR="001A5D62">
        <w:t>2</w:t>
      </w:r>
      <w:r w:rsidR="003F62AB">
        <w:t>8</w:t>
      </w:r>
      <w:r w:rsidR="001A5D62" w:rsidRPr="00ED5334">
        <w:t xml:space="preserve"> </w:t>
      </w:r>
      <w:r w:rsidRPr="00ED5334">
        <w:t xml:space="preserve">clarifies the precedence in the event of a conflict between clause 6 and Appendix A. </w:t>
      </w:r>
    </w:p>
    <w:p w14:paraId="3CD32C16" w14:textId="77777777" w:rsidR="00610FED" w:rsidRPr="008D244E" w:rsidRDefault="00610FED" w:rsidP="000345E5">
      <w:pPr>
        <w:pStyle w:val="HeadingLevel2"/>
        <w:keepNext/>
        <w:tabs>
          <w:tab w:val="clear" w:pos="3545"/>
          <w:tab w:val="num" w:pos="993"/>
          <w:tab w:val="num" w:pos="3829"/>
        </w:tabs>
        <w:ind w:left="851"/>
        <w:jc w:val="both"/>
      </w:pPr>
      <w:bookmarkStart w:id="46" w:name="_Toc210305551"/>
      <w:r w:rsidRPr="008D244E">
        <w:t>Alternative Standards</w:t>
      </w:r>
      <w:bookmarkEnd w:id="46"/>
    </w:p>
    <w:p w14:paraId="0C4F0D01" w14:textId="5EF90551" w:rsidR="00797677" w:rsidRPr="008D244E" w:rsidRDefault="00552778" w:rsidP="000345E5">
      <w:pPr>
        <w:jc w:val="both"/>
      </w:pPr>
      <w:r>
        <w:t>Clause</w:t>
      </w:r>
      <w:r w:rsidRPr="008D244E">
        <w:t xml:space="preserve"> </w:t>
      </w:r>
      <w:r w:rsidR="00797677" w:rsidRPr="008D244E">
        <w:t xml:space="preserve">7 sets out standards which are considered to be equivalent </w:t>
      </w:r>
      <w:r w:rsidR="003E6EE5" w:rsidRPr="008D244E">
        <w:t>to</w:t>
      </w:r>
      <w:r w:rsidR="00F55A53" w:rsidRPr="008D244E">
        <w:t xml:space="preserve"> ADR</w:t>
      </w:r>
      <w:r w:rsidR="00A310A8" w:rsidRPr="008D244E">
        <w:t xml:space="preserve"> </w:t>
      </w:r>
      <w:r w:rsidR="003E6EE5" w:rsidRPr="008D244E">
        <w:t>98/0</w:t>
      </w:r>
      <w:r w:rsidR="000247A5">
        <w:t>2</w:t>
      </w:r>
      <w:r w:rsidR="00F55A53" w:rsidRPr="008D244E">
        <w:t>. If</w:t>
      </w:r>
      <w:r w:rsidR="00797677" w:rsidRPr="008D244E">
        <w:t xml:space="preserve"> </w:t>
      </w:r>
      <w:r w:rsidR="00F55A53" w:rsidRPr="008D244E">
        <w:t xml:space="preserve">a </w:t>
      </w:r>
      <w:r w:rsidR="00797677" w:rsidRPr="008D244E">
        <w:t xml:space="preserve">vehicle </w:t>
      </w:r>
      <w:r w:rsidR="00F55A53" w:rsidRPr="008D244E">
        <w:t xml:space="preserve">meets the requirements of one of these standards, it also complies with </w:t>
      </w:r>
      <w:r w:rsidR="00797677" w:rsidRPr="008D244E">
        <w:t>ADR</w:t>
      </w:r>
      <w:r w:rsidR="00AA6FB8">
        <w:t> </w:t>
      </w:r>
      <w:r w:rsidR="00797677" w:rsidRPr="008D244E">
        <w:t>98/0</w:t>
      </w:r>
      <w:r w:rsidR="000247A5">
        <w:t>2</w:t>
      </w:r>
      <w:r w:rsidR="00797677" w:rsidRPr="008D244E">
        <w:t xml:space="preserve">. </w:t>
      </w:r>
      <w:r w:rsidR="00F55A53" w:rsidRPr="008D244E">
        <w:t xml:space="preserve">These alternative standards are acceptable because they do not compromise the performance requirements set out in </w:t>
      </w:r>
      <w:r w:rsidR="00BD65A8">
        <w:t>UN R152</w:t>
      </w:r>
      <w:r w:rsidR="00F55A53" w:rsidRPr="008D244E">
        <w:t>. Vehicle manufacturers have the flexibility to gain compliance to ADR 98/0</w:t>
      </w:r>
      <w:r w:rsidR="000247A5">
        <w:t>2</w:t>
      </w:r>
      <w:r w:rsidR="00F55A53" w:rsidRPr="008D244E">
        <w:t xml:space="preserve"> through </w:t>
      </w:r>
      <w:r w:rsidR="00AA6FB8">
        <w:t>clause 5.1 and Appendix</w:t>
      </w:r>
      <w:r w:rsidR="00792178">
        <w:t> </w:t>
      </w:r>
      <w:r w:rsidR="00AA6FB8">
        <w:t xml:space="preserve">A as varied by </w:t>
      </w:r>
      <w:r w:rsidR="00792178">
        <w:t>clause</w:t>
      </w:r>
      <w:r w:rsidR="00792178" w:rsidRPr="008D244E">
        <w:t xml:space="preserve"> </w:t>
      </w:r>
      <w:r w:rsidR="00F55A53" w:rsidRPr="008D244E">
        <w:t>6 Exemptions and Alternative Procedures</w:t>
      </w:r>
      <w:r w:rsidR="00AA6FB8">
        <w:t>,</w:t>
      </w:r>
      <w:r w:rsidR="00F55A53" w:rsidRPr="008D244E">
        <w:t xml:space="preserve"> or through </w:t>
      </w:r>
      <w:r w:rsidR="00792178">
        <w:t>clause</w:t>
      </w:r>
      <w:r w:rsidR="00792178" w:rsidRPr="008D244E">
        <w:t xml:space="preserve"> </w:t>
      </w:r>
      <w:r w:rsidR="00F55A53" w:rsidRPr="008D244E">
        <w:t>7 Alternative Standards.</w:t>
      </w:r>
    </w:p>
    <w:p w14:paraId="4FB29E01" w14:textId="124DE3EC" w:rsidR="00690355" w:rsidRPr="008D244E" w:rsidRDefault="00690355" w:rsidP="000345E5">
      <w:pPr>
        <w:jc w:val="both"/>
      </w:pPr>
      <w:r w:rsidRPr="008D244E">
        <w:t xml:space="preserve">Clause 7.1 </w:t>
      </w:r>
      <w:r w:rsidR="00A10829">
        <w:t>i</w:t>
      </w:r>
      <w:r w:rsidR="002E7A66" w:rsidRPr="008D244E">
        <w:t>dentifies</w:t>
      </w:r>
      <w:r w:rsidRPr="008D244E">
        <w:t xml:space="preserve"> the United Nations Regulation No. 152 – UNIFORM PROVISIONS CONCERNING THE APPROVAL OF MOTOR VEHICLES WITH REGARD TO THE ADVANCED EMERGENCY BRAKING SYSTEMS (AEBS) FOR M</w:t>
      </w:r>
      <w:r w:rsidRPr="00A10829">
        <w:rPr>
          <w:vertAlign w:val="subscript"/>
        </w:rPr>
        <w:t>1</w:t>
      </w:r>
      <w:r w:rsidRPr="008D244E">
        <w:t xml:space="preserve"> AND N</w:t>
      </w:r>
      <w:r w:rsidRPr="00A10829">
        <w:rPr>
          <w:vertAlign w:val="subscript"/>
        </w:rPr>
        <w:t>1</w:t>
      </w:r>
      <w:r w:rsidRPr="008D244E">
        <w:t xml:space="preserve"> VEHICLES, incorporating the 0</w:t>
      </w:r>
      <w:r w:rsidR="000247A5">
        <w:t>2</w:t>
      </w:r>
      <w:r w:rsidRPr="008D244E">
        <w:t xml:space="preserve"> series of amendments</w:t>
      </w:r>
      <w:r w:rsidR="00714B67">
        <w:t xml:space="preserve"> (</w:t>
      </w:r>
      <w:r w:rsidR="00714B67" w:rsidRPr="00057029">
        <w:t xml:space="preserve">including at least supplements 1 to </w:t>
      </w:r>
      <w:r w:rsidR="00DF6DE3">
        <w:t>5</w:t>
      </w:r>
      <w:r w:rsidR="00DF6DE3" w:rsidRPr="00057029">
        <w:t xml:space="preserve"> </w:t>
      </w:r>
      <w:r w:rsidR="00714B67" w:rsidRPr="00057029">
        <w:t>to the 02 series of amendments</w:t>
      </w:r>
      <w:r w:rsidR="00714B67">
        <w:t>)</w:t>
      </w:r>
      <w:r w:rsidR="002E7A66" w:rsidRPr="008D244E">
        <w:t>, as an acceptable alternate standard</w:t>
      </w:r>
      <w:r w:rsidRPr="008D244E">
        <w:t xml:space="preserve">. </w:t>
      </w:r>
      <w:r w:rsidR="002E7A66" w:rsidRPr="008D244E">
        <w:t xml:space="preserve">This standard is also featured in Appendix A </w:t>
      </w:r>
      <w:r w:rsidR="00A10829">
        <w:t>of ADR 98/0</w:t>
      </w:r>
      <w:r w:rsidR="000247A5">
        <w:t>2</w:t>
      </w:r>
      <w:r w:rsidR="00A10829">
        <w:t xml:space="preserve"> </w:t>
      </w:r>
      <w:r w:rsidR="002E7A66" w:rsidRPr="008D244E">
        <w:t>and makes up most of the technical requirements of ADR 98/0</w:t>
      </w:r>
      <w:r w:rsidR="000247A5">
        <w:t>2</w:t>
      </w:r>
      <w:r w:rsidR="002E7A66" w:rsidRPr="008D244E">
        <w:t xml:space="preserve">. </w:t>
      </w:r>
      <w:r w:rsidR="00A10829">
        <w:t xml:space="preserve">It is the </w:t>
      </w:r>
      <w:r w:rsidR="000247A5">
        <w:t>second</w:t>
      </w:r>
      <w:r w:rsidR="00A10829">
        <w:t xml:space="preserve"> series of amendments to the original </w:t>
      </w:r>
      <w:r w:rsidRPr="008D244E">
        <w:t>internationally agreed standard for AEBS regarding passenger vehicles and light goods vehicles</w:t>
      </w:r>
      <w:r w:rsidR="00714B67">
        <w:t>.</w:t>
      </w:r>
    </w:p>
    <w:p w14:paraId="522ABB1B" w14:textId="77777777" w:rsidR="00BA4F48" w:rsidRPr="008D244E" w:rsidRDefault="00610FED" w:rsidP="000345E5">
      <w:pPr>
        <w:pStyle w:val="HeadingLevel1"/>
        <w:jc w:val="both"/>
      </w:pPr>
      <w:bookmarkStart w:id="47" w:name="_Toc504999786"/>
      <w:bookmarkStart w:id="48" w:name="_Toc504999787"/>
      <w:bookmarkStart w:id="49" w:name="_Toc504999788"/>
      <w:bookmarkStart w:id="50" w:name="_Toc77772868"/>
      <w:bookmarkStart w:id="51" w:name="_Toc210305552"/>
      <w:bookmarkEnd w:id="45"/>
      <w:bookmarkEnd w:id="47"/>
      <w:bookmarkEnd w:id="48"/>
      <w:bookmarkEnd w:id="49"/>
      <w:r w:rsidRPr="008D244E">
        <w:t>MATTERS INCORPORATED BY REFERENCE</w:t>
      </w:r>
      <w:bookmarkEnd w:id="50"/>
      <w:bookmarkEnd w:id="51"/>
    </w:p>
    <w:p w14:paraId="4C58E641" w14:textId="5A12D1F8" w:rsidR="00BA4F48" w:rsidRPr="008D244E" w:rsidRDefault="00610FED" w:rsidP="000345E5">
      <w:pPr>
        <w:pStyle w:val="HeadingLevel2"/>
        <w:keepNext/>
        <w:tabs>
          <w:tab w:val="clear" w:pos="3545"/>
          <w:tab w:val="num" w:pos="993"/>
          <w:tab w:val="num" w:pos="3829"/>
        </w:tabs>
        <w:ind w:left="851"/>
        <w:jc w:val="both"/>
      </w:pPr>
      <w:bookmarkStart w:id="52" w:name="_Toc77772869"/>
      <w:bookmarkStart w:id="53" w:name="_Toc210305553"/>
      <w:r w:rsidRPr="008D244E">
        <w:t>Legislative Instruments</w:t>
      </w:r>
      <w:bookmarkEnd w:id="52"/>
      <w:bookmarkEnd w:id="53"/>
    </w:p>
    <w:p w14:paraId="09863797" w14:textId="338A31A5" w:rsidR="00610FED" w:rsidRPr="008D244E" w:rsidRDefault="00610FED" w:rsidP="000345E5">
      <w:pPr>
        <w:jc w:val="both"/>
      </w:pPr>
      <w:r w:rsidRPr="008D244E">
        <w:t>Clause 4.1.1 of ADR 98/0</w:t>
      </w:r>
      <w:r w:rsidR="00C83D4B">
        <w:t>2</w:t>
      </w:r>
      <w:r w:rsidRPr="008D244E">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7D0F4583" w14:textId="5AB539D9" w:rsidR="00610FED" w:rsidRPr="008D244E" w:rsidRDefault="00610FED" w:rsidP="000345E5">
      <w:pPr>
        <w:jc w:val="both"/>
      </w:pPr>
      <w:r w:rsidRPr="008D244E">
        <w:t>Clause</w:t>
      </w:r>
      <w:r w:rsidR="005A0F2A" w:rsidRPr="008D244E">
        <w:t>s</w:t>
      </w:r>
      <w:r w:rsidRPr="008D244E">
        <w:t xml:space="preserve"> </w:t>
      </w:r>
      <w:r w:rsidR="005A0F2A" w:rsidRPr="008D244E">
        <w:t>6.</w:t>
      </w:r>
      <w:r w:rsidR="003E4BC4">
        <w:t>5</w:t>
      </w:r>
      <w:r w:rsidR="00B20539">
        <w:t xml:space="preserve"> and 6.6</w:t>
      </w:r>
      <w:r w:rsidR="005A0F2A" w:rsidRPr="008D244E">
        <w:t xml:space="preserve"> </w:t>
      </w:r>
      <w:r w:rsidR="00FC5CA6" w:rsidRPr="008D244E">
        <w:t>of ADR 98/0</w:t>
      </w:r>
      <w:r w:rsidR="00C83D4B">
        <w:t>2</w:t>
      </w:r>
      <w:r w:rsidRPr="008D244E">
        <w:t xml:space="preserve"> </w:t>
      </w:r>
      <w:r w:rsidR="005A0F2A" w:rsidRPr="008D244E">
        <w:t xml:space="preserve">each </w:t>
      </w:r>
      <w:r w:rsidRPr="008D244E">
        <w:t>include a reference to the Australian Design Rule 31</w:t>
      </w:r>
      <w:r w:rsidR="008505A4">
        <w:t>/04</w:t>
      </w:r>
      <w:r w:rsidR="005A0F2A" w:rsidRPr="008D244E">
        <w:t xml:space="preserve"> – Brake Systems for Passenger Cars</w:t>
      </w:r>
      <w:r w:rsidRPr="008D244E">
        <w:t xml:space="preserve">, which </w:t>
      </w:r>
      <w:r w:rsidR="005A0F2A" w:rsidRPr="008D244E">
        <w:t>prescribes</w:t>
      </w:r>
      <w:r w:rsidRPr="008D244E">
        <w:t xml:space="preserve"> braking </w:t>
      </w:r>
      <w:r w:rsidR="005A0F2A" w:rsidRPr="008D244E">
        <w:t xml:space="preserve">system </w:t>
      </w:r>
      <w:r w:rsidRPr="008D244E">
        <w:t xml:space="preserve">requirements for passenger vehicles </w:t>
      </w:r>
      <w:r w:rsidR="005A0F2A" w:rsidRPr="008D244E">
        <w:t xml:space="preserve">(other than omnibuses) </w:t>
      </w:r>
      <w:r w:rsidRPr="008D244E">
        <w:t xml:space="preserve">and light goods vehicles to ensure safe braking under normal, </w:t>
      </w:r>
      <w:r w:rsidR="005A0F2A" w:rsidRPr="008D244E">
        <w:t xml:space="preserve">and </w:t>
      </w:r>
      <w:r w:rsidRPr="008D244E">
        <w:t>emergency conditions.</w:t>
      </w:r>
    </w:p>
    <w:p w14:paraId="4DEAB27E" w14:textId="59ADD706" w:rsidR="00610FED" w:rsidRPr="008D244E" w:rsidRDefault="00610FED" w:rsidP="000345E5">
      <w:pPr>
        <w:jc w:val="both"/>
      </w:pPr>
      <w:r w:rsidRPr="008D244E">
        <w:lastRenderedPageBreak/>
        <w:t>Clause 6.</w:t>
      </w:r>
      <w:r w:rsidR="00B20539">
        <w:t>6</w:t>
      </w:r>
      <w:r w:rsidRPr="008D244E">
        <w:t xml:space="preserve"> of ADR 98/0</w:t>
      </w:r>
      <w:r w:rsidR="00C83D4B">
        <w:t>2</w:t>
      </w:r>
      <w:r w:rsidRPr="008D244E">
        <w:t xml:space="preserve"> also includes a reference to the </w:t>
      </w:r>
      <w:r w:rsidR="005A0F2A" w:rsidRPr="008D244E">
        <w:t>Australian Design Rule</w:t>
      </w:r>
      <w:r w:rsidRPr="008D244E">
        <w:t xml:space="preserve"> 35/</w:t>
      </w:r>
      <w:r w:rsidR="005F71B8">
        <w:t>07</w:t>
      </w:r>
      <w:r w:rsidR="005A0F2A" w:rsidRPr="008D244E">
        <w:t xml:space="preserve"> – Commercial Vehicle Brake Systems</w:t>
      </w:r>
      <w:r w:rsidRPr="008D244E">
        <w:t xml:space="preserve">, which </w:t>
      </w:r>
      <w:r w:rsidR="005A0F2A" w:rsidRPr="008D244E">
        <w:t>prescribes</w:t>
      </w:r>
      <w:r w:rsidRPr="008D244E">
        <w:rPr>
          <w:lang w:val="en"/>
        </w:rPr>
        <w:t xml:space="preserve"> </w:t>
      </w:r>
      <w:r w:rsidRPr="008D244E">
        <w:t xml:space="preserve">braking requirements </w:t>
      </w:r>
      <w:r w:rsidR="005A0F2A" w:rsidRPr="008D244E">
        <w:t xml:space="preserve">for </w:t>
      </w:r>
      <w:r w:rsidRPr="008D244E">
        <w:t>commercial vehicles</w:t>
      </w:r>
      <w:r w:rsidR="005A0F2A" w:rsidRPr="008D244E">
        <w:t xml:space="preserve"> and</w:t>
      </w:r>
      <w:r w:rsidRPr="008D244E">
        <w:t xml:space="preserve"> large passenger vehicles to ensure safe braking under normal</w:t>
      </w:r>
      <w:r w:rsidR="005A0F2A" w:rsidRPr="008D244E">
        <w:t xml:space="preserve"> and</w:t>
      </w:r>
      <w:r w:rsidRPr="008D244E">
        <w:t xml:space="preserve"> emergency conditions.</w:t>
      </w:r>
    </w:p>
    <w:p w14:paraId="3FCE6803" w14:textId="77777777" w:rsidR="00610FED" w:rsidRPr="008D244E" w:rsidRDefault="00610FED" w:rsidP="000345E5">
      <w:pPr>
        <w:jc w:val="both"/>
      </w:pPr>
      <w:r w:rsidRPr="008D244E">
        <w:t xml:space="preserve">The ADRs may be freely accessed online through the Federal Register of Legislation.  The website is </w:t>
      </w:r>
      <w:r w:rsidRPr="008D244E">
        <w:rPr>
          <w:u w:val="single"/>
        </w:rPr>
        <w:t>www.legislation.gov.au</w:t>
      </w:r>
      <w:r w:rsidRPr="008D244E">
        <w:t>.</w:t>
      </w:r>
    </w:p>
    <w:p w14:paraId="6C790591" w14:textId="098648D7" w:rsidR="00610FED" w:rsidRPr="008D244E" w:rsidRDefault="00610FED" w:rsidP="000345E5">
      <w:pPr>
        <w:jc w:val="both"/>
      </w:pPr>
      <w:r w:rsidRPr="008D244E">
        <w:t xml:space="preserve">In accordance with </w:t>
      </w:r>
      <w:r w:rsidR="00E225D0">
        <w:t xml:space="preserve">paragraph </w:t>
      </w:r>
      <w:r w:rsidRPr="008D244E">
        <w:t>12</w:t>
      </w:r>
      <w:r w:rsidR="00E225D0">
        <w:t>(2)(b)</w:t>
      </w:r>
      <w:r w:rsidRPr="008D244E">
        <w:t xml:space="preserve"> of the </w:t>
      </w:r>
      <w:r w:rsidR="00E225D0">
        <w:t>RVSA</w:t>
      </w:r>
      <w:r w:rsidR="004C2A7B" w:rsidRPr="008D244E">
        <w:t>,</w:t>
      </w:r>
      <w:r w:rsidRPr="008D244E">
        <w:t xml:space="preserve"> </w:t>
      </w:r>
      <w:r w:rsidR="004C2A7B" w:rsidRPr="008D244E">
        <w:t xml:space="preserve">each of </w:t>
      </w:r>
      <w:r w:rsidRPr="008D244E">
        <w:t>the</w:t>
      </w:r>
      <w:r w:rsidR="004C2A7B" w:rsidRPr="008D244E">
        <w:t>se</w:t>
      </w:r>
      <w:r w:rsidRPr="008D244E">
        <w:t xml:space="preserve"> ADRs are incorporated as in force or existing from time to time.  </w:t>
      </w:r>
      <w:r w:rsidR="00B900B5" w:rsidRPr="008D244E">
        <w:t>T</w:t>
      </w:r>
      <w:r w:rsidRPr="008D244E">
        <w:t>he ellipses (…) indicates the version(s) (e.g.</w:t>
      </w:r>
      <w:r w:rsidR="00B900B5" w:rsidRPr="008D244E">
        <w:t> </w:t>
      </w:r>
      <w:r w:rsidRPr="008D244E">
        <w:t>00, 01 etc.) of the ADR in force at the time.</w:t>
      </w:r>
    </w:p>
    <w:p w14:paraId="79D77AA4" w14:textId="77777777" w:rsidR="00610FED" w:rsidRPr="008D244E" w:rsidRDefault="00610FED" w:rsidP="000345E5">
      <w:pPr>
        <w:pStyle w:val="HeadingLevel2"/>
        <w:keepNext/>
        <w:tabs>
          <w:tab w:val="clear" w:pos="3545"/>
          <w:tab w:val="num" w:pos="993"/>
          <w:tab w:val="num" w:pos="3829"/>
        </w:tabs>
        <w:ind w:left="851"/>
        <w:jc w:val="both"/>
      </w:pPr>
      <w:bookmarkStart w:id="54" w:name="_Toc74044073"/>
      <w:bookmarkStart w:id="55" w:name="_Toc74044722"/>
      <w:bookmarkStart w:id="56" w:name="_Toc210305554"/>
      <w:r w:rsidRPr="008D244E">
        <w:t>Other Documents</w:t>
      </w:r>
      <w:bookmarkEnd w:id="54"/>
      <w:bookmarkEnd w:id="55"/>
      <w:bookmarkEnd w:id="56"/>
    </w:p>
    <w:p w14:paraId="5A88E63B" w14:textId="77777777" w:rsidR="00610FED" w:rsidRPr="008D244E" w:rsidRDefault="00610FED" w:rsidP="000345E5">
      <w:pPr>
        <w:pStyle w:val="Heading3"/>
        <w:jc w:val="both"/>
      </w:pPr>
      <w:r w:rsidRPr="008D244E">
        <w:t>American Society for Testing and Materials</w:t>
      </w:r>
    </w:p>
    <w:p w14:paraId="50F53AA0" w14:textId="78108A8D" w:rsidR="00610FED" w:rsidRPr="008D244E" w:rsidRDefault="00610FED" w:rsidP="000345E5">
      <w:pPr>
        <w:jc w:val="both"/>
      </w:pPr>
      <w:r w:rsidRPr="008D244E">
        <w:t xml:space="preserve">Paragraph </w:t>
      </w:r>
      <w:r w:rsidR="00C06597">
        <w:t>2.14</w:t>
      </w:r>
      <w:r w:rsidRPr="008D244E">
        <w:t xml:space="preserve"> of </w:t>
      </w:r>
      <w:r w:rsidR="002172AC" w:rsidRPr="008D244E">
        <w:t>Appendix A</w:t>
      </w:r>
      <w:r w:rsidRPr="008D244E">
        <w:t xml:space="preserve"> </w:t>
      </w:r>
      <w:r w:rsidR="002172AC" w:rsidRPr="008D244E">
        <w:t xml:space="preserve">includes </w:t>
      </w:r>
      <w:r w:rsidRPr="008D244E">
        <w:t xml:space="preserve">references </w:t>
      </w:r>
      <w:r w:rsidR="002172AC" w:rsidRPr="008D244E">
        <w:t xml:space="preserve">to </w:t>
      </w:r>
      <w:r w:rsidRPr="008D244E">
        <w:t xml:space="preserve">the </w:t>
      </w:r>
      <w:r w:rsidR="002172AC" w:rsidRPr="008D244E">
        <w:t>American Society for Testing and Materials (</w:t>
      </w:r>
      <w:r w:rsidRPr="008D244E">
        <w:t>ASTM</w:t>
      </w:r>
      <w:r w:rsidR="002172AC" w:rsidRPr="008D244E">
        <w:t>)</w:t>
      </w:r>
      <w:r w:rsidRPr="008D244E">
        <w:t xml:space="preserve"> </w:t>
      </w:r>
      <w:r w:rsidR="005F71B8">
        <w:t xml:space="preserve">of </w:t>
      </w:r>
      <w:r w:rsidR="002172AC" w:rsidRPr="008D244E">
        <w:t>E1136</w:t>
      </w:r>
      <w:r w:rsidR="00C06597">
        <w:t xml:space="preserve">-19, </w:t>
      </w:r>
      <w:r w:rsidR="00155FE3" w:rsidRPr="008D244E">
        <w:t>ASTM</w:t>
      </w:r>
      <w:r w:rsidR="00155FE3">
        <w:t xml:space="preserve"> of F2493-20 and </w:t>
      </w:r>
      <w:r w:rsidRPr="008D244E">
        <w:t xml:space="preserve">ASTM </w:t>
      </w:r>
      <w:r w:rsidR="00277209" w:rsidRPr="008D244E">
        <w:t>Method E1337</w:t>
      </w:r>
      <w:r w:rsidR="00C06597">
        <w:t>-19</w:t>
      </w:r>
      <w:r w:rsidRPr="008D244E">
        <w:t xml:space="preserve">. These standards specify </w:t>
      </w:r>
      <w:r w:rsidR="00A9150F" w:rsidRPr="008D244E">
        <w:t xml:space="preserve">a standard reference test tyre and </w:t>
      </w:r>
      <w:r w:rsidRPr="008D244E">
        <w:t>a method for determining the peak braking coefficient of road test surfaces.</w:t>
      </w:r>
    </w:p>
    <w:p w14:paraId="6AD6FA1E" w14:textId="2E16F80D" w:rsidR="00610FED" w:rsidRPr="008D244E" w:rsidRDefault="00610FED" w:rsidP="000345E5">
      <w:pPr>
        <w:jc w:val="both"/>
      </w:pPr>
      <w:r w:rsidRPr="008D244E">
        <w:t xml:space="preserve">ASTM </w:t>
      </w:r>
      <w:r w:rsidR="00C06597">
        <w:t>Standards</w:t>
      </w:r>
      <w:r w:rsidRPr="008D244E">
        <w:t xml:space="preserve"> may be freely accessed online through the ASTM International Reading Room.</w:t>
      </w:r>
      <w:r w:rsidR="00A9150F" w:rsidRPr="008D244E">
        <w:t xml:space="preserve"> </w:t>
      </w:r>
      <w:r w:rsidRPr="008D244E">
        <w:t xml:space="preserve"> This requires the user to register using an email and password.</w:t>
      </w:r>
      <w:r w:rsidR="00A9150F" w:rsidRPr="008D244E">
        <w:t xml:space="preserve"> </w:t>
      </w:r>
      <w:r w:rsidRPr="008D244E">
        <w:t xml:space="preserve"> The ASTM Intern</w:t>
      </w:r>
      <w:r w:rsidR="001C2946" w:rsidRPr="008D244E">
        <w:t>ational Reading Room website is</w:t>
      </w:r>
      <w:r w:rsidR="005F71B8">
        <w:t>:</w:t>
      </w:r>
      <w:r w:rsidR="001C2946" w:rsidRPr="008D244E">
        <w:t xml:space="preserve"> </w:t>
      </w:r>
      <w:r w:rsidR="005F71B8" w:rsidRPr="005F71B8">
        <w:rPr>
          <w:u w:val="single"/>
        </w:rPr>
        <w:t>www.astm.org/standards-and-solutions/standards-and-publications/reading-room</w:t>
      </w:r>
      <w:r w:rsidRPr="008D244E">
        <w:t>.</w:t>
      </w:r>
    </w:p>
    <w:p w14:paraId="5446439D" w14:textId="141BCDF8" w:rsidR="008735E6" w:rsidRDefault="008735E6" w:rsidP="000345E5">
      <w:pPr>
        <w:jc w:val="both"/>
      </w:pPr>
      <w:r w:rsidRPr="008D244E">
        <w:t xml:space="preserve">In accordance with </w:t>
      </w:r>
      <w:r w:rsidR="00E225D0">
        <w:t>paragraph</w:t>
      </w:r>
      <w:r w:rsidR="00E225D0" w:rsidRPr="008D244E">
        <w:t xml:space="preserve"> </w:t>
      </w:r>
      <w:r w:rsidRPr="008D244E">
        <w:t xml:space="preserve">14(1)(b) and </w:t>
      </w:r>
      <w:r w:rsidR="00552778">
        <w:t xml:space="preserve">subsection </w:t>
      </w:r>
      <w:r w:rsidRPr="008D244E">
        <w:t xml:space="preserve">14(2) of the </w:t>
      </w:r>
      <w:r w:rsidRPr="008D244E">
        <w:rPr>
          <w:i/>
        </w:rPr>
        <w:t>Legislation Act 2003</w:t>
      </w:r>
      <w:r w:rsidRPr="008D244E">
        <w:t xml:space="preserve">, each of these </w:t>
      </w:r>
      <w:r w:rsidR="000F1192" w:rsidRPr="008D244E">
        <w:t>ASTM standards</w:t>
      </w:r>
      <w:r w:rsidRPr="008D244E">
        <w:t xml:space="preserve"> are incorporated as in force on the date this </w:t>
      </w:r>
      <w:r w:rsidR="00B01B7D">
        <w:t>n</w:t>
      </w:r>
      <w:r w:rsidRPr="008D244E">
        <w:t xml:space="preserve">ational </w:t>
      </w:r>
      <w:r w:rsidR="00B01B7D">
        <w:t>r</w:t>
      </w:r>
      <w:r w:rsidRPr="008D244E">
        <w:t xml:space="preserve">oad </w:t>
      </w:r>
      <w:r w:rsidR="00B01B7D">
        <w:t>v</w:t>
      </w:r>
      <w:r w:rsidRPr="008D244E">
        <w:t xml:space="preserve">ehicle </w:t>
      </w:r>
      <w:r w:rsidR="00B01B7D">
        <w:t>s</w:t>
      </w:r>
      <w:r w:rsidRPr="008D244E">
        <w:t>tandard is made.</w:t>
      </w:r>
    </w:p>
    <w:p w14:paraId="32D2DCB6" w14:textId="77777777" w:rsidR="0033629A" w:rsidRPr="008D244E" w:rsidRDefault="0033629A" w:rsidP="000345E5">
      <w:pPr>
        <w:pStyle w:val="Heading3"/>
        <w:jc w:val="both"/>
      </w:pPr>
      <w:r w:rsidRPr="008D244E">
        <w:t>International Organization for Standardization</w:t>
      </w:r>
    </w:p>
    <w:p w14:paraId="5E69EE48" w14:textId="38B870BD" w:rsidR="000F36B1" w:rsidRPr="008D244E" w:rsidRDefault="006152E5" w:rsidP="000345E5">
      <w:pPr>
        <w:jc w:val="both"/>
      </w:pPr>
      <w:r w:rsidRPr="008D244E">
        <w:t xml:space="preserve">Paragraph 6.3.1 of Appendix A includes a reference to </w:t>
      </w:r>
      <w:r w:rsidR="0098616B" w:rsidRPr="008D244E">
        <w:t>ISO</w:t>
      </w:r>
      <w:r w:rsidR="001E3FA7" w:rsidRPr="008D244E">
        <w:t xml:space="preserve"> 19206-</w:t>
      </w:r>
      <w:r w:rsidR="00636F48">
        <w:t>3</w:t>
      </w:r>
      <w:r w:rsidR="001E3FA7" w:rsidRPr="008D244E">
        <w:t>:2</w:t>
      </w:r>
      <w:r w:rsidR="00A647AE">
        <w:t>021</w:t>
      </w:r>
      <w:r w:rsidR="001E3FA7" w:rsidRPr="008D244E">
        <w:t xml:space="preserve">. This standard specifies detection requirements </w:t>
      </w:r>
      <w:r w:rsidR="000F36B1" w:rsidRPr="008D244E">
        <w:t>for</w:t>
      </w:r>
      <w:r w:rsidR="001E3FA7" w:rsidRPr="008D244E">
        <w:t xml:space="preserve"> a vehicle </w:t>
      </w:r>
      <w:r w:rsidR="000F36B1" w:rsidRPr="008D244E">
        <w:t xml:space="preserve">rear-end </w:t>
      </w:r>
      <w:r w:rsidR="001E3FA7" w:rsidRPr="008D244E">
        <w:t xml:space="preserve">target to represent a passenger vehicle in terms of size, shape, reflection properties, </w:t>
      </w:r>
      <w:r w:rsidR="000F36B1" w:rsidRPr="008D244E">
        <w:t>to assess the system detection and activation performance of vehicle active safety systems, including AEBS</w:t>
      </w:r>
      <w:r w:rsidR="001E3FA7" w:rsidRPr="008D244E">
        <w:t>.</w:t>
      </w:r>
    </w:p>
    <w:p w14:paraId="20E73AE4" w14:textId="55CFEE0D" w:rsidR="000F36B1" w:rsidRDefault="000F36B1" w:rsidP="000345E5">
      <w:pPr>
        <w:jc w:val="both"/>
      </w:pPr>
      <w:r w:rsidRPr="008D244E">
        <w:t>Paragraph 6.3.2 of Appendix A includes a reference to ISO 19206-2:2018. This standard specifies detection requirements for pedestrian targets that represent an adult or a child in terms of size, shape, reflection properties, to assess the system detection and activation performance of vehicle active safety systems, including AEBS.</w:t>
      </w:r>
    </w:p>
    <w:p w14:paraId="24EC5C57" w14:textId="5DC8A964" w:rsidR="00A647AE" w:rsidRPr="008D244E" w:rsidRDefault="00A647AE" w:rsidP="000345E5">
      <w:pPr>
        <w:jc w:val="both"/>
      </w:pPr>
      <w:r>
        <w:t xml:space="preserve">Paragraph 6.3.3. of Appendix A includes a reference to ISO 19206-4:2020. This standard </w:t>
      </w:r>
      <w:r w:rsidRPr="00A647AE">
        <w:t>specifies the properties and performance requirements of a bicyclist target that represents a human bicyclist in terms of shape, movement, reflection properties, etc. for testing purposes.</w:t>
      </w:r>
    </w:p>
    <w:p w14:paraId="61CB0488" w14:textId="0B6CB5E8" w:rsidR="000F36B1" w:rsidRDefault="0098616B" w:rsidP="000345E5">
      <w:pPr>
        <w:jc w:val="both"/>
      </w:pPr>
      <w:r w:rsidRPr="008D244E">
        <w:t xml:space="preserve">ISO </w:t>
      </w:r>
      <w:r w:rsidR="00A647AE">
        <w:t>Standards</w:t>
      </w:r>
      <w:r w:rsidR="000F36B1" w:rsidRPr="008D244E">
        <w:t xml:space="preserve"> are available for purchase only from </w:t>
      </w:r>
      <w:r w:rsidRPr="008D244E">
        <w:t xml:space="preserve">the International Organization for Standardization (ISO) </w:t>
      </w:r>
      <w:r w:rsidR="000F36B1" w:rsidRPr="008D244E">
        <w:t>and various associated national standards bodies. While not freely available, these ISO standards are all readily accessible and widely used</w:t>
      </w:r>
      <w:r w:rsidRPr="008D244E">
        <w:t xml:space="preserve"> by vehicle manufacturers and test facilities as part o</w:t>
      </w:r>
      <w:r w:rsidR="007B4F0E">
        <w:t>f their professional libraries.</w:t>
      </w:r>
      <w:r w:rsidR="00FE7EFE">
        <w:t xml:space="preserve"> Subject to copyright conditions, people may view a copy of </w:t>
      </w:r>
      <w:r w:rsidR="00FE7EFE">
        <w:rPr>
          <w:color w:val="000000"/>
        </w:rPr>
        <w:t>ISO 19206-2:2018, 19206-3:2021 and 19206-4:2020</w:t>
      </w:r>
      <w:r w:rsidR="00FE7EFE">
        <w:t xml:space="preserve"> at the Offices of the Department of Infrastructure, Transport, Regional Development, Communications</w:t>
      </w:r>
      <w:r w:rsidR="00576520">
        <w:t xml:space="preserve">, Sport </w:t>
      </w:r>
      <w:r w:rsidR="00FE7EFE">
        <w:t>and the Arts in Canberra.</w:t>
      </w:r>
    </w:p>
    <w:p w14:paraId="4479CF17" w14:textId="22729E77" w:rsidR="00B462C5" w:rsidRPr="008D244E" w:rsidRDefault="00B462C5" w:rsidP="000345E5">
      <w:pPr>
        <w:jc w:val="both"/>
        <w:rPr>
          <w:b/>
          <w:caps/>
        </w:rPr>
      </w:pPr>
      <w:r w:rsidRPr="008D244E">
        <w:lastRenderedPageBreak/>
        <w:t xml:space="preserve">In accordance with </w:t>
      </w:r>
      <w:r w:rsidR="00E225D0">
        <w:t>paragraph</w:t>
      </w:r>
      <w:r w:rsidR="00E225D0" w:rsidRPr="008D244E">
        <w:t xml:space="preserve"> </w:t>
      </w:r>
      <w:r w:rsidRPr="008D244E">
        <w:t xml:space="preserve">14(1)(b) and </w:t>
      </w:r>
      <w:r w:rsidR="00E225D0">
        <w:t xml:space="preserve">subsection </w:t>
      </w:r>
      <w:r w:rsidRPr="008D244E">
        <w:t xml:space="preserve">14(2) of the </w:t>
      </w:r>
      <w:r w:rsidRPr="008D244E">
        <w:rPr>
          <w:i/>
        </w:rPr>
        <w:t>Legislation Act 2003</w:t>
      </w:r>
      <w:r w:rsidRPr="008D244E">
        <w:t xml:space="preserve">, each of these </w:t>
      </w:r>
      <w:r w:rsidR="000F1192" w:rsidRPr="008D244E">
        <w:t>ISO standards</w:t>
      </w:r>
      <w:r w:rsidRPr="008D244E">
        <w:t xml:space="preserve"> are incorporated as in force on the date this </w:t>
      </w:r>
      <w:r w:rsidR="00B01B7D">
        <w:t>n</w:t>
      </w:r>
      <w:r w:rsidRPr="008D244E">
        <w:t xml:space="preserve">ational </w:t>
      </w:r>
      <w:r w:rsidR="00B01B7D">
        <w:t>r</w:t>
      </w:r>
      <w:r w:rsidRPr="008D244E">
        <w:t xml:space="preserve">oad </w:t>
      </w:r>
      <w:r w:rsidR="00B01B7D">
        <w:t>v</w:t>
      </w:r>
      <w:r w:rsidRPr="008D244E">
        <w:t xml:space="preserve">ehicle </w:t>
      </w:r>
      <w:r w:rsidR="00B01B7D">
        <w:t>s</w:t>
      </w:r>
      <w:r w:rsidRPr="008D244E">
        <w:t>tandard is made.</w:t>
      </w:r>
    </w:p>
    <w:p w14:paraId="100A7E99" w14:textId="5963E3E2" w:rsidR="007C1E8E" w:rsidRPr="008D244E" w:rsidRDefault="00023A16" w:rsidP="000345E5">
      <w:pPr>
        <w:jc w:val="both"/>
      </w:pPr>
      <w:r>
        <w:t>Section 12</w:t>
      </w:r>
      <w:r w:rsidR="007C1E8E" w:rsidRPr="007B4F0E">
        <w:t xml:space="preserve"> of the Act allows the Minister to incorporate a broad range of documents, </w:t>
      </w:r>
      <w:r>
        <w:t>i</w:t>
      </w:r>
      <w:r w:rsidRPr="00023A16">
        <w:t xml:space="preserve">ncluding as in force or existing at a particular time or as in force from time to time, when making </w:t>
      </w:r>
      <w:r w:rsidR="00B01B7D">
        <w:t>n</w:t>
      </w:r>
      <w:r w:rsidRPr="00023A16">
        <w:t xml:space="preserve">ational </w:t>
      </w:r>
      <w:r w:rsidR="00B01B7D">
        <w:t>r</w:t>
      </w:r>
      <w:r w:rsidRPr="00023A16">
        <w:t xml:space="preserve">oad </w:t>
      </w:r>
      <w:r w:rsidR="00B01B7D">
        <w:t>v</w:t>
      </w:r>
      <w:r w:rsidRPr="00023A16">
        <w:t xml:space="preserve">ehicle </w:t>
      </w:r>
      <w:r w:rsidR="00B01B7D">
        <w:t>s</w:t>
      </w:r>
      <w:r w:rsidRPr="00023A16">
        <w:t>tandards.</w:t>
      </w:r>
      <w:r w:rsidR="007C1E8E" w:rsidRPr="007B4F0E">
        <w:t xml:space="preserve"> This ensures that Australia’s legislative framework is well-prepared for future developments in the international road vehicle space.</w:t>
      </w:r>
    </w:p>
    <w:p w14:paraId="7DA773DE" w14:textId="77777777" w:rsidR="00610FED" w:rsidRPr="008D244E" w:rsidRDefault="00610FED" w:rsidP="000345E5">
      <w:pPr>
        <w:pStyle w:val="Heading3"/>
        <w:jc w:val="both"/>
      </w:pPr>
      <w:r w:rsidRPr="008D244E">
        <w:t>United Nations Regulations</w:t>
      </w:r>
      <w:r w:rsidR="005B6759" w:rsidRPr="008D244E">
        <w:t xml:space="preserve"> and/or Resolutions</w:t>
      </w:r>
    </w:p>
    <w:p w14:paraId="1C150602" w14:textId="682A293E" w:rsidR="003E1D23" w:rsidRDefault="003E1D23" w:rsidP="000345E5">
      <w:pPr>
        <w:jc w:val="both"/>
      </w:pPr>
      <w:r w:rsidRPr="008D244E">
        <w:t>Clause 7.1 includes a reference to the</w:t>
      </w:r>
      <w:r w:rsidR="00EB5467">
        <w:t xml:space="preserve"> 0</w:t>
      </w:r>
      <w:r w:rsidR="00C83D4B">
        <w:t>2</w:t>
      </w:r>
      <w:r w:rsidR="00EB5467">
        <w:t xml:space="preserve"> series of</w:t>
      </w:r>
      <w:r w:rsidRPr="008D244E">
        <w:t xml:space="preserve"> UN Regulation No. 152</w:t>
      </w:r>
      <w:r w:rsidR="00A446C6">
        <w:t xml:space="preserve"> (R152)</w:t>
      </w:r>
      <w:r w:rsidRPr="008D244E">
        <w:t>. This is an international standard for AEBS fitted to passenger vehicles (other than omnibuses) and light goods vehicles.</w:t>
      </w:r>
    </w:p>
    <w:p w14:paraId="6C4F696F" w14:textId="2F39263F" w:rsidR="0036300A" w:rsidRDefault="0036300A" w:rsidP="000345E5">
      <w:pPr>
        <w:jc w:val="both"/>
      </w:pPr>
      <w:r w:rsidRPr="008D244E">
        <w:t xml:space="preserve">Paragraph 1 of Appendix A includes a reference to the Consolidated Resolution on the Construction of Vehicles (R.E.3.), document ECE/TRANS/WP.29/78/Rev.6. </w:t>
      </w:r>
      <w:r w:rsidR="00477560" w:rsidRPr="008D244E">
        <w:t>This includes definitions for the UN vehicle category classifications used in Appendix A and the alternative standard under clause 7 of ADR 98/0</w:t>
      </w:r>
      <w:r w:rsidR="00023A16">
        <w:t>2</w:t>
      </w:r>
      <w:r w:rsidR="00477560" w:rsidRPr="008D244E">
        <w:t>.</w:t>
      </w:r>
    </w:p>
    <w:p w14:paraId="7D8560A4" w14:textId="10C874A6" w:rsidR="00A647AE" w:rsidRPr="008D244E" w:rsidRDefault="00A647AE" w:rsidP="000345E5">
      <w:pPr>
        <w:jc w:val="both"/>
      </w:pPr>
      <w:r w:rsidRPr="008D244E">
        <w:t>Paragraph 1 of Appendix A includes a reference to</w:t>
      </w:r>
      <w:r>
        <w:t xml:space="preserve"> UN Regulation No. 131</w:t>
      </w:r>
      <w:r w:rsidR="00AA3A0E">
        <w:t xml:space="preserve"> (R131)</w:t>
      </w:r>
      <w:r>
        <w:t>. This is an international standard for AEBS fitted to omnibuses, medium and heavy goods vehicles.</w:t>
      </w:r>
    </w:p>
    <w:p w14:paraId="5BD2632B" w14:textId="07F4947A" w:rsidR="00610FED" w:rsidRDefault="00610FED" w:rsidP="000345E5">
      <w:pPr>
        <w:jc w:val="both"/>
      </w:pPr>
      <w:r w:rsidRPr="008D244E">
        <w:t xml:space="preserve">Paragraph </w:t>
      </w:r>
      <w:r w:rsidR="00A647AE">
        <w:t xml:space="preserve">2.14 and 5.1.7 </w:t>
      </w:r>
      <w:r w:rsidRPr="008D244E">
        <w:t>of Appendix A inc</w:t>
      </w:r>
      <w:r w:rsidR="008735E6" w:rsidRPr="008D244E">
        <w:t>lud</w:t>
      </w:r>
      <w:r w:rsidRPr="008D244E">
        <w:t>es reference</w:t>
      </w:r>
      <w:r w:rsidR="003C14FD" w:rsidRPr="008D244E">
        <w:t>s</w:t>
      </w:r>
      <w:r w:rsidRPr="008D244E">
        <w:t xml:space="preserve"> to UN Regulation</w:t>
      </w:r>
      <w:r w:rsidR="003C14FD" w:rsidRPr="008D244E">
        <w:t>s</w:t>
      </w:r>
      <w:r w:rsidRPr="008D244E">
        <w:t xml:space="preserve"> No. </w:t>
      </w:r>
      <w:r w:rsidR="003C14FD" w:rsidRPr="008D244E">
        <w:t xml:space="preserve">13 </w:t>
      </w:r>
      <w:r w:rsidR="00AA3A0E">
        <w:t xml:space="preserve">(R13) </w:t>
      </w:r>
      <w:r w:rsidR="003C14FD" w:rsidRPr="008D244E">
        <w:t xml:space="preserve">and </w:t>
      </w:r>
      <w:r w:rsidRPr="008D244E">
        <w:t>13-H</w:t>
      </w:r>
      <w:r w:rsidR="00AA3A0E">
        <w:t xml:space="preserve"> (R13H)</w:t>
      </w:r>
      <w:r w:rsidRPr="008D244E">
        <w:t>.</w:t>
      </w:r>
      <w:r w:rsidR="00A647AE">
        <w:t xml:space="preserve"> Paragraph 6.1.1.3</w:t>
      </w:r>
      <w:r w:rsidR="00A647AE" w:rsidRPr="008D244E">
        <w:t xml:space="preserve"> of Appendix A</w:t>
      </w:r>
      <w:r w:rsidR="00A647AE">
        <w:t xml:space="preserve"> includes a reference to UN Regulation No. 13-H.</w:t>
      </w:r>
      <w:r w:rsidR="00296D1C" w:rsidRPr="008D244E">
        <w:t xml:space="preserve"> </w:t>
      </w:r>
      <w:r w:rsidRPr="008D244E">
        <w:t>Th</w:t>
      </w:r>
      <w:r w:rsidR="00296D1C" w:rsidRPr="008D244E">
        <w:t>ese are</w:t>
      </w:r>
      <w:r w:rsidRPr="008D244E">
        <w:t xml:space="preserve"> international standard</w:t>
      </w:r>
      <w:r w:rsidR="00296D1C" w:rsidRPr="008D244E">
        <w:t>s</w:t>
      </w:r>
      <w:r w:rsidRPr="008D244E">
        <w:t xml:space="preserve"> for road vehicle braking systems.</w:t>
      </w:r>
    </w:p>
    <w:p w14:paraId="15CA1D6A" w14:textId="1ACEEF4C" w:rsidR="00155FE3" w:rsidRPr="008D244E" w:rsidRDefault="00155FE3" w:rsidP="00155FE3">
      <w:pPr>
        <w:jc w:val="both"/>
      </w:pPr>
      <w:r w:rsidRPr="008D244E">
        <w:t>Paragraph 5.1.2 of Appendix A includes a reference to the UN Regulation No. 10 (R10). This is an international standard for electromagnetic compatibility for vehicles and vehicle components.</w:t>
      </w:r>
    </w:p>
    <w:p w14:paraId="31335A5D" w14:textId="4371696A" w:rsidR="008735E6" w:rsidRPr="008D244E" w:rsidRDefault="008735E6" w:rsidP="000345E5">
      <w:pPr>
        <w:jc w:val="both"/>
      </w:pPr>
      <w:r w:rsidRPr="008D244E">
        <w:t xml:space="preserve">Paragraph 5.4.1.3 of Appendix A includes a reference to UN Regulation No. 121 (R121). This is an international standard for the identification of vehicle controls, </w:t>
      </w:r>
      <w:r w:rsidR="00C77AE1" w:rsidRPr="008D244E">
        <w:br/>
      </w:r>
      <w:r w:rsidRPr="008D244E">
        <w:t>tell-tales and indicators.</w:t>
      </w:r>
    </w:p>
    <w:p w14:paraId="1A1E7149" w14:textId="54F9EFFD" w:rsidR="00610FED" w:rsidRPr="008D244E" w:rsidRDefault="00610FED" w:rsidP="000345E5">
      <w:pPr>
        <w:jc w:val="both"/>
      </w:pPr>
      <w:r w:rsidRPr="008D244E">
        <w:t xml:space="preserve">The </w:t>
      </w:r>
      <w:r w:rsidR="00B512EE" w:rsidRPr="008D244E">
        <w:t xml:space="preserve">Consolidated Resolution on the Construction of Vehicles (R.E.3.), document ECE/TRANS/WP.29/78/Rev.6, and the </w:t>
      </w:r>
      <w:r w:rsidRPr="008D244E">
        <w:t xml:space="preserve">UN Regulations (including </w:t>
      </w:r>
      <w:r w:rsidR="003C14FD" w:rsidRPr="008D244E">
        <w:t xml:space="preserve">R10, </w:t>
      </w:r>
      <w:r w:rsidRPr="008D244E">
        <w:t>R13</w:t>
      </w:r>
      <w:r w:rsidR="003C14FD" w:rsidRPr="008D244E">
        <w:t xml:space="preserve">, </w:t>
      </w:r>
      <w:r w:rsidRPr="008D244E">
        <w:t>R13-H</w:t>
      </w:r>
      <w:r w:rsidR="008735E6" w:rsidRPr="008D244E">
        <w:t xml:space="preserve">, </w:t>
      </w:r>
      <w:r w:rsidR="003C14FD" w:rsidRPr="008D244E">
        <w:t>R121</w:t>
      </w:r>
      <w:r w:rsidR="008735E6" w:rsidRPr="008D244E">
        <w:t>,</w:t>
      </w:r>
      <w:r w:rsidR="00AA3A0E">
        <w:t xml:space="preserve"> R131 </w:t>
      </w:r>
      <w:r w:rsidR="008735E6" w:rsidRPr="008D244E">
        <w:t>and R152</w:t>
      </w:r>
      <w:r w:rsidRPr="008D244E">
        <w:t>), may be freely accessed online through the UN World Forum for the Harmonization of Vehicle Regulations (WP.29). The WP.29 website is</w:t>
      </w:r>
      <w:r w:rsidR="004A369F" w:rsidRPr="008D244E">
        <w:t xml:space="preserve"> </w:t>
      </w:r>
      <w:hyperlink r:id="rId9" w:history="1">
        <w:r w:rsidRPr="008D244E">
          <w:rPr>
            <w:rStyle w:val="Hyperlink"/>
            <w:bCs/>
          </w:rPr>
          <w:t>www.unece.org/trans/main/welcwp29.html</w:t>
        </w:r>
      </w:hyperlink>
      <w:r w:rsidRPr="008D244E">
        <w:t>.</w:t>
      </w:r>
    </w:p>
    <w:p w14:paraId="1CECCCA5" w14:textId="5370BB39" w:rsidR="004767B9" w:rsidRPr="008D244E" w:rsidRDefault="00610FED" w:rsidP="000345E5">
      <w:pPr>
        <w:jc w:val="both"/>
        <w:rPr>
          <w:b/>
          <w:caps/>
        </w:rPr>
      </w:pPr>
      <w:r w:rsidRPr="008D244E">
        <w:t xml:space="preserve">In accordance with </w:t>
      </w:r>
      <w:r w:rsidR="00552778">
        <w:t>paragraph</w:t>
      </w:r>
      <w:r w:rsidR="00552778" w:rsidRPr="008D244E">
        <w:t xml:space="preserve"> </w:t>
      </w:r>
      <w:r w:rsidRPr="008D244E">
        <w:t xml:space="preserve">14(1)(b) and </w:t>
      </w:r>
      <w:r w:rsidR="00552778">
        <w:t xml:space="preserve">subsection </w:t>
      </w:r>
      <w:r w:rsidRPr="008D244E">
        <w:t xml:space="preserve">14(2) of the </w:t>
      </w:r>
      <w:r w:rsidRPr="008D244E">
        <w:rPr>
          <w:i/>
        </w:rPr>
        <w:t>Legislation Act 2003</w:t>
      </w:r>
      <w:r w:rsidRPr="008D244E">
        <w:t xml:space="preserve">, each of these </w:t>
      </w:r>
      <w:r w:rsidR="00F81DA7" w:rsidRPr="008D244E">
        <w:t xml:space="preserve">UN </w:t>
      </w:r>
      <w:r w:rsidRPr="008D244E">
        <w:t xml:space="preserve">documents are incorporated as in force on the date this </w:t>
      </w:r>
      <w:r w:rsidR="00537E1D">
        <w:t>n</w:t>
      </w:r>
      <w:r w:rsidR="00537E1D" w:rsidRPr="008D244E">
        <w:t xml:space="preserve">ational </w:t>
      </w:r>
      <w:r w:rsidR="00537E1D">
        <w:t>r</w:t>
      </w:r>
      <w:r w:rsidR="00537E1D" w:rsidRPr="008D244E">
        <w:t xml:space="preserve">oad </w:t>
      </w:r>
      <w:r w:rsidR="00537E1D">
        <w:t>v</w:t>
      </w:r>
      <w:r w:rsidR="00537E1D" w:rsidRPr="008D244E">
        <w:t xml:space="preserve">ehicle </w:t>
      </w:r>
      <w:r w:rsidR="00537E1D">
        <w:t>s</w:t>
      </w:r>
      <w:r w:rsidR="00537E1D" w:rsidRPr="008D244E">
        <w:t xml:space="preserve">tandard </w:t>
      </w:r>
      <w:r w:rsidRPr="008D244E">
        <w:t>is made.</w:t>
      </w:r>
      <w:bookmarkStart w:id="57" w:name="_Toc318271645"/>
      <w:bookmarkStart w:id="58" w:name="_Toc317171517"/>
      <w:bookmarkStart w:id="59" w:name="_Toc317171391"/>
      <w:bookmarkStart w:id="60" w:name="_Toc317158948"/>
      <w:bookmarkStart w:id="61" w:name="_Toc318272904"/>
      <w:bookmarkStart w:id="62" w:name="_Toc319402529"/>
      <w:bookmarkStart w:id="63" w:name="_Toc505092267"/>
    </w:p>
    <w:p w14:paraId="4373A896" w14:textId="77777777" w:rsidR="00586887" w:rsidRPr="008D244E" w:rsidRDefault="00610FED" w:rsidP="000345E5">
      <w:pPr>
        <w:pStyle w:val="HeadingLevel1"/>
        <w:jc w:val="both"/>
      </w:pPr>
      <w:bookmarkStart w:id="64" w:name="_Toc77772871"/>
      <w:bookmarkStart w:id="65" w:name="_Toc210305555"/>
      <w:bookmarkEnd w:id="57"/>
      <w:bookmarkEnd w:id="58"/>
      <w:bookmarkEnd w:id="59"/>
      <w:bookmarkEnd w:id="60"/>
      <w:bookmarkEnd w:id="61"/>
      <w:bookmarkEnd w:id="62"/>
      <w:bookmarkEnd w:id="63"/>
      <w:r w:rsidRPr="008D244E">
        <w:t>CONSULTATION</w:t>
      </w:r>
      <w:bookmarkEnd w:id="64"/>
      <w:bookmarkEnd w:id="65"/>
    </w:p>
    <w:p w14:paraId="471769BE" w14:textId="77777777" w:rsidR="00040841" w:rsidRPr="008D244E" w:rsidRDefault="00040841" w:rsidP="000345E5">
      <w:pPr>
        <w:pStyle w:val="HeadingLevel2"/>
        <w:keepNext/>
        <w:tabs>
          <w:tab w:val="clear" w:pos="3545"/>
          <w:tab w:val="num" w:pos="993"/>
          <w:tab w:val="num" w:pos="3829"/>
        </w:tabs>
        <w:ind w:left="851"/>
        <w:jc w:val="both"/>
      </w:pPr>
      <w:bookmarkStart w:id="66" w:name="_Toc77772872"/>
      <w:bookmarkStart w:id="67" w:name="_Toc210305556"/>
      <w:r w:rsidRPr="008D244E">
        <w:t>General Consultation Arrangements</w:t>
      </w:r>
      <w:bookmarkEnd w:id="66"/>
      <w:bookmarkEnd w:id="67"/>
    </w:p>
    <w:p w14:paraId="68408366" w14:textId="092FF9A2" w:rsidR="00EE68A7" w:rsidRDefault="00EE68A7" w:rsidP="000345E5">
      <w:pPr>
        <w:jc w:val="both"/>
      </w:pPr>
      <w:r w:rsidRPr="008D244E">
        <w:t xml:space="preserve">It has been </w:t>
      </w:r>
      <w:r w:rsidR="00AA3A0E">
        <w:t xml:space="preserve">a </w:t>
      </w:r>
      <w:r w:rsidRPr="008D244E">
        <w:t xml:space="preserve">longstanding practice to consult widely on proposed new or amended vehicle standards. For many years, there has been active collaboration between the </w:t>
      </w:r>
      <w:r w:rsidRPr="008D244E">
        <w:lastRenderedPageBreak/>
        <w:t xml:space="preserve">Commonwealth and the </w:t>
      </w:r>
      <w:r w:rsidR="00C83D4B">
        <w:t>S</w:t>
      </w:r>
      <w:r w:rsidRPr="008D244E">
        <w:t>tate/</w:t>
      </w:r>
      <w:r w:rsidR="00C83D4B">
        <w:t>T</w:t>
      </w:r>
      <w:r w:rsidRPr="008D244E">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37FC23B4" w14:textId="77777777" w:rsidR="00A6449D" w:rsidRPr="005643E4" w:rsidRDefault="00A6449D" w:rsidP="000345E5">
      <w:pPr>
        <w:jc w:val="both"/>
        <w:rPr>
          <w:i/>
        </w:rPr>
      </w:pPr>
      <w:r w:rsidRPr="005643E4">
        <w:t xml:space="preserve">Proposals that are regarded as significant need to be supported by </w:t>
      </w:r>
      <w:r>
        <w:t xml:space="preserve">an Impact Analysis (IA) </w:t>
      </w:r>
      <w:r w:rsidRPr="005643E4">
        <w:t xml:space="preserve">meeting the requirements of the </w:t>
      </w:r>
      <w:r>
        <w:t xml:space="preserve">Office of Impact Analysis (OIA) </w:t>
      </w:r>
      <w:r w:rsidRPr="005643E4">
        <w:t xml:space="preserve">as published in the </w:t>
      </w:r>
      <w:r w:rsidRPr="00130856">
        <w:rPr>
          <w:i/>
        </w:rPr>
        <w:t>Australian Government Guide to Policy Impact Analysis 2023</w:t>
      </w:r>
      <w:r w:rsidRPr="005643E4">
        <w:rPr>
          <w:i/>
        </w:rPr>
        <w:t>.</w:t>
      </w:r>
    </w:p>
    <w:p w14:paraId="5E2F858E" w14:textId="77777777" w:rsidR="00040841" w:rsidRPr="008D244E" w:rsidRDefault="00040841" w:rsidP="000345E5">
      <w:pPr>
        <w:pStyle w:val="HeadingLevel2"/>
        <w:keepNext/>
        <w:tabs>
          <w:tab w:val="clear" w:pos="3545"/>
          <w:tab w:val="num" w:pos="993"/>
          <w:tab w:val="num" w:pos="3829"/>
        </w:tabs>
        <w:ind w:left="851"/>
        <w:jc w:val="both"/>
      </w:pPr>
      <w:bookmarkStart w:id="68" w:name="_Toc77091664"/>
      <w:bookmarkStart w:id="69" w:name="_Toc77253508"/>
      <w:bookmarkStart w:id="70" w:name="_Toc77253559"/>
      <w:bookmarkStart w:id="71" w:name="_Toc77263179"/>
      <w:bookmarkStart w:id="72" w:name="_Toc77264489"/>
      <w:bookmarkStart w:id="73" w:name="_Toc210305557"/>
      <w:bookmarkEnd w:id="68"/>
      <w:bookmarkEnd w:id="69"/>
      <w:bookmarkEnd w:id="70"/>
      <w:bookmarkEnd w:id="71"/>
      <w:bookmarkEnd w:id="72"/>
      <w:r w:rsidRPr="008D244E">
        <w:t>Specific Consultation Arrangements</w:t>
      </w:r>
      <w:bookmarkEnd w:id="73"/>
    </w:p>
    <w:p w14:paraId="47253BB1" w14:textId="10886032" w:rsidR="00EE68A7" w:rsidRPr="008D244E" w:rsidRDefault="00FE3D8F" w:rsidP="000345E5">
      <w:pPr>
        <w:jc w:val="both"/>
      </w:pPr>
      <w:r>
        <w:t>[A further summary will be inserted here following this consultation]</w:t>
      </w:r>
      <w:r w:rsidR="00A6449D">
        <w:t>.</w:t>
      </w:r>
    </w:p>
    <w:p w14:paraId="7A6FDB46" w14:textId="77777777" w:rsidR="00EE68A7" w:rsidRPr="008D244E" w:rsidRDefault="00EE68A7" w:rsidP="000345E5">
      <w:pPr>
        <w:pStyle w:val="HeadingLevel1"/>
        <w:jc w:val="both"/>
      </w:pPr>
      <w:bookmarkStart w:id="74" w:name="_Toc77253510"/>
      <w:bookmarkStart w:id="75" w:name="_Toc77253561"/>
      <w:bookmarkStart w:id="76" w:name="_Toc77263181"/>
      <w:bookmarkStart w:id="77" w:name="_Toc77264491"/>
      <w:bookmarkStart w:id="78" w:name="_Toc77253511"/>
      <w:bookmarkStart w:id="79" w:name="_Toc77253562"/>
      <w:bookmarkStart w:id="80" w:name="_Toc77263182"/>
      <w:bookmarkStart w:id="81" w:name="_Toc77264492"/>
      <w:bookmarkStart w:id="82" w:name="_Toc77253512"/>
      <w:bookmarkStart w:id="83" w:name="_Toc77253563"/>
      <w:bookmarkStart w:id="84" w:name="_Toc77263183"/>
      <w:bookmarkStart w:id="85" w:name="_Toc77264493"/>
      <w:bookmarkStart w:id="86" w:name="_Toc77253513"/>
      <w:bookmarkStart w:id="87" w:name="_Toc77253564"/>
      <w:bookmarkStart w:id="88" w:name="_Toc77263184"/>
      <w:bookmarkStart w:id="89" w:name="_Toc77264494"/>
      <w:bookmarkStart w:id="90" w:name="_Toc74044077"/>
      <w:bookmarkStart w:id="91" w:name="_Toc74044726"/>
      <w:bookmarkStart w:id="92" w:name="_Toc210305558"/>
      <w:bookmarkStart w:id="93" w:name="_Toc46333225"/>
      <w:bookmarkStart w:id="94" w:name="_Toc46333479"/>
      <w:bookmarkStart w:id="95" w:name="_Toc46333633"/>
      <w:bookmarkStart w:id="96" w:name="_Toc46333798"/>
      <w:bookmarkStart w:id="97" w:name="_Toc46333912"/>
      <w:bookmarkStart w:id="98" w:name="_Toc4633464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D244E">
        <w:t>Regulatory Impact</w:t>
      </w:r>
      <w:bookmarkEnd w:id="90"/>
      <w:bookmarkEnd w:id="91"/>
      <w:bookmarkEnd w:id="92"/>
    </w:p>
    <w:p w14:paraId="1DFA1DE1" w14:textId="1BF44CFC" w:rsidR="00A6449D" w:rsidRDefault="00A6449D" w:rsidP="000345E5">
      <w:pPr>
        <w:pStyle w:val="HeadingLevel2"/>
        <w:keepNext/>
        <w:tabs>
          <w:tab w:val="clear" w:pos="3545"/>
          <w:tab w:val="num" w:pos="993"/>
          <w:tab w:val="num" w:pos="3829"/>
        </w:tabs>
        <w:ind w:left="851"/>
        <w:jc w:val="both"/>
      </w:pPr>
      <w:bookmarkStart w:id="99" w:name="_Toc210305559"/>
      <w:bookmarkStart w:id="100" w:name="_Toc167864616"/>
      <w:bookmarkStart w:id="101" w:name="_Toc505092264"/>
      <w:bookmarkStart w:id="102" w:name="_Toc46333222"/>
      <w:bookmarkStart w:id="103" w:name="_Toc46333476"/>
      <w:bookmarkStart w:id="104" w:name="_Toc46333630"/>
      <w:bookmarkStart w:id="105" w:name="_Toc46333795"/>
      <w:bookmarkStart w:id="106" w:name="_Toc46333909"/>
      <w:bookmarkStart w:id="107" w:name="_Toc46334645"/>
      <w:bookmarkStart w:id="108" w:name="_Toc74044078"/>
      <w:bookmarkStart w:id="109" w:name="_Toc74044727"/>
      <w:r>
        <w:t>Benefits and Costs</w:t>
      </w:r>
      <w:bookmarkEnd w:id="99"/>
    </w:p>
    <w:bookmarkEnd w:id="100"/>
    <w:bookmarkEnd w:id="101"/>
    <w:bookmarkEnd w:id="102"/>
    <w:bookmarkEnd w:id="103"/>
    <w:bookmarkEnd w:id="104"/>
    <w:bookmarkEnd w:id="105"/>
    <w:bookmarkEnd w:id="106"/>
    <w:bookmarkEnd w:id="107"/>
    <w:bookmarkEnd w:id="108"/>
    <w:bookmarkEnd w:id="109"/>
    <w:p w14:paraId="303C14CD" w14:textId="648B4438" w:rsidR="00EE68A7" w:rsidRDefault="00EF762F" w:rsidP="000345E5">
      <w:pPr>
        <w:jc w:val="both"/>
      </w:pPr>
      <w:r>
        <w:t xml:space="preserve">The introduction of a new ADR 98/02 harmonised with the 02 series of amendments to UN R152 supports the Australian Government’s priorities under the National </w:t>
      </w:r>
      <w:r w:rsidRPr="00EF762F">
        <w:t>Road Safety Strategy 2021–30</w:t>
      </w:r>
      <w:r>
        <w:t xml:space="preserve"> that includes </w:t>
      </w:r>
      <w:r w:rsidRPr="00EF762F">
        <w:t>pursuing technological improvements and uptake of safer vehicles</w:t>
      </w:r>
      <w:r>
        <w:t xml:space="preserve">, and the protection of vulnerable road users. This ADR aims to </w:t>
      </w:r>
      <w:r w:rsidRPr="00EF762F">
        <w:t>deliver safer vehicles to the Australian community to reduce cyclist fatalities and injuries resulting from road crashes.</w:t>
      </w:r>
    </w:p>
    <w:p w14:paraId="1606B4D5" w14:textId="5ADF154F" w:rsidR="00EF762F" w:rsidRDefault="00EF762F" w:rsidP="000345E5">
      <w:pPr>
        <w:jc w:val="both"/>
      </w:pPr>
      <w:r w:rsidRPr="00EF762F">
        <w:t xml:space="preserve">This option also forms a holistic policy consideration of the benefits and Australian Government objectives, </w:t>
      </w:r>
      <w:r w:rsidR="00E01D3F">
        <w:t>and is in keeping with the</w:t>
      </w:r>
      <w:r w:rsidRPr="00EF762F">
        <w:t xml:space="preserve"> long-standing policy of harmonisation with UN Regulations. Harmonisation with the UN Regulations allows Australia to fulfil its obligations as a Contracting Party under the 1958 Agreement and as a signatory under the World Trade Organisation Technical Barriers to Trade Agreement.</w:t>
      </w:r>
    </w:p>
    <w:p w14:paraId="00A77470" w14:textId="45395AC0" w:rsidR="00A6449D" w:rsidRDefault="00A6449D" w:rsidP="000345E5">
      <w:pPr>
        <w:pStyle w:val="HeadingLevel2"/>
        <w:keepNext/>
        <w:tabs>
          <w:tab w:val="clear" w:pos="3545"/>
          <w:tab w:val="num" w:pos="993"/>
          <w:tab w:val="num" w:pos="3829"/>
        </w:tabs>
        <w:ind w:left="851"/>
        <w:jc w:val="both"/>
      </w:pPr>
      <w:bookmarkStart w:id="110" w:name="_Toc210305560"/>
      <w:r>
        <w:t>Impact Analysis</w:t>
      </w:r>
      <w:bookmarkEnd w:id="110"/>
    </w:p>
    <w:p w14:paraId="514117F1" w14:textId="3B416BEA" w:rsidR="00A6449D" w:rsidRPr="008D244E" w:rsidRDefault="00A6449D" w:rsidP="000345E5">
      <w:pPr>
        <w:jc w:val="both"/>
      </w:pPr>
      <w:r>
        <w:t xml:space="preserve">A Preliminary Impact Analysis was submitted to the OIA and it was determined </w:t>
      </w:r>
      <w:r w:rsidRPr="00E458E5">
        <w:t xml:space="preserve">in </w:t>
      </w:r>
      <w:r w:rsidR="00E458E5" w:rsidRPr="00E458E5">
        <w:t>April</w:t>
      </w:r>
      <w:r w:rsidR="0065023D">
        <w:t> </w:t>
      </w:r>
      <w:r w:rsidRPr="00E458E5">
        <w:t xml:space="preserve">2025 that a detailed analysis is not required under the Australian Government’s Policy Impact Analysis Framework. The OIA reference number for the IA is </w:t>
      </w:r>
      <w:r w:rsidR="00561C3A">
        <w:br/>
      </w:r>
      <w:r w:rsidRPr="00E458E5">
        <w:t>OIA25-</w:t>
      </w:r>
      <w:r w:rsidR="00E458E5" w:rsidRPr="00E458E5">
        <w:t>09348</w:t>
      </w:r>
      <w:r w:rsidRPr="00330033">
        <w:t>.</w:t>
      </w:r>
    </w:p>
    <w:p w14:paraId="0BF6C66E" w14:textId="77777777" w:rsidR="00EE68A7" w:rsidRPr="008D244E" w:rsidRDefault="00EE68A7" w:rsidP="000345E5">
      <w:pPr>
        <w:pStyle w:val="HeadingLevel1"/>
        <w:jc w:val="both"/>
      </w:pPr>
      <w:bookmarkStart w:id="111" w:name="_Toc77253515"/>
      <w:bookmarkStart w:id="112" w:name="_Toc77253566"/>
      <w:bookmarkStart w:id="113" w:name="_Toc77263186"/>
      <w:bookmarkStart w:id="114" w:name="_Toc77264496"/>
      <w:bookmarkStart w:id="115" w:name="_Toc74044080"/>
      <w:bookmarkStart w:id="116" w:name="_Toc74044729"/>
      <w:bookmarkStart w:id="117" w:name="_Toc77772875"/>
      <w:bookmarkStart w:id="118" w:name="_Toc210305561"/>
      <w:bookmarkEnd w:id="111"/>
      <w:bookmarkEnd w:id="112"/>
      <w:bookmarkEnd w:id="113"/>
      <w:bookmarkEnd w:id="114"/>
      <w:r w:rsidRPr="008D244E">
        <w:t>STATEMENT OF COMPATIBILITY WITH HUMAN RIGHTS</w:t>
      </w:r>
      <w:bookmarkEnd w:id="93"/>
      <w:bookmarkEnd w:id="94"/>
      <w:bookmarkEnd w:id="95"/>
      <w:bookmarkEnd w:id="96"/>
      <w:bookmarkEnd w:id="97"/>
      <w:bookmarkEnd w:id="98"/>
      <w:bookmarkEnd w:id="115"/>
      <w:bookmarkEnd w:id="116"/>
      <w:bookmarkEnd w:id="117"/>
      <w:bookmarkEnd w:id="118"/>
    </w:p>
    <w:p w14:paraId="15272828" w14:textId="77777777" w:rsidR="00EE68A7" w:rsidRPr="008D244E" w:rsidRDefault="00EE68A7" w:rsidP="000345E5">
      <w:pPr>
        <w:jc w:val="both"/>
      </w:pPr>
      <w:r w:rsidRPr="008D244E">
        <w:t xml:space="preserve">The following Statement is prepared in accordance with Part 3 of the </w:t>
      </w:r>
      <w:r w:rsidRPr="008D244E">
        <w:rPr>
          <w:i/>
          <w:iCs/>
        </w:rPr>
        <w:t>Human Rights (Parliamentary Scrutiny) Act 2011.</w:t>
      </w:r>
    </w:p>
    <w:p w14:paraId="1A3C30DE" w14:textId="723BDA69" w:rsidR="00EE68A7" w:rsidRPr="008D244E" w:rsidRDefault="00EE68A7" w:rsidP="000345E5">
      <w:pPr>
        <w:pStyle w:val="HeadingLevel2"/>
        <w:keepNext/>
        <w:tabs>
          <w:tab w:val="clear" w:pos="3545"/>
          <w:tab w:val="num" w:pos="993"/>
          <w:tab w:val="num" w:pos="3829"/>
        </w:tabs>
        <w:ind w:left="851"/>
        <w:jc w:val="both"/>
      </w:pPr>
      <w:bookmarkStart w:id="119" w:name="_Toc318271646"/>
      <w:bookmarkStart w:id="120" w:name="_Toc317171518"/>
      <w:bookmarkStart w:id="121" w:name="_Toc317171392"/>
      <w:bookmarkStart w:id="122" w:name="_Toc318272905"/>
      <w:bookmarkStart w:id="123" w:name="_Toc319402530"/>
      <w:bookmarkStart w:id="124" w:name="_Toc505092268"/>
      <w:bookmarkStart w:id="125" w:name="_Toc46333226"/>
      <w:bookmarkStart w:id="126" w:name="_Toc46333480"/>
      <w:bookmarkStart w:id="127" w:name="_Toc46333634"/>
      <w:bookmarkStart w:id="128" w:name="_Toc46333799"/>
      <w:bookmarkStart w:id="129" w:name="_Toc46333913"/>
      <w:bookmarkStart w:id="130" w:name="_Toc46334649"/>
      <w:bookmarkStart w:id="131" w:name="_Toc74044081"/>
      <w:bookmarkStart w:id="132" w:name="_Toc74044730"/>
      <w:bookmarkStart w:id="133" w:name="_Toc210305562"/>
      <w:r w:rsidRPr="008D244E">
        <w:t>Overview</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22B802E" w14:textId="4DC5085C" w:rsidR="00EE68A7" w:rsidRPr="008D244E" w:rsidRDefault="00EE68A7" w:rsidP="000345E5">
      <w:pPr>
        <w:jc w:val="both"/>
      </w:pPr>
      <w:r w:rsidRPr="008D244E">
        <w:t>ADR 98/0</w:t>
      </w:r>
      <w:r w:rsidR="003C41A6">
        <w:t>2</w:t>
      </w:r>
      <w:r w:rsidRPr="008D244E">
        <w:t xml:space="preserve"> </w:t>
      </w:r>
      <w:r w:rsidR="00B614E4" w:rsidRPr="008D244E">
        <w:t xml:space="preserve">specifies </w:t>
      </w:r>
      <w:r w:rsidRPr="008D244E">
        <w:t xml:space="preserve">requirements for </w:t>
      </w:r>
      <w:r w:rsidR="00B614E4" w:rsidRPr="008D244E">
        <w:t xml:space="preserve">the fitment of </w:t>
      </w:r>
      <w:r w:rsidRPr="008D244E">
        <w:t>AEBS to passenger vehicles (other than omnibuses), and to light goods vehicles, to avoid or mitigate the severity of rear-end in</w:t>
      </w:r>
      <w:r w:rsidR="006F316A">
        <w:t>-</w:t>
      </w:r>
      <w:r w:rsidRPr="008D244E">
        <w:t>lane collisions</w:t>
      </w:r>
      <w:r w:rsidR="00FD3FDD" w:rsidRPr="008D244E">
        <w:t xml:space="preserve"> and impacts with pedestrians</w:t>
      </w:r>
      <w:r w:rsidR="00FC276F">
        <w:t xml:space="preserve"> and bicycles</w:t>
      </w:r>
      <w:r w:rsidRPr="008D244E">
        <w:t>.</w:t>
      </w:r>
    </w:p>
    <w:p w14:paraId="29E11BC9" w14:textId="77777777" w:rsidR="00EE68A7" w:rsidRPr="008D244E" w:rsidRDefault="00EE68A7" w:rsidP="000345E5">
      <w:pPr>
        <w:pStyle w:val="HeadingLevel2"/>
        <w:keepNext/>
        <w:tabs>
          <w:tab w:val="clear" w:pos="3545"/>
          <w:tab w:val="num" w:pos="993"/>
          <w:tab w:val="num" w:pos="3829"/>
        </w:tabs>
        <w:ind w:left="851"/>
        <w:jc w:val="both"/>
      </w:pPr>
      <w:bookmarkStart w:id="134" w:name="_Toc318271647"/>
      <w:bookmarkStart w:id="135" w:name="_Toc317171519"/>
      <w:bookmarkStart w:id="136" w:name="_Toc317171393"/>
      <w:bookmarkStart w:id="137" w:name="_Toc318272906"/>
      <w:bookmarkStart w:id="138" w:name="_Toc319402531"/>
      <w:bookmarkStart w:id="139" w:name="_Toc505092269"/>
      <w:bookmarkStart w:id="140" w:name="_Toc46333227"/>
      <w:bookmarkStart w:id="141" w:name="_Toc46333481"/>
      <w:bookmarkStart w:id="142" w:name="_Toc46333635"/>
      <w:bookmarkStart w:id="143" w:name="_Toc46333800"/>
      <w:bookmarkStart w:id="144" w:name="_Toc46333914"/>
      <w:bookmarkStart w:id="145" w:name="_Toc46334650"/>
      <w:bookmarkStart w:id="146" w:name="_Toc74044082"/>
      <w:bookmarkStart w:id="147" w:name="_Toc74044731"/>
      <w:bookmarkStart w:id="148" w:name="_Toc210305563"/>
      <w:r w:rsidRPr="008D244E">
        <w:t>Human Rights Implications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BF3B4E7" w14:textId="200C4690" w:rsidR="00EE68A7" w:rsidRDefault="00EE68A7" w:rsidP="000345E5">
      <w:pPr>
        <w:jc w:val="both"/>
      </w:pPr>
      <w:r w:rsidRPr="008D244E">
        <w:t>ADR 98/0</w:t>
      </w:r>
      <w:r w:rsidR="003C41A6">
        <w:t>2</w:t>
      </w:r>
      <w:r w:rsidRPr="008D244E">
        <w:t xml:space="preserve"> does not engage any of the human rights and freedoms recognised or declared in the international instruments listed in section 3 of the </w:t>
      </w:r>
      <w:r w:rsidRPr="008D244E">
        <w:rPr>
          <w:i/>
          <w:iCs/>
        </w:rPr>
        <w:t>Human Rights (Parliamentary Scrutiny) Act 2011</w:t>
      </w:r>
      <w:r w:rsidRPr="008D244E">
        <w:t>.</w:t>
      </w:r>
    </w:p>
    <w:p w14:paraId="0F6FD551" w14:textId="77777777" w:rsidR="00EE68A7" w:rsidRPr="008D244E" w:rsidRDefault="00EE68A7" w:rsidP="000345E5">
      <w:pPr>
        <w:pStyle w:val="HeadingLevel2"/>
        <w:keepNext/>
        <w:tabs>
          <w:tab w:val="clear" w:pos="3545"/>
          <w:tab w:val="num" w:pos="993"/>
          <w:tab w:val="num" w:pos="3829"/>
        </w:tabs>
        <w:ind w:left="851"/>
        <w:jc w:val="both"/>
      </w:pPr>
      <w:bookmarkStart w:id="149" w:name="_Toc319402532"/>
      <w:bookmarkStart w:id="150" w:name="_Toc505092270"/>
      <w:bookmarkStart w:id="151" w:name="_Toc46333228"/>
      <w:bookmarkStart w:id="152" w:name="_Toc46333482"/>
      <w:bookmarkStart w:id="153" w:name="_Toc46333636"/>
      <w:bookmarkStart w:id="154" w:name="_Toc46333801"/>
      <w:bookmarkStart w:id="155" w:name="_Toc46333915"/>
      <w:bookmarkStart w:id="156" w:name="_Toc46334651"/>
      <w:bookmarkStart w:id="157" w:name="_Toc74044083"/>
      <w:bookmarkStart w:id="158" w:name="_Toc74044732"/>
      <w:bookmarkStart w:id="159" w:name="_Toc77772878"/>
      <w:bookmarkStart w:id="160" w:name="_Toc210305564"/>
      <w:r w:rsidRPr="008D244E">
        <w:lastRenderedPageBreak/>
        <w:t>Conclusion</w:t>
      </w:r>
      <w:bookmarkEnd w:id="149"/>
      <w:bookmarkEnd w:id="150"/>
      <w:bookmarkEnd w:id="151"/>
      <w:bookmarkEnd w:id="152"/>
      <w:bookmarkEnd w:id="153"/>
      <w:bookmarkEnd w:id="154"/>
      <w:bookmarkEnd w:id="155"/>
      <w:bookmarkEnd w:id="156"/>
      <w:bookmarkEnd w:id="157"/>
      <w:bookmarkEnd w:id="158"/>
      <w:bookmarkEnd w:id="159"/>
      <w:bookmarkEnd w:id="160"/>
    </w:p>
    <w:p w14:paraId="50573E45" w14:textId="11FBC5AD" w:rsidR="00EE68A7" w:rsidRPr="00EE68A7" w:rsidRDefault="00EE68A7" w:rsidP="000345E5">
      <w:pPr>
        <w:jc w:val="both"/>
      </w:pPr>
      <w:r w:rsidRPr="008D244E">
        <w:t>ADR 98/0</w:t>
      </w:r>
      <w:r w:rsidR="003C41A6">
        <w:t>2</w:t>
      </w:r>
      <w:r w:rsidRPr="008D244E">
        <w:t xml:space="preserve"> is compatible with human rights, as it does not raise any human rights issues.</w:t>
      </w:r>
    </w:p>
    <w:p w14:paraId="3DFCBF99" w14:textId="77777777" w:rsidR="00EE68A7" w:rsidRPr="00EE68A7" w:rsidRDefault="00EE68A7" w:rsidP="000345E5">
      <w:pPr>
        <w:jc w:val="both"/>
      </w:pPr>
    </w:p>
    <w:sectPr w:rsidR="00EE68A7" w:rsidRPr="00EE68A7" w:rsidSect="00CB4B13">
      <w:headerReference w:type="firs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57092" w14:textId="77777777" w:rsidR="008D0DD5" w:rsidRDefault="008D0DD5" w:rsidP="00D82CC0">
      <w:r>
        <w:separator/>
      </w:r>
    </w:p>
  </w:endnote>
  <w:endnote w:type="continuationSeparator" w:id="0">
    <w:p w14:paraId="55E27435" w14:textId="77777777" w:rsidR="008D0DD5" w:rsidRDefault="008D0DD5" w:rsidP="00D82CC0">
      <w:r>
        <w:continuationSeparator/>
      </w:r>
    </w:p>
  </w:endnote>
  <w:endnote w:type="continuationNotice" w:id="1">
    <w:p w14:paraId="38A61F05" w14:textId="77777777" w:rsidR="008D0DD5" w:rsidRDefault="008D0D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11" w14:textId="77777777" w:rsidR="008D0DD5" w:rsidRDefault="008D0DD5" w:rsidP="00D82CC0">
      <w:r>
        <w:separator/>
      </w:r>
    </w:p>
  </w:footnote>
  <w:footnote w:type="continuationSeparator" w:id="0">
    <w:p w14:paraId="10DDD4DC" w14:textId="77777777" w:rsidR="008D0DD5" w:rsidRDefault="008D0DD5" w:rsidP="00D82CC0">
      <w:r>
        <w:continuationSeparator/>
      </w:r>
    </w:p>
  </w:footnote>
  <w:footnote w:type="continuationNotice" w:id="1">
    <w:p w14:paraId="2EED18B6" w14:textId="77777777" w:rsidR="008D0DD5" w:rsidRDefault="008D0D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237160"/>
      <w:docPartObj>
        <w:docPartGallery w:val="Watermarks"/>
        <w:docPartUnique/>
      </w:docPartObj>
    </w:sdtPr>
    <w:sdtEndPr/>
    <w:sdtContent>
      <w:p w14:paraId="495DBE1D" w14:textId="757C1C67" w:rsidR="008D0DD5" w:rsidRDefault="00C12D4E" w:rsidP="00D82CC0">
        <w:pPr>
          <w:pStyle w:val="Header"/>
        </w:pPr>
        <w:r>
          <w:rPr>
            <w:noProof/>
          </w:rPr>
          <w:pict w14:anchorId="3268C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932740675"/>
      <w:docPartObj>
        <w:docPartGallery w:val="Page Numbers (Top of Page)"/>
        <w:docPartUnique/>
      </w:docPartObj>
    </w:sdtPr>
    <w:sdtEndPr>
      <w:rPr>
        <w:noProof/>
      </w:rPr>
    </w:sdtEndPr>
    <w:sdtContent>
      <w:p w14:paraId="107AC440" w14:textId="637881CC" w:rsidR="008D0DD5" w:rsidRDefault="008D0DD5" w:rsidP="005D4474">
        <w:pPr>
          <w:pStyle w:val="Header"/>
          <w:pBdr>
            <w:bottom w:val="single" w:sz="4" w:space="1" w:color="auto"/>
          </w:pBdr>
        </w:pPr>
        <w:r w:rsidRPr="001F5393">
          <w:t>Australian Design Rule 98/0</w:t>
        </w:r>
        <w:r>
          <w:t>2</w:t>
        </w:r>
        <w:r w:rsidRPr="001F5393">
          <w:t xml:space="preserve"> –</w:t>
        </w:r>
        <w:r>
          <w:t xml:space="preserve"> </w:t>
        </w:r>
        <w:r w:rsidRPr="001F5393">
          <w:t>Advanced Emergency Braking for Passenger</w:t>
        </w:r>
        <w:r>
          <w:t> </w:t>
        </w:r>
        <w:r w:rsidRPr="001F5393">
          <w:t>Vehicles and Light Goods Vehicles</w:t>
        </w:r>
        <w:r w:rsidRPr="00516E0D">
          <w:t xml:space="preserve"> Explanatory Statement </w:t>
        </w:r>
        <w:r>
          <w:t>– DRAFT FOR CONSULTATION</w:t>
        </w:r>
        <w:r>
          <w:tab/>
        </w:r>
        <w:r>
          <w:fldChar w:fldCharType="begin"/>
        </w:r>
        <w:r>
          <w:instrText xml:space="preserve"> PAGE   \* MERGEFORMAT </w:instrText>
        </w:r>
        <w:r>
          <w:fldChar w:fldCharType="separate"/>
        </w:r>
        <w:r>
          <w:t>2</w:t>
        </w:r>
        <w:r>
          <w:rPr>
            <w:noProof/>
          </w:rPr>
          <w:fldChar w:fldCharType="end"/>
        </w:r>
      </w:p>
    </w:sdtContent>
  </w:sdt>
  <w:p w14:paraId="5E549E28" w14:textId="77777777" w:rsidR="008D0DD5" w:rsidRDefault="008D0DD5"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8D0DD5" w:rsidRPr="001F5393" w14:paraId="6606FDA1" w14:textId="77777777" w:rsidTr="001E3FA7">
      <w:tc>
        <w:tcPr>
          <w:tcW w:w="8162" w:type="dxa"/>
          <w:shd w:val="clear" w:color="auto" w:fill="auto"/>
          <w:vAlign w:val="center"/>
        </w:tcPr>
        <w:p w14:paraId="2BC589E5" w14:textId="77777777" w:rsidR="008D0DD5" w:rsidRPr="001F5393" w:rsidRDefault="008D0DD5" w:rsidP="00E57BF9">
          <w:pPr>
            <w:pStyle w:val="Header"/>
            <w:spacing w:before="0" w:after="0"/>
            <w:rPr>
              <w:szCs w:val="20"/>
            </w:rPr>
          </w:pPr>
          <w:r w:rsidRPr="001F5393">
            <w:t>Vehicle Standard (Australian Design Rule 98/0</w:t>
          </w:r>
          <w:r>
            <w:t>2</w:t>
          </w:r>
          <w:r w:rsidRPr="001F5393">
            <w:t xml:space="preserve"> –Advanced Emergency Braking for Passenger</w:t>
          </w:r>
          <w:r>
            <w:t> </w:t>
          </w:r>
          <w:r w:rsidRPr="001F5393">
            <w:t>Vehicles and Light Goods Vehicles) 202</w:t>
          </w:r>
          <w:r>
            <w:t>5</w:t>
          </w:r>
        </w:p>
      </w:tc>
      <w:tc>
        <w:tcPr>
          <w:tcW w:w="343" w:type="dxa"/>
          <w:vMerge w:val="restart"/>
          <w:shd w:val="clear" w:color="auto" w:fill="auto"/>
        </w:tcPr>
        <w:p w14:paraId="5447EAC9" w14:textId="77777777" w:rsidR="008D0DD5" w:rsidRPr="001F5393" w:rsidRDefault="008D0DD5"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8D0DD5" w:rsidRPr="001F5393" w14:paraId="55A79966" w14:textId="77777777" w:rsidTr="001E3FA7">
      <w:tc>
        <w:tcPr>
          <w:tcW w:w="8162" w:type="dxa"/>
          <w:tcBorders>
            <w:bottom w:val="single" w:sz="4" w:space="0" w:color="auto"/>
          </w:tcBorders>
          <w:shd w:val="clear" w:color="auto" w:fill="auto"/>
          <w:vAlign w:val="center"/>
        </w:tcPr>
        <w:p w14:paraId="353CF6CF" w14:textId="2C298218" w:rsidR="008D0DD5" w:rsidRPr="001F5393" w:rsidRDefault="008D0DD5" w:rsidP="001F5393">
          <w:pPr>
            <w:pStyle w:val="Header"/>
            <w:spacing w:before="0" w:after="0"/>
          </w:pPr>
          <w:r w:rsidRPr="001F5393">
            <w:t>Explanatory Statement</w:t>
          </w:r>
          <w:r>
            <w:t xml:space="preserve"> – DRAFT FOR CONSULTATION</w:t>
          </w:r>
        </w:p>
      </w:tc>
      <w:tc>
        <w:tcPr>
          <w:tcW w:w="343" w:type="dxa"/>
          <w:vMerge/>
          <w:tcBorders>
            <w:bottom w:val="single" w:sz="4" w:space="0" w:color="auto"/>
          </w:tcBorders>
          <w:shd w:val="clear" w:color="auto" w:fill="auto"/>
          <w:vAlign w:val="center"/>
        </w:tcPr>
        <w:p w14:paraId="7ED53D8F" w14:textId="77777777" w:rsidR="008D0DD5" w:rsidRPr="001F5393" w:rsidRDefault="008D0DD5" w:rsidP="001F5393">
          <w:pPr>
            <w:tabs>
              <w:tab w:val="center" w:pos="4153"/>
              <w:tab w:val="right" w:pos="8306"/>
            </w:tabs>
            <w:suppressAutoHyphens/>
            <w:spacing w:before="0" w:after="0"/>
            <w:jc w:val="center"/>
            <w:rPr>
              <w:spacing w:val="-2"/>
              <w:sz w:val="20"/>
              <w:szCs w:val="20"/>
              <w:lang w:val="x-none" w:eastAsia="x-none"/>
            </w:rPr>
          </w:pPr>
        </w:p>
      </w:tc>
    </w:tr>
  </w:tbl>
  <w:p w14:paraId="19B4C10A" w14:textId="77777777" w:rsidR="008D0DD5" w:rsidRDefault="008D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3545"/>
        </w:tabs>
        <w:ind w:left="3545"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4" w15:restartNumberingAfterBreak="0">
    <w:nsid w:val="75865DF3"/>
    <w:multiLevelType w:val="hybridMultilevel"/>
    <w:tmpl w:val="917E134C"/>
    <w:lvl w:ilvl="0" w:tplc="9848AB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2"/>
  </w:num>
  <w:num w:numId="7">
    <w:abstractNumId w:val="2"/>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8"/>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26E"/>
    <w:rsid w:val="000040F7"/>
    <w:rsid w:val="00006046"/>
    <w:rsid w:val="00006B90"/>
    <w:rsid w:val="000115E8"/>
    <w:rsid w:val="00011931"/>
    <w:rsid w:val="000157B0"/>
    <w:rsid w:val="000166ED"/>
    <w:rsid w:val="00016C5F"/>
    <w:rsid w:val="000220C0"/>
    <w:rsid w:val="00022CA1"/>
    <w:rsid w:val="00023874"/>
    <w:rsid w:val="00023A16"/>
    <w:rsid w:val="000241C6"/>
    <w:rsid w:val="000245BE"/>
    <w:rsid w:val="000247A5"/>
    <w:rsid w:val="000307FE"/>
    <w:rsid w:val="00031C17"/>
    <w:rsid w:val="000335E2"/>
    <w:rsid w:val="000345E5"/>
    <w:rsid w:val="00035887"/>
    <w:rsid w:val="00040841"/>
    <w:rsid w:val="000450E7"/>
    <w:rsid w:val="0005054D"/>
    <w:rsid w:val="00050C17"/>
    <w:rsid w:val="00050FB8"/>
    <w:rsid w:val="00052EF3"/>
    <w:rsid w:val="00053862"/>
    <w:rsid w:val="0005416F"/>
    <w:rsid w:val="00054851"/>
    <w:rsid w:val="00054DEF"/>
    <w:rsid w:val="000562F1"/>
    <w:rsid w:val="00056F3D"/>
    <w:rsid w:val="000604A0"/>
    <w:rsid w:val="00064AFA"/>
    <w:rsid w:val="000650DA"/>
    <w:rsid w:val="000655E9"/>
    <w:rsid w:val="00066290"/>
    <w:rsid w:val="00066F93"/>
    <w:rsid w:val="00067219"/>
    <w:rsid w:val="000713D8"/>
    <w:rsid w:val="00073E14"/>
    <w:rsid w:val="000740DE"/>
    <w:rsid w:val="00074D90"/>
    <w:rsid w:val="000760A3"/>
    <w:rsid w:val="0007625E"/>
    <w:rsid w:val="0007673F"/>
    <w:rsid w:val="0008418F"/>
    <w:rsid w:val="00084625"/>
    <w:rsid w:val="0008652F"/>
    <w:rsid w:val="000935C6"/>
    <w:rsid w:val="00093AA6"/>
    <w:rsid w:val="000957CE"/>
    <w:rsid w:val="0009658B"/>
    <w:rsid w:val="000968DF"/>
    <w:rsid w:val="000A1327"/>
    <w:rsid w:val="000A5A8B"/>
    <w:rsid w:val="000B0291"/>
    <w:rsid w:val="000B0430"/>
    <w:rsid w:val="000B0D5D"/>
    <w:rsid w:val="000B0E53"/>
    <w:rsid w:val="000B1B1F"/>
    <w:rsid w:val="000B1C73"/>
    <w:rsid w:val="000B3D64"/>
    <w:rsid w:val="000B3DBE"/>
    <w:rsid w:val="000B4684"/>
    <w:rsid w:val="000B60B9"/>
    <w:rsid w:val="000C0B71"/>
    <w:rsid w:val="000C0E62"/>
    <w:rsid w:val="000C14D3"/>
    <w:rsid w:val="000C171E"/>
    <w:rsid w:val="000C2AF4"/>
    <w:rsid w:val="000C3AEC"/>
    <w:rsid w:val="000C3C06"/>
    <w:rsid w:val="000C57AC"/>
    <w:rsid w:val="000C7707"/>
    <w:rsid w:val="000D1A08"/>
    <w:rsid w:val="000D2C70"/>
    <w:rsid w:val="000D2E8D"/>
    <w:rsid w:val="000D3459"/>
    <w:rsid w:val="000D4AC1"/>
    <w:rsid w:val="000D6331"/>
    <w:rsid w:val="000D7E8A"/>
    <w:rsid w:val="000E3161"/>
    <w:rsid w:val="000E3BAA"/>
    <w:rsid w:val="000E3CB6"/>
    <w:rsid w:val="000E46B1"/>
    <w:rsid w:val="000E556E"/>
    <w:rsid w:val="000E6F99"/>
    <w:rsid w:val="000E73ED"/>
    <w:rsid w:val="000E7A76"/>
    <w:rsid w:val="000F1192"/>
    <w:rsid w:val="000F162D"/>
    <w:rsid w:val="000F36B1"/>
    <w:rsid w:val="000F4182"/>
    <w:rsid w:val="000F534E"/>
    <w:rsid w:val="000F6E44"/>
    <w:rsid w:val="000F6F83"/>
    <w:rsid w:val="000F793B"/>
    <w:rsid w:val="00101E42"/>
    <w:rsid w:val="00102EE7"/>
    <w:rsid w:val="00105209"/>
    <w:rsid w:val="00106C75"/>
    <w:rsid w:val="00107427"/>
    <w:rsid w:val="001143B9"/>
    <w:rsid w:val="0012081F"/>
    <w:rsid w:val="0012110B"/>
    <w:rsid w:val="00121CBA"/>
    <w:rsid w:val="0012466F"/>
    <w:rsid w:val="00127289"/>
    <w:rsid w:val="00130F68"/>
    <w:rsid w:val="00131492"/>
    <w:rsid w:val="00133187"/>
    <w:rsid w:val="001359EF"/>
    <w:rsid w:val="00141E4F"/>
    <w:rsid w:val="00141FF9"/>
    <w:rsid w:val="0014264C"/>
    <w:rsid w:val="00147F05"/>
    <w:rsid w:val="00150C04"/>
    <w:rsid w:val="0015120A"/>
    <w:rsid w:val="00152636"/>
    <w:rsid w:val="00155DDC"/>
    <w:rsid w:val="00155FE3"/>
    <w:rsid w:val="00155FE4"/>
    <w:rsid w:val="00157142"/>
    <w:rsid w:val="00157631"/>
    <w:rsid w:val="001606BF"/>
    <w:rsid w:val="00160C84"/>
    <w:rsid w:val="00161B14"/>
    <w:rsid w:val="00161F08"/>
    <w:rsid w:val="00164658"/>
    <w:rsid w:val="00166DC2"/>
    <w:rsid w:val="00170AE8"/>
    <w:rsid w:val="001717FC"/>
    <w:rsid w:val="00171B84"/>
    <w:rsid w:val="00177811"/>
    <w:rsid w:val="00177ADF"/>
    <w:rsid w:val="001811E9"/>
    <w:rsid w:val="00181511"/>
    <w:rsid w:val="00187070"/>
    <w:rsid w:val="00187D37"/>
    <w:rsid w:val="00192B4F"/>
    <w:rsid w:val="00192F2E"/>
    <w:rsid w:val="00195FFC"/>
    <w:rsid w:val="00197EE4"/>
    <w:rsid w:val="001A0001"/>
    <w:rsid w:val="001A10BB"/>
    <w:rsid w:val="001A28AB"/>
    <w:rsid w:val="001A5D62"/>
    <w:rsid w:val="001B0EFB"/>
    <w:rsid w:val="001B217D"/>
    <w:rsid w:val="001B2451"/>
    <w:rsid w:val="001B29A2"/>
    <w:rsid w:val="001B38AA"/>
    <w:rsid w:val="001B3B65"/>
    <w:rsid w:val="001B5F38"/>
    <w:rsid w:val="001C290C"/>
    <w:rsid w:val="001C2946"/>
    <w:rsid w:val="001C69AE"/>
    <w:rsid w:val="001D01E5"/>
    <w:rsid w:val="001D17F3"/>
    <w:rsid w:val="001D2618"/>
    <w:rsid w:val="001D2D0B"/>
    <w:rsid w:val="001D467A"/>
    <w:rsid w:val="001D4C8A"/>
    <w:rsid w:val="001D592B"/>
    <w:rsid w:val="001E0205"/>
    <w:rsid w:val="001E0A6A"/>
    <w:rsid w:val="001E1A19"/>
    <w:rsid w:val="001E218D"/>
    <w:rsid w:val="001E3FA7"/>
    <w:rsid w:val="001E543A"/>
    <w:rsid w:val="001E5490"/>
    <w:rsid w:val="001E6416"/>
    <w:rsid w:val="001E6F6F"/>
    <w:rsid w:val="001F128D"/>
    <w:rsid w:val="001F218C"/>
    <w:rsid w:val="001F5393"/>
    <w:rsid w:val="001F566C"/>
    <w:rsid w:val="001F73A3"/>
    <w:rsid w:val="00200879"/>
    <w:rsid w:val="002019EC"/>
    <w:rsid w:val="0020549D"/>
    <w:rsid w:val="00206EF3"/>
    <w:rsid w:val="00207EFE"/>
    <w:rsid w:val="002105AD"/>
    <w:rsid w:val="00210C5E"/>
    <w:rsid w:val="00212153"/>
    <w:rsid w:val="00215C84"/>
    <w:rsid w:val="00216DD3"/>
    <w:rsid w:val="002172AC"/>
    <w:rsid w:val="00221101"/>
    <w:rsid w:val="002214DC"/>
    <w:rsid w:val="00224D1B"/>
    <w:rsid w:val="00225589"/>
    <w:rsid w:val="0022575C"/>
    <w:rsid w:val="00225E04"/>
    <w:rsid w:val="00225EEA"/>
    <w:rsid w:val="00226C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53F55"/>
    <w:rsid w:val="002550C2"/>
    <w:rsid w:val="00256C8A"/>
    <w:rsid w:val="002640E7"/>
    <w:rsid w:val="00265ABF"/>
    <w:rsid w:val="002664F3"/>
    <w:rsid w:val="002667FE"/>
    <w:rsid w:val="00266FE7"/>
    <w:rsid w:val="002707F7"/>
    <w:rsid w:val="0027099F"/>
    <w:rsid w:val="00270FAD"/>
    <w:rsid w:val="002714C6"/>
    <w:rsid w:val="00271DCE"/>
    <w:rsid w:val="00272A73"/>
    <w:rsid w:val="00276384"/>
    <w:rsid w:val="00277209"/>
    <w:rsid w:val="002808B0"/>
    <w:rsid w:val="00282AAC"/>
    <w:rsid w:val="0028346B"/>
    <w:rsid w:val="002834A5"/>
    <w:rsid w:val="00283C75"/>
    <w:rsid w:val="002843FC"/>
    <w:rsid w:val="002855E7"/>
    <w:rsid w:val="00285ADA"/>
    <w:rsid w:val="00287770"/>
    <w:rsid w:val="002904A2"/>
    <w:rsid w:val="00290ABB"/>
    <w:rsid w:val="002918CC"/>
    <w:rsid w:val="00292D0D"/>
    <w:rsid w:val="0029514B"/>
    <w:rsid w:val="002968C5"/>
    <w:rsid w:val="00296D1C"/>
    <w:rsid w:val="00297504"/>
    <w:rsid w:val="002975C7"/>
    <w:rsid w:val="00297D5D"/>
    <w:rsid w:val="002A005B"/>
    <w:rsid w:val="002A063C"/>
    <w:rsid w:val="002A4357"/>
    <w:rsid w:val="002A435A"/>
    <w:rsid w:val="002A4E59"/>
    <w:rsid w:val="002A5439"/>
    <w:rsid w:val="002A7B68"/>
    <w:rsid w:val="002B1FE3"/>
    <w:rsid w:val="002B574B"/>
    <w:rsid w:val="002B7491"/>
    <w:rsid w:val="002B7CA5"/>
    <w:rsid w:val="002C3009"/>
    <w:rsid w:val="002C4578"/>
    <w:rsid w:val="002C55A1"/>
    <w:rsid w:val="002C5829"/>
    <w:rsid w:val="002D070C"/>
    <w:rsid w:val="002D0D1B"/>
    <w:rsid w:val="002D3608"/>
    <w:rsid w:val="002D508E"/>
    <w:rsid w:val="002D5B95"/>
    <w:rsid w:val="002D630E"/>
    <w:rsid w:val="002D6916"/>
    <w:rsid w:val="002D7277"/>
    <w:rsid w:val="002D7D28"/>
    <w:rsid w:val="002D7E26"/>
    <w:rsid w:val="002E10E0"/>
    <w:rsid w:val="002E1691"/>
    <w:rsid w:val="002E1798"/>
    <w:rsid w:val="002E1BBE"/>
    <w:rsid w:val="002E37E2"/>
    <w:rsid w:val="002E5035"/>
    <w:rsid w:val="002E51D2"/>
    <w:rsid w:val="002E6D99"/>
    <w:rsid w:val="002E7A66"/>
    <w:rsid w:val="002F17FE"/>
    <w:rsid w:val="002F2650"/>
    <w:rsid w:val="002F2A22"/>
    <w:rsid w:val="002F2C61"/>
    <w:rsid w:val="002F3A90"/>
    <w:rsid w:val="002F3EEF"/>
    <w:rsid w:val="002F48AF"/>
    <w:rsid w:val="002F5AF9"/>
    <w:rsid w:val="002F6C96"/>
    <w:rsid w:val="0030081B"/>
    <w:rsid w:val="0030182F"/>
    <w:rsid w:val="0030372F"/>
    <w:rsid w:val="003039C0"/>
    <w:rsid w:val="00304422"/>
    <w:rsid w:val="003057C9"/>
    <w:rsid w:val="00310E9F"/>
    <w:rsid w:val="003119C5"/>
    <w:rsid w:val="00314E88"/>
    <w:rsid w:val="00315263"/>
    <w:rsid w:val="003157F6"/>
    <w:rsid w:val="00316D44"/>
    <w:rsid w:val="003210C8"/>
    <w:rsid w:val="00325734"/>
    <w:rsid w:val="00325E9B"/>
    <w:rsid w:val="003303E7"/>
    <w:rsid w:val="0033055C"/>
    <w:rsid w:val="003319EF"/>
    <w:rsid w:val="0033287C"/>
    <w:rsid w:val="00335687"/>
    <w:rsid w:val="00335832"/>
    <w:rsid w:val="0033629A"/>
    <w:rsid w:val="00340BB9"/>
    <w:rsid w:val="00341EF6"/>
    <w:rsid w:val="003443C2"/>
    <w:rsid w:val="0034457A"/>
    <w:rsid w:val="003447E5"/>
    <w:rsid w:val="00344A42"/>
    <w:rsid w:val="003468EE"/>
    <w:rsid w:val="0034724A"/>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300A"/>
    <w:rsid w:val="003634A7"/>
    <w:rsid w:val="00365500"/>
    <w:rsid w:val="00366380"/>
    <w:rsid w:val="00366EFB"/>
    <w:rsid w:val="00367091"/>
    <w:rsid w:val="00373116"/>
    <w:rsid w:val="003736E6"/>
    <w:rsid w:val="003737A4"/>
    <w:rsid w:val="00373852"/>
    <w:rsid w:val="00373A7D"/>
    <w:rsid w:val="00374CD7"/>
    <w:rsid w:val="00376103"/>
    <w:rsid w:val="00376574"/>
    <w:rsid w:val="003771C7"/>
    <w:rsid w:val="003778A3"/>
    <w:rsid w:val="0038362C"/>
    <w:rsid w:val="003864BF"/>
    <w:rsid w:val="003868ED"/>
    <w:rsid w:val="0039041B"/>
    <w:rsid w:val="00390444"/>
    <w:rsid w:val="003907DD"/>
    <w:rsid w:val="003917B0"/>
    <w:rsid w:val="0039439E"/>
    <w:rsid w:val="00395DAB"/>
    <w:rsid w:val="00396C92"/>
    <w:rsid w:val="00397976"/>
    <w:rsid w:val="00397F88"/>
    <w:rsid w:val="003A24D2"/>
    <w:rsid w:val="003A2BF6"/>
    <w:rsid w:val="003A3373"/>
    <w:rsid w:val="003A3E29"/>
    <w:rsid w:val="003A45FB"/>
    <w:rsid w:val="003A4F94"/>
    <w:rsid w:val="003A7701"/>
    <w:rsid w:val="003A7E34"/>
    <w:rsid w:val="003B220C"/>
    <w:rsid w:val="003B2EB6"/>
    <w:rsid w:val="003B4057"/>
    <w:rsid w:val="003B4091"/>
    <w:rsid w:val="003B4482"/>
    <w:rsid w:val="003B6992"/>
    <w:rsid w:val="003B7123"/>
    <w:rsid w:val="003B7C60"/>
    <w:rsid w:val="003C06B1"/>
    <w:rsid w:val="003C08AB"/>
    <w:rsid w:val="003C0D1D"/>
    <w:rsid w:val="003C0FCE"/>
    <w:rsid w:val="003C14FD"/>
    <w:rsid w:val="003C241E"/>
    <w:rsid w:val="003C33AE"/>
    <w:rsid w:val="003C3B0E"/>
    <w:rsid w:val="003C41A6"/>
    <w:rsid w:val="003D0ACF"/>
    <w:rsid w:val="003D1A38"/>
    <w:rsid w:val="003D1AB8"/>
    <w:rsid w:val="003D1BC8"/>
    <w:rsid w:val="003D3D19"/>
    <w:rsid w:val="003D4861"/>
    <w:rsid w:val="003D5764"/>
    <w:rsid w:val="003D579C"/>
    <w:rsid w:val="003D7B96"/>
    <w:rsid w:val="003D7E2A"/>
    <w:rsid w:val="003E1D23"/>
    <w:rsid w:val="003E2ACE"/>
    <w:rsid w:val="003E40C9"/>
    <w:rsid w:val="003E49F6"/>
    <w:rsid w:val="003E4BC4"/>
    <w:rsid w:val="003E5643"/>
    <w:rsid w:val="003E56E7"/>
    <w:rsid w:val="003E68EF"/>
    <w:rsid w:val="003E6EE5"/>
    <w:rsid w:val="003E6F11"/>
    <w:rsid w:val="003E6FFF"/>
    <w:rsid w:val="003F01D5"/>
    <w:rsid w:val="003F05AD"/>
    <w:rsid w:val="003F25A8"/>
    <w:rsid w:val="003F3B46"/>
    <w:rsid w:val="003F3F23"/>
    <w:rsid w:val="003F43E4"/>
    <w:rsid w:val="003F4D6B"/>
    <w:rsid w:val="003F51E5"/>
    <w:rsid w:val="003F5243"/>
    <w:rsid w:val="003F584A"/>
    <w:rsid w:val="003F62AB"/>
    <w:rsid w:val="003F6981"/>
    <w:rsid w:val="003F6FBD"/>
    <w:rsid w:val="004001EB"/>
    <w:rsid w:val="00402B28"/>
    <w:rsid w:val="00402C27"/>
    <w:rsid w:val="004047EF"/>
    <w:rsid w:val="00404CC7"/>
    <w:rsid w:val="00406B4C"/>
    <w:rsid w:val="00407C31"/>
    <w:rsid w:val="00407EDD"/>
    <w:rsid w:val="00410063"/>
    <w:rsid w:val="00410952"/>
    <w:rsid w:val="00411ED1"/>
    <w:rsid w:val="004120B1"/>
    <w:rsid w:val="00412A94"/>
    <w:rsid w:val="00414BCC"/>
    <w:rsid w:val="004161CF"/>
    <w:rsid w:val="00417495"/>
    <w:rsid w:val="00420BFB"/>
    <w:rsid w:val="00422A41"/>
    <w:rsid w:val="004233CF"/>
    <w:rsid w:val="00423778"/>
    <w:rsid w:val="00426BF7"/>
    <w:rsid w:val="00430717"/>
    <w:rsid w:val="00431883"/>
    <w:rsid w:val="0043191E"/>
    <w:rsid w:val="00432242"/>
    <w:rsid w:val="00433473"/>
    <w:rsid w:val="00434B77"/>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4834"/>
    <w:rsid w:val="00455920"/>
    <w:rsid w:val="004574BB"/>
    <w:rsid w:val="004579B2"/>
    <w:rsid w:val="00457BD8"/>
    <w:rsid w:val="004619D3"/>
    <w:rsid w:val="004621A1"/>
    <w:rsid w:val="004625CE"/>
    <w:rsid w:val="00462A19"/>
    <w:rsid w:val="004661F6"/>
    <w:rsid w:val="00466E22"/>
    <w:rsid w:val="004674D6"/>
    <w:rsid w:val="00471762"/>
    <w:rsid w:val="00471F50"/>
    <w:rsid w:val="00472C2C"/>
    <w:rsid w:val="00475FCD"/>
    <w:rsid w:val="004767B9"/>
    <w:rsid w:val="00476B93"/>
    <w:rsid w:val="00477560"/>
    <w:rsid w:val="00477592"/>
    <w:rsid w:val="00481ACE"/>
    <w:rsid w:val="0048427B"/>
    <w:rsid w:val="00484940"/>
    <w:rsid w:val="00485134"/>
    <w:rsid w:val="00485D93"/>
    <w:rsid w:val="00485E16"/>
    <w:rsid w:val="0049097D"/>
    <w:rsid w:val="00491690"/>
    <w:rsid w:val="0049177C"/>
    <w:rsid w:val="004923CD"/>
    <w:rsid w:val="00493A3B"/>
    <w:rsid w:val="004A1EB6"/>
    <w:rsid w:val="004A369F"/>
    <w:rsid w:val="004A3C32"/>
    <w:rsid w:val="004A4440"/>
    <w:rsid w:val="004A68FD"/>
    <w:rsid w:val="004B17C6"/>
    <w:rsid w:val="004B182E"/>
    <w:rsid w:val="004B560C"/>
    <w:rsid w:val="004B6091"/>
    <w:rsid w:val="004B6159"/>
    <w:rsid w:val="004C0560"/>
    <w:rsid w:val="004C1187"/>
    <w:rsid w:val="004C2A7B"/>
    <w:rsid w:val="004C3365"/>
    <w:rsid w:val="004C4E3A"/>
    <w:rsid w:val="004C52F0"/>
    <w:rsid w:val="004C68B7"/>
    <w:rsid w:val="004C77FE"/>
    <w:rsid w:val="004D300B"/>
    <w:rsid w:val="004D6CC1"/>
    <w:rsid w:val="004D75A7"/>
    <w:rsid w:val="004D785B"/>
    <w:rsid w:val="004E0001"/>
    <w:rsid w:val="004E3E41"/>
    <w:rsid w:val="004E3E84"/>
    <w:rsid w:val="004E56C8"/>
    <w:rsid w:val="004E5834"/>
    <w:rsid w:val="004E70FC"/>
    <w:rsid w:val="004E7515"/>
    <w:rsid w:val="004E7AF8"/>
    <w:rsid w:val="004F1F8D"/>
    <w:rsid w:val="004F2075"/>
    <w:rsid w:val="004F3265"/>
    <w:rsid w:val="004F39A3"/>
    <w:rsid w:val="004F4F2C"/>
    <w:rsid w:val="004F56B7"/>
    <w:rsid w:val="004F7C96"/>
    <w:rsid w:val="004F7FB4"/>
    <w:rsid w:val="005022F7"/>
    <w:rsid w:val="0050367A"/>
    <w:rsid w:val="0050439A"/>
    <w:rsid w:val="00510C5B"/>
    <w:rsid w:val="00510E74"/>
    <w:rsid w:val="005111D7"/>
    <w:rsid w:val="0051368F"/>
    <w:rsid w:val="00515D0D"/>
    <w:rsid w:val="00517BDA"/>
    <w:rsid w:val="005242E3"/>
    <w:rsid w:val="00525905"/>
    <w:rsid w:val="00532D71"/>
    <w:rsid w:val="00532F57"/>
    <w:rsid w:val="005338E3"/>
    <w:rsid w:val="00535C01"/>
    <w:rsid w:val="00536A55"/>
    <w:rsid w:val="00536F80"/>
    <w:rsid w:val="00537E1D"/>
    <w:rsid w:val="005405AD"/>
    <w:rsid w:val="0054227D"/>
    <w:rsid w:val="005425A9"/>
    <w:rsid w:val="00542FE1"/>
    <w:rsid w:val="005459C7"/>
    <w:rsid w:val="0054701F"/>
    <w:rsid w:val="00550A6B"/>
    <w:rsid w:val="005517EA"/>
    <w:rsid w:val="00552778"/>
    <w:rsid w:val="00557504"/>
    <w:rsid w:val="00560C37"/>
    <w:rsid w:val="00561BCD"/>
    <w:rsid w:val="00561C3A"/>
    <w:rsid w:val="005625B8"/>
    <w:rsid w:val="0056623E"/>
    <w:rsid w:val="0056701E"/>
    <w:rsid w:val="00567573"/>
    <w:rsid w:val="00571229"/>
    <w:rsid w:val="00571381"/>
    <w:rsid w:val="005725C2"/>
    <w:rsid w:val="005737EB"/>
    <w:rsid w:val="00574ABB"/>
    <w:rsid w:val="005753E3"/>
    <w:rsid w:val="00576520"/>
    <w:rsid w:val="00577BF0"/>
    <w:rsid w:val="00577F7F"/>
    <w:rsid w:val="00581C0B"/>
    <w:rsid w:val="00581CB5"/>
    <w:rsid w:val="00581F4C"/>
    <w:rsid w:val="00582135"/>
    <w:rsid w:val="00582247"/>
    <w:rsid w:val="0058306B"/>
    <w:rsid w:val="005831BF"/>
    <w:rsid w:val="00583EAD"/>
    <w:rsid w:val="00586887"/>
    <w:rsid w:val="005877E6"/>
    <w:rsid w:val="00587B50"/>
    <w:rsid w:val="0059095D"/>
    <w:rsid w:val="0059192A"/>
    <w:rsid w:val="0059199F"/>
    <w:rsid w:val="00591CFD"/>
    <w:rsid w:val="00594765"/>
    <w:rsid w:val="00595B2F"/>
    <w:rsid w:val="005963A1"/>
    <w:rsid w:val="00596853"/>
    <w:rsid w:val="00596D40"/>
    <w:rsid w:val="005A0456"/>
    <w:rsid w:val="005A0F2A"/>
    <w:rsid w:val="005A3EFB"/>
    <w:rsid w:val="005A44A1"/>
    <w:rsid w:val="005A526D"/>
    <w:rsid w:val="005A7A67"/>
    <w:rsid w:val="005B114C"/>
    <w:rsid w:val="005B1202"/>
    <w:rsid w:val="005B1D19"/>
    <w:rsid w:val="005B31F5"/>
    <w:rsid w:val="005B36D2"/>
    <w:rsid w:val="005B578B"/>
    <w:rsid w:val="005B62EF"/>
    <w:rsid w:val="005B6759"/>
    <w:rsid w:val="005B70A8"/>
    <w:rsid w:val="005C0234"/>
    <w:rsid w:val="005C0DEA"/>
    <w:rsid w:val="005C1161"/>
    <w:rsid w:val="005C170C"/>
    <w:rsid w:val="005C3398"/>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4474"/>
    <w:rsid w:val="005D5CDE"/>
    <w:rsid w:val="005D79C8"/>
    <w:rsid w:val="005E24DF"/>
    <w:rsid w:val="005E2B4C"/>
    <w:rsid w:val="005E4E5D"/>
    <w:rsid w:val="005E7CEF"/>
    <w:rsid w:val="005E7E6B"/>
    <w:rsid w:val="005F02D7"/>
    <w:rsid w:val="005F0774"/>
    <w:rsid w:val="005F1DF6"/>
    <w:rsid w:val="005F26EF"/>
    <w:rsid w:val="005F35E2"/>
    <w:rsid w:val="005F4354"/>
    <w:rsid w:val="005F51BD"/>
    <w:rsid w:val="005F67B0"/>
    <w:rsid w:val="005F6B63"/>
    <w:rsid w:val="005F71B8"/>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465"/>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01C"/>
    <w:rsid w:val="00636B66"/>
    <w:rsid w:val="00636F48"/>
    <w:rsid w:val="0063768F"/>
    <w:rsid w:val="00641268"/>
    <w:rsid w:val="006434F1"/>
    <w:rsid w:val="006438BB"/>
    <w:rsid w:val="006440AF"/>
    <w:rsid w:val="00644988"/>
    <w:rsid w:val="00645C09"/>
    <w:rsid w:val="00647E31"/>
    <w:rsid w:val="0065023D"/>
    <w:rsid w:val="006512CC"/>
    <w:rsid w:val="00651832"/>
    <w:rsid w:val="00653433"/>
    <w:rsid w:val="006534F5"/>
    <w:rsid w:val="00654410"/>
    <w:rsid w:val="00654C03"/>
    <w:rsid w:val="006550CE"/>
    <w:rsid w:val="006562FA"/>
    <w:rsid w:val="00662397"/>
    <w:rsid w:val="00663810"/>
    <w:rsid w:val="0066449E"/>
    <w:rsid w:val="0066531B"/>
    <w:rsid w:val="006665C5"/>
    <w:rsid w:val="00672700"/>
    <w:rsid w:val="00672AA9"/>
    <w:rsid w:val="00674CF8"/>
    <w:rsid w:val="00675527"/>
    <w:rsid w:val="00675C3C"/>
    <w:rsid w:val="00680C49"/>
    <w:rsid w:val="0068132F"/>
    <w:rsid w:val="006815B3"/>
    <w:rsid w:val="00681FF3"/>
    <w:rsid w:val="00683139"/>
    <w:rsid w:val="00684418"/>
    <w:rsid w:val="00684A9B"/>
    <w:rsid w:val="006858D4"/>
    <w:rsid w:val="00686219"/>
    <w:rsid w:val="00690355"/>
    <w:rsid w:val="00691898"/>
    <w:rsid w:val="0069365C"/>
    <w:rsid w:val="00694C9C"/>
    <w:rsid w:val="00696758"/>
    <w:rsid w:val="006971C6"/>
    <w:rsid w:val="006A0D9E"/>
    <w:rsid w:val="006A3A61"/>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D6AB1"/>
    <w:rsid w:val="006E1541"/>
    <w:rsid w:val="006E381D"/>
    <w:rsid w:val="006E6538"/>
    <w:rsid w:val="006E7418"/>
    <w:rsid w:val="006F2BF5"/>
    <w:rsid w:val="006F316A"/>
    <w:rsid w:val="006F6F26"/>
    <w:rsid w:val="007011DC"/>
    <w:rsid w:val="0070692D"/>
    <w:rsid w:val="00707003"/>
    <w:rsid w:val="007136C2"/>
    <w:rsid w:val="00714B67"/>
    <w:rsid w:val="0071541C"/>
    <w:rsid w:val="007163CE"/>
    <w:rsid w:val="007243F0"/>
    <w:rsid w:val="00725167"/>
    <w:rsid w:val="00725705"/>
    <w:rsid w:val="00727DCD"/>
    <w:rsid w:val="0073109B"/>
    <w:rsid w:val="00731996"/>
    <w:rsid w:val="00731D99"/>
    <w:rsid w:val="00731F21"/>
    <w:rsid w:val="007324EE"/>
    <w:rsid w:val="00734046"/>
    <w:rsid w:val="0073476E"/>
    <w:rsid w:val="007358A7"/>
    <w:rsid w:val="00740F06"/>
    <w:rsid w:val="00741AB3"/>
    <w:rsid w:val="007421F4"/>
    <w:rsid w:val="00743AC9"/>
    <w:rsid w:val="00743B9A"/>
    <w:rsid w:val="00744CAF"/>
    <w:rsid w:val="00746744"/>
    <w:rsid w:val="00746F95"/>
    <w:rsid w:val="00747D71"/>
    <w:rsid w:val="00747F6A"/>
    <w:rsid w:val="00750893"/>
    <w:rsid w:val="00757931"/>
    <w:rsid w:val="007602CF"/>
    <w:rsid w:val="00760342"/>
    <w:rsid w:val="00760426"/>
    <w:rsid w:val="00761C3F"/>
    <w:rsid w:val="00762957"/>
    <w:rsid w:val="0076466E"/>
    <w:rsid w:val="007653BB"/>
    <w:rsid w:val="00765462"/>
    <w:rsid w:val="00765739"/>
    <w:rsid w:val="007668B6"/>
    <w:rsid w:val="007671F8"/>
    <w:rsid w:val="00767D05"/>
    <w:rsid w:val="007753E7"/>
    <w:rsid w:val="00776E99"/>
    <w:rsid w:val="00780DE8"/>
    <w:rsid w:val="0078303D"/>
    <w:rsid w:val="007832B9"/>
    <w:rsid w:val="00785284"/>
    <w:rsid w:val="00785B13"/>
    <w:rsid w:val="00785BEC"/>
    <w:rsid w:val="00785C95"/>
    <w:rsid w:val="007861CC"/>
    <w:rsid w:val="00787252"/>
    <w:rsid w:val="00787CED"/>
    <w:rsid w:val="0079040E"/>
    <w:rsid w:val="00790656"/>
    <w:rsid w:val="00790F39"/>
    <w:rsid w:val="00792178"/>
    <w:rsid w:val="00792C5E"/>
    <w:rsid w:val="00793E3C"/>
    <w:rsid w:val="00796570"/>
    <w:rsid w:val="00796751"/>
    <w:rsid w:val="007975C7"/>
    <w:rsid w:val="00797677"/>
    <w:rsid w:val="00797BD2"/>
    <w:rsid w:val="00797ECB"/>
    <w:rsid w:val="007A1BE9"/>
    <w:rsid w:val="007A1E1A"/>
    <w:rsid w:val="007A36C3"/>
    <w:rsid w:val="007A3BB4"/>
    <w:rsid w:val="007A576D"/>
    <w:rsid w:val="007B136E"/>
    <w:rsid w:val="007B14D6"/>
    <w:rsid w:val="007B247C"/>
    <w:rsid w:val="007B331E"/>
    <w:rsid w:val="007B4F0E"/>
    <w:rsid w:val="007B53B1"/>
    <w:rsid w:val="007B6B17"/>
    <w:rsid w:val="007B779C"/>
    <w:rsid w:val="007C00FF"/>
    <w:rsid w:val="007C12D1"/>
    <w:rsid w:val="007C1E8E"/>
    <w:rsid w:val="007C337C"/>
    <w:rsid w:val="007C379F"/>
    <w:rsid w:val="007C4142"/>
    <w:rsid w:val="007C42D9"/>
    <w:rsid w:val="007C454A"/>
    <w:rsid w:val="007C6571"/>
    <w:rsid w:val="007D28E4"/>
    <w:rsid w:val="007D3F5E"/>
    <w:rsid w:val="007D51A9"/>
    <w:rsid w:val="007D5AE7"/>
    <w:rsid w:val="007D65A6"/>
    <w:rsid w:val="007D671C"/>
    <w:rsid w:val="007D7CA7"/>
    <w:rsid w:val="007E25A1"/>
    <w:rsid w:val="007E5ECB"/>
    <w:rsid w:val="007F1CA7"/>
    <w:rsid w:val="007F2A6F"/>
    <w:rsid w:val="007F2AA2"/>
    <w:rsid w:val="007F3A3C"/>
    <w:rsid w:val="007F5327"/>
    <w:rsid w:val="007F5822"/>
    <w:rsid w:val="007F60ED"/>
    <w:rsid w:val="00802062"/>
    <w:rsid w:val="00802573"/>
    <w:rsid w:val="0080439B"/>
    <w:rsid w:val="00805CB4"/>
    <w:rsid w:val="00807755"/>
    <w:rsid w:val="00811BFA"/>
    <w:rsid w:val="00816F99"/>
    <w:rsid w:val="00816FAC"/>
    <w:rsid w:val="008175AE"/>
    <w:rsid w:val="00820DA2"/>
    <w:rsid w:val="0082139D"/>
    <w:rsid w:val="008217CA"/>
    <w:rsid w:val="008235EB"/>
    <w:rsid w:val="00826C3A"/>
    <w:rsid w:val="00827FAE"/>
    <w:rsid w:val="00833446"/>
    <w:rsid w:val="008353AD"/>
    <w:rsid w:val="008356AB"/>
    <w:rsid w:val="00836221"/>
    <w:rsid w:val="008439FD"/>
    <w:rsid w:val="00844690"/>
    <w:rsid w:val="0084493D"/>
    <w:rsid w:val="00845ABF"/>
    <w:rsid w:val="00845BB7"/>
    <w:rsid w:val="00846B0F"/>
    <w:rsid w:val="008470F8"/>
    <w:rsid w:val="008505A4"/>
    <w:rsid w:val="008511A9"/>
    <w:rsid w:val="0085194A"/>
    <w:rsid w:val="00854C95"/>
    <w:rsid w:val="008553C3"/>
    <w:rsid w:val="0085695A"/>
    <w:rsid w:val="0085751C"/>
    <w:rsid w:val="00857858"/>
    <w:rsid w:val="00857BE0"/>
    <w:rsid w:val="00862803"/>
    <w:rsid w:val="00863EF3"/>
    <w:rsid w:val="00864344"/>
    <w:rsid w:val="00866749"/>
    <w:rsid w:val="00866C59"/>
    <w:rsid w:val="008701EA"/>
    <w:rsid w:val="00872B7C"/>
    <w:rsid w:val="00872FD2"/>
    <w:rsid w:val="008735E6"/>
    <w:rsid w:val="008750AE"/>
    <w:rsid w:val="00875846"/>
    <w:rsid w:val="00875B85"/>
    <w:rsid w:val="00876BE8"/>
    <w:rsid w:val="00880704"/>
    <w:rsid w:val="008807C9"/>
    <w:rsid w:val="00880D9C"/>
    <w:rsid w:val="00882145"/>
    <w:rsid w:val="0088281D"/>
    <w:rsid w:val="00883598"/>
    <w:rsid w:val="0088400D"/>
    <w:rsid w:val="00887FC8"/>
    <w:rsid w:val="00891B1D"/>
    <w:rsid w:val="00891FAC"/>
    <w:rsid w:val="008933EB"/>
    <w:rsid w:val="00894A34"/>
    <w:rsid w:val="00896B15"/>
    <w:rsid w:val="00896E0E"/>
    <w:rsid w:val="008A1EBB"/>
    <w:rsid w:val="008A207F"/>
    <w:rsid w:val="008A4638"/>
    <w:rsid w:val="008A51A2"/>
    <w:rsid w:val="008A5774"/>
    <w:rsid w:val="008A5EAE"/>
    <w:rsid w:val="008A5F73"/>
    <w:rsid w:val="008A62BC"/>
    <w:rsid w:val="008A647B"/>
    <w:rsid w:val="008B10C5"/>
    <w:rsid w:val="008B457B"/>
    <w:rsid w:val="008C0815"/>
    <w:rsid w:val="008C1455"/>
    <w:rsid w:val="008C1BC3"/>
    <w:rsid w:val="008C2F93"/>
    <w:rsid w:val="008C3DED"/>
    <w:rsid w:val="008C5860"/>
    <w:rsid w:val="008C59A1"/>
    <w:rsid w:val="008C605A"/>
    <w:rsid w:val="008C6C0A"/>
    <w:rsid w:val="008C7693"/>
    <w:rsid w:val="008D0660"/>
    <w:rsid w:val="008D0CDE"/>
    <w:rsid w:val="008D0DD5"/>
    <w:rsid w:val="008D244E"/>
    <w:rsid w:val="008D374F"/>
    <w:rsid w:val="008D37EE"/>
    <w:rsid w:val="008D55D2"/>
    <w:rsid w:val="008D670C"/>
    <w:rsid w:val="008E3028"/>
    <w:rsid w:val="008E495E"/>
    <w:rsid w:val="008E4D40"/>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D04"/>
    <w:rsid w:val="009231EC"/>
    <w:rsid w:val="00923635"/>
    <w:rsid w:val="009245E3"/>
    <w:rsid w:val="009250CC"/>
    <w:rsid w:val="0092514E"/>
    <w:rsid w:val="00925A90"/>
    <w:rsid w:val="00925D8C"/>
    <w:rsid w:val="00927FBE"/>
    <w:rsid w:val="00931136"/>
    <w:rsid w:val="00931594"/>
    <w:rsid w:val="009327EF"/>
    <w:rsid w:val="0093299E"/>
    <w:rsid w:val="00933218"/>
    <w:rsid w:val="00933F3C"/>
    <w:rsid w:val="009348EC"/>
    <w:rsid w:val="00934F06"/>
    <w:rsid w:val="0093518C"/>
    <w:rsid w:val="00943DF1"/>
    <w:rsid w:val="00944396"/>
    <w:rsid w:val="00946AE0"/>
    <w:rsid w:val="009473CF"/>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743"/>
    <w:rsid w:val="00963ABC"/>
    <w:rsid w:val="00963CB4"/>
    <w:rsid w:val="00967BCA"/>
    <w:rsid w:val="00970EA1"/>
    <w:rsid w:val="00971128"/>
    <w:rsid w:val="00971331"/>
    <w:rsid w:val="00976110"/>
    <w:rsid w:val="00976F8A"/>
    <w:rsid w:val="009776DF"/>
    <w:rsid w:val="0098012E"/>
    <w:rsid w:val="009805AB"/>
    <w:rsid w:val="009835D6"/>
    <w:rsid w:val="0098397F"/>
    <w:rsid w:val="009846F3"/>
    <w:rsid w:val="00985846"/>
    <w:rsid w:val="00985862"/>
    <w:rsid w:val="009860B3"/>
    <w:rsid w:val="0098616B"/>
    <w:rsid w:val="0099296E"/>
    <w:rsid w:val="00992DAD"/>
    <w:rsid w:val="00992FFB"/>
    <w:rsid w:val="00995292"/>
    <w:rsid w:val="00996FAD"/>
    <w:rsid w:val="009975C1"/>
    <w:rsid w:val="00997893"/>
    <w:rsid w:val="009A08A2"/>
    <w:rsid w:val="009A1155"/>
    <w:rsid w:val="009A1670"/>
    <w:rsid w:val="009A17BF"/>
    <w:rsid w:val="009A1A44"/>
    <w:rsid w:val="009A269A"/>
    <w:rsid w:val="009A38D2"/>
    <w:rsid w:val="009A3B5E"/>
    <w:rsid w:val="009A40C7"/>
    <w:rsid w:val="009A4DF7"/>
    <w:rsid w:val="009B43CC"/>
    <w:rsid w:val="009B491F"/>
    <w:rsid w:val="009C0B8F"/>
    <w:rsid w:val="009C0F3B"/>
    <w:rsid w:val="009C1BA6"/>
    <w:rsid w:val="009C1F80"/>
    <w:rsid w:val="009C3304"/>
    <w:rsid w:val="009C407C"/>
    <w:rsid w:val="009C4376"/>
    <w:rsid w:val="009C69B1"/>
    <w:rsid w:val="009C6E4A"/>
    <w:rsid w:val="009C6FCA"/>
    <w:rsid w:val="009C70AE"/>
    <w:rsid w:val="009C7CE6"/>
    <w:rsid w:val="009D2E35"/>
    <w:rsid w:val="009D3676"/>
    <w:rsid w:val="009D3A0B"/>
    <w:rsid w:val="009D52CD"/>
    <w:rsid w:val="009D5BB8"/>
    <w:rsid w:val="009D6FB6"/>
    <w:rsid w:val="009D7350"/>
    <w:rsid w:val="009E0D86"/>
    <w:rsid w:val="009E3AB8"/>
    <w:rsid w:val="009E6091"/>
    <w:rsid w:val="009E623C"/>
    <w:rsid w:val="009E67A7"/>
    <w:rsid w:val="009E702F"/>
    <w:rsid w:val="009E7D0B"/>
    <w:rsid w:val="009F04AC"/>
    <w:rsid w:val="009F5065"/>
    <w:rsid w:val="009F5254"/>
    <w:rsid w:val="009F6964"/>
    <w:rsid w:val="009F75E4"/>
    <w:rsid w:val="009F7D12"/>
    <w:rsid w:val="00A00F59"/>
    <w:rsid w:val="00A032F4"/>
    <w:rsid w:val="00A03A80"/>
    <w:rsid w:val="00A0637E"/>
    <w:rsid w:val="00A065ED"/>
    <w:rsid w:val="00A06C15"/>
    <w:rsid w:val="00A1046B"/>
    <w:rsid w:val="00A1063D"/>
    <w:rsid w:val="00A10829"/>
    <w:rsid w:val="00A10B52"/>
    <w:rsid w:val="00A10F22"/>
    <w:rsid w:val="00A12980"/>
    <w:rsid w:val="00A12A87"/>
    <w:rsid w:val="00A13D18"/>
    <w:rsid w:val="00A22782"/>
    <w:rsid w:val="00A24E14"/>
    <w:rsid w:val="00A25E5A"/>
    <w:rsid w:val="00A27335"/>
    <w:rsid w:val="00A275B2"/>
    <w:rsid w:val="00A30939"/>
    <w:rsid w:val="00A30DC9"/>
    <w:rsid w:val="00A310A8"/>
    <w:rsid w:val="00A31E20"/>
    <w:rsid w:val="00A31FF2"/>
    <w:rsid w:val="00A321D7"/>
    <w:rsid w:val="00A32D89"/>
    <w:rsid w:val="00A3403D"/>
    <w:rsid w:val="00A34A31"/>
    <w:rsid w:val="00A36742"/>
    <w:rsid w:val="00A36EF9"/>
    <w:rsid w:val="00A36FAB"/>
    <w:rsid w:val="00A41F5B"/>
    <w:rsid w:val="00A43237"/>
    <w:rsid w:val="00A446C6"/>
    <w:rsid w:val="00A4528C"/>
    <w:rsid w:val="00A45ACC"/>
    <w:rsid w:val="00A46041"/>
    <w:rsid w:val="00A46609"/>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449D"/>
    <w:rsid w:val="00A647AE"/>
    <w:rsid w:val="00A65769"/>
    <w:rsid w:val="00A65A2C"/>
    <w:rsid w:val="00A65E15"/>
    <w:rsid w:val="00A66905"/>
    <w:rsid w:val="00A66D92"/>
    <w:rsid w:val="00A67413"/>
    <w:rsid w:val="00A713DD"/>
    <w:rsid w:val="00A71585"/>
    <w:rsid w:val="00A73D37"/>
    <w:rsid w:val="00A7469D"/>
    <w:rsid w:val="00A74D08"/>
    <w:rsid w:val="00A74F7F"/>
    <w:rsid w:val="00A7568B"/>
    <w:rsid w:val="00A75C91"/>
    <w:rsid w:val="00A763D0"/>
    <w:rsid w:val="00A81491"/>
    <w:rsid w:val="00A81CBC"/>
    <w:rsid w:val="00A82B4B"/>
    <w:rsid w:val="00A8398A"/>
    <w:rsid w:val="00A8675A"/>
    <w:rsid w:val="00A87D8E"/>
    <w:rsid w:val="00A9150F"/>
    <w:rsid w:val="00A954A2"/>
    <w:rsid w:val="00A95C01"/>
    <w:rsid w:val="00A95CA5"/>
    <w:rsid w:val="00A9660B"/>
    <w:rsid w:val="00A96EC8"/>
    <w:rsid w:val="00AA205A"/>
    <w:rsid w:val="00AA2899"/>
    <w:rsid w:val="00AA2EDF"/>
    <w:rsid w:val="00AA3A0E"/>
    <w:rsid w:val="00AA3CAF"/>
    <w:rsid w:val="00AA584B"/>
    <w:rsid w:val="00AA61C9"/>
    <w:rsid w:val="00AA6FB8"/>
    <w:rsid w:val="00AB119D"/>
    <w:rsid w:val="00AB1873"/>
    <w:rsid w:val="00AB42B4"/>
    <w:rsid w:val="00AB4A3F"/>
    <w:rsid w:val="00AB52D9"/>
    <w:rsid w:val="00AB7541"/>
    <w:rsid w:val="00AC2F31"/>
    <w:rsid w:val="00AC3972"/>
    <w:rsid w:val="00AC547F"/>
    <w:rsid w:val="00AC5AA1"/>
    <w:rsid w:val="00AC74A7"/>
    <w:rsid w:val="00AD12BE"/>
    <w:rsid w:val="00AD4991"/>
    <w:rsid w:val="00AD4A22"/>
    <w:rsid w:val="00AD6F80"/>
    <w:rsid w:val="00AE000F"/>
    <w:rsid w:val="00AE13EB"/>
    <w:rsid w:val="00AE2D53"/>
    <w:rsid w:val="00AE5123"/>
    <w:rsid w:val="00AE52FE"/>
    <w:rsid w:val="00AE549C"/>
    <w:rsid w:val="00AE5AB2"/>
    <w:rsid w:val="00AE6EF0"/>
    <w:rsid w:val="00AE73B7"/>
    <w:rsid w:val="00AF47C2"/>
    <w:rsid w:val="00AF5477"/>
    <w:rsid w:val="00AF5A65"/>
    <w:rsid w:val="00AF6452"/>
    <w:rsid w:val="00B014B3"/>
    <w:rsid w:val="00B01B7D"/>
    <w:rsid w:val="00B01F01"/>
    <w:rsid w:val="00B03FF8"/>
    <w:rsid w:val="00B049DB"/>
    <w:rsid w:val="00B065D6"/>
    <w:rsid w:val="00B06A40"/>
    <w:rsid w:val="00B06BC0"/>
    <w:rsid w:val="00B07906"/>
    <w:rsid w:val="00B07B3F"/>
    <w:rsid w:val="00B129D9"/>
    <w:rsid w:val="00B13139"/>
    <w:rsid w:val="00B1441E"/>
    <w:rsid w:val="00B14F33"/>
    <w:rsid w:val="00B15730"/>
    <w:rsid w:val="00B20539"/>
    <w:rsid w:val="00B208CF"/>
    <w:rsid w:val="00B20EE0"/>
    <w:rsid w:val="00B25257"/>
    <w:rsid w:val="00B25A3B"/>
    <w:rsid w:val="00B2602F"/>
    <w:rsid w:val="00B262E8"/>
    <w:rsid w:val="00B26D4D"/>
    <w:rsid w:val="00B27156"/>
    <w:rsid w:val="00B271A5"/>
    <w:rsid w:val="00B27570"/>
    <w:rsid w:val="00B27EF4"/>
    <w:rsid w:val="00B31E5C"/>
    <w:rsid w:val="00B36270"/>
    <w:rsid w:val="00B41A41"/>
    <w:rsid w:val="00B4341D"/>
    <w:rsid w:val="00B441BF"/>
    <w:rsid w:val="00B45E39"/>
    <w:rsid w:val="00B45F4C"/>
    <w:rsid w:val="00B462C5"/>
    <w:rsid w:val="00B468E6"/>
    <w:rsid w:val="00B47651"/>
    <w:rsid w:val="00B50DFD"/>
    <w:rsid w:val="00B512EE"/>
    <w:rsid w:val="00B534ED"/>
    <w:rsid w:val="00B5379B"/>
    <w:rsid w:val="00B54024"/>
    <w:rsid w:val="00B550CF"/>
    <w:rsid w:val="00B559A6"/>
    <w:rsid w:val="00B614E4"/>
    <w:rsid w:val="00B62D54"/>
    <w:rsid w:val="00B633CD"/>
    <w:rsid w:val="00B64155"/>
    <w:rsid w:val="00B64F65"/>
    <w:rsid w:val="00B6776C"/>
    <w:rsid w:val="00B67ABE"/>
    <w:rsid w:val="00B67EB7"/>
    <w:rsid w:val="00B75982"/>
    <w:rsid w:val="00B774F3"/>
    <w:rsid w:val="00B779DB"/>
    <w:rsid w:val="00B831FE"/>
    <w:rsid w:val="00B83C7F"/>
    <w:rsid w:val="00B900B5"/>
    <w:rsid w:val="00B9033E"/>
    <w:rsid w:val="00B90D86"/>
    <w:rsid w:val="00B927B4"/>
    <w:rsid w:val="00B92C90"/>
    <w:rsid w:val="00B94ED8"/>
    <w:rsid w:val="00B966CE"/>
    <w:rsid w:val="00B9726F"/>
    <w:rsid w:val="00BA0190"/>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B83"/>
    <w:rsid w:val="00BC3DB2"/>
    <w:rsid w:val="00BC5A17"/>
    <w:rsid w:val="00BC5CF7"/>
    <w:rsid w:val="00BC6AC3"/>
    <w:rsid w:val="00BC77EA"/>
    <w:rsid w:val="00BC77EE"/>
    <w:rsid w:val="00BD170E"/>
    <w:rsid w:val="00BD187C"/>
    <w:rsid w:val="00BD31B3"/>
    <w:rsid w:val="00BD3C7B"/>
    <w:rsid w:val="00BD4467"/>
    <w:rsid w:val="00BD453B"/>
    <w:rsid w:val="00BD4708"/>
    <w:rsid w:val="00BD4AA2"/>
    <w:rsid w:val="00BD5904"/>
    <w:rsid w:val="00BD65A8"/>
    <w:rsid w:val="00BD69F3"/>
    <w:rsid w:val="00BD71DF"/>
    <w:rsid w:val="00BE0FE0"/>
    <w:rsid w:val="00BE409A"/>
    <w:rsid w:val="00BE4399"/>
    <w:rsid w:val="00BE44C6"/>
    <w:rsid w:val="00BE51BB"/>
    <w:rsid w:val="00BE6538"/>
    <w:rsid w:val="00BE7974"/>
    <w:rsid w:val="00BF2607"/>
    <w:rsid w:val="00BF2FD1"/>
    <w:rsid w:val="00C00EFA"/>
    <w:rsid w:val="00C02832"/>
    <w:rsid w:val="00C02EE1"/>
    <w:rsid w:val="00C03821"/>
    <w:rsid w:val="00C03DAD"/>
    <w:rsid w:val="00C04554"/>
    <w:rsid w:val="00C0461E"/>
    <w:rsid w:val="00C06597"/>
    <w:rsid w:val="00C073E6"/>
    <w:rsid w:val="00C11D56"/>
    <w:rsid w:val="00C12D4E"/>
    <w:rsid w:val="00C12E27"/>
    <w:rsid w:val="00C14345"/>
    <w:rsid w:val="00C14482"/>
    <w:rsid w:val="00C14FE4"/>
    <w:rsid w:val="00C15408"/>
    <w:rsid w:val="00C16AC9"/>
    <w:rsid w:val="00C17538"/>
    <w:rsid w:val="00C17636"/>
    <w:rsid w:val="00C20AA8"/>
    <w:rsid w:val="00C22F60"/>
    <w:rsid w:val="00C24B5D"/>
    <w:rsid w:val="00C254BE"/>
    <w:rsid w:val="00C2551D"/>
    <w:rsid w:val="00C25D8B"/>
    <w:rsid w:val="00C25FC1"/>
    <w:rsid w:val="00C262AF"/>
    <w:rsid w:val="00C271D6"/>
    <w:rsid w:val="00C277F3"/>
    <w:rsid w:val="00C3088D"/>
    <w:rsid w:val="00C319A8"/>
    <w:rsid w:val="00C319F9"/>
    <w:rsid w:val="00C3530A"/>
    <w:rsid w:val="00C353B7"/>
    <w:rsid w:val="00C3584B"/>
    <w:rsid w:val="00C3585B"/>
    <w:rsid w:val="00C35C89"/>
    <w:rsid w:val="00C36EEA"/>
    <w:rsid w:val="00C42C7C"/>
    <w:rsid w:val="00C43C8F"/>
    <w:rsid w:val="00C449E5"/>
    <w:rsid w:val="00C451FF"/>
    <w:rsid w:val="00C45889"/>
    <w:rsid w:val="00C476BC"/>
    <w:rsid w:val="00C50F05"/>
    <w:rsid w:val="00C51114"/>
    <w:rsid w:val="00C51F93"/>
    <w:rsid w:val="00C52421"/>
    <w:rsid w:val="00C52AD3"/>
    <w:rsid w:val="00C54034"/>
    <w:rsid w:val="00C5558E"/>
    <w:rsid w:val="00C56213"/>
    <w:rsid w:val="00C56894"/>
    <w:rsid w:val="00C62C8A"/>
    <w:rsid w:val="00C6582D"/>
    <w:rsid w:val="00C667DD"/>
    <w:rsid w:val="00C72D86"/>
    <w:rsid w:val="00C73560"/>
    <w:rsid w:val="00C73CDE"/>
    <w:rsid w:val="00C74150"/>
    <w:rsid w:val="00C749DA"/>
    <w:rsid w:val="00C74BF6"/>
    <w:rsid w:val="00C74DB3"/>
    <w:rsid w:val="00C77983"/>
    <w:rsid w:val="00C77AE1"/>
    <w:rsid w:val="00C80926"/>
    <w:rsid w:val="00C818D7"/>
    <w:rsid w:val="00C83D4B"/>
    <w:rsid w:val="00C847AA"/>
    <w:rsid w:val="00C87C30"/>
    <w:rsid w:val="00C90D80"/>
    <w:rsid w:val="00C9217F"/>
    <w:rsid w:val="00C92559"/>
    <w:rsid w:val="00C931EC"/>
    <w:rsid w:val="00C937E6"/>
    <w:rsid w:val="00C940D9"/>
    <w:rsid w:val="00C96DCD"/>
    <w:rsid w:val="00CA0B88"/>
    <w:rsid w:val="00CA1826"/>
    <w:rsid w:val="00CA1D08"/>
    <w:rsid w:val="00CA25DB"/>
    <w:rsid w:val="00CA283F"/>
    <w:rsid w:val="00CA46B8"/>
    <w:rsid w:val="00CA55F8"/>
    <w:rsid w:val="00CA5C25"/>
    <w:rsid w:val="00CA6875"/>
    <w:rsid w:val="00CA6F29"/>
    <w:rsid w:val="00CA70D7"/>
    <w:rsid w:val="00CA7778"/>
    <w:rsid w:val="00CA7F62"/>
    <w:rsid w:val="00CA7FA6"/>
    <w:rsid w:val="00CB0314"/>
    <w:rsid w:val="00CB09A7"/>
    <w:rsid w:val="00CB1379"/>
    <w:rsid w:val="00CB2CAE"/>
    <w:rsid w:val="00CB3A64"/>
    <w:rsid w:val="00CB4B13"/>
    <w:rsid w:val="00CB5631"/>
    <w:rsid w:val="00CB5A16"/>
    <w:rsid w:val="00CB5E63"/>
    <w:rsid w:val="00CB6542"/>
    <w:rsid w:val="00CB73CD"/>
    <w:rsid w:val="00CB7FDF"/>
    <w:rsid w:val="00CC0A3F"/>
    <w:rsid w:val="00CC1180"/>
    <w:rsid w:val="00CC28A7"/>
    <w:rsid w:val="00CC4807"/>
    <w:rsid w:val="00CD02EB"/>
    <w:rsid w:val="00CD085E"/>
    <w:rsid w:val="00CD3030"/>
    <w:rsid w:val="00CD3BF9"/>
    <w:rsid w:val="00CD4839"/>
    <w:rsid w:val="00CD4BC8"/>
    <w:rsid w:val="00CD5C4D"/>
    <w:rsid w:val="00CD5CEA"/>
    <w:rsid w:val="00CD7B08"/>
    <w:rsid w:val="00CE7CEC"/>
    <w:rsid w:val="00CF0BFC"/>
    <w:rsid w:val="00CF0DE5"/>
    <w:rsid w:val="00CF1CB7"/>
    <w:rsid w:val="00CF1DAF"/>
    <w:rsid w:val="00CF2EA4"/>
    <w:rsid w:val="00CF5C81"/>
    <w:rsid w:val="00CF6DAA"/>
    <w:rsid w:val="00CF7B2E"/>
    <w:rsid w:val="00D00F46"/>
    <w:rsid w:val="00D02685"/>
    <w:rsid w:val="00D0517D"/>
    <w:rsid w:val="00D0611E"/>
    <w:rsid w:val="00D065C8"/>
    <w:rsid w:val="00D07BD5"/>
    <w:rsid w:val="00D10E77"/>
    <w:rsid w:val="00D12D31"/>
    <w:rsid w:val="00D13401"/>
    <w:rsid w:val="00D158C9"/>
    <w:rsid w:val="00D160C9"/>
    <w:rsid w:val="00D1718C"/>
    <w:rsid w:val="00D2039E"/>
    <w:rsid w:val="00D20477"/>
    <w:rsid w:val="00D2150E"/>
    <w:rsid w:val="00D21C2F"/>
    <w:rsid w:val="00D2209E"/>
    <w:rsid w:val="00D22DA8"/>
    <w:rsid w:val="00D3110E"/>
    <w:rsid w:val="00D31DF8"/>
    <w:rsid w:val="00D320C8"/>
    <w:rsid w:val="00D32E8F"/>
    <w:rsid w:val="00D3344C"/>
    <w:rsid w:val="00D35304"/>
    <w:rsid w:val="00D355F4"/>
    <w:rsid w:val="00D36368"/>
    <w:rsid w:val="00D42718"/>
    <w:rsid w:val="00D43142"/>
    <w:rsid w:val="00D43A16"/>
    <w:rsid w:val="00D452A5"/>
    <w:rsid w:val="00D50541"/>
    <w:rsid w:val="00D514DB"/>
    <w:rsid w:val="00D53359"/>
    <w:rsid w:val="00D5709E"/>
    <w:rsid w:val="00D600BE"/>
    <w:rsid w:val="00D647E7"/>
    <w:rsid w:val="00D65666"/>
    <w:rsid w:val="00D6570D"/>
    <w:rsid w:val="00D6618A"/>
    <w:rsid w:val="00D66306"/>
    <w:rsid w:val="00D71B6E"/>
    <w:rsid w:val="00D723CB"/>
    <w:rsid w:val="00D73018"/>
    <w:rsid w:val="00D73BC7"/>
    <w:rsid w:val="00D74378"/>
    <w:rsid w:val="00D7635A"/>
    <w:rsid w:val="00D769DF"/>
    <w:rsid w:val="00D77391"/>
    <w:rsid w:val="00D803FA"/>
    <w:rsid w:val="00D8139A"/>
    <w:rsid w:val="00D81A4E"/>
    <w:rsid w:val="00D821C1"/>
    <w:rsid w:val="00D823F9"/>
    <w:rsid w:val="00D82CC0"/>
    <w:rsid w:val="00D850AF"/>
    <w:rsid w:val="00D85DE4"/>
    <w:rsid w:val="00D86FF6"/>
    <w:rsid w:val="00D91886"/>
    <w:rsid w:val="00D92E85"/>
    <w:rsid w:val="00D92FE3"/>
    <w:rsid w:val="00D93B61"/>
    <w:rsid w:val="00D952C5"/>
    <w:rsid w:val="00D96789"/>
    <w:rsid w:val="00D97173"/>
    <w:rsid w:val="00D97232"/>
    <w:rsid w:val="00DA1AA1"/>
    <w:rsid w:val="00DA1DB9"/>
    <w:rsid w:val="00DA4154"/>
    <w:rsid w:val="00DA4394"/>
    <w:rsid w:val="00DA45D5"/>
    <w:rsid w:val="00DA477B"/>
    <w:rsid w:val="00DA5969"/>
    <w:rsid w:val="00DA76B7"/>
    <w:rsid w:val="00DB132D"/>
    <w:rsid w:val="00DB3101"/>
    <w:rsid w:val="00DB47E9"/>
    <w:rsid w:val="00DB7024"/>
    <w:rsid w:val="00DC233D"/>
    <w:rsid w:val="00DC4200"/>
    <w:rsid w:val="00DC6202"/>
    <w:rsid w:val="00DC6A07"/>
    <w:rsid w:val="00DD064B"/>
    <w:rsid w:val="00DD24B1"/>
    <w:rsid w:val="00DD375E"/>
    <w:rsid w:val="00DD3D05"/>
    <w:rsid w:val="00DD4F22"/>
    <w:rsid w:val="00DD51BB"/>
    <w:rsid w:val="00DD53A5"/>
    <w:rsid w:val="00DD5A80"/>
    <w:rsid w:val="00DD6F4A"/>
    <w:rsid w:val="00DE0385"/>
    <w:rsid w:val="00DE1C49"/>
    <w:rsid w:val="00DE550D"/>
    <w:rsid w:val="00DE57E6"/>
    <w:rsid w:val="00DE7B48"/>
    <w:rsid w:val="00DF02AF"/>
    <w:rsid w:val="00DF0E66"/>
    <w:rsid w:val="00DF305F"/>
    <w:rsid w:val="00DF31B1"/>
    <w:rsid w:val="00DF4F8A"/>
    <w:rsid w:val="00DF5206"/>
    <w:rsid w:val="00DF536E"/>
    <w:rsid w:val="00DF5443"/>
    <w:rsid w:val="00DF6DE3"/>
    <w:rsid w:val="00DF7C51"/>
    <w:rsid w:val="00E01D3F"/>
    <w:rsid w:val="00E0317F"/>
    <w:rsid w:val="00E03457"/>
    <w:rsid w:val="00E03B75"/>
    <w:rsid w:val="00E0625B"/>
    <w:rsid w:val="00E069A2"/>
    <w:rsid w:val="00E12716"/>
    <w:rsid w:val="00E13FD9"/>
    <w:rsid w:val="00E15765"/>
    <w:rsid w:val="00E15849"/>
    <w:rsid w:val="00E173CC"/>
    <w:rsid w:val="00E17542"/>
    <w:rsid w:val="00E20518"/>
    <w:rsid w:val="00E21837"/>
    <w:rsid w:val="00E225D0"/>
    <w:rsid w:val="00E24EFB"/>
    <w:rsid w:val="00E25F87"/>
    <w:rsid w:val="00E2681E"/>
    <w:rsid w:val="00E31604"/>
    <w:rsid w:val="00E32662"/>
    <w:rsid w:val="00E34C8D"/>
    <w:rsid w:val="00E3785E"/>
    <w:rsid w:val="00E4214E"/>
    <w:rsid w:val="00E43E64"/>
    <w:rsid w:val="00E44BDA"/>
    <w:rsid w:val="00E452CA"/>
    <w:rsid w:val="00E4548F"/>
    <w:rsid w:val="00E458E5"/>
    <w:rsid w:val="00E4712A"/>
    <w:rsid w:val="00E50EC0"/>
    <w:rsid w:val="00E524EA"/>
    <w:rsid w:val="00E52BE8"/>
    <w:rsid w:val="00E52C05"/>
    <w:rsid w:val="00E5549B"/>
    <w:rsid w:val="00E5721E"/>
    <w:rsid w:val="00E57BF9"/>
    <w:rsid w:val="00E60568"/>
    <w:rsid w:val="00E61E45"/>
    <w:rsid w:val="00E62678"/>
    <w:rsid w:val="00E62757"/>
    <w:rsid w:val="00E63D47"/>
    <w:rsid w:val="00E64E18"/>
    <w:rsid w:val="00E65EAB"/>
    <w:rsid w:val="00E66149"/>
    <w:rsid w:val="00E708DE"/>
    <w:rsid w:val="00E71CF4"/>
    <w:rsid w:val="00E757F0"/>
    <w:rsid w:val="00E76467"/>
    <w:rsid w:val="00E7707B"/>
    <w:rsid w:val="00E814D8"/>
    <w:rsid w:val="00E829CA"/>
    <w:rsid w:val="00E82C94"/>
    <w:rsid w:val="00E86850"/>
    <w:rsid w:val="00E901A5"/>
    <w:rsid w:val="00E9029F"/>
    <w:rsid w:val="00E90AB5"/>
    <w:rsid w:val="00E91645"/>
    <w:rsid w:val="00E919FA"/>
    <w:rsid w:val="00E932EE"/>
    <w:rsid w:val="00E9460A"/>
    <w:rsid w:val="00E952CB"/>
    <w:rsid w:val="00EA202D"/>
    <w:rsid w:val="00EA2FB7"/>
    <w:rsid w:val="00EA41AD"/>
    <w:rsid w:val="00EA57A3"/>
    <w:rsid w:val="00EB037C"/>
    <w:rsid w:val="00EB07AF"/>
    <w:rsid w:val="00EB0B49"/>
    <w:rsid w:val="00EB14A8"/>
    <w:rsid w:val="00EB1C77"/>
    <w:rsid w:val="00EB235C"/>
    <w:rsid w:val="00EB275D"/>
    <w:rsid w:val="00EB293D"/>
    <w:rsid w:val="00EB3DE0"/>
    <w:rsid w:val="00EB4CDB"/>
    <w:rsid w:val="00EB5467"/>
    <w:rsid w:val="00EB6FF1"/>
    <w:rsid w:val="00EB7372"/>
    <w:rsid w:val="00EB7D96"/>
    <w:rsid w:val="00EC209B"/>
    <w:rsid w:val="00EC2F81"/>
    <w:rsid w:val="00EC5E6A"/>
    <w:rsid w:val="00EC6915"/>
    <w:rsid w:val="00EC76A9"/>
    <w:rsid w:val="00EC7758"/>
    <w:rsid w:val="00ED0B82"/>
    <w:rsid w:val="00ED3152"/>
    <w:rsid w:val="00ED3E7E"/>
    <w:rsid w:val="00EE025D"/>
    <w:rsid w:val="00EE02BB"/>
    <w:rsid w:val="00EE0782"/>
    <w:rsid w:val="00EE276D"/>
    <w:rsid w:val="00EE2E77"/>
    <w:rsid w:val="00EE32E7"/>
    <w:rsid w:val="00EE6384"/>
    <w:rsid w:val="00EE68A7"/>
    <w:rsid w:val="00EF03E5"/>
    <w:rsid w:val="00EF1E7E"/>
    <w:rsid w:val="00EF1F5F"/>
    <w:rsid w:val="00EF2731"/>
    <w:rsid w:val="00EF414D"/>
    <w:rsid w:val="00EF762F"/>
    <w:rsid w:val="00EF7A48"/>
    <w:rsid w:val="00F00724"/>
    <w:rsid w:val="00F061F9"/>
    <w:rsid w:val="00F066A0"/>
    <w:rsid w:val="00F10914"/>
    <w:rsid w:val="00F11530"/>
    <w:rsid w:val="00F122DA"/>
    <w:rsid w:val="00F12511"/>
    <w:rsid w:val="00F135DF"/>
    <w:rsid w:val="00F14473"/>
    <w:rsid w:val="00F1554D"/>
    <w:rsid w:val="00F157F1"/>
    <w:rsid w:val="00F20ADC"/>
    <w:rsid w:val="00F231F5"/>
    <w:rsid w:val="00F23385"/>
    <w:rsid w:val="00F24B9A"/>
    <w:rsid w:val="00F25A34"/>
    <w:rsid w:val="00F26AF1"/>
    <w:rsid w:val="00F30EE1"/>
    <w:rsid w:val="00F34566"/>
    <w:rsid w:val="00F37121"/>
    <w:rsid w:val="00F376C5"/>
    <w:rsid w:val="00F37DB9"/>
    <w:rsid w:val="00F44541"/>
    <w:rsid w:val="00F452BF"/>
    <w:rsid w:val="00F45D54"/>
    <w:rsid w:val="00F4754C"/>
    <w:rsid w:val="00F51B92"/>
    <w:rsid w:val="00F51DE9"/>
    <w:rsid w:val="00F51F5C"/>
    <w:rsid w:val="00F52A23"/>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1B4E"/>
    <w:rsid w:val="00F727EF"/>
    <w:rsid w:val="00F7387B"/>
    <w:rsid w:val="00F7536E"/>
    <w:rsid w:val="00F7564C"/>
    <w:rsid w:val="00F763DA"/>
    <w:rsid w:val="00F76EFB"/>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6A12"/>
    <w:rsid w:val="00FA6A3F"/>
    <w:rsid w:val="00FA6E0C"/>
    <w:rsid w:val="00FB06DA"/>
    <w:rsid w:val="00FB5BE9"/>
    <w:rsid w:val="00FB7A5C"/>
    <w:rsid w:val="00FC0F02"/>
    <w:rsid w:val="00FC1CA3"/>
    <w:rsid w:val="00FC276F"/>
    <w:rsid w:val="00FC3F44"/>
    <w:rsid w:val="00FC5CA6"/>
    <w:rsid w:val="00FC7C4B"/>
    <w:rsid w:val="00FD0DE3"/>
    <w:rsid w:val="00FD12B2"/>
    <w:rsid w:val="00FD142D"/>
    <w:rsid w:val="00FD272C"/>
    <w:rsid w:val="00FD3FDD"/>
    <w:rsid w:val="00FD59BF"/>
    <w:rsid w:val="00FD6C2B"/>
    <w:rsid w:val="00FD6ED5"/>
    <w:rsid w:val="00FD79D3"/>
    <w:rsid w:val="00FE05F0"/>
    <w:rsid w:val="00FE36E8"/>
    <w:rsid w:val="00FE3D8F"/>
    <w:rsid w:val="00FE5281"/>
    <w:rsid w:val="00FE666D"/>
    <w:rsid w:val="00FE73BF"/>
    <w:rsid w:val="00FE7EFE"/>
    <w:rsid w:val="00FF12A4"/>
    <w:rsid w:val="00FF14E5"/>
    <w:rsid w:val="00FF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62A23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BA4CCD"/>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uiPriority w:val="99"/>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BA4CCD"/>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NormalWeb">
    <w:name w:val="Normal (Web)"/>
    <w:basedOn w:val="Normal"/>
    <w:uiPriority w:val="99"/>
    <w:semiHidden/>
    <w:unhideWhenUsed/>
    <w:rsid w:val="00CB4B13"/>
    <w:pPr>
      <w:spacing w:before="100" w:beforeAutospacing="1" w:after="100" w:afterAutospacing="1"/>
    </w:pPr>
  </w:style>
  <w:style w:type="paragraph" w:styleId="Revision">
    <w:name w:val="Revision"/>
    <w:hidden/>
    <w:uiPriority w:val="99"/>
    <w:semiHidden/>
    <w:rsid w:val="00475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5732">
      <w:bodyDiv w:val="1"/>
      <w:marLeft w:val="0"/>
      <w:marRight w:val="0"/>
      <w:marTop w:val="0"/>
      <w:marBottom w:val="0"/>
      <w:divBdr>
        <w:top w:val="none" w:sz="0" w:space="0" w:color="auto"/>
        <w:left w:val="none" w:sz="0" w:space="0" w:color="auto"/>
        <w:bottom w:val="none" w:sz="0" w:space="0" w:color="auto"/>
        <w:right w:val="none" w:sz="0" w:space="0" w:color="auto"/>
      </w:divBdr>
    </w:div>
    <w:div w:id="323551331">
      <w:bodyDiv w:val="1"/>
      <w:marLeft w:val="0"/>
      <w:marRight w:val="0"/>
      <w:marTop w:val="0"/>
      <w:marBottom w:val="0"/>
      <w:divBdr>
        <w:top w:val="none" w:sz="0" w:space="0" w:color="auto"/>
        <w:left w:val="none" w:sz="0" w:space="0" w:color="auto"/>
        <w:bottom w:val="none" w:sz="0" w:space="0" w:color="auto"/>
        <w:right w:val="none" w:sz="0" w:space="0" w:color="auto"/>
      </w:divBdr>
    </w:div>
    <w:div w:id="726925369">
      <w:bodyDiv w:val="1"/>
      <w:marLeft w:val="0"/>
      <w:marRight w:val="0"/>
      <w:marTop w:val="0"/>
      <w:marBottom w:val="0"/>
      <w:divBdr>
        <w:top w:val="none" w:sz="0" w:space="0" w:color="auto"/>
        <w:left w:val="none" w:sz="0" w:space="0" w:color="auto"/>
        <w:bottom w:val="none" w:sz="0" w:space="0" w:color="auto"/>
        <w:right w:val="none" w:sz="0" w:space="0" w:color="auto"/>
      </w:divBdr>
    </w:div>
    <w:div w:id="1349408784">
      <w:bodyDiv w:val="1"/>
      <w:marLeft w:val="0"/>
      <w:marRight w:val="0"/>
      <w:marTop w:val="0"/>
      <w:marBottom w:val="0"/>
      <w:divBdr>
        <w:top w:val="none" w:sz="0" w:space="0" w:color="auto"/>
        <w:left w:val="none" w:sz="0" w:space="0" w:color="auto"/>
        <w:bottom w:val="none" w:sz="0" w:space="0" w:color="auto"/>
        <w:right w:val="none" w:sz="0" w:space="0" w:color="auto"/>
      </w:divBdr>
    </w:div>
    <w:div w:id="1376853927">
      <w:bodyDiv w:val="1"/>
      <w:marLeft w:val="0"/>
      <w:marRight w:val="0"/>
      <w:marTop w:val="0"/>
      <w:marBottom w:val="0"/>
      <w:divBdr>
        <w:top w:val="none" w:sz="0" w:space="0" w:color="auto"/>
        <w:left w:val="none" w:sz="0" w:space="0" w:color="auto"/>
        <w:bottom w:val="none" w:sz="0" w:space="0" w:color="auto"/>
        <w:right w:val="none" w:sz="0" w:space="0" w:color="auto"/>
      </w:divBdr>
    </w:div>
    <w:div w:id="15905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nece.org/trans/main/welcwp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3B09-E60E-484E-B933-27AA884F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draft] Australian Design Rule 98-02 - Advanced Emergency Braking for Passenger Vehicles and Light Goods Vehicles (Explanatory Statement)</dc:title>
  <dc:subject/>
  <dc:creator>Australian Government, Department of Infrastructure, Transport, Regional Development, Communications, Sport and the Arts</dc:creator>
  <cp:keywords/>
  <cp:lastModifiedBy/>
  <cp:revision>1</cp:revision>
  <dcterms:created xsi:type="dcterms:W3CDTF">2025-10-09T23:01:00Z</dcterms:created>
  <dcterms:modified xsi:type="dcterms:W3CDTF">2025-10-09T23:01:00Z</dcterms:modified>
</cp:coreProperties>
</file>