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C399" w14:textId="77777777" w:rsidR="00C3438F" w:rsidRPr="00601B0E" w:rsidRDefault="00C3438F" w:rsidP="00C3438F">
      <w:pPr>
        <w:jc w:val="center"/>
        <w:rPr>
          <w:b/>
          <w:sz w:val="40"/>
          <w:szCs w:val="40"/>
        </w:rPr>
      </w:pPr>
      <w:bookmarkStart w:id="0" w:name="_GoBack"/>
      <w:bookmarkEnd w:id="0"/>
    </w:p>
    <w:p w14:paraId="07B77A4F" w14:textId="34BA9E80" w:rsidR="00C3438F" w:rsidRPr="00ED5334" w:rsidRDefault="00C3438F" w:rsidP="00313F5B">
      <w:pPr>
        <w:jc w:val="center"/>
      </w:pPr>
      <w:r w:rsidRPr="00ED5334">
        <w:rPr>
          <w:b/>
          <w:sz w:val="40"/>
          <w:szCs w:val="40"/>
        </w:rPr>
        <w:t xml:space="preserve">Vehicle Standard (Australian Design Rule </w:t>
      </w:r>
      <w:r w:rsidR="00313F5B" w:rsidRPr="00ED5334">
        <w:rPr>
          <w:b/>
          <w:sz w:val="40"/>
          <w:szCs w:val="40"/>
        </w:rPr>
        <w:t>10</w:t>
      </w:r>
      <w:r w:rsidR="00513D33" w:rsidRPr="00ED5334">
        <w:rPr>
          <w:b/>
          <w:sz w:val="40"/>
          <w:szCs w:val="40"/>
        </w:rPr>
        <w:t>7</w:t>
      </w:r>
      <w:r w:rsidRPr="00ED5334">
        <w:rPr>
          <w:b/>
          <w:sz w:val="40"/>
          <w:szCs w:val="40"/>
        </w:rPr>
        <w:t xml:space="preserve">/00 – </w:t>
      </w:r>
      <w:r w:rsidR="00513D33" w:rsidRPr="00ED5334">
        <w:rPr>
          <w:b/>
          <w:sz w:val="40"/>
          <w:szCs w:val="40"/>
        </w:rPr>
        <w:t>Emergency Lane Keeping System</w:t>
      </w:r>
      <w:r w:rsidR="00B2328D" w:rsidRPr="00ED5334">
        <w:rPr>
          <w:b/>
          <w:sz w:val="40"/>
          <w:szCs w:val="40"/>
        </w:rPr>
        <w:t>s</w:t>
      </w:r>
      <w:r w:rsidR="00C92AF5">
        <w:rPr>
          <w:b/>
          <w:sz w:val="40"/>
          <w:szCs w:val="40"/>
        </w:rPr>
        <w:t xml:space="preserve"> for Passenger Vehicles and Light Goods Vehicles</w:t>
      </w:r>
      <w:r w:rsidRPr="00ED5334">
        <w:rPr>
          <w:b/>
          <w:sz w:val="40"/>
          <w:szCs w:val="40"/>
        </w:rPr>
        <w:t>) 202</w:t>
      </w:r>
      <w:r w:rsidR="009E3781" w:rsidRPr="00ED5334">
        <w:rPr>
          <w:b/>
          <w:sz w:val="40"/>
          <w:szCs w:val="40"/>
        </w:rPr>
        <w:t>5</w:t>
      </w:r>
    </w:p>
    <w:p w14:paraId="24DBE53F" w14:textId="77777777" w:rsidR="00C3438F" w:rsidRPr="00ED5334" w:rsidRDefault="00C3438F" w:rsidP="00C3438F"/>
    <w:p w14:paraId="22F657E0" w14:textId="77777777" w:rsidR="00C3438F" w:rsidRPr="00ED5334" w:rsidRDefault="00C3438F" w:rsidP="00C3438F"/>
    <w:p w14:paraId="5F95EE1F" w14:textId="77777777" w:rsidR="00C3438F" w:rsidRPr="00ED5334" w:rsidRDefault="00C3438F" w:rsidP="00C3438F"/>
    <w:p w14:paraId="15DD173C" w14:textId="77777777" w:rsidR="0060744E" w:rsidRPr="00ED5334" w:rsidRDefault="0060744E" w:rsidP="00C3438F"/>
    <w:p w14:paraId="5DD10D3F" w14:textId="77777777" w:rsidR="0060744E" w:rsidRPr="00ED5334" w:rsidRDefault="0060744E" w:rsidP="00C3438F"/>
    <w:p w14:paraId="37F6096C" w14:textId="77777777" w:rsidR="00C3438F" w:rsidRPr="00ED5334" w:rsidRDefault="00C3438F" w:rsidP="00C3438F">
      <w:pPr>
        <w:jc w:val="center"/>
      </w:pPr>
      <w:r w:rsidRPr="00ED5334">
        <w:t xml:space="preserve">Made under section 12 of the </w:t>
      </w:r>
      <w:r w:rsidRPr="00ED5334">
        <w:rPr>
          <w:i/>
        </w:rPr>
        <w:t>Road Vehicle Standards Act 2018</w:t>
      </w:r>
    </w:p>
    <w:p w14:paraId="74D43E69" w14:textId="77777777" w:rsidR="00C3438F" w:rsidRPr="00ED5334" w:rsidRDefault="00C3438F" w:rsidP="00C3438F"/>
    <w:p w14:paraId="0D6B3B9B" w14:textId="77777777" w:rsidR="00C3438F" w:rsidRPr="00ED5334" w:rsidRDefault="00C3438F" w:rsidP="00C3438F"/>
    <w:p w14:paraId="65DA6DB7" w14:textId="77777777" w:rsidR="00C3438F" w:rsidRPr="00ED5334" w:rsidRDefault="00C3438F" w:rsidP="00C3438F"/>
    <w:p w14:paraId="07AFFF78" w14:textId="77777777" w:rsidR="00C3438F" w:rsidRPr="00ED5334" w:rsidRDefault="00C3438F" w:rsidP="00C3438F"/>
    <w:p w14:paraId="05E846FC" w14:textId="77777777" w:rsidR="00C3438F" w:rsidRPr="00ED5334" w:rsidRDefault="00C3438F" w:rsidP="00C3438F"/>
    <w:p w14:paraId="2F3D03C4" w14:textId="6BF9D375" w:rsidR="00751951" w:rsidRPr="00ED5334" w:rsidRDefault="00AA3191" w:rsidP="00C3438F">
      <w:pPr>
        <w:jc w:val="center"/>
        <w:rPr>
          <w:b/>
          <w:bCs/>
          <w:sz w:val="40"/>
        </w:rPr>
      </w:pPr>
      <w:r w:rsidRPr="00ED5334">
        <w:rPr>
          <w:b/>
          <w:bCs/>
          <w:sz w:val="40"/>
        </w:rPr>
        <w:t>DRAFT</w:t>
      </w:r>
      <w:r w:rsidR="00751951" w:rsidRPr="00ED5334">
        <w:rPr>
          <w:b/>
          <w:bCs/>
          <w:sz w:val="40"/>
        </w:rPr>
        <w:t xml:space="preserve"> FOR CONSUL</w:t>
      </w:r>
      <w:r w:rsidR="00A931D3">
        <w:rPr>
          <w:b/>
          <w:bCs/>
          <w:sz w:val="40"/>
        </w:rPr>
        <w:t>T</w:t>
      </w:r>
      <w:r w:rsidR="00751951" w:rsidRPr="00ED5334">
        <w:rPr>
          <w:b/>
          <w:bCs/>
          <w:sz w:val="40"/>
        </w:rPr>
        <w:t>ATION</w:t>
      </w:r>
      <w:r w:rsidRPr="00ED5334">
        <w:rPr>
          <w:b/>
          <w:bCs/>
          <w:sz w:val="40"/>
        </w:rPr>
        <w:t xml:space="preserve"> </w:t>
      </w:r>
    </w:p>
    <w:p w14:paraId="3AF7E15A" w14:textId="5B8F9B13" w:rsidR="00C3438F" w:rsidRPr="00ED5334" w:rsidRDefault="00C3438F" w:rsidP="00C3438F">
      <w:pPr>
        <w:jc w:val="center"/>
        <w:rPr>
          <w:b/>
          <w:bCs/>
          <w:sz w:val="40"/>
        </w:rPr>
      </w:pPr>
      <w:r w:rsidRPr="00ED5334">
        <w:rPr>
          <w:b/>
          <w:bCs/>
          <w:sz w:val="40"/>
        </w:rPr>
        <w:t>Explanatory Statement</w:t>
      </w:r>
    </w:p>
    <w:p w14:paraId="528D0F30" w14:textId="77777777" w:rsidR="00C3438F" w:rsidRPr="00ED5334" w:rsidRDefault="00C3438F" w:rsidP="00C3438F"/>
    <w:p w14:paraId="088C87F2" w14:textId="77777777" w:rsidR="00C3438F" w:rsidRPr="00ED5334" w:rsidRDefault="00C3438F" w:rsidP="00C3438F"/>
    <w:p w14:paraId="12480AC9" w14:textId="77777777" w:rsidR="00C3438F" w:rsidRPr="00ED5334" w:rsidRDefault="00C3438F" w:rsidP="00C3438F"/>
    <w:p w14:paraId="70D27983" w14:textId="77777777" w:rsidR="00C3438F" w:rsidRPr="00ED5334" w:rsidRDefault="00C3438F" w:rsidP="00C3438F"/>
    <w:p w14:paraId="558C9525" w14:textId="77777777" w:rsidR="00C3438F" w:rsidRPr="00ED5334" w:rsidRDefault="00C3438F" w:rsidP="00C3438F"/>
    <w:p w14:paraId="0D427E57" w14:textId="0FF7C6DC" w:rsidR="00C3438F" w:rsidRPr="00ED5334" w:rsidRDefault="00C3438F" w:rsidP="00C3438F">
      <w:pPr>
        <w:jc w:val="center"/>
      </w:pPr>
      <w:r w:rsidRPr="00ED5334">
        <w:t xml:space="preserve">Approved by the </w:t>
      </w:r>
      <w:r w:rsidR="00414F61" w:rsidRPr="00ED5334">
        <w:t>XXX</w:t>
      </w:r>
      <w:r w:rsidR="00FC292F" w:rsidRPr="00ED5334">
        <w:t>,</w:t>
      </w:r>
      <w:r w:rsidRPr="00ED5334">
        <w:t xml:space="preserve"> </w:t>
      </w:r>
      <w:r w:rsidR="00414F61" w:rsidRPr="00ED5334">
        <w:t>XXX</w:t>
      </w:r>
    </w:p>
    <w:p w14:paraId="4AF59789" w14:textId="77777777" w:rsidR="00C3438F" w:rsidRPr="00ED5334" w:rsidRDefault="00C3438F" w:rsidP="00C3438F"/>
    <w:p w14:paraId="4AC34AFF" w14:textId="77777777" w:rsidR="00C3438F" w:rsidRPr="00ED5334" w:rsidRDefault="00C3438F" w:rsidP="00C3438F"/>
    <w:p w14:paraId="4120E583" w14:textId="77777777" w:rsidR="00C3438F" w:rsidRPr="00ED5334" w:rsidRDefault="00C3438F" w:rsidP="00C3438F"/>
    <w:p w14:paraId="2611BA5E" w14:textId="77777777" w:rsidR="00C3438F" w:rsidRPr="00ED5334" w:rsidRDefault="00C3438F" w:rsidP="00C3438F"/>
    <w:p w14:paraId="11277195" w14:textId="77777777" w:rsidR="00C3438F" w:rsidRPr="00ED5334" w:rsidRDefault="00C3438F" w:rsidP="00C3438F"/>
    <w:p w14:paraId="313D14E8" w14:textId="1EB48736" w:rsidR="00C3438F" w:rsidRPr="00ED5334" w:rsidRDefault="009E3781" w:rsidP="00C3438F">
      <w:pPr>
        <w:jc w:val="center"/>
        <w:rPr>
          <w:b/>
          <w:bCs/>
          <w:sz w:val="40"/>
        </w:rPr>
      </w:pPr>
      <w:r w:rsidRPr="00ED5334">
        <w:rPr>
          <w:b/>
          <w:bCs/>
          <w:sz w:val="40"/>
        </w:rPr>
        <w:t>XXX</w:t>
      </w:r>
      <w:r w:rsidR="00513D33" w:rsidRPr="00ED5334">
        <w:rPr>
          <w:b/>
          <w:bCs/>
          <w:sz w:val="40"/>
        </w:rPr>
        <w:t xml:space="preserve"> </w:t>
      </w:r>
      <w:r w:rsidRPr="00ED5334">
        <w:rPr>
          <w:b/>
          <w:bCs/>
          <w:sz w:val="40"/>
        </w:rPr>
        <w:t>2025</w:t>
      </w:r>
    </w:p>
    <w:p w14:paraId="0F57CF77" w14:textId="77777777" w:rsidR="00C3438F" w:rsidRPr="00ED5334" w:rsidRDefault="00C3438F" w:rsidP="00C3438F"/>
    <w:p w14:paraId="36BED123" w14:textId="77777777" w:rsidR="00C3438F" w:rsidRPr="00ED5334" w:rsidRDefault="00C3438F" w:rsidP="00C3438F"/>
    <w:p w14:paraId="5169FB70" w14:textId="77777777" w:rsidR="00C3438F" w:rsidRPr="00ED5334" w:rsidRDefault="00C3438F" w:rsidP="00C3438F">
      <w:pPr>
        <w:pStyle w:val="ContentsHeading"/>
        <w:sectPr w:rsidR="00C3438F" w:rsidRPr="00ED5334" w:rsidSect="00674C6F">
          <w:headerReference w:type="default" r:id="rId8"/>
          <w:pgSz w:w="11906" w:h="16838" w:code="9"/>
          <w:pgMar w:top="1440" w:right="1474" w:bottom="1440" w:left="1474" w:header="709" w:footer="709" w:gutter="0"/>
          <w:pgNumType w:start="1"/>
          <w:cols w:space="708"/>
          <w:titlePg/>
          <w:docGrid w:linePitch="360"/>
        </w:sectPr>
      </w:pPr>
    </w:p>
    <w:p w14:paraId="4BFCE820" w14:textId="77777777" w:rsidR="00C3438F" w:rsidRPr="00ED5334" w:rsidRDefault="00C3438F" w:rsidP="00525B27">
      <w:pPr>
        <w:pStyle w:val="ContentsHeading"/>
        <w:jc w:val="left"/>
      </w:pPr>
      <w:r w:rsidRPr="00ED5334">
        <w:lastRenderedPageBreak/>
        <w:t>CONTENTS</w:t>
      </w:r>
    </w:p>
    <w:p w14:paraId="4061FC00" w14:textId="77777777" w:rsidR="00C3438F" w:rsidRPr="00ED5334" w:rsidRDefault="00C3438F" w:rsidP="00C3438F">
      <w:pPr>
        <w:pStyle w:val="ContentsHeading"/>
      </w:pPr>
    </w:p>
    <w:bookmarkStart w:id="1" w:name="_Hlk203640408"/>
    <w:p w14:paraId="2F71AA89" w14:textId="49231D5C" w:rsidR="005E0F80" w:rsidRDefault="009B0737" w:rsidP="000672B3">
      <w:pPr>
        <w:pStyle w:val="TOC1"/>
        <w:tabs>
          <w:tab w:val="clear" w:pos="8222"/>
        </w:tabs>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5E0F80" w:rsidRPr="00B67D79">
        <w:rPr>
          <w:caps w:val="0"/>
          <w:noProof/>
          <w14:scene3d>
            <w14:camera w14:prst="orthographicFront"/>
            <w14:lightRig w14:rig="threePt" w14:dir="t">
              <w14:rot w14:lat="0" w14:lon="0" w14:rev="0"/>
            </w14:lightRig>
          </w14:scene3d>
        </w:rPr>
        <w:t>1.</w:t>
      </w:r>
      <w:r w:rsidR="005E0F80">
        <w:rPr>
          <w:rFonts w:asciiTheme="minorHAnsi" w:eastAsiaTheme="minorEastAsia" w:hAnsiTheme="minorHAnsi" w:cstheme="minorBidi"/>
          <w:caps w:val="0"/>
          <w:noProof/>
          <w:sz w:val="22"/>
          <w:szCs w:val="22"/>
        </w:rPr>
        <w:tab/>
      </w:r>
      <w:r w:rsidR="005E0F80">
        <w:rPr>
          <w:noProof/>
        </w:rPr>
        <w:t>legislative Authority</w:t>
      </w:r>
      <w:r w:rsidR="005E0F80">
        <w:rPr>
          <w:noProof/>
        </w:rPr>
        <w:tab/>
      </w:r>
      <w:r w:rsidR="005E0F80">
        <w:rPr>
          <w:noProof/>
        </w:rPr>
        <w:fldChar w:fldCharType="begin"/>
      </w:r>
      <w:r w:rsidR="005E0F80">
        <w:rPr>
          <w:noProof/>
        </w:rPr>
        <w:instrText xml:space="preserve"> PAGEREF _Toc203641530 \h </w:instrText>
      </w:r>
      <w:r w:rsidR="005E0F80">
        <w:rPr>
          <w:noProof/>
        </w:rPr>
      </w:r>
      <w:r w:rsidR="005E0F80">
        <w:rPr>
          <w:noProof/>
        </w:rPr>
        <w:fldChar w:fldCharType="separate"/>
      </w:r>
      <w:r w:rsidR="0097465F">
        <w:rPr>
          <w:noProof/>
        </w:rPr>
        <w:t>3</w:t>
      </w:r>
      <w:r w:rsidR="005E0F80">
        <w:rPr>
          <w:noProof/>
        </w:rPr>
        <w:fldChar w:fldCharType="end"/>
      </w:r>
    </w:p>
    <w:p w14:paraId="36A80E54" w14:textId="63A05BA2"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_Toc203641531 \h </w:instrText>
      </w:r>
      <w:r>
        <w:rPr>
          <w:noProof/>
        </w:rPr>
      </w:r>
      <w:r>
        <w:rPr>
          <w:noProof/>
        </w:rPr>
        <w:fldChar w:fldCharType="separate"/>
      </w:r>
      <w:r w:rsidR="0097465F">
        <w:rPr>
          <w:noProof/>
        </w:rPr>
        <w:t>3</w:t>
      </w:r>
      <w:r>
        <w:rPr>
          <w:noProof/>
        </w:rPr>
        <w:fldChar w:fldCharType="end"/>
      </w:r>
    </w:p>
    <w:p w14:paraId="683A8E12" w14:textId="7B74AB3A"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_Toc203641532 \h </w:instrText>
      </w:r>
      <w:r>
        <w:rPr>
          <w:noProof/>
        </w:rPr>
      </w:r>
      <w:r>
        <w:rPr>
          <w:noProof/>
        </w:rPr>
        <w:fldChar w:fldCharType="separate"/>
      </w:r>
      <w:r w:rsidR="0097465F">
        <w:rPr>
          <w:noProof/>
        </w:rPr>
        <w:t>3</w:t>
      </w:r>
      <w:r>
        <w:rPr>
          <w:noProof/>
        </w:rPr>
        <w:fldChar w:fldCharType="end"/>
      </w:r>
    </w:p>
    <w:p w14:paraId="29693569" w14:textId="5142D1BA"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_Toc203641533 \h </w:instrText>
      </w:r>
      <w:r>
        <w:rPr>
          <w:noProof/>
        </w:rPr>
      </w:r>
      <w:r>
        <w:rPr>
          <w:noProof/>
        </w:rPr>
        <w:fldChar w:fldCharType="separate"/>
      </w:r>
      <w:r w:rsidR="0097465F">
        <w:rPr>
          <w:noProof/>
        </w:rPr>
        <w:t>4</w:t>
      </w:r>
      <w:r>
        <w:rPr>
          <w:noProof/>
        </w:rPr>
        <w:fldChar w:fldCharType="end"/>
      </w:r>
    </w:p>
    <w:p w14:paraId="4432D410" w14:textId="151DFBF3" w:rsidR="005E0F80" w:rsidRDefault="005E0F80" w:rsidP="000672B3">
      <w:pPr>
        <w:pStyle w:val="TOC1"/>
        <w:tabs>
          <w:tab w:val="clear" w:pos="8222"/>
        </w:tabs>
        <w:rPr>
          <w:rFonts w:asciiTheme="minorHAnsi" w:eastAsiaTheme="minorEastAsia" w:hAnsiTheme="minorHAnsi" w:cstheme="minorBidi"/>
          <w:caps w:val="0"/>
          <w:noProof/>
          <w:sz w:val="22"/>
          <w:szCs w:val="22"/>
        </w:rPr>
      </w:pPr>
      <w:r w:rsidRPr="00B67D79">
        <w:rPr>
          <w:caps w:val="0"/>
          <w:noProof/>
          <w14:scene3d>
            <w14:camera w14:prst="orthographicFront"/>
            <w14:lightRig w14:rig="threePt" w14:dir="t">
              <w14:rot w14:lat="0" w14:lon="0" w14:rev="0"/>
            </w14:lightRig>
          </w14:scene3d>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_Toc203641534 \h </w:instrText>
      </w:r>
      <w:r>
        <w:rPr>
          <w:noProof/>
        </w:rPr>
      </w:r>
      <w:r>
        <w:rPr>
          <w:noProof/>
        </w:rPr>
        <w:fldChar w:fldCharType="separate"/>
      </w:r>
      <w:r w:rsidR="0097465F">
        <w:rPr>
          <w:noProof/>
        </w:rPr>
        <w:t>4</w:t>
      </w:r>
      <w:r>
        <w:rPr>
          <w:noProof/>
        </w:rPr>
        <w:fldChar w:fldCharType="end"/>
      </w:r>
    </w:p>
    <w:p w14:paraId="6CFE3843" w14:textId="42B53373"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Pr>
          <w:noProof/>
        </w:rPr>
        <w:fldChar w:fldCharType="begin"/>
      </w:r>
      <w:r>
        <w:rPr>
          <w:noProof/>
        </w:rPr>
        <w:instrText xml:space="preserve"> PAGEREF _Toc203641535 \h </w:instrText>
      </w:r>
      <w:r>
        <w:rPr>
          <w:noProof/>
        </w:rPr>
      </w:r>
      <w:r>
        <w:rPr>
          <w:noProof/>
        </w:rPr>
        <w:fldChar w:fldCharType="separate"/>
      </w:r>
      <w:r w:rsidR="0097465F">
        <w:rPr>
          <w:noProof/>
        </w:rPr>
        <w:t>4</w:t>
      </w:r>
      <w:r>
        <w:rPr>
          <w:noProof/>
        </w:rPr>
        <w:fldChar w:fldCharType="end"/>
      </w:r>
    </w:p>
    <w:p w14:paraId="6FC142FF" w14:textId="1E86DD4F"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_Toc203641536 \h </w:instrText>
      </w:r>
      <w:r>
        <w:rPr>
          <w:noProof/>
        </w:rPr>
      </w:r>
      <w:r>
        <w:rPr>
          <w:noProof/>
        </w:rPr>
        <w:fldChar w:fldCharType="separate"/>
      </w:r>
      <w:r w:rsidR="0097465F">
        <w:rPr>
          <w:noProof/>
        </w:rPr>
        <w:t>5</w:t>
      </w:r>
      <w:r>
        <w:rPr>
          <w:noProof/>
        </w:rPr>
        <w:fldChar w:fldCharType="end"/>
      </w:r>
    </w:p>
    <w:p w14:paraId="643416C3" w14:textId="044C8E1A"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Effect of the ADR</w:t>
      </w:r>
      <w:r>
        <w:rPr>
          <w:noProof/>
        </w:rPr>
        <w:tab/>
      </w:r>
      <w:r>
        <w:rPr>
          <w:noProof/>
        </w:rPr>
        <w:fldChar w:fldCharType="begin"/>
      </w:r>
      <w:r>
        <w:rPr>
          <w:noProof/>
        </w:rPr>
        <w:instrText xml:space="preserve"> PAGEREF _Toc203641537 \h </w:instrText>
      </w:r>
      <w:r>
        <w:rPr>
          <w:noProof/>
        </w:rPr>
      </w:r>
      <w:r>
        <w:rPr>
          <w:noProof/>
        </w:rPr>
        <w:fldChar w:fldCharType="separate"/>
      </w:r>
      <w:r w:rsidR="0097465F">
        <w:rPr>
          <w:noProof/>
        </w:rPr>
        <w:t>5</w:t>
      </w:r>
      <w:r>
        <w:rPr>
          <w:noProof/>
        </w:rPr>
        <w:fldChar w:fldCharType="end"/>
      </w:r>
    </w:p>
    <w:p w14:paraId="3D5A26DC" w14:textId="3B492178"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Emergency Lane Keeping Systems</w:t>
      </w:r>
      <w:r>
        <w:rPr>
          <w:noProof/>
        </w:rPr>
        <w:tab/>
      </w:r>
      <w:r>
        <w:rPr>
          <w:noProof/>
        </w:rPr>
        <w:fldChar w:fldCharType="begin"/>
      </w:r>
      <w:r>
        <w:rPr>
          <w:noProof/>
        </w:rPr>
        <w:instrText xml:space="preserve"> PAGEREF _Toc203641538 \h </w:instrText>
      </w:r>
      <w:r>
        <w:rPr>
          <w:noProof/>
        </w:rPr>
      </w:r>
      <w:r>
        <w:rPr>
          <w:noProof/>
        </w:rPr>
        <w:fldChar w:fldCharType="separate"/>
      </w:r>
      <w:r w:rsidR="0097465F">
        <w:rPr>
          <w:noProof/>
        </w:rPr>
        <w:t>5</w:t>
      </w:r>
      <w:r>
        <w:rPr>
          <w:noProof/>
        </w:rPr>
        <w:fldChar w:fldCharType="end"/>
      </w:r>
    </w:p>
    <w:p w14:paraId="46918E9A" w14:textId="336E8A36"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Lane Departure Warning System</w:t>
      </w:r>
      <w:r>
        <w:rPr>
          <w:noProof/>
        </w:rPr>
        <w:tab/>
      </w:r>
      <w:r>
        <w:rPr>
          <w:noProof/>
        </w:rPr>
        <w:fldChar w:fldCharType="begin"/>
      </w:r>
      <w:r>
        <w:rPr>
          <w:noProof/>
        </w:rPr>
        <w:instrText xml:space="preserve"> PAGEREF _Toc203641539 \h </w:instrText>
      </w:r>
      <w:r>
        <w:rPr>
          <w:noProof/>
        </w:rPr>
      </w:r>
      <w:r>
        <w:rPr>
          <w:noProof/>
        </w:rPr>
        <w:fldChar w:fldCharType="separate"/>
      </w:r>
      <w:r w:rsidR="0097465F">
        <w:rPr>
          <w:noProof/>
        </w:rPr>
        <w:t>6</w:t>
      </w:r>
      <w:r>
        <w:rPr>
          <w:noProof/>
        </w:rPr>
        <w:fldChar w:fldCharType="end"/>
      </w:r>
    </w:p>
    <w:p w14:paraId="59188B20" w14:textId="7E9CDEA9"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Corrective Directional Control Function</w:t>
      </w:r>
      <w:r>
        <w:rPr>
          <w:noProof/>
        </w:rPr>
        <w:tab/>
      </w:r>
      <w:r>
        <w:rPr>
          <w:noProof/>
        </w:rPr>
        <w:fldChar w:fldCharType="begin"/>
      </w:r>
      <w:r>
        <w:rPr>
          <w:noProof/>
        </w:rPr>
        <w:instrText xml:space="preserve"> PAGEREF _Toc203641540 \h </w:instrText>
      </w:r>
      <w:r>
        <w:rPr>
          <w:noProof/>
        </w:rPr>
      </w:r>
      <w:r>
        <w:rPr>
          <w:noProof/>
        </w:rPr>
        <w:fldChar w:fldCharType="separate"/>
      </w:r>
      <w:r w:rsidR="0097465F">
        <w:rPr>
          <w:noProof/>
        </w:rPr>
        <w:t>6</w:t>
      </w:r>
      <w:r>
        <w:rPr>
          <w:noProof/>
        </w:rPr>
        <w:fldChar w:fldCharType="end"/>
      </w:r>
    </w:p>
    <w:p w14:paraId="1D9E3B05" w14:textId="007596BC"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Special requirements to be applied to the safety aspects of electronic control systems</w:t>
      </w:r>
      <w:r>
        <w:rPr>
          <w:noProof/>
        </w:rPr>
        <w:tab/>
      </w:r>
      <w:r>
        <w:rPr>
          <w:noProof/>
        </w:rPr>
        <w:fldChar w:fldCharType="begin"/>
      </w:r>
      <w:r>
        <w:rPr>
          <w:noProof/>
        </w:rPr>
        <w:instrText xml:space="preserve"> PAGEREF _Toc203641541 \h </w:instrText>
      </w:r>
      <w:r>
        <w:rPr>
          <w:noProof/>
        </w:rPr>
      </w:r>
      <w:r>
        <w:rPr>
          <w:noProof/>
        </w:rPr>
        <w:fldChar w:fldCharType="separate"/>
      </w:r>
      <w:r w:rsidR="0097465F">
        <w:rPr>
          <w:noProof/>
        </w:rPr>
        <w:t>7</w:t>
      </w:r>
      <w:r>
        <w:rPr>
          <w:noProof/>
        </w:rPr>
        <w:fldChar w:fldCharType="end"/>
      </w:r>
    </w:p>
    <w:p w14:paraId="5A4AF3F9" w14:textId="1EB5B78C"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Exemptions and Alternative Procedures</w:t>
      </w:r>
      <w:r>
        <w:rPr>
          <w:noProof/>
        </w:rPr>
        <w:tab/>
      </w:r>
      <w:r>
        <w:rPr>
          <w:noProof/>
        </w:rPr>
        <w:fldChar w:fldCharType="begin"/>
      </w:r>
      <w:r>
        <w:rPr>
          <w:noProof/>
        </w:rPr>
        <w:instrText xml:space="preserve"> PAGEREF _Toc203641542 \h </w:instrText>
      </w:r>
      <w:r>
        <w:rPr>
          <w:noProof/>
        </w:rPr>
      </w:r>
      <w:r>
        <w:rPr>
          <w:noProof/>
        </w:rPr>
        <w:fldChar w:fldCharType="separate"/>
      </w:r>
      <w:r w:rsidR="0097465F">
        <w:rPr>
          <w:noProof/>
        </w:rPr>
        <w:t>7</w:t>
      </w:r>
      <w:r>
        <w:rPr>
          <w:noProof/>
        </w:rPr>
        <w:fldChar w:fldCharType="end"/>
      </w:r>
    </w:p>
    <w:p w14:paraId="087E8A67" w14:textId="4602821E"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Alternative Standards</w:t>
      </w:r>
      <w:r>
        <w:rPr>
          <w:noProof/>
        </w:rPr>
        <w:tab/>
      </w:r>
      <w:r>
        <w:rPr>
          <w:noProof/>
        </w:rPr>
        <w:fldChar w:fldCharType="begin"/>
      </w:r>
      <w:r>
        <w:rPr>
          <w:noProof/>
        </w:rPr>
        <w:instrText xml:space="preserve"> PAGEREF _Toc203641543 \h </w:instrText>
      </w:r>
      <w:r>
        <w:rPr>
          <w:noProof/>
        </w:rPr>
      </w:r>
      <w:r>
        <w:rPr>
          <w:noProof/>
        </w:rPr>
        <w:fldChar w:fldCharType="separate"/>
      </w:r>
      <w:r w:rsidR="0097465F">
        <w:rPr>
          <w:noProof/>
        </w:rPr>
        <w:t>8</w:t>
      </w:r>
      <w:r>
        <w:rPr>
          <w:noProof/>
        </w:rPr>
        <w:fldChar w:fldCharType="end"/>
      </w:r>
    </w:p>
    <w:p w14:paraId="799036F4" w14:textId="54BFDF97" w:rsidR="005E0F80" w:rsidRDefault="005E0F80" w:rsidP="000672B3">
      <w:pPr>
        <w:pStyle w:val="TOC1"/>
        <w:tabs>
          <w:tab w:val="clear" w:pos="8222"/>
        </w:tabs>
        <w:rPr>
          <w:rFonts w:asciiTheme="minorHAnsi" w:eastAsiaTheme="minorEastAsia" w:hAnsiTheme="minorHAnsi" w:cstheme="minorBidi"/>
          <w:caps w:val="0"/>
          <w:noProof/>
          <w:sz w:val="22"/>
          <w:szCs w:val="22"/>
        </w:rPr>
      </w:pPr>
      <w:r w:rsidRPr="00B67D79">
        <w:rPr>
          <w:caps w:val="0"/>
          <w:noProof/>
          <w14:scene3d>
            <w14:camera w14:prst="orthographicFront"/>
            <w14:lightRig w14:rig="threePt" w14:dir="t">
              <w14:rot w14:lat="0" w14:lon="0" w14:rev="0"/>
            </w14:lightRig>
          </w14:scene3d>
        </w:rPr>
        <w:t>3.</w:t>
      </w:r>
      <w:r>
        <w:rPr>
          <w:rFonts w:asciiTheme="minorHAnsi" w:eastAsiaTheme="minorEastAsia" w:hAnsiTheme="minorHAnsi" w:cstheme="minorBidi"/>
          <w:caps w:val="0"/>
          <w:noProof/>
          <w:sz w:val="22"/>
          <w:szCs w:val="22"/>
        </w:rPr>
        <w:tab/>
      </w:r>
      <w:r w:rsidRPr="00B67D79">
        <w:rPr>
          <w:caps w:val="0"/>
          <w:noProof/>
        </w:rPr>
        <w:t>MATTERS INCORPORATED BY REFERENCE</w:t>
      </w:r>
      <w:r>
        <w:rPr>
          <w:noProof/>
        </w:rPr>
        <w:tab/>
      </w:r>
      <w:r>
        <w:rPr>
          <w:noProof/>
        </w:rPr>
        <w:fldChar w:fldCharType="begin"/>
      </w:r>
      <w:r>
        <w:rPr>
          <w:noProof/>
        </w:rPr>
        <w:instrText xml:space="preserve"> PAGEREF _Toc203641544 \h </w:instrText>
      </w:r>
      <w:r>
        <w:rPr>
          <w:noProof/>
        </w:rPr>
      </w:r>
      <w:r>
        <w:rPr>
          <w:noProof/>
        </w:rPr>
        <w:fldChar w:fldCharType="separate"/>
      </w:r>
      <w:r w:rsidR="0097465F">
        <w:rPr>
          <w:noProof/>
        </w:rPr>
        <w:t>8</w:t>
      </w:r>
      <w:r>
        <w:rPr>
          <w:noProof/>
        </w:rPr>
        <w:fldChar w:fldCharType="end"/>
      </w:r>
    </w:p>
    <w:p w14:paraId="2C992EEB" w14:textId="4CF47868"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Pr>
          <w:noProof/>
        </w:rPr>
        <w:fldChar w:fldCharType="begin"/>
      </w:r>
      <w:r>
        <w:rPr>
          <w:noProof/>
        </w:rPr>
        <w:instrText xml:space="preserve"> PAGEREF _Toc203641545 \h </w:instrText>
      </w:r>
      <w:r>
        <w:rPr>
          <w:noProof/>
        </w:rPr>
      </w:r>
      <w:r>
        <w:rPr>
          <w:noProof/>
        </w:rPr>
        <w:fldChar w:fldCharType="separate"/>
      </w:r>
      <w:r w:rsidR="0097465F">
        <w:rPr>
          <w:noProof/>
        </w:rPr>
        <w:t>8</w:t>
      </w:r>
      <w:r>
        <w:rPr>
          <w:noProof/>
        </w:rPr>
        <w:fldChar w:fldCharType="end"/>
      </w:r>
    </w:p>
    <w:p w14:paraId="0BA9C604" w14:textId="1E746550"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_Toc203641546 \h </w:instrText>
      </w:r>
      <w:r>
        <w:rPr>
          <w:noProof/>
        </w:rPr>
      </w:r>
      <w:r>
        <w:rPr>
          <w:noProof/>
        </w:rPr>
        <w:fldChar w:fldCharType="separate"/>
      </w:r>
      <w:r w:rsidR="0097465F">
        <w:rPr>
          <w:noProof/>
        </w:rPr>
        <w:t>8</w:t>
      </w:r>
      <w:r>
        <w:rPr>
          <w:noProof/>
        </w:rPr>
        <w:fldChar w:fldCharType="end"/>
      </w:r>
    </w:p>
    <w:p w14:paraId="0B1E365D" w14:textId="547D8B25" w:rsidR="005E0F80" w:rsidRDefault="005E0F80" w:rsidP="000672B3">
      <w:pPr>
        <w:pStyle w:val="TOC1"/>
        <w:tabs>
          <w:tab w:val="clear" w:pos="8222"/>
        </w:tabs>
        <w:rPr>
          <w:rFonts w:asciiTheme="minorHAnsi" w:eastAsiaTheme="minorEastAsia" w:hAnsiTheme="minorHAnsi" w:cstheme="minorBidi"/>
          <w:caps w:val="0"/>
          <w:noProof/>
          <w:sz w:val="22"/>
          <w:szCs w:val="22"/>
        </w:rPr>
      </w:pPr>
      <w:r w:rsidRPr="00B67D79">
        <w:rPr>
          <w:caps w:val="0"/>
          <w:noProof/>
          <w14:scene3d>
            <w14:camera w14:prst="orthographicFront"/>
            <w14:lightRig w14:rig="threePt" w14:dir="t">
              <w14:rot w14:lat="0" w14:lon="0" w14:rev="0"/>
            </w14:lightRig>
          </w14:scene3d>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_Toc203641547 \h </w:instrText>
      </w:r>
      <w:r>
        <w:rPr>
          <w:noProof/>
        </w:rPr>
      </w:r>
      <w:r>
        <w:rPr>
          <w:noProof/>
        </w:rPr>
        <w:fldChar w:fldCharType="separate"/>
      </w:r>
      <w:r w:rsidR="0097465F">
        <w:rPr>
          <w:noProof/>
        </w:rPr>
        <w:t>9</w:t>
      </w:r>
      <w:r>
        <w:rPr>
          <w:noProof/>
        </w:rPr>
        <w:fldChar w:fldCharType="end"/>
      </w:r>
    </w:p>
    <w:p w14:paraId="21183606" w14:textId="657A00E6"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_Toc203641548 \h </w:instrText>
      </w:r>
      <w:r>
        <w:rPr>
          <w:noProof/>
        </w:rPr>
      </w:r>
      <w:r>
        <w:rPr>
          <w:noProof/>
        </w:rPr>
        <w:fldChar w:fldCharType="separate"/>
      </w:r>
      <w:r w:rsidR="0097465F">
        <w:rPr>
          <w:noProof/>
        </w:rPr>
        <w:t>9</w:t>
      </w:r>
      <w:r>
        <w:rPr>
          <w:noProof/>
        </w:rPr>
        <w:fldChar w:fldCharType="end"/>
      </w:r>
    </w:p>
    <w:p w14:paraId="38DD4C69" w14:textId="411955FC" w:rsidR="005E0F80" w:rsidRDefault="005E0F80" w:rsidP="000672B3">
      <w:pPr>
        <w:pStyle w:val="TOC1"/>
        <w:tabs>
          <w:tab w:val="clear" w:pos="8222"/>
        </w:tabs>
        <w:rPr>
          <w:rFonts w:asciiTheme="minorHAnsi" w:eastAsiaTheme="minorEastAsia" w:hAnsiTheme="minorHAnsi" w:cstheme="minorBidi"/>
          <w:caps w:val="0"/>
          <w:noProof/>
          <w:sz w:val="22"/>
          <w:szCs w:val="22"/>
        </w:rPr>
      </w:pPr>
      <w:r w:rsidRPr="00B67D79">
        <w:rPr>
          <w:caps w:val="0"/>
          <w:noProof/>
          <w14:scene3d>
            <w14:camera w14:prst="orthographicFront"/>
            <w14:lightRig w14:rig="threePt" w14:dir="t">
              <w14:rot w14:lat="0" w14:lon="0" w14:rev="0"/>
            </w14:lightRig>
          </w14:scene3d>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_Toc203641549 \h </w:instrText>
      </w:r>
      <w:r>
        <w:rPr>
          <w:noProof/>
        </w:rPr>
      </w:r>
      <w:r>
        <w:rPr>
          <w:noProof/>
        </w:rPr>
        <w:fldChar w:fldCharType="separate"/>
      </w:r>
      <w:r w:rsidR="0097465F">
        <w:rPr>
          <w:noProof/>
        </w:rPr>
        <w:t>10</w:t>
      </w:r>
      <w:r>
        <w:rPr>
          <w:noProof/>
        </w:rPr>
        <w:fldChar w:fldCharType="end"/>
      </w:r>
    </w:p>
    <w:p w14:paraId="1CC935E2" w14:textId="38C54C6B"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Benefits and Costs</w:t>
      </w:r>
      <w:r>
        <w:rPr>
          <w:noProof/>
        </w:rPr>
        <w:tab/>
      </w:r>
      <w:r>
        <w:rPr>
          <w:noProof/>
        </w:rPr>
        <w:fldChar w:fldCharType="begin"/>
      </w:r>
      <w:r>
        <w:rPr>
          <w:noProof/>
        </w:rPr>
        <w:instrText xml:space="preserve"> PAGEREF _Toc203641550 \h </w:instrText>
      </w:r>
      <w:r>
        <w:rPr>
          <w:noProof/>
        </w:rPr>
      </w:r>
      <w:r>
        <w:rPr>
          <w:noProof/>
        </w:rPr>
        <w:fldChar w:fldCharType="separate"/>
      </w:r>
      <w:r w:rsidR="0097465F">
        <w:rPr>
          <w:noProof/>
        </w:rPr>
        <w:t>10</w:t>
      </w:r>
      <w:r>
        <w:rPr>
          <w:noProof/>
        </w:rPr>
        <w:fldChar w:fldCharType="end"/>
      </w:r>
    </w:p>
    <w:p w14:paraId="6E24DB7E" w14:textId="2BA77B47"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Impact Analysis</w:t>
      </w:r>
      <w:r>
        <w:rPr>
          <w:noProof/>
        </w:rPr>
        <w:tab/>
      </w:r>
      <w:r>
        <w:rPr>
          <w:noProof/>
        </w:rPr>
        <w:fldChar w:fldCharType="begin"/>
      </w:r>
      <w:r>
        <w:rPr>
          <w:noProof/>
        </w:rPr>
        <w:instrText xml:space="preserve"> PAGEREF _Toc203641551 \h </w:instrText>
      </w:r>
      <w:r>
        <w:rPr>
          <w:noProof/>
        </w:rPr>
      </w:r>
      <w:r>
        <w:rPr>
          <w:noProof/>
        </w:rPr>
        <w:fldChar w:fldCharType="separate"/>
      </w:r>
      <w:r w:rsidR="0097465F">
        <w:rPr>
          <w:noProof/>
        </w:rPr>
        <w:t>10</w:t>
      </w:r>
      <w:r>
        <w:rPr>
          <w:noProof/>
        </w:rPr>
        <w:fldChar w:fldCharType="end"/>
      </w:r>
    </w:p>
    <w:p w14:paraId="17055A0D" w14:textId="1D8D76ED" w:rsidR="005E0F80" w:rsidRDefault="005E0F80" w:rsidP="000672B3">
      <w:pPr>
        <w:pStyle w:val="TOC1"/>
        <w:tabs>
          <w:tab w:val="clear" w:pos="8222"/>
        </w:tabs>
        <w:rPr>
          <w:rFonts w:asciiTheme="minorHAnsi" w:eastAsiaTheme="minorEastAsia" w:hAnsiTheme="minorHAnsi" w:cstheme="minorBidi"/>
          <w:caps w:val="0"/>
          <w:noProof/>
          <w:sz w:val="22"/>
          <w:szCs w:val="22"/>
        </w:rPr>
      </w:pPr>
      <w:r w:rsidRPr="00B67D79">
        <w:rPr>
          <w:caps w:val="0"/>
          <w:noProof/>
          <w14:scene3d>
            <w14:camera w14:prst="orthographicFront"/>
            <w14:lightRig w14:rig="threePt" w14:dir="t">
              <w14:rot w14:lat="0" w14:lon="0" w14:rev="0"/>
            </w14:lightRig>
          </w14:scene3d>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_Toc203641552 \h </w:instrText>
      </w:r>
      <w:r>
        <w:rPr>
          <w:noProof/>
        </w:rPr>
      </w:r>
      <w:r>
        <w:rPr>
          <w:noProof/>
        </w:rPr>
        <w:fldChar w:fldCharType="separate"/>
      </w:r>
      <w:r w:rsidR="0097465F">
        <w:rPr>
          <w:noProof/>
        </w:rPr>
        <w:t>10</w:t>
      </w:r>
      <w:r>
        <w:rPr>
          <w:noProof/>
        </w:rPr>
        <w:fldChar w:fldCharType="end"/>
      </w:r>
    </w:p>
    <w:p w14:paraId="435C6024" w14:textId="553C54D4"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_Toc203641553 \h </w:instrText>
      </w:r>
      <w:r>
        <w:rPr>
          <w:noProof/>
        </w:rPr>
      </w:r>
      <w:r>
        <w:rPr>
          <w:noProof/>
        </w:rPr>
        <w:fldChar w:fldCharType="separate"/>
      </w:r>
      <w:r w:rsidR="0097465F">
        <w:rPr>
          <w:noProof/>
        </w:rPr>
        <w:t>10</w:t>
      </w:r>
      <w:r>
        <w:rPr>
          <w:noProof/>
        </w:rPr>
        <w:fldChar w:fldCharType="end"/>
      </w:r>
    </w:p>
    <w:p w14:paraId="49E1207E" w14:textId="3C83B9DE" w:rsidR="005E0F80" w:rsidRDefault="005E0F80" w:rsidP="000672B3">
      <w:pPr>
        <w:pStyle w:val="TOC2"/>
        <w:tabs>
          <w:tab w:val="clear" w:pos="7938"/>
          <w:tab w:val="clear" w:pos="8222"/>
        </w:tabs>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_Toc203641554 \h </w:instrText>
      </w:r>
      <w:r>
        <w:rPr>
          <w:noProof/>
        </w:rPr>
      </w:r>
      <w:r>
        <w:rPr>
          <w:noProof/>
        </w:rPr>
        <w:fldChar w:fldCharType="separate"/>
      </w:r>
      <w:r w:rsidR="0097465F">
        <w:rPr>
          <w:noProof/>
        </w:rPr>
        <w:t>11</w:t>
      </w:r>
      <w:r>
        <w:rPr>
          <w:noProof/>
        </w:rPr>
        <w:fldChar w:fldCharType="end"/>
      </w:r>
    </w:p>
    <w:p w14:paraId="5CA84C53" w14:textId="1E752727" w:rsidR="005E0F80" w:rsidRDefault="005E0F80" w:rsidP="000672B3">
      <w:pPr>
        <w:pStyle w:val="TOC2"/>
        <w:tabs>
          <w:tab w:val="clear" w:pos="7938"/>
          <w:tab w:val="clear" w:pos="8222"/>
        </w:tabs>
        <w:rPr>
          <w:noProof/>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_Toc203641555 \h </w:instrText>
      </w:r>
      <w:r>
        <w:rPr>
          <w:noProof/>
        </w:rPr>
      </w:r>
      <w:r>
        <w:rPr>
          <w:noProof/>
        </w:rPr>
        <w:fldChar w:fldCharType="separate"/>
      </w:r>
      <w:r w:rsidR="0097465F">
        <w:rPr>
          <w:noProof/>
        </w:rPr>
        <w:t>11</w:t>
      </w:r>
      <w:r>
        <w:rPr>
          <w:noProof/>
        </w:rPr>
        <w:fldChar w:fldCharType="end"/>
      </w:r>
    </w:p>
    <w:p w14:paraId="7CA29D91" w14:textId="0583B9B1" w:rsidR="000672B3" w:rsidRDefault="000672B3" w:rsidP="000672B3">
      <w:pPr>
        <w:tabs>
          <w:tab w:val="left" w:pos="851"/>
          <w:tab w:val="right" w:leader="dot" w:pos="8312"/>
        </w:tabs>
        <w:rPr>
          <w:rFonts w:eastAsiaTheme="minorEastAsia"/>
          <w:noProof/>
        </w:rPr>
      </w:pPr>
    </w:p>
    <w:p w14:paraId="29777213" w14:textId="66601446" w:rsidR="000672B3" w:rsidRDefault="000672B3" w:rsidP="000672B3">
      <w:pPr>
        <w:tabs>
          <w:tab w:val="left" w:pos="851"/>
          <w:tab w:val="right" w:leader="dot" w:pos="8312"/>
        </w:tabs>
        <w:rPr>
          <w:rFonts w:eastAsiaTheme="minorEastAsia"/>
          <w:noProof/>
        </w:rPr>
      </w:pPr>
    </w:p>
    <w:p w14:paraId="0EF6A550" w14:textId="2730A669" w:rsidR="000672B3" w:rsidRDefault="000672B3" w:rsidP="000672B3">
      <w:pPr>
        <w:tabs>
          <w:tab w:val="left" w:pos="851"/>
          <w:tab w:val="right" w:leader="dot" w:pos="8312"/>
        </w:tabs>
        <w:rPr>
          <w:rFonts w:eastAsiaTheme="minorEastAsia"/>
          <w:noProof/>
        </w:rPr>
      </w:pPr>
    </w:p>
    <w:p w14:paraId="106CD467" w14:textId="77777777" w:rsidR="000672B3" w:rsidRPr="000672B3" w:rsidRDefault="000672B3" w:rsidP="000672B3">
      <w:pPr>
        <w:tabs>
          <w:tab w:val="left" w:pos="851"/>
          <w:tab w:val="right" w:leader="dot" w:pos="8312"/>
        </w:tabs>
        <w:rPr>
          <w:rFonts w:eastAsiaTheme="minorEastAsia"/>
          <w:noProof/>
        </w:rPr>
      </w:pPr>
    </w:p>
    <w:p w14:paraId="3594D31A" w14:textId="0E9B23E1" w:rsidR="00C3438F" w:rsidRPr="005E0F80" w:rsidRDefault="009B0737" w:rsidP="000672B3">
      <w:pPr>
        <w:pStyle w:val="HeadingLevel1"/>
        <w:tabs>
          <w:tab w:val="clear" w:pos="3970"/>
          <w:tab w:val="left" w:pos="851"/>
          <w:tab w:val="right" w:leader="dot" w:pos="8312"/>
        </w:tabs>
        <w:ind w:left="851"/>
        <w:jc w:val="both"/>
      </w:pPr>
      <w:r w:rsidRPr="008D244E">
        <w:lastRenderedPageBreak/>
        <w:fldChar w:fldCharType="end"/>
      </w:r>
      <w:bookmarkStart w:id="2" w:name="_Toc203640933"/>
      <w:bookmarkStart w:id="3" w:name="_Toc203640934"/>
      <w:bookmarkStart w:id="4" w:name="_Toc203640935"/>
      <w:bookmarkStart w:id="5" w:name="_Toc203640936"/>
      <w:bookmarkStart w:id="6" w:name="_Toc203640937"/>
      <w:bookmarkStart w:id="7" w:name="_Toc203640938"/>
      <w:bookmarkStart w:id="8" w:name="_Toc203640939"/>
      <w:bookmarkStart w:id="9" w:name="_Toc203640940"/>
      <w:bookmarkStart w:id="10" w:name="_Toc203640941"/>
      <w:bookmarkStart w:id="11" w:name="_Toc203640942"/>
      <w:bookmarkStart w:id="12" w:name="_Toc203640943"/>
      <w:bookmarkStart w:id="13" w:name="_Toc203640944"/>
      <w:bookmarkStart w:id="14" w:name="_Toc203640945"/>
      <w:bookmarkStart w:id="15" w:name="_Toc203640946"/>
      <w:bookmarkStart w:id="16" w:name="_Toc203640947"/>
      <w:bookmarkStart w:id="17" w:name="_Toc203640948"/>
      <w:bookmarkStart w:id="18" w:name="_Toc203640949"/>
      <w:bookmarkStart w:id="19" w:name="_Toc203640950"/>
      <w:bookmarkStart w:id="20" w:name="_Toc203640951"/>
      <w:bookmarkStart w:id="21" w:name="_Toc203640952"/>
      <w:bookmarkStart w:id="22" w:name="_Toc203640953"/>
      <w:bookmarkStart w:id="23" w:name="_Toc203640954"/>
      <w:bookmarkStart w:id="24" w:name="_Toc203640955"/>
      <w:bookmarkStart w:id="25" w:name="_Toc203640956"/>
      <w:bookmarkStart w:id="26" w:name="_Toc203640957"/>
      <w:bookmarkStart w:id="27" w:name="_Toc203640958"/>
      <w:bookmarkStart w:id="28" w:name="_Toc203640959"/>
      <w:bookmarkStart w:id="29" w:name="_Toc203640960"/>
      <w:bookmarkStart w:id="30" w:name="_Toc167864611"/>
      <w:bookmarkStart w:id="31" w:name="_Toc505092258"/>
      <w:bookmarkStart w:id="32" w:name="_Toc46333216"/>
      <w:bookmarkStart w:id="33" w:name="_Toc46333470"/>
      <w:bookmarkStart w:id="34" w:name="_Toc46333624"/>
      <w:bookmarkStart w:id="35" w:name="_Toc46333789"/>
      <w:bookmarkStart w:id="36" w:name="_Toc46333903"/>
      <w:bookmarkStart w:id="37" w:name="_Toc46334639"/>
      <w:bookmarkStart w:id="38" w:name="_Toc47693307"/>
      <w:bookmarkStart w:id="39" w:name="_Toc20364153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3438F" w:rsidRPr="005E0F80">
        <w:t xml:space="preserve">legislative </w:t>
      </w:r>
      <w:bookmarkEnd w:id="30"/>
      <w:bookmarkEnd w:id="31"/>
      <w:r w:rsidR="00C3438F" w:rsidRPr="005E0F80">
        <w:t>Authority</w:t>
      </w:r>
      <w:bookmarkEnd w:id="32"/>
      <w:bookmarkEnd w:id="33"/>
      <w:bookmarkEnd w:id="34"/>
      <w:bookmarkEnd w:id="35"/>
      <w:bookmarkEnd w:id="36"/>
      <w:bookmarkEnd w:id="37"/>
      <w:bookmarkEnd w:id="38"/>
      <w:bookmarkEnd w:id="39"/>
    </w:p>
    <w:p w14:paraId="360E377C" w14:textId="5A7358BA" w:rsidR="004C30D9" w:rsidRPr="00ED5334" w:rsidRDefault="004C30D9" w:rsidP="004606A1">
      <w:pPr>
        <w:pStyle w:val="HeadingLevel2"/>
        <w:tabs>
          <w:tab w:val="num" w:pos="993"/>
        </w:tabs>
        <w:ind w:left="851"/>
        <w:jc w:val="both"/>
      </w:pPr>
      <w:bookmarkStart w:id="40" w:name="_Toc203641531"/>
      <w:bookmarkStart w:id="41" w:name="_Hlk195685119"/>
      <w:r w:rsidRPr="00ED5334">
        <w:t>National Road Vehicle Standards</w:t>
      </w:r>
      <w:bookmarkEnd w:id="40"/>
    </w:p>
    <w:bookmarkEnd w:id="41"/>
    <w:p w14:paraId="096D7AB3" w14:textId="071BBC53" w:rsidR="000F5693" w:rsidRPr="00ED5334" w:rsidRDefault="000F5693" w:rsidP="004606A1">
      <w:pPr>
        <w:jc w:val="both"/>
      </w:pPr>
      <w:r w:rsidRPr="00ED5334">
        <w:t>The Vehicle Standard (Australian Design Rule 107/00 – Emergency Lane Keeping Systems</w:t>
      </w:r>
      <w:r w:rsidR="00AD10AF">
        <w:t xml:space="preserve"> </w:t>
      </w:r>
      <w:r w:rsidR="00AD10AF" w:rsidRPr="00AD10AF">
        <w:t>for Passenger Vehicles and Light Goods Vehicles</w:t>
      </w:r>
      <w:r w:rsidRPr="00ED5334">
        <w:t xml:space="preserve">) 2025, which may also be cited as the Australian Design Rule 107/00 – Emergency Lane Keeping Systems </w:t>
      </w:r>
      <w:r w:rsidR="00AD10AF" w:rsidRPr="00AD10AF">
        <w:t xml:space="preserve">for Passenger Vehicles and Light Goods Vehicles </w:t>
      </w:r>
      <w:r w:rsidRPr="00ED5334">
        <w:t xml:space="preserve">or ADR 107/00, is made under the </w:t>
      </w:r>
      <w:r w:rsidRPr="00ED5334">
        <w:rPr>
          <w:i/>
        </w:rPr>
        <w:t>Road Vehicle Standards Act 2018</w:t>
      </w:r>
      <w:r w:rsidRPr="00ED5334">
        <w:t xml:space="preserve"> (RVSA). 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5A1D2F1E" w14:textId="15C5A5C8" w:rsidR="000F5693" w:rsidRPr="00ED5334" w:rsidRDefault="000F5693" w:rsidP="004606A1">
      <w:pPr>
        <w:jc w:val="both"/>
      </w:pPr>
      <w:r w:rsidRPr="00ED5334">
        <w:t>The making of the vehicle standards necessary for the RVSA’s effective operation is provided for in section 12, which empowers the Minister to “determine standards for road vehicles or road vehicle components”.</w:t>
      </w:r>
    </w:p>
    <w:p w14:paraId="25FEAD66" w14:textId="77777777" w:rsidR="0008788B" w:rsidRPr="00ED5334" w:rsidRDefault="004D57F3" w:rsidP="004606A1">
      <w:pPr>
        <w:pStyle w:val="HeadingLevel2"/>
        <w:tabs>
          <w:tab w:val="num" w:pos="993"/>
        </w:tabs>
        <w:ind w:left="851"/>
        <w:jc w:val="both"/>
      </w:pPr>
      <w:bookmarkStart w:id="42" w:name="_Toc203641532"/>
      <w:r w:rsidRPr="00ED5334">
        <w:t>Exemption from Sunsetting</w:t>
      </w:r>
      <w:bookmarkEnd w:id="42"/>
    </w:p>
    <w:p w14:paraId="364EDDC6" w14:textId="14039BD4" w:rsidR="004D57F3" w:rsidRPr="009B0737" w:rsidRDefault="004D57F3" w:rsidP="009B0737">
      <w:r w:rsidRPr="00ED5334">
        <w:t>ADR 10</w:t>
      </w:r>
      <w:r w:rsidR="00CE3C4F" w:rsidRPr="00ED5334">
        <w:t>7</w:t>
      </w:r>
      <w:r w:rsidRPr="00ED5334">
        <w:t xml:space="preserve">/00 is exempt from the sunsetting provisions of the </w:t>
      </w:r>
      <w:r w:rsidRPr="009B0737">
        <w:t>Legislation Act 2003.</w:t>
      </w:r>
    </w:p>
    <w:p w14:paraId="0A9EC5DB" w14:textId="5CF81942" w:rsidR="004D57F3" w:rsidRPr="00ED5334" w:rsidRDefault="004D57F3" w:rsidP="004606A1">
      <w:pPr>
        <w:pStyle w:val="Subsubsection"/>
        <w:numPr>
          <w:ilvl w:val="0"/>
          <w:numId w:val="0"/>
        </w:numPr>
        <w:ind w:left="851" w:hanging="851"/>
        <w:jc w:val="both"/>
        <w:rPr>
          <w:i/>
        </w:rPr>
      </w:pPr>
      <w:r w:rsidRPr="00ED5334">
        <w:rPr>
          <w:i/>
        </w:rPr>
        <w:t xml:space="preserve">Source of the </w:t>
      </w:r>
      <w:r w:rsidR="00617F38" w:rsidRPr="00ED5334">
        <w:rPr>
          <w:i/>
        </w:rPr>
        <w:t>e</w:t>
      </w:r>
      <w:r w:rsidRPr="00ED5334">
        <w:rPr>
          <w:i/>
        </w:rPr>
        <w:t>xemption</w:t>
      </w:r>
    </w:p>
    <w:p w14:paraId="68CBE691" w14:textId="77777777" w:rsidR="007167C4" w:rsidRPr="00ED5334" w:rsidRDefault="00CA0242" w:rsidP="004606A1">
      <w:pPr>
        <w:jc w:val="both"/>
      </w:pPr>
      <w:r w:rsidRPr="00ED5334">
        <w:t>A standard made under section 12 of the RVSA is not subject to the sunsetting provisions of section 50 of the </w:t>
      </w:r>
      <w:r w:rsidRPr="00ED5334">
        <w:rPr>
          <w:i/>
          <w:iCs/>
        </w:rPr>
        <w:t>Legislation (Exemptions and Other Matters) Act 2003</w:t>
      </w:r>
      <w:r w:rsidRPr="00ED5334">
        <w:t> through section 12 of the Legislation (Exemptions and Other Matters) Regulation 2015 (table item 56C). A similar exemption was previously granted in respect of national road vehicle standards made under section 7 of the </w:t>
      </w:r>
      <w:r w:rsidRPr="00ED5334">
        <w:rPr>
          <w:i/>
          <w:iCs/>
        </w:rPr>
        <w:t>Motor Vehicle Standards Act 1989</w:t>
      </w:r>
      <w:r w:rsidRPr="00ED5334">
        <w:t> (MVSA) (item 40, section 12 of the Legislation (Exemptions and Other Matters) Regulation 2015). This exemption is important to ensure that Australian Design Rules (ADRs), including ADR 10</w:t>
      </w:r>
      <w:r w:rsidR="007167C4" w:rsidRPr="00ED5334">
        <w:t>7</w:t>
      </w:r>
      <w:r w:rsidRPr="00ED5334">
        <w:t xml:space="preserve">/00, continue to remain in force and available to regulators and industry. </w:t>
      </w:r>
    </w:p>
    <w:p w14:paraId="4F88439E" w14:textId="4BFA9FA9" w:rsidR="004D57F3" w:rsidRPr="00ED5334" w:rsidRDefault="004D57F3" w:rsidP="004606A1">
      <w:pPr>
        <w:pStyle w:val="Subsubsubsection"/>
        <w:numPr>
          <w:ilvl w:val="0"/>
          <w:numId w:val="0"/>
        </w:numPr>
        <w:jc w:val="both"/>
        <w:rPr>
          <w:i/>
        </w:rPr>
      </w:pPr>
      <w:r w:rsidRPr="00ED5334">
        <w:rPr>
          <w:i/>
        </w:rPr>
        <w:t>Intergovernmental dependencies</w:t>
      </w:r>
    </w:p>
    <w:p w14:paraId="3996F385" w14:textId="77777777" w:rsidR="004D57F3" w:rsidRPr="00ED5334" w:rsidRDefault="004D57F3" w:rsidP="004606A1">
      <w:pPr>
        <w:jc w:val="both"/>
      </w:pPr>
      <w:r w:rsidRPr="00ED5334">
        <w:t xml:space="preserve">The exemption concerns ADRs which facilitate the establishment and operation of the intergovernmental vehicle standard regime that Commonwealth, State and Territory governments rely on to regulate the safety of vehicles on public roads. </w:t>
      </w:r>
    </w:p>
    <w:p w14:paraId="6F08F71A" w14:textId="1322EB9A" w:rsidR="004D57F3" w:rsidRPr="00ED5334" w:rsidRDefault="004D57F3" w:rsidP="004606A1">
      <w:pPr>
        <w:jc w:val="both"/>
      </w:pPr>
      <w:r w:rsidRPr="00ED5334">
        <w:t xml:space="preserve">The Commonwealth uses the ADRs as the basis on which approvals to supply types of road vehicles to the market are granted under the Road Vehicle Standards Rules 2019. States and </w:t>
      </w:r>
      <w:r w:rsidR="00E97224" w:rsidRPr="00ED5334">
        <w:t>T</w:t>
      </w:r>
      <w:r w:rsidRPr="00ED5334">
        <w: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w:t>
      </w:r>
      <w:r w:rsidR="00617F38" w:rsidRPr="00ED5334">
        <w:t xml:space="preserve"> – the average age of vehicles in Australia is over 10 years</w:t>
      </w:r>
      <w:r w:rsidRPr="00ED5334">
        <w:t>.</w:t>
      </w:r>
    </w:p>
    <w:p w14:paraId="45FC8CB7" w14:textId="77777777" w:rsidR="004D57F3" w:rsidRPr="00ED5334" w:rsidRDefault="004D57F3" w:rsidP="004606A1">
      <w:pPr>
        <w:jc w:val="both"/>
      </w:pPr>
      <w:r w:rsidRPr="00ED5334">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04AF3475" w14:textId="77777777" w:rsidR="004D57F3" w:rsidRPr="00ED5334" w:rsidRDefault="004D57F3" w:rsidP="004606A1">
      <w:pPr>
        <w:jc w:val="both"/>
      </w:pPr>
      <w:r w:rsidRPr="00ED5334">
        <w:lastRenderedPageBreak/>
        <w:t>In the event that the Commonwealth could not justify the maintenance of the ADRs, State and Territory governments would be compelled to create their own vehicle standards. Whilst this could mean adopting the substance of the lapsed ADRs as an interim measure, the differing needs and agendas of each State and Territory government may result in variations to in-service regulations. Having different vehicle standards across the states and territories would make the scheme operate contrary to the underlying policy intent of the Act which is to set nationally consistent performance based standards.</w:t>
      </w:r>
    </w:p>
    <w:p w14:paraId="507C162A" w14:textId="77777777" w:rsidR="004D57F3" w:rsidRPr="00ED5334" w:rsidRDefault="004D57F3" w:rsidP="004606A1">
      <w:pPr>
        <w:pStyle w:val="Subsubsubsection"/>
        <w:numPr>
          <w:ilvl w:val="0"/>
          <w:numId w:val="0"/>
        </w:numPr>
        <w:ind w:left="851" w:hanging="851"/>
        <w:jc w:val="both"/>
        <w:rPr>
          <w:i/>
        </w:rPr>
      </w:pPr>
      <w:r w:rsidRPr="00ED5334">
        <w:rPr>
          <w:i/>
        </w:rPr>
        <w:t>Commercial dependencies</w:t>
      </w:r>
    </w:p>
    <w:p w14:paraId="436B22CC" w14:textId="42B14CDC" w:rsidR="004D57F3" w:rsidRPr="00ED5334" w:rsidRDefault="004D57F3" w:rsidP="004606A1">
      <w:pPr>
        <w:jc w:val="both"/>
      </w:pPr>
      <w:r w:rsidRPr="00ED5334">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0022C847" w14:textId="2EB912AD" w:rsidR="004D57F3" w:rsidRPr="00ED5334" w:rsidRDefault="003A60D4" w:rsidP="004606A1">
      <w:pPr>
        <w:pStyle w:val="Subsubsection"/>
        <w:numPr>
          <w:ilvl w:val="0"/>
          <w:numId w:val="0"/>
        </w:numPr>
        <w:jc w:val="both"/>
        <w:rPr>
          <w:i/>
        </w:rPr>
      </w:pPr>
      <w:r w:rsidRPr="00ED5334">
        <w:rPr>
          <w:i/>
        </w:rPr>
        <w:t>Review of Australian Design Rules</w:t>
      </w:r>
    </w:p>
    <w:p w14:paraId="67CB4C43" w14:textId="6B9BCB98" w:rsidR="00B52163" w:rsidRPr="00ED5334" w:rsidRDefault="007167C4" w:rsidP="004606A1">
      <w:pPr>
        <w:jc w:val="both"/>
        <w:rPr>
          <w:color w:val="000000"/>
        </w:rPr>
      </w:pPr>
      <w:r w:rsidRPr="00ED5334">
        <w:rPr>
          <w:color w:val="000000"/>
        </w:rPr>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5CF599CD" w14:textId="7F21F520" w:rsidR="005B3910" w:rsidRPr="00ED5334" w:rsidRDefault="005B3910" w:rsidP="004606A1">
      <w:pPr>
        <w:pStyle w:val="HeadingLevel2"/>
        <w:tabs>
          <w:tab w:val="num" w:pos="993"/>
        </w:tabs>
        <w:ind w:left="851"/>
        <w:jc w:val="both"/>
      </w:pPr>
      <w:bookmarkStart w:id="43" w:name="_Toc203641533"/>
      <w:r w:rsidRPr="00ED5334">
        <w:t>International Harmonisation</w:t>
      </w:r>
      <w:bookmarkEnd w:id="43"/>
    </w:p>
    <w:p w14:paraId="551A2BBB" w14:textId="28905E52" w:rsidR="005B3910" w:rsidRPr="00ED5334" w:rsidRDefault="005B3910" w:rsidP="004606A1">
      <w:pPr>
        <w:pStyle w:val="NormalWeb"/>
        <w:spacing w:before="120" w:beforeAutospacing="0" w:after="120" w:afterAutospacing="0"/>
        <w:jc w:val="both"/>
        <w:rPr>
          <w:color w:val="000000"/>
        </w:rPr>
      </w:pPr>
      <w:r w:rsidRPr="00ED5334">
        <w:rPr>
          <w:color w:val="000000"/>
        </w:rPr>
        <w:t>A majority of Australian road vehicle standards, including ADR 10</w:t>
      </w:r>
      <w:r w:rsidR="00191DB5" w:rsidRPr="00ED5334">
        <w:rPr>
          <w:color w:val="000000"/>
        </w:rPr>
        <w:t>7</w:t>
      </w:r>
      <w:r w:rsidRPr="00ED5334">
        <w:rPr>
          <w:color w:val="000000"/>
        </w:rPr>
        <w:t>/00, are closely harmonised with internationally based UN regulations, which are developed by the UN World Forum for Harmonization of Vehicle Regulations. 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7307B604" w14:textId="2EAA1BBE" w:rsidR="00C3438F" w:rsidRPr="00ED5334" w:rsidRDefault="00C3438F" w:rsidP="004606A1">
      <w:pPr>
        <w:pStyle w:val="HeadingLevel1"/>
        <w:tabs>
          <w:tab w:val="clear" w:pos="3970"/>
          <w:tab w:val="num" w:pos="3119"/>
        </w:tabs>
        <w:ind w:left="851"/>
        <w:jc w:val="both"/>
      </w:pPr>
      <w:bookmarkStart w:id="44" w:name="_Toc46333217"/>
      <w:bookmarkStart w:id="45" w:name="_Toc46333471"/>
      <w:bookmarkStart w:id="46" w:name="_Toc46333625"/>
      <w:bookmarkStart w:id="47" w:name="_Toc46333790"/>
      <w:bookmarkStart w:id="48" w:name="_Toc46333904"/>
      <w:bookmarkStart w:id="49" w:name="_Toc46334640"/>
      <w:bookmarkStart w:id="50" w:name="_Toc47693308"/>
      <w:bookmarkStart w:id="51" w:name="_Toc203641534"/>
      <w:r w:rsidRPr="00ED5334">
        <w:t>Purpose and Operation</w:t>
      </w:r>
      <w:bookmarkEnd w:id="44"/>
      <w:bookmarkEnd w:id="45"/>
      <w:bookmarkEnd w:id="46"/>
      <w:bookmarkEnd w:id="47"/>
      <w:bookmarkEnd w:id="48"/>
      <w:bookmarkEnd w:id="49"/>
      <w:bookmarkEnd w:id="50"/>
      <w:bookmarkEnd w:id="51"/>
    </w:p>
    <w:p w14:paraId="09DEAAB2" w14:textId="77777777" w:rsidR="00021A88" w:rsidRPr="00ED5334" w:rsidRDefault="00021A88" w:rsidP="004606A1">
      <w:pPr>
        <w:pStyle w:val="HeadingLevel2"/>
        <w:tabs>
          <w:tab w:val="num" w:pos="993"/>
        </w:tabs>
        <w:ind w:left="851"/>
        <w:jc w:val="both"/>
      </w:pPr>
      <w:bookmarkStart w:id="52" w:name="_Toc203641535"/>
      <w:bookmarkStart w:id="53" w:name="_Toc167864614"/>
      <w:r w:rsidRPr="00ED5334">
        <w:t>Overview of the Regulatory Framework</w:t>
      </w:r>
      <w:bookmarkEnd w:id="52"/>
    </w:p>
    <w:p w14:paraId="1BD24085" w14:textId="77777777" w:rsidR="00845410" w:rsidRPr="00ED5334" w:rsidRDefault="00845410" w:rsidP="004606A1">
      <w:pPr>
        <w:jc w:val="both"/>
      </w:pPr>
      <w:r w:rsidRPr="00ED5334">
        <w:t xml:space="preserve">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 The ADRs have set out those standards since the early 1970s. </w:t>
      </w:r>
      <w:r w:rsidRPr="00ED5334">
        <w:lastRenderedPageBreak/>
        <w:t>At that time, they were applied cooperatively by the Australian Motor Vehicle Certification Board representing the Commonwealth and state and territory governments. In 1989, this arrangement was replaced by the MVSA and the Australian Design Rules were determined as national standards. The RVSA commenced in full and replaced the MVSA on 1 July 2021. A two-year transition period was provided between 1 July 2021 and 30 June 2023.</w:t>
      </w:r>
    </w:p>
    <w:p w14:paraId="6C01EA1B" w14:textId="77777777" w:rsidR="00845410" w:rsidRPr="00ED5334" w:rsidRDefault="00845410" w:rsidP="004606A1">
      <w:pPr>
        <w:jc w:val="both"/>
      </w:pPr>
      <w:r w:rsidRPr="00ED5334">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2BC1D376" w14:textId="207F0C11" w:rsidR="00B7302E" w:rsidRPr="00ED5334" w:rsidRDefault="00845410" w:rsidP="004606A1">
      <w:pPr>
        <w:pStyle w:val="HeadingLevel2"/>
        <w:tabs>
          <w:tab w:val="num" w:pos="2411"/>
        </w:tabs>
        <w:ind w:left="851"/>
        <w:jc w:val="both"/>
      </w:pPr>
      <w:r w:rsidRPr="00ED5334">
        <w:t xml:space="preserve"> </w:t>
      </w:r>
      <w:bookmarkStart w:id="54" w:name="_Toc203641536"/>
      <w:r w:rsidR="00C3438F" w:rsidRPr="00ED5334">
        <w:t>Overview of the ADR</w:t>
      </w:r>
      <w:bookmarkEnd w:id="54"/>
    </w:p>
    <w:p w14:paraId="45DA22BE" w14:textId="6A112916" w:rsidR="00B7302E" w:rsidRPr="00ED5334" w:rsidRDefault="00B7302E" w:rsidP="004606A1">
      <w:pPr>
        <w:jc w:val="both"/>
      </w:pPr>
      <w:r w:rsidRPr="00ED5334">
        <w:t>The purpose of ADR 10</w:t>
      </w:r>
      <w:r w:rsidR="00CE3C4F" w:rsidRPr="00ED5334">
        <w:t>7</w:t>
      </w:r>
      <w:r w:rsidRPr="00ED5334">
        <w:t xml:space="preserve">/00 is to specify requirements for </w:t>
      </w:r>
      <w:r w:rsidR="00CE3C4F" w:rsidRPr="00ED5334">
        <w:t>Emergency Lane Keeping System</w:t>
      </w:r>
      <w:r w:rsidR="00AB393F" w:rsidRPr="00ED5334">
        <w:t>s</w:t>
      </w:r>
      <w:r w:rsidR="00CE3C4F" w:rsidRPr="00ED5334">
        <w:t xml:space="preserve"> (ELKS)</w:t>
      </w:r>
      <w:r w:rsidRPr="00ED5334">
        <w:t xml:space="preserve"> for new passenger vehicles (ADR vehicle categories MA, MB, and MC)</w:t>
      </w:r>
      <w:r w:rsidR="00CE3C4F" w:rsidRPr="00ED5334">
        <w:t xml:space="preserve"> </w:t>
      </w:r>
      <w:r w:rsidR="00CA078B" w:rsidRPr="00ED5334">
        <w:t>and</w:t>
      </w:r>
      <w:r w:rsidRPr="00ED5334">
        <w:t xml:space="preserve"> new </w:t>
      </w:r>
      <w:r w:rsidR="00CE3C4F" w:rsidRPr="00ED5334">
        <w:t xml:space="preserve">light </w:t>
      </w:r>
      <w:r w:rsidRPr="00ED5334">
        <w:t xml:space="preserve">goods vehicles (ADR vehicle </w:t>
      </w:r>
      <w:r w:rsidR="00CA078B" w:rsidRPr="00ED5334">
        <w:t>categor</w:t>
      </w:r>
      <w:r w:rsidR="00834051" w:rsidRPr="00ED5334">
        <w:t>y</w:t>
      </w:r>
      <w:r w:rsidR="00CA078B" w:rsidRPr="00ED5334">
        <w:t xml:space="preserve"> </w:t>
      </w:r>
      <w:r w:rsidRPr="00ED5334">
        <w:t xml:space="preserve">NA), to reduce </w:t>
      </w:r>
      <w:r w:rsidR="005B063C" w:rsidRPr="00ED5334">
        <w:t xml:space="preserve">deaths or injuries from </w:t>
      </w:r>
      <w:r w:rsidR="00CE3C4F" w:rsidRPr="00ED5334">
        <w:t>unintended lane depa</w:t>
      </w:r>
      <w:r w:rsidR="00761504" w:rsidRPr="00ED5334">
        <w:t>r</w:t>
      </w:r>
      <w:r w:rsidR="00CE3C4F" w:rsidRPr="00ED5334">
        <w:t>tures</w:t>
      </w:r>
      <w:r w:rsidR="005B063C" w:rsidRPr="00ED5334">
        <w:t xml:space="preserve">. </w:t>
      </w:r>
      <w:r w:rsidR="00761504" w:rsidRPr="00ED5334">
        <w:t xml:space="preserve">The ADR provides manufacturers with minimum performance requirements for ELKS to be installed </w:t>
      </w:r>
      <w:r w:rsidR="00617F38" w:rsidRPr="00ED5334">
        <w:t>i</w:t>
      </w:r>
      <w:r w:rsidR="00761504" w:rsidRPr="00ED5334">
        <w:t>n new vehicles.</w:t>
      </w:r>
    </w:p>
    <w:p w14:paraId="3C525F0F" w14:textId="77777777" w:rsidR="00D31DB9" w:rsidRPr="00ED5334" w:rsidRDefault="00D31DB9" w:rsidP="004606A1">
      <w:pPr>
        <w:pStyle w:val="HeadingLevel2"/>
        <w:tabs>
          <w:tab w:val="num" w:pos="2411"/>
        </w:tabs>
        <w:ind w:left="851"/>
        <w:jc w:val="both"/>
      </w:pPr>
      <w:bookmarkStart w:id="55" w:name="_Toc203641537"/>
      <w:r w:rsidRPr="00ED5334">
        <w:t>Effect of the ADR</w:t>
      </w:r>
      <w:bookmarkEnd w:id="55"/>
    </w:p>
    <w:p w14:paraId="3F1589A2" w14:textId="67FA0DC8" w:rsidR="00D31DB9" w:rsidRPr="00ED5334" w:rsidRDefault="00E315F0" w:rsidP="004606A1">
      <w:pPr>
        <w:jc w:val="both"/>
      </w:pPr>
      <w:r w:rsidRPr="00ED5334">
        <w:t>Clause 3.1 requires n</w:t>
      </w:r>
      <w:r w:rsidR="00D31DB9" w:rsidRPr="00ED5334">
        <w:t>ew model</w:t>
      </w:r>
      <w:r w:rsidRPr="00ED5334">
        <w:t xml:space="preserve"> passenger and light goods vehicles</w:t>
      </w:r>
      <w:r w:rsidR="00D31DB9" w:rsidRPr="00ED5334">
        <w:t xml:space="preserve"> to be certified to this </w:t>
      </w:r>
      <w:r w:rsidR="00D34751" w:rsidRPr="00ED5334">
        <w:t>S</w:t>
      </w:r>
      <w:r w:rsidR="00D31DB9" w:rsidRPr="00ED5334">
        <w:t xml:space="preserve">tandard from 1 </w:t>
      </w:r>
      <w:r w:rsidR="00CE3C4F" w:rsidRPr="00ED5334">
        <w:t>November 202</w:t>
      </w:r>
      <w:r w:rsidR="00BE5F72" w:rsidRPr="00ED5334">
        <w:t>7</w:t>
      </w:r>
      <w:r w:rsidR="003E5985" w:rsidRPr="00ED5334">
        <w:t xml:space="preserve"> and all new </w:t>
      </w:r>
      <w:r w:rsidRPr="00ED5334">
        <w:t xml:space="preserve">passenger and light goods </w:t>
      </w:r>
      <w:r w:rsidR="003E5985" w:rsidRPr="00ED5334">
        <w:t xml:space="preserve">vehicles to be certified to this </w:t>
      </w:r>
      <w:r w:rsidR="00D34751" w:rsidRPr="00ED5334">
        <w:t>S</w:t>
      </w:r>
      <w:r w:rsidR="003E5985" w:rsidRPr="00ED5334">
        <w:t xml:space="preserve">tandard from 1 </w:t>
      </w:r>
      <w:r w:rsidR="00CE3C4F" w:rsidRPr="00ED5334">
        <w:t>November 202</w:t>
      </w:r>
      <w:r w:rsidR="00BE5F72" w:rsidRPr="00ED5334">
        <w:t>8</w:t>
      </w:r>
    </w:p>
    <w:p w14:paraId="384DD4C2" w14:textId="26E72C79" w:rsidR="00D31DB9" w:rsidRPr="00ED5334" w:rsidRDefault="00E315F0" w:rsidP="004606A1">
      <w:pPr>
        <w:jc w:val="both"/>
      </w:pPr>
      <w:r w:rsidRPr="00ED5334">
        <w:t>Clause 5.1 requires all vehicles to be fitted with an ELKS and</w:t>
      </w:r>
      <w:r w:rsidR="003E5985" w:rsidRPr="00ED5334">
        <w:t xml:space="preserve"> meet the requirements of </w:t>
      </w:r>
      <w:r w:rsidRPr="00ED5334">
        <w:t>Appendix A</w:t>
      </w:r>
      <w:r w:rsidR="00D35A0C" w:rsidRPr="00ED5334">
        <w:t>,</w:t>
      </w:r>
      <w:r w:rsidR="003E5985" w:rsidRPr="00ED5334">
        <w:t xml:space="preserve"> as varied by</w:t>
      </w:r>
      <w:r w:rsidR="002B2EE0" w:rsidRPr="00ED5334">
        <w:t xml:space="preserve"> </w:t>
      </w:r>
      <w:r w:rsidR="00285FA1" w:rsidRPr="00ED5334">
        <w:t>clause</w:t>
      </w:r>
      <w:r w:rsidR="003E5985" w:rsidRPr="00ED5334">
        <w:t xml:space="preserve"> 6 </w:t>
      </w:r>
      <w:r w:rsidR="00285FA1" w:rsidRPr="00ED5334">
        <w:t>(</w:t>
      </w:r>
      <w:r w:rsidR="003E5985" w:rsidRPr="00ED5334">
        <w:t>Exemptions and Alternative Procedures</w:t>
      </w:r>
      <w:r w:rsidR="00285FA1" w:rsidRPr="00ED5334">
        <w:t>)</w:t>
      </w:r>
      <w:r w:rsidR="003E5985" w:rsidRPr="00ED5334">
        <w:t>, or the alternative standard listed under clause 7</w:t>
      </w:r>
      <w:r w:rsidR="00C33E5E" w:rsidRPr="00ED5334">
        <w:t xml:space="preserve"> (Alternative Standards)</w:t>
      </w:r>
      <w:r w:rsidR="003E5985" w:rsidRPr="00ED5334">
        <w:t>.</w:t>
      </w:r>
    </w:p>
    <w:p w14:paraId="1CE7E634" w14:textId="652E38EC" w:rsidR="00B4748F" w:rsidRPr="00ED5334" w:rsidRDefault="00CE3C4F" w:rsidP="004606A1">
      <w:pPr>
        <w:pStyle w:val="HeadingLevel2"/>
        <w:tabs>
          <w:tab w:val="num" w:pos="993"/>
        </w:tabs>
        <w:ind w:left="851"/>
        <w:jc w:val="both"/>
      </w:pPr>
      <w:bookmarkStart w:id="56" w:name="_Toc203641538"/>
      <w:r w:rsidRPr="00ED5334">
        <w:t>Emergency Lane Keeping Systems</w:t>
      </w:r>
      <w:bookmarkEnd w:id="56"/>
      <w:r w:rsidRPr="00ED5334">
        <w:t xml:space="preserve"> </w:t>
      </w:r>
    </w:p>
    <w:p w14:paraId="41D39828" w14:textId="30B54397" w:rsidR="0045088D" w:rsidRPr="00ED5334" w:rsidRDefault="00C33E5E" w:rsidP="004606A1">
      <w:pPr>
        <w:jc w:val="both"/>
      </w:pPr>
      <w:r w:rsidRPr="00ED5334">
        <w:t>ELKS is a driver assist</w:t>
      </w:r>
      <w:r w:rsidR="000D7C01">
        <w:t xml:space="preserve">ance </w:t>
      </w:r>
      <w:r w:rsidRPr="00ED5334">
        <w:t>system that should provide warning to the driver and correct the trajectory only when the driver is unintentionally leaving the lane.</w:t>
      </w:r>
      <w:r w:rsidR="00761504" w:rsidRPr="00ED5334">
        <w:t xml:space="preserve"> </w:t>
      </w:r>
      <w:r w:rsidRPr="00ED5334">
        <w:t>An ELKS comprises a Lane Departure Warning System (LDWS) and a Corrective Directional Control Function (CDCF).</w:t>
      </w:r>
      <w:r w:rsidR="00FA455C" w:rsidRPr="00ED5334">
        <w:t xml:space="preserve"> </w:t>
      </w:r>
    </w:p>
    <w:p w14:paraId="753D524F" w14:textId="53DC45F4" w:rsidR="008D4DDA" w:rsidRPr="00ED5334" w:rsidRDefault="00FA455C" w:rsidP="004606A1">
      <w:pPr>
        <w:jc w:val="both"/>
      </w:pPr>
      <w:r w:rsidRPr="00ED5334">
        <w:t>Specific requirements</w:t>
      </w:r>
      <w:r w:rsidR="00D92624" w:rsidRPr="00ED5334">
        <w:t xml:space="preserve"> are listed under </w:t>
      </w:r>
      <w:r w:rsidR="00CE44BF" w:rsidRPr="00ED5334">
        <w:t>paragraphs</w:t>
      </w:r>
      <w:r w:rsidR="00D92624" w:rsidRPr="00ED5334">
        <w:t xml:space="preserve"> 6.1 – 6.3</w:t>
      </w:r>
      <w:r w:rsidRPr="00ED5334">
        <w:t xml:space="preserve"> </w:t>
      </w:r>
      <w:r w:rsidR="00CE44BF" w:rsidRPr="00ED5334">
        <w:t xml:space="preserve">of Appendix A </w:t>
      </w:r>
      <w:r w:rsidRPr="00ED5334">
        <w:t>for ELKS</w:t>
      </w:r>
      <w:r w:rsidR="00D92624" w:rsidRPr="00ED5334">
        <w:t>. They</w:t>
      </w:r>
      <w:r w:rsidRPr="00ED5334">
        <w:t xml:space="preserve"> detail failure warning, manual and automatic deactivation, and automatic suppression requirements.</w:t>
      </w:r>
      <w:r w:rsidR="00D92624" w:rsidRPr="00ED5334">
        <w:t xml:space="preserve"> A constant visual warning signal must be given to the driver when the system cannot meet the requirements of the regulation, or when the system is manually or automatically deactivated. This is so the driver is aware of the system</w:t>
      </w:r>
      <w:r w:rsidR="00D35A0C" w:rsidRPr="00ED5334">
        <w:t>’</w:t>
      </w:r>
      <w:r w:rsidR="00D92624" w:rsidRPr="00ED5334">
        <w:t xml:space="preserve">s current status. </w:t>
      </w:r>
    </w:p>
    <w:p w14:paraId="46978DFD" w14:textId="1CD96E0C" w:rsidR="00FA4B64" w:rsidRPr="00ED5334" w:rsidRDefault="00FA4B64" w:rsidP="004606A1">
      <w:pPr>
        <w:jc w:val="both"/>
      </w:pPr>
      <w:r w:rsidRPr="00ED5334">
        <w:rPr>
          <w:rStyle w:val="ESNormalChar"/>
        </w:rPr>
        <w:t>Paragraph 8 of Appendix A also details the test requirements for CDCF, which encompass testing conditions, lane markings, subject vehicle conditions and test procedures.</w:t>
      </w:r>
    </w:p>
    <w:p w14:paraId="44748ED0" w14:textId="77777777" w:rsidR="00FA4B64" w:rsidRPr="00ED5334" w:rsidRDefault="00FA4B64" w:rsidP="004606A1">
      <w:pPr>
        <w:jc w:val="both"/>
      </w:pPr>
    </w:p>
    <w:p w14:paraId="48447151" w14:textId="3BFF31B2" w:rsidR="00761504" w:rsidRPr="00ED5334" w:rsidRDefault="00761504" w:rsidP="004606A1">
      <w:pPr>
        <w:pStyle w:val="HeadingLevel2"/>
        <w:tabs>
          <w:tab w:val="num" w:pos="993"/>
        </w:tabs>
        <w:ind w:left="851"/>
        <w:jc w:val="both"/>
      </w:pPr>
      <w:bookmarkStart w:id="57" w:name="_Toc203641539"/>
      <w:r w:rsidRPr="00ED5334">
        <w:lastRenderedPageBreak/>
        <w:t>Lane Departure Warning System</w:t>
      </w:r>
      <w:bookmarkEnd w:id="57"/>
      <w:r w:rsidRPr="00ED5334">
        <w:t xml:space="preserve"> </w:t>
      </w:r>
    </w:p>
    <w:p w14:paraId="330650FF" w14:textId="567BC0E8" w:rsidR="00CF626B" w:rsidRPr="00ED5334" w:rsidRDefault="00CF626B" w:rsidP="004606A1">
      <w:pPr>
        <w:jc w:val="both"/>
      </w:pPr>
      <w:r w:rsidRPr="00ED5334">
        <w:t>LDWS alerts a distracted or drowsy driver when the vehicle unintentionally drifts out of its travel lane. LDWS typically utilises a forward-facing camera to continuously monitor lane markings on the road ahead, detecting any unintentional drift of the vehicle from its lane. The LDWS will monitor solid and dashed lane markings in accordance with those identified in Annex 3 (Visible lane marking identification) to Regulation No. 130 of the United Nations Economic Commission for Europe (UNECE) – Uniform provisions concerning the approval of motor vehicles with regard to the Lane Departure Warning System</w:t>
      </w:r>
      <w:r w:rsidR="00875D88" w:rsidRPr="00ED5334">
        <w:t xml:space="preserve"> </w:t>
      </w:r>
      <w:bookmarkStart w:id="58" w:name="_Hlk198634189"/>
      <w:r w:rsidR="00875D88" w:rsidRPr="00ED5334">
        <w:t>(UN R130)</w:t>
      </w:r>
      <w:r w:rsidR="006C27C9">
        <w:t>, incorporating the 01 series of amendments</w:t>
      </w:r>
      <w:r w:rsidR="00875D88" w:rsidRPr="00ED5334">
        <w:t xml:space="preserve">. The Australian lane markings in UN R130 </w:t>
      </w:r>
      <w:r w:rsidRPr="00ED5334">
        <w:t xml:space="preserve">are compatible with lane markings in </w:t>
      </w:r>
      <w:r w:rsidR="00985D5E" w:rsidRPr="00ED5334">
        <w:t>Australian Standard AS 1742.2:2022 Manual of uniform traffic control devices (Part 2 Traffic control devices for general use).</w:t>
      </w:r>
      <w:bookmarkEnd w:id="58"/>
    </w:p>
    <w:p w14:paraId="2FAA341C" w14:textId="2D801158" w:rsidR="002E0374" w:rsidRPr="00ED5334" w:rsidRDefault="002E0374" w:rsidP="004606A1">
      <w:pPr>
        <w:jc w:val="both"/>
      </w:pPr>
      <w:r w:rsidRPr="00ED5334">
        <w:t>The performance requirements of LDWS, as outlined in paragraph 6.5 of Appendix A, include the warning indication requirements and the operational speed range in which the system must be active. The LDWS must be operational within the vehicle speed range of at least between 65 km/h to 130 km/h (or the maximum speed if it is lower than 130 km/h) and under all load conditions, unless an action has been taken indicating an intention to depart from the lane by the driver, or the vehicle is optionally equipped with a means to manually</w:t>
      </w:r>
      <w:r w:rsidR="0015346A" w:rsidRPr="00ED5334">
        <w:t xml:space="preserve"> or automatically </w:t>
      </w:r>
      <w:r w:rsidRPr="00ED5334">
        <w:t xml:space="preserve">deactivate the LDWS. </w:t>
      </w:r>
    </w:p>
    <w:p w14:paraId="58529D2B" w14:textId="30BB103B" w:rsidR="002E0374" w:rsidRPr="00ED5334" w:rsidRDefault="002E0374" w:rsidP="004606A1">
      <w:pPr>
        <w:jc w:val="both"/>
        <w:rPr>
          <w:rStyle w:val="ESNormalChar"/>
        </w:rPr>
      </w:pPr>
      <w:r w:rsidRPr="00ED5334">
        <w:rPr>
          <w:rStyle w:val="ESNormalChar"/>
        </w:rPr>
        <w:t>This is intended to address the speed range where a higher incidence of unintentional lane departure crashes occurs. When activ</w:t>
      </w:r>
      <w:r w:rsidR="00A678B8" w:rsidRPr="00ED5334">
        <w:rPr>
          <w:rStyle w:val="ESNormalChar"/>
        </w:rPr>
        <w:t>e</w:t>
      </w:r>
      <w:r w:rsidRPr="00ED5334">
        <w:rPr>
          <w:rStyle w:val="ESNormalChar"/>
        </w:rPr>
        <w:t xml:space="preserve"> within this speed range, the LDWS shall alert the driver through visual, acoustic, or haptic warnings if the vehicle crosses a visible lane marking by more than 0.3 m. Any failure of the LDWS must be easily verifiable by the driver. </w:t>
      </w:r>
    </w:p>
    <w:p w14:paraId="0EB4A841" w14:textId="5AD77540" w:rsidR="002E0374" w:rsidRPr="00ED5334" w:rsidRDefault="002E0374" w:rsidP="004606A1">
      <w:pPr>
        <w:jc w:val="both"/>
        <w:rPr>
          <w:rStyle w:val="ESNormalChar"/>
        </w:rPr>
      </w:pPr>
      <w:r w:rsidRPr="00ED5334">
        <w:rPr>
          <w:rStyle w:val="ESNormalChar"/>
        </w:rPr>
        <w:t xml:space="preserve">Furthermore, it outlines the minimum conditions and scenarios under which the system must fulfil the performance requirements, recognising that the system may not encompass all conditions and scenarios that the vehicle could face during its lifespan. </w:t>
      </w:r>
    </w:p>
    <w:p w14:paraId="062A457E" w14:textId="3218D4B3" w:rsidR="00BD51B5" w:rsidRPr="00ED5334" w:rsidRDefault="002E0374" w:rsidP="004606A1">
      <w:pPr>
        <w:jc w:val="both"/>
      </w:pPr>
      <w:r w:rsidRPr="00ED5334">
        <w:rPr>
          <w:rStyle w:val="ESNormalChar"/>
        </w:rPr>
        <w:t>Paragraph 7 of Appendix A</w:t>
      </w:r>
      <w:r w:rsidR="00FA4B64" w:rsidRPr="00ED5334">
        <w:rPr>
          <w:rStyle w:val="ESNormalChar"/>
        </w:rPr>
        <w:t xml:space="preserve"> also</w:t>
      </w:r>
      <w:r w:rsidRPr="00ED5334">
        <w:rPr>
          <w:rStyle w:val="ESNormalChar"/>
        </w:rPr>
        <w:t xml:space="preserve"> details the test requirements for LDWS, which encompass testing conditions, lane markings, subject vehicle conditions</w:t>
      </w:r>
      <w:r w:rsidR="00FA4B64" w:rsidRPr="00ED5334">
        <w:rPr>
          <w:rStyle w:val="ESNormalChar"/>
        </w:rPr>
        <w:t xml:space="preserve"> and </w:t>
      </w:r>
      <w:r w:rsidRPr="00ED5334">
        <w:rPr>
          <w:rStyle w:val="ESNormalChar"/>
        </w:rPr>
        <w:t>test procedures.</w:t>
      </w:r>
    </w:p>
    <w:p w14:paraId="52563210" w14:textId="60AF57A6" w:rsidR="00995AE2" w:rsidRPr="00ED5334" w:rsidRDefault="00995AE2" w:rsidP="004606A1">
      <w:pPr>
        <w:pStyle w:val="HeadingLevel2"/>
        <w:tabs>
          <w:tab w:val="num" w:pos="993"/>
        </w:tabs>
        <w:ind w:left="851"/>
        <w:jc w:val="both"/>
      </w:pPr>
      <w:bookmarkStart w:id="59" w:name="_Toc203641540"/>
      <w:r w:rsidRPr="00ED5334">
        <w:t>Corrective Directional Control Function</w:t>
      </w:r>
      <w:bookmarkEnd w:id="59"/>
    </w:p>
    <w:p w14:paraId="64FBE133" w14:textId="3C0AC4EE" w:rsidR="00CF626B" w:rsidRPr="00ED5334" w:rsidRDefault="00CF626B" w:rsidP="004606A1">
      <w:pPr>
        <w:jc w:val="both"/>
      </w:pPr>
      <w:bookmarkStart w:id="60" w:name="_Hlk198026302"/>
      <w:r w:rsidRPr="00ED5334">
        <w:t xml:space="preserve">CDCF corrects lane departure when the ELKS </w:t>
      </w:r>
      <w:proofErr w:type="gramStart"/>
      <w:r w:rsidRPr="00ED5334">
        <w:t>detects</w:t>
      </w:r>
      <w:proofErr w:type="gramEnd"/>
      <w:r w:rsidRPr="00ED5334">
        <w:t xml:space="preserve"> that the vehicle is unintentionally leaving its lane. The driver can maintain control and override the system at any time by making a deliberate steering action. The CDCF will monitor solid lane edge markings in accordance with those identified in Annex 3 (Visible lane marking identification) to Regulation No. 130 of the United Nations Economic Commission for Europe (UNECE) – Uniform provisions concerning the approval of motor vehicles regarding the Lane Departure Warning System</w:t>
      </w:r>
      <w:r w:rsidR="00A678B8" w:rsidRPr="00ED5334">
        <w:t xml:space="preserve"> (UN R130)</w:t>
      </w:r>
      <w:r w:rsidR="00C92AF5">
        <w:t>, incorporating the 01 series of amendments</w:t>
      </w:r>
      <w:r w:rsidR="00A678B8" w:rsidRPr="00ED5334">
        <w:t>. The Australian lane markings in UN R130 are compatible with lane markings in Australian Standard AS 1742.2:2022 Manual of uniform traffic control devices (Part 2 Traffic control devices for general use).</w:t>
      </w:r>
    </w:p>
    <w:bookmarkEnd w:id="60"/>
    <w:p w14:paraId="186A0888" w14:textId="77777777" w:rsidR="00395D00" w:rsidRPr="00ED5334" w:rsidRDefault="00395D00" w:rsidP="004606A1">
      <w:pPr>
        <w:jc w:val="both"/>
      </w:pPr>
      <w:r w:rsidRPr="00ED5334">
        <w:t xml:space="preserve">The performance requirements of the CDCF, as detailed in paragraph 6.6 of Appendix A, encompass the warning indication requirements and the operational speed range in which the system must remain active. The CDCF must be operational within a vehicle speed range of at least 70 km/h to 130 km/h (or the maximum speed if it is lower than </w:t>
      </w:r>
      <w:r w:rsidRPr="00ED5334">
        <w:lastRenderedPageBreak/>
        <w:t xml:space="preserve">130 km/h) and under all load conditions, unless it is partially or fully deactivated manually (if equipped) by the driver or automatically deactivated (if equipped) by the vehicle's complex electronic systems, such as during off-road use, towing a trailer, or when the electronic stability control system is intervening. </w:t>
      </w:r>
    </w:p>
    <w:p w14:paraId="36D5FCCF" w14:textId="264F94BF" w:rsidR="00395D00" w:rsidRPr="00ED5334" w:rsidRDefault="00395D00" w:rsidP="004606A1">
      <w:pPr>
        <w:jc w:val="both"/>
      </w:pPr>
      <w:r w:rsidRPr="00ED5334">
        <w:t xml:space="preserve">There exists a minimal speed discrepancy between the LDWS and CDCF. To ensure the safety of the driver, the LDWS will be activated before the vehicle reaches the operational speed range of the CDCF. This </w:t>
      </w:r>
      <w:r w:rsidR="00312E64" w:rsidRPr="00ED5334">
        <w:t xml:space="preserve">ensures </w:t>
      </w:r>
      <w:r w:rsidRPr="00ED5334">
        <w:t xml:space="preserve">that the driver receives a visual, audible, and haptic warning prior to any intervention by the CDCF in the event of an emergency situation. This coordinated approach enhances overall safety and driver awareness during critical moments. </w:t>
      </w:r>
    </w:p>
    <w:p w14:paraId="55905FDA" w14:textId="57168E1E" w:rsidR="00FA4B64" w:rsidRPr="00ED5334" w:rsidRDefault="008A265A" w:rsidP="004606A1">
      <w:pPr>
        <w:jc w:val="both"/>
      </w:pPr>
      <w:bookmarkStart w:id="61" w:name="_Hlk198027704"/>
      <w:r w:rsidRPr="00ED5334">
        <w:t>Paragraph 6.6.3 of Appendix A details the steering override requirements of the system. Specifically, a maximum allowable force of 50 N is established as the limit to override the system. This decision is informed by input from international vehicle experts regarding the maximum limit of 50 N. Whe</w:t>
      </w:r>
      <w:r w:rsidR="00312E64" w:rsidRPr="00ED5334">
        <w:t>re</w:t>
      </w:r>
      <w:r w:rsidRPr="00ED5334">
        <w:t xml:space="preserve"> differential braking is utilised, a steering angle of no more than 25 degrees is necessary for the driver to regain control of the vehicle from the ELKS if they choose to do so. The CDCF must provide a warning indication to alert the driver of any intervention. These warnings should escalate throughout the duration of an intervention or during consecutive interventions to effectively inform the driver of the situation. </w:t>
      </w:r>
    </w:p>
    <w:p w14:paraId="3BF7B5CD" w14:textId="3285E434" w:rsidR="008A265A" w:rsidRPr="00ED5334" w:rsidRDefault="008A265A" w:rsidP="004606A1">
      <w:pPr>
        <w:jc w:val="both"/>
      </w:pPr>
      <w:r w:rsidRPr="00ED5334">
        <w:t>Furthermore, Paragraph 8 of Appendix A outlines the test requirements for CDCF, including testing conditions, lane markings, subject vehicle conditions and test procedures.</w:t>
      </w:r>
    </w:p>
    <w:p w14:paraId="572E8516" w14:textId="7A3DC987" w:rsidR="00B4748F" w:rsidRPr="00ED5334" w:rsidRDefault="00257879" w:rsidP="004606A1">
      <w:pPr>
        <w:pStyle w:val="HeadingLevel2"/>
        <w:tabs>
          <w:tab w:val="num" w:pos="993"/>
        </w:tabs>
        <w:ind w:left="851"/>
        <w:jc w:val="both"/>
      </w:pPr>
      <w:bookmarkStart w:id="62" w:name="_Toc203641541"/>
      <w:bookmarkEnd w:id="61"/>
      <w:r w:rsidRPr="00ED5334">
        <w:t>Special requirements to be applied to the safety aspects of electronic control systems</w:t>
      </w:r>
      <w:bookmarkEnd w:id="62"/>
    </w:p>
    <w:p w14:paraId="11CE72FB" w14:textId="39C7E8B0" w:rsidR="00257879" w:rsidRPr="00ED5334" w:rsidRDefault="00257879" w:rsidP="004606A1">
      <w:pPr>
        <w:jc w:val="both"/>
      </w:pPr>
      <w:r w:rsidRPr="00ED5334">
        <w:t>Annex 3 of Appendix</w:t>
      </w:r>
      <w:r w:rsidR="00985D5E" w:rsidRPr="00ED5334">
        <w:t xml:space="preserve"> A</w:t>
      </w:r>
      <w:r w:rsidRPr="00ED5334">
        <w:t xml:space="preserve"> defines the special requirements for documentation, fault strategy and verification with respect to the safety aspects of Electronic System(s) and complex electronic control systems</w:t>
      </w:r>
      <w:r w:rsidR="005232C6" w:rsidRPr="00ED5334">
        <w:t>. This annex does not specify the performance criteria for "</w:t>
      </w:r>
      <w:r w:rsidR="005232C6" w:rsidRPr="00ED5334">
        <w:rPr>
          <w:i/>
        </w:rPr>
        <w:t>the system</w:t>
      </w:r>
      <w:r w:rsidR="005232C6" w:rsidRPr="00ED5334">
        <w:t>" but covers the methodology applied to the design process and the information which shall be documented.</w:t>
      </w:r>
    </w:p>
    <w:p w14:paraId="02644584" w14:textId="77777777" w:rsidR="00A34DB5" w:rsidRPr="00ED5334" w:rsidRDefault="00A34DB5" w:rsidP="004606A1">
      <w:pPr>
        <w:pStyle w:val="HeadingLevel2"/>
        <w:tabs>
          <w:tab w:val="num" w:pos="2411"/>
        </w:tabs>
        <w:ind w:left="851"/>
        <w:jc w:val="both"/>
      </w:pPr>
      <w:bookmarkStart w:id="63" w:name="_Toc203641542"/>
      <w:r w:rsidRPr="00ED5334">
        <w:t>Exemptions and Alternative Procedures</w:t>
      </w:r>
      <w:bookmarkEnd w:id="63"/>
      <w:r w:rsidRPr="00ED5334">
        <w:t xml:space="preserve"> </w:t>
      </w:r>
    </w:p>
    <w:p w14:paraId="5BCB8469" w14:textId="77777777" w:rsidR="00973988" w:rsidRPr="00ED5334" w:rsidRDefault="00973988" w:rsidP="004606A1">
      <w:pPr>
        <w:pStyle w:val="Subsubsection"/>
        <w:jc w:val="both"/>
      </w:pPr>
      <w:r w:rsidRPr="00ED5334">
        <w:t>Exemptions</w:t>
      </w:r>
    </w:p>
    <w:p w14:paraId="03F6D9F2" w14:textId="68091176" w:rsidR="005906D2" w:rsidRPr="00ED5334" w:rsidRDefault="00285FA1" w:rsidP="004606A1">
      <w:pPr>
        <w:jc w:val="both"/>
      </w:pPr>
      <w:r w:rsidRPr="00ED5334">
        <w:t>Clause</w:t>
      </w:r>
      <w:r w:rsidR="005906D2" w:rsidRPr="00ED5334">
        <w:t xml:space="preserve"> 6 </w:t>
      </w:r>
      <w:r w:rsidR="00583203" w:rsidRPr="00ED5334">
        <w:t>provides</w:t>
      </w:r>
      <w:r w:rsidR="005906D2" w:rsidRPr="00ED5334">
        <w:t xml:space="preserve"> exemptions from some requirements of Appendix A (</w:t>
      </w:r>
      <w:r w:rsidR="00CE3C4F" w:rsidRPr="00ED5334">
        <w:t>UN R17X</w:t>
      </w:r>
      <w:r w:rsidR="005906D2" w:rsidRPr="00ED5334">
        <w:t xml:space="preserve">) which pertain to gaining a Type Approval in the UN context. This is because they are not required </w:t>
      </w:r>
      <w:r w:rsidR="00583203" w:rsidRPr="00ED5334">
        <w:t>under</w:t>
      </w:r>
      <w:r w:rsidR="005906D2" w:rsidRPr="00ED5334">
        <w:t xml:space="preserve"> the Australian </w:t>
      </w:r>
      <w:r w:rsidR="00583203" w:rsidRPr="00ED5334">
        <w:t xml:space="preserve">regulatory framework </w:t>
      </w:r>
      <w:r w:rsidR="005906D2" w:rsidRPr="00ED5334">
        <w:t xml:space="preserve">where the Commonwealth administers approvals through the Act and the ADRs. Consequently, manufacturers supplying new vehicles to Australia are exempt from most administrative (non-technical) requirements of </w:t>
      </w:r>
      <w:r w:rsidR="00CE3C4F" w:rsidRPr="00ED5334">
        <w:t>UN R17X</w:t>
      </w:r>
      <w:r w:rsidR="005906D2" w:rsidRPr="00ED5334">
        <w:t xml:space="preserve">. </w:t>
      </w:r>
    </w:p>
    <w:p w14:paraId="3013DC5A" w14:textId="3EEFBDE0" w:rsidR="00A63708" w:rsidRPr="00ED5334" w:rsidRDefault="00412A51" w:rsidP="004606A1">
      <w:pPr>
        <w:jc w:val="both"/>
      </w:pPr>
      <w:r w:rsidRPr="00ED5334">
        <w:t xml:space="preserve">Clause 6.1 states that, </w:t>
      </w:r>
      <w:r w:rsidR="00C26DC6" w:rsidRPr="00ED5334">
        <w:t>paragraphs</w:t>
      </w:r>
      <w:r w:rsidRPr="00ED5334">
        <w:t xml:space="preserve"> 3, </w:t>
      </w:r>
      <w:r w:rsidR="003207CA" w:rsidRPr="00ED5334">
        <w:t xml:space="preserve">4, </w:t>
      </w:r>
      <w:r w:rsidR="00CE3C4F" w:rsidRPr="00ED5334">
        <w:t xml:space="preserve">9, 10, 11, 12, 13 </w:t>
      </w:r>
      <w:r w:rsidRPr="00ED5334">
        <w:t xml:space="preserve">and annexes </w:t>
      </w:r>
      <w:r w:rsidR="003207CA" w:rsidRPr="00ED5334">
        <w:t>1</w:t>
      </w:r>
      <w:r w:rsidR="00CE3C4F" w:rsidRPr="00ED5334">
        <w:t xml:space="preserve"> and 2 </w:t>
      </w:r>
      <w:r w:rsidRPr="00ED5334">
        <w:t xml:space="preserve">of </w:t>
      </w:r>
      <w:r w:rsidR="00CE3C4F" w:rsidRPr="00ED5334">
        <w:t xml:space="preserve">UN R17X </w:t>
      </w:r>
      <w:r w:rsidRPr="00ED5334">
        <w:t>are not required for the purposes of complying with ADR 10</w:t>
      </w:r>
      <w:r w:rsidR="00583203" w:rsidRPr="00ED5334">
        <w:t>7</w:t>
      </w:r>
      <w:r w:rsidRPr="00ED5334">
        <w:t>/00. This is because they refer to gaining a Type Approval in the UN context.</w:t>
      </w:r>
    </w:p>
    <w:p w14:paraId="04F92E75" w14:textId="77777777" w:rsidR="00973988" w:rsidRPr="00ED5334" w:rsidRDefault="00973988" w:rsidP="004606A1">
      <w:pPr>
        <w:pStyle w:val="Subsubsection"/>
        <w:jc w:val="both"/>
      </w:pPr>
      <w:r w:rsidRPr="00ED5334">
        <w:t>Alternative Procedures</w:t>
      </w:r>
    </w:p>
    <w:p w14:paraId="6677F619" w14:textId="78D12A8E" w:rsidR="008B05F5" w:rsidRPr="00ED5334" w:rsidRDefault="00285FA1" w:rsidP="004606A1">
      <w:pPr>
        <w:jc w:val="both"/>
      </w:pPr>
      <w:r w:rsidRPr="00ED5334">
        <w:t>Clause</w:t>
      </w:r>
      <w:r w:rsidR="008B05F5" w:rsidRPr="00ED5334">
        <w:t xml:space="preserve"> 6 identifies procedures to which vehicles may comply, which are acceptable alternatives to those created by </w:t>
      </w:r>
      <w:r w:rsidR="00664C33" w:rsidRPr="00ED5334">
        <w:t>UN R17X</w:t>
      </w:r>
      <w:r w:rsidR="008B05F5" w:rsidRPr="00ED5334">
        <w:t xml:space="preserve">. These have been adapted for the Australian </w:t>
      </w:r>
      <w:r w:rsidR="008B05F5" w:rsidRPr="00ED5334">
        <w:lastRenderedPageBreak/>
        <w:t>market to enable vehicle manufacturer</w:t>
      </w:r>
      <w:r w:rsidR="00B66C7E" w:rsidRPr="00ED5334">
        <w:t>s</w:t>
      </w:r>
      <w:r w:rsidR="008B05F5" w:rsidRPr="00ED5334">
        <w:t xml:space="preserve"> to demonstrate compliance to ADR 10</w:t>
      </w:r>
      <w:r w:rsidR="00664C33" w:rsidRPr="00ED5334">
        <w:t>7</w:t>
      </w:r>
      <w:r w:rsidR="008B05F5" w:rsidRPr="00ED5334">
        <w:t>/00 where they have not gained a type approval in the UN context.</w:t>
      </w:r>
    </w:p>
    <w:p w14:paraId="560107FC" w14:textId="49F82DC5" w:rsidR="00471D0D" w:rsidRPr="00ED5334" w:rsidRDefault="00730297" w:rsidP="004606A1">
      <w:pPr>
        <w:jc w:val="both"/>
      </w:pPr>
      <w:r w:rsidRPr="00ED5334">
        <w:t>Clause</w:t>
      </w:r>
      <w:r w:rsidR="00344AE0" w:rsidRPr="00ED5334">
        <w:t>s</w:t>
      </w:r>
      <w:r w:rsidRPr="00ED5334">
        <w:t xml:space="preserve"> 6.2</w:t>
      </w:r>
      <w:r w:rsidR="00664C33" w:rsidRPr="00ED5334">
        <w:t xml:space="preserve"> </w:t>
      </w:r>
      <w:r w:rsidR="00524EC3" w:rsidRPr="00ED5334">
        <w:t>clarif</w:t>
      </w:r>
      <w:r w:rsidR="003F01EC" w:rsidRPr="00ED5334">
        <w:t>ies</w:t>
      </w:r>
      <w:r w:rsidR="00524EC3" w:rsidRPr="00ED5334">
        <w:t xml:space="preserve"> </w:t>
      </w:r>
      <w:r w:rsidR="001C0A5D" w:rsidRPr="00ED5334">
        <w:t xml:space="preserve">that </w:t>
      </w:r>
      <w:r w:rsidR="00524EC3" w:rsidRPr="00ED5334">
        <w:t xml:space="preserve">in paragraphs </w:t>
      </w:r>
      <w:r w:rsidR="00BE5F72" w:rsidRPr="00ED5334">
        <w:t xml:space="preserve">6.5.2, 6.6.2, </w:t>
      </w:r>
      <w:r w:rsidR="00664C33" w:rsidRPr="00ED5334">
        <w:t xml:space="preserve">7.2.1 and 8.2.1 </w:t>
      </w:r>
      <w:r w:rsidR="00524EC3" w:rsidRPr="00ED5334">
        <w:t>of Appendix A</w:t>
      </w:r>
      <w:r w:rsidR="00383086" w:rsidRPr="00ED5334">
        <w:t xml:space="preserve">, </w:t>
      </w:r>
      <w:r w:rsidR="00AC109C" w:rsidRPr="00ED5334">
        <w:t xml:space="preserve">manufacturers are required to test their vehicles to demonstrate compliance with lane markings </w:t>
      </w:r>
      <w:r w:rsidR="00CD0ED7" w:rsidRPr="00ED5334">
        <w:t>to</w:t>
      </w:r>
      <w:r w:rsidR="00AC109C" w:rsidRPr="00ED5334">
        <w:t xml:space="preserve"> the </w:t>
      </w:r>
      <w:r w:rsidR="00BE5F72" w:rsidRPr="00ED5334">
        <w:t>01</w:t>
      </w:r>
      <w:r w:rsidR="00AC109C" w:rsidRPr="00ED5334">
        <w:t xml:space="preserve"> series of amendments to UN Regulation No</w:t>
      </w:r>
      <w:r w:rsidR="00D121FF" w:rsidRPr="00ED5334">
        <w:t>.</w:t>
      </w:r>
      <w:r w:rsidR="00AC109C" w:rsidRPr="00ED5334">
        <w:t xml:space="preserve"> 130</w:t>
      </w:r>
      <w:r w:rsidR="00471D0D" w:rsidRPr="00ED5334">
        <w:t>, which includes the requirements for Australian specific lane markings</w:t>
      </w:r>
      <w:r w:rsidR="00383086" w:rsidRPr="00ED5334">
        <w:t>.</w:t>
      </w:r>
    </w:p>
    <w:p w14:paraId="0CB41B10" w14:textId="1DAFE571" w:rsidR="00501CD3" w:rsidRPr="00ED5334" w:rsidRDefault="00471D0D" w:rsidP="004606A1">
      <w:pPr>
        <w:jc w:val="both"/>
      </w:pPr>
      <w:r w:rsidRPr="00ED5334">
        <w:t>Clauses 6.3 to 6.</w:t>
      </w:r>
      <w:r w:rsidR="00BE5F72" w:rsidRPr="00ED5334">
        <w:t>2</w:t>
      </w:r>
      <w:r w:rsidR="00ED5334" w:rsidRPr="00ED5334">
        <w:t>1</w:t>
      </w:r>
      <w:r w:rsidRPr="00ED5334">
        <w:t xml:space="preserve"> clarify the administrative arrangements of the UN R17X where they differ from the RVSA </w:t>
      </w:r>
      <w:r w:rsidR="00D32862" w:rsidRPr="00ED5334">
        <w:t>f</w:t>
      </w:r>
      <w:r w:rsidRPr="00ED5334">
        <w:t xml:space="preserve">ramework; for example, there is no technical service under the RVSA </w:t>
      </w:r>
      <w:r w:rsidR="00D32862" w:rsidRPr="00ED5334">
        <w:t>f</w:t>
      </w:r>
      <w:r w:rsidRPr="00ED5334">
        <w:t>ramework.</w:t>
      </w:r>
    </w:p>
    <w:p w14:paraId="4E242206" w14:textId="0001D747" w:rsidR="00471D0D" w:rsidRPr="00ED5334" w:rsidRDefault="00471D0D" w:rsidP="004606A1">
      <w:pPr>
        <w:jc w:val="both"/>
      </w:pPr>
      <w:r w:rsidRPr="00ED5334">
        <w:t>Clause 6.</w:t>
      </w:r>
      <w:r w:rsidR="00BE5F72" w:rsidRPr="00ED5334">
        <w:t>2</w:t>
      </w:r>
      <w:r w:rsidR="00ED5334" w:rsidRPr="00ED5334">
        <w:t>2</w:t>
      </w:r>
      <w:r w:rsidRPr="00ED5334">
        <w:t xml:space="preserve"> clarifies the precedence in the event of a conflict between clause 6 and Appendix A. </w:t>
      </w:r>
    </w:p>
    <w:p w14:paraId="3D4B2C04" w14:textId="77777777" w:rsidR="00A34DB5" w:rsidRPr="00ED5334" w:rsidRDefault="00A34DB5" w:rsidP="004606A1">
      <w:pPr>
        <w:pStyle w:val="HeadingLevel2"/>
        <w:tabs>
          <w:tab w:val="num" w:pos="2411"/>
        </w:tabs>
        <w:ind w:left="851"/>
        <w:jc w:val="both"/>
      </w:pPr>
      <w:bookmarkStart w:id="64" w:name="_Toc203641543"/>
      <w:r w:rsidRPr="00ED5334">
        <w:t>Alternative Standards</w:t>
      </w:r>
      <w:bookmarkEnd w:id="64"/>
    </w:p>
    <w:p w14:paraId="266A8547" w14:textId="7D802D6B" w:rsidR="00E572F1" w:rsidRPr="00ED5334" w:rsidRDefault="008063DA" w:rsidP="004606A1">
      <w:pPr>
        <w:jc w:val="both"/>
      </w:pPr>
      <w:r w:rsidRPr="00ED5334">
        <w:t>Clause</w:t>
      </w:r>
      <w:r w:rsidR="00D87CB1" w:rsidRPr="00ED5334">
        <w:t xml:space="preserve"> 7 sets out standards which are considered to be equivalent to ADR 10</w:t>
      </w:r>
      <w:r w:rsidR="00664C33" w:rsidRPr="00ED5334">
        <w:t>7</w:t>
      </w:r>
      <w:r w:rsidR="00D87CB1" w:rsidRPr="00ED5334">
        <w:t>/00. If a vehicle meets the</w:t>
      </w:r>
      <w:r w:rsidR="00744034" w:rsidRPr="00ED5334">
        <w:t xml:space="preserve"> technical</w:t>
      </w:r>
      <w:r w:rsidR="00D87CB1" w:rsidRPr="00ED5334">
        <w:t xml:space="preserve"> requirements of one of these standards, it </w:t>
      </w:r>
      <w:r w:rsidR="00744034" w:rsidRPr="00ED5334">
        <w:t>is therefore deemed to comply</w:t>
      </w:r>
      <w:r w:rsidR="00D87CB1" w:rsidRPr="00ED5334">
        <w:t xml:space="preserve"> with ADR 10</w:t>
      </w:r>
      <w:r w:rsidR="00664C33" w:rsidRPr="00ED5334">
        <w:t>7</w:t>
      </w:r>
      <w:r w:rsidR="00D87CB1" w:rsidRPr="00ED5334">
        <w:t>/00. Vehicle manufacturers have the flexibility to demonstrate compliance to ADR 10</w:t>
      </w:r>
      <w:r w:rsidR="00664C33" w:rsidRPr="00ED5334">
        <w:t>7</w:t>
      </w:r>
      <w:r w:rsidR="00D87CB1" w:rsidRPr="00ED5334">
        <w:t xml:space="preserve">/00 through clause 5.1 and Appendix A as varied by </w:t>
      </w:r>
      <w:r w:rsidR="00344AE0" w:rsidRPr="00ED5334">
        <w:t>clause</w:t>
      </w:r>
      <w:r w:rsidR="00D87CB1" w:rsidRPr="00ED5334">
        <w:t xml:space="preserve"> 6 </w:t>
      </w:r>
      <w:r w:rsidR="00344AE0" w:rsidRPr="00ED5334">
        <w:t>(</w:t>
      </w:r>
      <w:r w:rsidR="00D87CB1" w:rsidRPr="00ED5334">
        <w:t>Exemptions and Alternative Procedures</w:t>
      </w:r>
      <w:r w:rsidR="00344AE0" w:rsidRPr="00ED5334">
        <w:t>)</w:t>
      </w:r>
      <w:r w:rsidR="00D87CB1" w:rsidRPr="00ED5334">
        <w:t xml:space="preserve">, or through </w:t>
      </w:r>
      <w:r w:rsidR="00344AE0" w:rsidRPr="00ED5334">
        <w:t>clause</w:t>
      </w:r>
      <w:r w:rsidR="00D87CB1" w:rsidRPr="00ED5334">
        <w:t xml:space="preserve"> 7</w:t>
      </w:r>
      <w:r w:rsidR="00BE5F72" w:rsidRPr="00ED5334">
        <w:t>.1</w:t>
      </w:r>
      <w:r w:rsidR="00D87CB1" w:rsidRPr="00ED5334">
        <w:t xml:space="preserve"> </w:t>
      </w:r>
      <w:r w:rsidR="00344AE0" w:rsidRPr="00ED5334">
        <w:t>(</w:t>
      </w:r>
      <w:r w:rsidR="00D87CB1" w:rsidRPr="00ED5334">
        <w:t>Alternative Standards</w:t>
      </w:r>
      <w:r w:rsidR="00344AE0" w:rsidRPr="00ED5334">
        <w:t>)</w:t>
      </w:r>
      <w:r w:rsidR="00D87CB1" w:rsidRPr="00ED5334">
        <w:t>.</w:t>
      </w:r>
      <w:r w:rsidR="00E572F1" w:rsidRPr="00ED5334">
        <w:t xml:space="preserve"> </w:t>
      </w:r>
      <w:r w:rsidRPr="00ED5334">
        <w:t>Clause</w:t>
      </w:r>
      <w:r w:rsidR="00A305FC" w:rsidRPr="00ED5334">
        <w:t xml:space="preserve"> </w:t>
      </w:r>
      <w:r w:rsidR="00D87CB1" w:rsidRPr="00ED5334">
        <w:t>7</w:t>
      </w:r>
      <w:r w:rsidR="00BE5F72" w:rsidRPr="00ED5334">
        <w:t>.1</w:t>
      </w:r>
      <w:r w:rsidR="00D87CB1" w:rsidRPr="00ED5334">
        <w:t xml:space="preserve"> identifies </w:t>
      </w:r>
      <w:r w:rsidR="00664C33" w:rsidRPr="00ED5334">
        <w:t>UN R17X</w:t>
      </w:r>
      <w:r w:rsidR="00D87CB1" w:rsidRPr="00ED5334">
        <w:t xml:space="preserve">, as an acceptable alternate standard and is applicable for the purposes of this </w:t>
      </w:r>
      <w:r w:rsidR="00087E78" w:rsidRPr="00ED5334">
        <w:t>N</w:t>
      </w:r>
      <w:r w:rsidR="00D87CB1" w:rsidRPr="00ED5334">
        <w:t xml:space="preserve">ational </w:t>
      </w:r>
      <w:r w:rsidR="00087E78" w:rsidRPr="00ED5334">
        <w:t>Road Vehicle S</w:t>
      </w:r>
      <w:r w:rsidR="00D87CB1" w:rsidRPr="00ED5334">
        <w:t>tandard</w:t>
      </w:r>
      <w:r w:rsidR="008B05F5" w:rsidRPr="00ED5334">
        <w:t>.</w:t>
      </w:r>
      <w:r w:rsidR="00704733" w:rsidRPr="00ED5334">
        <w:t xml:space="preserve"> </w:t>
      </w:r>
      <w:r w:rsidR="00CD0ED7" w:rsidRPr="00ED5334">
        <w:t xml:space="preserve">In addition, </w:t>
      </w:r>
      <w:r w:rsidR="00BE5F72" w:rsidRPr="00ED5334">
        <w:t>c</w:t>
      </w:r>
      <w:r w:rsidR="009068EC" w:rsidRPr="00ED5334">
        <w:t>lause 7</w:t>
      </w:r>
      <w:r w:rsidR="00BE5F72" w:rsidRPr="00ED5334">
        <w:t>.1.1</w:t>
      </w:r>
      <w:r w:rsidR="009068EC" w:rsidRPr="00ED5334">
        <w:t xml:space="preserve"> r</w:t>
      </w:r>
      <w:r w:rsidR="00704733" w:rsidRPr="00ED5334">
        <w:t>equires that when using the alternative standard</w:t>
      </w:r>
      <w:r w:rsidR="00CD0ED7" w:rsidRPr="00ED5334">
        <w:t xml:space="preserve"> to demonstrate compliance to ADR 107/00</w:t>
      </w:r>
      <w:r w:rsidR="00704733" w:rsidRPr="00ED5334">
        <w:t xml:space="preserve">, manufacturers are required to test their vehicles to demonstrate compliance with lane markings </w:t>
      </w:r>
      <w:r w:rsidR="00CD0ED7" w:rsidRPr="00ED5334">
        <w:t>to</w:t>
      </w:r>
      <w:r w:rsidR="00704733" w:rsidRPr="00ED5334">
        <w:t xml:space="preserve"> the</w:t>
      </w:r>
      <w:r w:rsidR="00BE5F72" w:rsidRPr="00ED5334">
        <w:t xml:space="preserve"> 01</w:t>
      </w:r>
      <w:r w:rsidR="00704733" w:rsidRPr="00ED5334">
        <w:t xml:space="preserve"> series of amendments to UN Regulation No. 130</w:t>
      </w:r>
      <w:r w:rsidR="00C96968" w:rsidRPr="00ED5334">
        <w:t>.</w:t>
      </w:r>
    </w:p>
    <w:p w14:paraId="32EB6328" w14:textId="77777777" w:rsidR="00C3438F" w:rsidRPr="00ED5334" w:rsidRDefault="00C3438F" w:rsidP="004606A1">
      <w:pPr>
        <w:pStyle w:val="MainHeading"/>
        <w:tabs>
          <w:tab w:val="clear" w:pos="3970"/>
          <w:tab w:val="num" w:pos="3119"/>
        </w:tabs>
        <w:ind w:left="851"/>
        <w:jc w:val="both"/>
        <w:rPr>
          <w:b w:val="0"/>
        </w:rPr>
      </w:pPr>
      <w:bookmarkStart w:id="65" w:name="_Toc203641544"/>
      <w:bookmarkEnd w:id="53"/>
      <w:r w:rsidRPr="00ED5334">
        <w:rPr>
          <w:rStyle w:val="HeadingLevel1Char"/>
          <w:b/>
        </w:rPr>
        <w:t>MATTERS INCORPORATED BY REFERENCE</w:t>
      </w:r>
      <w:bookmarkEnd w:id="65"/>
    </w:p>
    <w:p w14:paraId="0B47C675" w14:textId="77777777" w:rsidR="00C3438F" w:rsidRPr="00ED5334" w:rsidRDefault="00C3438F" w:rsidP="004606A1">
      <w:pPr>
        <w:pStyle w:val="HeadingLevel2"/>
        <w:tabs>
          <w:tab w:val="num" w:pos="851"/>
        </w:tabs>
        <w:ind w:left="851"/>
        <w:jc w:val="both"/>
      </w:pPr>
      <w:bookmarkStart w:id="66" w:name="_Toc47693317"/>
      <w:bookmarkStart w:id="67" w:name="_Toc203641545"/>
      <w:bookmarkStart w:id="68" w:name="_Toc167864615"/>
      <w:r w:rsidRPr="00ED5334">
        <w:t>Legislative Instruments</w:t>
      </w:r>
      <w:bookmarkEnd w:id="66"/>
      <w:bookmarkEnd w:id="67"/>
    </w:p>
    <w:p w14:paraId="5B953092" w14:textId="7159EBB3" w:rsidR="00C3438F" w:rsidRPr="00ED5334" w:rsidRDefault="00290A0C" w:rsidP="004606A1">
      <w:pPr>
        <w:jc w:val="both"/>
      </w:pPr>
      <w:r w:rsidRPr="00ED5334">
        <w:t>Clause 4</w:t>
      </w:r>
      <w:r w:rsidR="00C3438F" w:rsidRPr="00ED5334">
        <w:t>.1</w:t>
      </w:r>
      <w:r w:rsidR="00B66C7E" w:rsidRPr="00ED5334">
        <w:t>.1</w:t>
      </w:r>
      <w:r w:rsidR="00C3438F" w:rsidRPr="00ED5334">
        <w:t xml:space="preserve"> include reference</w:t>
      </w:r>
      <w:r w:rsidR="00EF07E9" w:rsidRPr="00ED5334">
        <w:t>s</w:t>
      </w:r>
      <w:r w:rsidR="00C3438F" w:rsidRPr="00ED5334">
        <w:t xml:space="preserve"> to the Vehicle Standard (Australian Design Rule Definitions and Vehicle Categories) 2005. This sets out definitions for many terms used in the ADRs, including the vehicle categories used in ADR applicability tables.</w:t>
      </w:r>
    </w:p>
    <w:p w14:paraId="75299A16" w14:textId="77777777" w:rsidR="00C3438F" w:rsidRPr="00ED5334" w:rsidRDefault="00C3438F" w:rsidP="004606A1">
      <w:pPr>
        <w:jc w:val="both"/>
      </w:pPr>
      <w:r w:rsidRPr="00ED5334">
        <w:t xml:space="preserve">The ADRs may be freely accessed online through the Federal Register of Legislation. The website is </w:t>
      </w:r>
      <w:r w:rsidRPr="00ED5334">
        <w:rPr>
          <w:b/>
        </w:rPr>
        <w:t>www.legislation.gov.au</w:t>
      </w:r>
      <w:r w:rsidRPr="00ED5334">
        <w:t>.</w:t>
      </w:r>
    </w:p>
    <w:p w14:paraId="58092624" w14:textId="34559871" w:rsidR="00C3438F" w:rsidRPr="00ED5334" w:rsidRDefault="00C3438F" w:rsidP="004606A1">
      <w:pPr>
        <w:jc w:val="both"/>
      </w:pPr>
      <w:r w:rsidRPr="00ED5334">
        <w:t xml:space="preserve">In accordance with </w:t>
      </w:r>
      <w:r w:rsidR="008063DA" w:rsidRPr="00ED5334">
        <w:t>paragraph</w:t>
      </w:r>
      <w:r w:rsidRPr="00ED5334">
        <w:t xml:space="preserve"> 12(2)(b) of the Act, </w:t>
      </w:r>
      <w:r w:rsidR="00D31DB9" w:rsidRPr="00ED5334">
        <w:t xml:space="preserve">each of these </w:t>
      </w:r>
      <w:r w:rsidRPr="00ED5334">
        <w:t>ADR</w:t>
      </w:r>
      <w:r w:rsidR="0092633F" w:rsidRPr="00ED5334">
        <w:t>s are</w:t>
      </w:r>
      <w:r w:rsidRPr="00ED5334">
        <w:t xml:space="preserve"> incorporated as in force or existing from time to time. </w:t>
      </w:r>
    </w:p>
    <w:p w14:paraId="72091F7F" w14:textId="77777777" w:rsidR="00B64111" w:rsidRPr="00ED5334" w:rsidRDefault="00B64111" w:rsidP="004606A1">
      <w:pPr>
        <w:pStyle w:val="HeadingLevel2"/>
        <w:tabs>
          <w:tab w:val="num" w:pos="851"/>
        </w:tabs>
        <w:ind w:left="851"/>
        <w:jc w:val="both"/>
      </w:pPr>
      <w:bookmarkStart w:id="69" w:name="_Toc203641546"/>
      <w:r w:rsidRPr="00ED5334">
        <w:t>Other Documents</w:t>
      </w:r>
      <w:bookmarkEnd w:id="69"/>
    </w:p>
    <w:p w14:paraId="630A44F8" w14:textId="62614E6D" w:rsidR="003838E9" w:rsidRPr="00ED5334" w:rsidRDefault="003838E9" w:rsidP="004606A1">
      <w:pPr>
        <w:jc w:val="both"/>
      </w:pPr>
      <w:r w:rsidRPr="00ED5334">
        <w:t>ADR 10</w:t>
      </w:r>
      <w:r w:rsidR="00664C33" w:rsidRPr="00ED5334">
        <w:t>7</w:t>
      </w:r>
      <w:r w:rsidRPr="00ED5334">
        <w:t>/00 incorporates references to a number of technical standards that are routinely accessed by vehicle manufacturers as part of their professional library, including to ensure that vehicles comply with existing vehicle identification requirements in many other countries/regions of the world.</w:t>
      </w:r>
    </w:p>
    <w:p w14:paraId="43495A24" w14:textId="77777777" w:rsidR="00075A74" w:rsidRPr="00ED5334" w:rsidRDefault="008F3C55" w:rsidP="004606A1">
      <w:pPr>
        <w:pStyle w:val="ESNormal"/>
        <w:jc w:val="both"/>
        <w:rPr>
          <w:i/>
        </w:rPr>
      </w:pPr>
      <w:r w:rsidRPr="00ED5334">
        <w:rPr>
          <w:i/>
        </w:rPr>
        <w:t>United Nations Regulations and / or Resolutions</w:t>
      </w:r>
    </w:p>
    <w:p w14:paraId="7013E24E" w14:textId="6D293987" w:rsidR="008F3C55" w:rsidRPr="00ED5334" w:rsidRDefault="008F3C55" w:rsidP="004606A1">
      <w:pPr>
        <w:jc w:val="both"/>
      </w:pPr>
      <w:r w:rsidRPr="00B41A5A">
        <w:t>Clause</w:t>
      </w:r>
      <w:r w:rsidR="00501CD3" w:rsidRPr="00B41A5A">
        <w:t>s</w:t>
      </w:r>
      <w:r w:rsidRPr="00B41A5A">
        <w:t xml:space="preserve"> 6.</w:t>
      </w:r>
      <w:r w:rsidR="00664C33" w:rsidRPr="00B41A5A">
        <w:t>2</w:t>
      </w:r>
      <w:r w:rsidR="00501CD3" w:rsidRPr="00B41A5A">
        <w:t xml:space="preserve"> and 7.1</w:t>
      </w:r>
      <w:r w:rsidRPr="00B41A5A">
        <w:t>.</w:t>
      </w:r>
      <w:r w:rsidR="00167D47" w:rsidRPr="00B41A5A">
        <w:t xml:space="preserve"> in this </w:t>
      </w:r>
      <w:r w:rsidR="00B41A5A" w:rsidRPr="00B41A5A">
        <w:t>s</w:t>
      </w:r>
      <w:r w:rsidR="00167D47" w:rsidRPr="00B41A5A">
        <w:t>tandard</w:t>
      </w:r>
      <w:r w:rsidR="006370B9">
        <w:t>,</w:t>
      </w:r>
      <w:r w:rsidR="00167D47" w:rsidRPr="00B41A5A">
        <w:t xml:space="preserve"> </w:t>
      </w:r>
      <w:r w:rsidR="0089610E">
        <w:t xml:space="preserve">as well as </w:t>
      </w:r>
      <w:r w:rsidR="00167D47" w:rsidRPr="00B41A5A">
        <w:t>Paragraph</w:t>
      </w:r>
      <w:r w:rsidR="00B41A5A" w:rsidRPr="00B41A5A">
        <w:t>s</w:t>
      </w:r>
      <w:r w:rsidR="00167D47" w:rsidRPr="00B41A5A">
        <w:t xml:space="preserve"> 6.5.2., 6.6.2., 7.2.1.</w:t>
      </w:r>
      <w:r w:rsidR="00B41A5A" w:rsidRPr="00B41A5A">
        <w:t xml:space="preserve"> and</w:t>
      </w:r>
      <w:r w:rsidR="00167D47" w:rsidRPr="00B41A5A">
        <w:t xml:space="preserve"> 8.2.1. </w:t>
      </w:r>
      <w:r w:rsidR="00B41A5A" w:rsidRPr="00B41A5A">
        <w:t>of</w:t>
      </w:r>
      <w:r w:rsidR="00167D47" w:rsidRPr="00B41A5A">
        <w:t xml:space="preserve"> Appendix A </w:t>
      </w:r>
      <w:r w:rsidR="00B41A5A" w:rsidRPr="00B41A5A">
        <w:t>in this standard</w:t>
      </w:r>
      <w:r w:rsidR="00B41A5A">
        <w:t xml:space="preserve"> </w:t>
      </w:r>
      <w:r w:rsidRPr="00ED5334">
        <w:t xml:space="preserve">include a reference to United Nations Regulation No. </w:t>
      </w:r>
      <w:r w:rsidR="00664C33" w:rsidRPr="00ED5334">
        <w:t>130</w:t>
      </w:r>
      <w:r w:rsidRPr="00ED5334">
        <w:t xml:space="preserve"> – UNIFORM PROVISIONS CONCERNING THE APPROVAL OF</w:t>
      </w:r>
      <w:r w:rsidR="00664C33" w:rsidRPr="00ED5334">
        <w:t xml:space="preserve"> MOTOR VEHICLES WITH REGARD TO THE LANE DEPARTURE WARNING SYSTEM </w:t>
      </w:r>
      <w:r w:rsidR="00664C33" w:rsidRPr="00ED5334">
        <w:lastRenderedPageBreak/>
        <w:t>(LDWS)</w:t>
      </w:r>
      <w:r w:rsidRPr="00ED5334">
        <w:t xml:space="preserve">. This is an international standard for the </w:t>
      </w:r>
      <w:r w:rsidR="00664C33" w:rsidRPr="00ED5334">
        <w:t>provisions for LDWS</w:t>
      </w:r>
      <w:r w:rsidR="00E572F1" w:rsidRPr="00ED5334">
        <w:t xml:space="preserve"> </w:t>
      </w:r>
      <w:r w:rsidR="00664C33" w:rsidRPr="00ED5334">
        <w:t>fitted to motor vehicles of the categories M</w:t>
      </w:r>
      <w:r w:rsidR="00664C33" w:rsidRPr="00ED5334">
        <w:rPr>
          <w:vertAlign w:val="subscript"/>
        </w:rPr>
        <w:t>2</w:t>
      </w:r>
      <w:r w:rsidR="00664C33" w:rsidRPr="00ED5334">
        <w:t>, M</w:t>
      </w:r>
      <w:r w:rsidR="00664C33" w:rsidRPr="00ED5334">
        <w:rPr>
          <w:vertAlign w:val="subscript"/>
        </w:rPr>
        <w:t>3</w:t>
      </w:r>
      <w:r w:rsidR="00664C33" w:rsidRPr="00ED5334">
        <w:t>, N</w:t>
      </w:r>
      <w:r w:rsidR="00664C33" w:rsidRPr="00ED5334">
        <w:rPr>
          <w:vertAlign w:val="subscript"/>
        </w:rPr>
        <w:t>2</w:t>
      </w:r>
      <w:r w:rsidR="00664C33" w:rsidRPr="00ED5334">
        <w:t xml:space="preserve"> and N</w:t>
      </w:r>
      <w:r w:rsidR="00664C33" w:rsidRPr="00ED5334">
        <w:rPr>
          <w:vertAlign w:val="subscript"/>
        </w:rPr>
        <w:t>3</w:t>
      </w:r>
      <w:r w:rsidR="00664C33" w:rsidRPr="00ED5334">
        <w:t xml:space="preserve"> primarily used under highway conditions.</w:t>
      </w:r>
    </w:p>
    <w:p w14:paraId="0CDFEC03" w14:textId="5BBB0155" w:rsidR="00B43901" w:rsidRPr="00ED5334" w:rsidRDefault="00EA7D47" w:rsidP="004606A1">
      <w:pPr>
        <w:jc w:val="both"/>
      </w:pPr>
      <w:r w:rsidRPr="00ED5334">
        <w:t>The footnote to Paragraph 1</w:t>
      </w:r>
      <w:r w:rsidR="00B43901" w:rsidRPr="00ED5334">
        <w:t xml:space="preserve"> in Appendix </w:t>
      </w:r>
      <w:r w:rsidR="00B43901" w:rsidRPr="00ED5334">
        <w:rPr>
          <w:caps/>
        </w:rPr>
        <w:t>A</w:t>
      </w:r>
      <w:r w:rsidR="00B43901" w:rsidRPr="00ED5334">
        <w:t xml:space="preserve"> include</w:t>
      </w:r>
      <w:r w:rsidR="00F71085" w:rsidRPr="00ED5334">
        <w:t>s a</w:t>
      </w:r>
      <w:r w:rsidR="00B43901" w:rsidRPr="00ED5334">
        <w:t xml:space="preserve"> reference to the Consolidated Resolution on the Construction of Vehicles (R.E.3) (ECE/TRANS/WP.29/78/Rev.6, para. 2.2.5.4.). This international standard </w:t>
      </w:r>
      <w:r w:rsidR="00300C3C" w:rsidRPr="00ED5334">
        <w:t xml:space="preserve">provides information </w:t>
      </w:r>
      <w:r w:rsidR="003B24F0" w:rsidRPr="00ED5334">
        <w:t>about</w:t>
      </w:r>
      <w:r w:rsidR="00300C3C" w:rsidRPr="00ED5334">
        <w:t xml:space="preserve"> the legal texts under the framework of the 1958 Agreement (UN Regulations, Rules and specific requirements) applicable in the vehicle design, aiming for the improvement of safety and the protection of the environment.</w:t>
      </w:r>
    </w:p>
    <w:p w14:paraId="3FACE574" w14:textId="302F0E18" w:rsidR="00211097" w:rsidRPr="00ED5334" w:rsidRDefault="00211097" w:rsidP="004606A1">
      <w:pPr>
        <w:jc w:val="both"/>
      </w:pPr>
      <w:r w:rsidRPr="00ED5334">
        <w:t>The footnote to Paragraph 6.2.1.1. in Appendix A includes a reference to the Mutual Resolution No. 2 (M.R.2) of the 1958 and the 1998 Agreements (ECE/TRANS/WP.29/1121). This international standard contains definitions of vehicle propulsion system</w:t>
      </w:r>
      <w:r w:rsidR="003B24F0" w:rsidRPr="00ED5334">
        <w:t>s</w:t>
      </w:r>
      <w:r w:rsidRPr="00ED5334">
        <w:t>.</w:t>
      </w:r>
    </w:p>
    <w:p w14:paraId="3DF7352B" w14:textId="442F4CF5" w:rsidR="00211097" w:rsidRPr="00ED5334" w:rsidRDefault="00211097" w:rsidP="004606A1">
      <w:pPr>
        <w:jc w:val="both"/>
      </w:pPr>
      <w:r w:rsidRPr="00ED5334">
        <w:t>Paragraph 4.2 of Annex 3 in Appendix A includes a reference to Schedule 8 of Revision 3 of the 1958 Agreement. This international standard contains</w:t>
      </w:r>
      <w:r w:rsidR="00481CA9" w:rsidRPr="00ED5334">
        <w:t xml:space="preserve"> general</w:t>
      </w:r>
      <w:r w:rsidRPr="00ED5334">
        <w:t xml:space="preserve"> conditions for virtual testing methods.</w:t>
      </w:r>
    </w:p>
    <w:p w14:paraId="23E14EFF" w14:textId="2C8FB68F" w:rsidR="00330033" w:rsidRPr="00ED5334" w:rsidRDefault="00D31DB9" w:rsidP="004606A1">
      <w:pPr>
        <w:jc w:val="both"/>
      </w:pPr>
      <w:r w:rsidRPr="00ED5334">
        <w:t xml:space="preserve">The </w:t>
      </w:r>
      <w:r w:rsidR="004123C1" w:rsidRPr="00ED5334">
        <w:t>UN</w:t>
      </w:r>
      <w:r w:rsidRPr="00ED5334">
        <w:t xml:space="preserve"> Regulations may be freely accessed online through the UN World Forum for the Harmonization of Vehicle Regulations (WP.29). The WP.29 website is </w:t>
      </w:r>
      <w:r w:rsidRPr="00ED5334">
        <w:rPr>
          <w:b/>
        </w:rPr>
        <w:t>www.unece.org/trans/main/welcwp29.html</w:t>
      </w:r>
    </w:p>
    <w:p w14:paraId="6006D78B" w14:textId="1CE54DAB" w:rsidR="00F71085" w:rsidRPr="00ED5334" w:rsidRDefault="00F71085" w:rsidP="004606A1">
      <w:pPr>
        <w:pStyle w:val="ESNormal"/>
        <w:jc w:val="both"/>
        <w:rPr>
          <w:i/>
        </w:rPr>
      </w:pPr>
      <w:r w:rsidRPr="00ED5334">
        <w:rPr>
          <w:i/>
        </w:rPr>
        <w:t xml:space="preserve">European Union Regulations </w:t>
      </w:r>
    </w:p>
    <w:p w14:paraId="0943AB85" w14:textId="512B2997" w:rsidR="00F71085" w:rsidRPr="00ED5334" w:rsidRDefault="00F71085" w:rsidP="004606A1">
      <w:pPr>
        <w:jc w:val="both"/>
      </w:pPr>
      <w:r w:rsidRPr="00ED5334">
        <w:t>The footnote to the Table of Contents in Appendix A includes a reference to the European Union (EU) Regulation 2021/646. This Regulation requires passenger cars and light commercial vehicles to be equipped with emergency lane-keeping systems.</w:t>
      </w:r>
    </w:p>
    <w:p w14:paraId="7FE75FD7" w14:textId="55E41AC7" w:rsidR="00167D47" w:rsidRPr="00ED5334" w:rsidRDefault="00167D47" w:rsidP="004606A1">
      <w:pPr>
        <w:jc w:val="both"/>
      </w:pPr>
      <w:r w:rsidRPr="00ED5334">
        <w:t xml:space="preserve">The requirements for the UN Regulation for ELKS </w:t>
      </w:r>
      <w:proofErr w:type="gramStart"/>
      <w:r w:rsidRPr="00ED5334">
        <w:t>has</w:t>
      </w:r>
      <w:proofErr w:type="gramEnd"/>
      <w:r w:rsidRPr="00ED5334">
        <w:t xml:space="preserve"> been adapted from EU Regulation 2021/646.</w:t>
      </w:r>
    </w:p>
    <w:p w14:paraId="0C070E10" w14:textId="16AA8DC5" w:rsidR="00F71085" w:rsidRPr="00ED5334" w:rsidRDefault="00F71085" w:rsidP="004606A1">
      <w:pPr>
        <w:jc w:val="both"/>
        <w:rPr>
          <w:b/>
        </w:rPr>
      </w:pPr>
      <w:r w:rsidRPr="00ED5334">
        <w:t>The EU Regulations may be freely accessed online through the EUR-Lex website</w:t>
      </w:r>
      <w:r w:rsidR="00F52CA9" w:rsidRPr="00ED5334">
        <w:t xml:space="preserve"> at </w:t>
      </w:r>
      <w:r w:rsidR="002950F2" w:rsidRPr="00ED5334">
        <w:rPr>
          <w:b/>
        </w:rPr>
        <w:t>www.eur-lex.europa.eu/homepage.html?locale=en</w:t>
      </w:r>
    </w:p>
    <w:p w14:paraId="60E045CB" w14:textId="330ECB11" w:rsidR="00C3438F" w:rsidRPr="00ED5334" w:rsidRDefault="00C3438F" w:rsidP="004606A1">
      <w:pPr>
        <w:pStyle w:val="HeadingLevel1"/>
        <w:tabs>
          <w:tab w:val="clear" w:pos="3970"/>
          <w:tab w:val="num" w:pos="3686"/>
        </w:tabs>
        <w:ind w:left="851"/>
        <w:jc w:val="both"/>
      </w:pPr>
      <w:bookmarkStart w:id="70" w:name="_Toc504999786"/>
      <w:bookmarkStart w:id="71" w:name="_Toc504999787"/>
      <w:bookmarkStart w:id="72" w:name="_Toc504999788"/>
      <w:bookmarkStart w:id="73" w:name="_Toc47693319"/>
      <w:bookmarkStart w:id="74" w:name="_Toc203641547"/>
      <w:bookmarkStart w:id="75" w:name="_Toc505092263"/>
      <w:bookmarkStart w:id="76" w:name="_Toc46333221"/>
      <w:bookmarkStart w:id="77" w:name="_Toc46333475"/>
      <w:bookmarkStart w:id="78" w:name="_Toc46333629"/>
      <w:bookmarkStart w:id="79" w:name="_Toc46333794"/>
      <w:bookmarkStart w:id="80" w:name="_Toc46333908"/>
      <w:bookmarkStart w:id="81" w:name="_Toc46334644"/>
      <w:bookmarkEnd w:id="70"/>
      <w:bookmarkEnd w:id="71"/>
      <w:bookmarkEnd w:id="72"/>
      <w:r w:rsidRPr="00ED5334">
        <w:t>Consultation</w:t>
      </w:r>
      <w:bookmarkEnd w:id="73"/>
      <w:bookmarkEnd w:id="74"/>
      <w:r w:rsidRPr="00ED5334">
        <w:t xml:space="preserve"> </w:t>
      </w:r>
      <w:bookmarkEnd w:id="68"/>
      <w:bookmarkEnd w:id="75"/>
      <w:bookmarkEnd w:id="76"/>
      <w:bookmarkEnd w:id="77"/>
      <w:bookmarkEnd w:id="78"/>
      <w:bookmarkEnd w:id="79"/>
      <w:bookmarkEnd w:id="80"/>
      <w:bookmarkEnd w:id="81"/>
    </w:p>
    <w:p w14:paraId="16E26BA5" w14:textId="77777777" w:rsidR="00C3438F" w:rsidRPr="00ED5334" w:rsidRDefault="00C3438F" w:rsidP="004606A1">
      <w:pPr>
        <w:pStyle w:val="HeadingLevel2"/>
        <w:numPr>
          <w:ilvl w:val="0"/>
          <w:numId w:val="0"/>
        </w:numPr>
        <w:jc w:val="both"/>
      </w:pPr>
      <w:bookmarkStart w:id="82" w:name="_Toc203641548"/>
      <w:bookmarkStart w:id="83" w:name="_Toc318271645"/>
      <w:bookmarkStart w:id="84" w:name="_Toc317171517"/>
      <w:bookmarkStart w:id="85" w:name="_Toc317171391"/>
      <w:bookmarkStart w:id="86" w:name="_Toc317158948"/>
      <w:bookmarkStart w:id="87" w:name="_Toc318272904"/>
      <w:bookmarkStart w:id="88" w:name="_Toc319402529"/>
      <w:r w:rsidRPr="00ED5334">
        <w:t>4.1.</w:t>
      </w:r>
      <w:r w:rsidRPr="00ED5334">
        <w:tab/>
        <w:t>General Consultation Arrangements</w:t>
      </w:r>
      <w:bookmarkEnd w:id="82"/>
    </w:p>
    <w:p w14:paraId="074845D4" w14:textId="04493716" w:rsidR="00C3438F" w:rsidRPr="00ED5334" w:rsidRDefault="00C3438F" w:rsidP="004606A1">
      <w:pPr>
        <w:jc w:val="both"/>
      </w:pPr>
      <w:r w:rsidRPr="00ED5334">
        <w:t xml:space="preserve">It has been </w:t>
      </w:r>
      <w:r w:rsidR="007B0669">
        <w:t xml:space="preserve">a </w:t>
      </w:r>
      <w:r w:rsidRPr="00ED5334">
        <w:t xml:space="preserve">longstanding practice to consult widely on proposed new or amended </w:t>
      </w:r>
      <w:r w:rsidR="006D1E3F" w:rsidRPr="00ED5334">
        <w:t>v</w:t>
      </w:r>
      <w:r w:rsidRPr="00ED5334">
        <w:t xml:space="preserve">ehicle </w:t>
      </w:r>
      <w:r w:rsidR="006D1E3F" w:rsidRPr="00ED5334">
        <w:t>s</w:t>
      </w:r>
      <w:r w:rsidRPr="00ED5334">
        <w:t xml:space="preserve">tandards. For many years, there has been active collaboration between the Commonwealth and the </w:t>
      </w:r>
      <w:r w:rsidR="0033446B" w:rsidRPr="00ED5334">
        <w:t>S</w:t>
      </w:r>
      <w:r w:rsidRPr="00ED5334">
        <w:t>tate/</w:t>
      </w:r>
      <w:r w:rsidR="0033446B" w:rsidRPr="00ED5334">
        <w:t>T</w:t>
      </w:r>
      <w:r w:rsidRPr="00ED5334">
        <w: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AAB81EC" w14:textId="5C919960" w:rsidR="00C3438F" w:rsidRPr="00ED5334" w:rsidRDefault="00C3438F" w:rsidP="004606A1">
      <w:pPr>
        <w:jc w:val="both"/>
        <w:rPr>
          <w:i/>
        </w:rPr>
      </w:pPr>
      <w:r w:rsidRPr="00ED5334">
        <w:t xml:space="preserve">Proposals that are regarded as significant need to be supported by </w:t>
      </w:r>
      <w:r w:rsidR="0026194D" w:rsidRPr="00ED5334">
        <w:t xml:space="preserve">an Impact Analysis (IA) </w:t>
      </w:r>
      <w:r w:rsidRPr="00ED5334">
        <w:t xml:space="preserve">meeting the requirements of the </w:t>
      </w:r>
      <w:r w:rsidR="0026194D" w:rsidRPr="00ED5334">
        <w:t xml:space="preserve">Office of Impact Analysis (OIA) </w:t>
      </w:r>
      <w:r w:rsidRPr="00ED5334">
        <w:t xml:space="preserve">as published in the </w:t>
      </w:r>
      <w:r w:rsidR="00EA7D47" w:rsidRPr="00ED5334">
        <w:rPr>
          <w:i/>
        </w:rPr>
        <w:t>Australian Government Guide to Policy Impact Analysis 2023.</w:t>
      </w:r>
    </w:p>
    <w:p w14:paraId="20A42582" w14:textId="77777777" w:rsidR="00C3438F" w:rsidRPr="00ED5334" w:rsidRDefault="00C3438F" w:rsidP="004606A1">
      <w:pPr>
        <w:jc w:val="both"/>
      </w:pPr>
      <w:r w:rsidRPr="00ED5334">
        <w:t xml:space="preserve">4.2. </w:t>
      </w:r>
      <w:r w:rsidRPr="00ED5334">
        <w:tab/>
        <w:t>Specific Consultation Arrangements</w:t>
      </w:r>
    </w:p>
    <w:p w14:paraId="6F09CEC4" w14:textId="53492189" w:rsidR="003933B6" w:rsidRPr="00ED5334" w:rsidRDefault="003933B6" w:rsidP="004606A1">
      <w:pPr>
        <w:jc w:val="both"/>
      </w:pPr>
      <w:bookmarkStart w:id="89" w:name="_Toc47693322"/>
      <w:bookmarkStart w:id="90" w:name="_Toc505092267"/>
      <w:bookmarkStart w:id="91" w:name="_Toc46333225"/>
      <w:bookmarkStart w:id="92" w:name="_Toc46333479"/>
      <w:bookmarkStart w:id="93" w:name="_Toc46333633"/>
      <w:bookmarkStart w:id="94" w:name="_Toc46333798"/>
      <w:bookmarkStart w:id="95" w:name="_Toc46333912"/>
      <w:bookmarkStart w:id="96" w:name="_Toc46334648"/>
      <w:r w:rsidRPr="00ED5334">
        <w:t xml:space="preserve">The Department has previously conducted consultations regarding Lane Keeping Systems. As a result of this consultation, it was determined that this ADR should </w:t>
      </w:r>
      <w:r w:rsidR="00D32862" w:rsidRPr="00ED5334">
        <w:t>harmonise with</w:t>
      </w:r>
      <w:r w:rsidRPr="00ED5334">
        <w:t xml:space="preserve"> emergency lane keeping systems </w:t>
      </w:r>
      <w:r w:rsidR="00D32862" w:rsidRPr="00ED5334">
        <w:t>available as</w:t>
      </w:r>
      <w:r w:rsidRPr="00ED5334">
        <w:t xml:space="preserve"> </w:t>
      </w:r>
      <w:r w:rsidR="007B0669">
        <w:t xml:space="preserve">an </w:t>
      </w:r>
      <w:r w:rsidRPr="00ED5334">
        <w:t xml:space="preserve">international vehicle </w:t>
      </w:r>
      <w:r w:rsidRPr="00ED5334">
        <w:lastRenderedPageBreak/>
        <w:t>standard. Consequently, the Department initiated the development of a new international UN Regulation specifically for Emergency Lane Keeping Systems, which is based on the requirements set forth by the European Union for the local European market. This new UN Regulation is anticipated to come into effect at the end of 2025 or early 2026</w:t>
      </w:r>
      <w:r w:rsidR="00312E64" w:rsidRPr="00ED5334">
        <w:t xml:space="preserve"> and will mirror these requirements in this ADR</w:t>
      </w:r>
      <w:r w:rsidRPr="00ED5334">
        <w:t>,</w:t>
      </w:r>
    </w:p>
    <w:p w14:paraId="48F88B9F" w14:textId="66A336BE" w:rsidR="003933B6" w:rsidRPr="00ED5334" w:rsidRDefault="003933B6" w:rsidP="004606A1">
      <w:pPr>
        <w:jc w:val="both"/>
      </w:pPr>
      <w:r w:rsidRPr="00ED5334">
        <w:t xml:space="preserve">[Further information to be inserted once </w:t>
      </w:r>
      <w:r w:rsidR="00FB2960" w:rsidRPr="00ED5334">
        <w:t>this round of consultation</w:t>
      </w:r>
      <w:r w:rsidRPr="00ED5334">
        <w:t xml:space="preserve"> is completed] </w:t>
      </w:r>
    </w:p>
    <w:p w14:paraId="34C31429" w14:textId="106E9152" w:rsidR="00EA7D47" w:rsidRPr="00ED5334" w:rsidRDefault="006016F1" w:rsidP="004606A1">
      <w:pPr>
        <w:jc w:val="both"/>
      </w:pPr>
      <w:r w:rsidRPr="00ED5334">
        <w:t>Forthcoming.</w:t>
      </w:r>
    </w:p>
    <w:p w14:paraId="5430DD51" w14:textId="77777777" w:rsidR="00C3438F" w:rsidRPr="00ED5334" w:rsidRDefault="00C3438F" w:rsidP="004606A1">
      <w:pPr>
        <w:pStyle w:val="HeadingLevel1"/>
        <w:tabs>
          <w:tab w:val="clear" w:pos="3970"/>
          <w:tab w:val="num" w:pos="851"/>
        </w:tabs>
        <w:ind w:left="851"/>
        <w:jc w:val="both"/>
      </w:pPr>
      <w:bookmarkStart w:id="97" w:name="_Toc203641549"/>
      <w:r w:rsidRPr="00ED5334">
        <w:t>Regulatory Impact</w:t>
      </w:r>
      <w:bookmarkEnd w:id="89"/>
      <w:bookmarkEnd w:id="97"/>
    </w:p>
    <w:p w14:paraId="71A76069" w14:textId="77777777" w:rsidR="00C3438F" w:rsidRPr="00ED5334" w:rsidRDefault="00C3438F" w:rsidP="004606A1">
      <w:pPr>
        <w:pStyle w:val="HeadingLevel2"/>
        <w:tabs>
          <w:tab w:val="num" w:pos="851"/>
        </w:tabs>
        <w:ind w:left="851"/>
        <w:jc w:val="both"/>
      </w:pPr>
      <w:bookmarkStart w:id="98" w:name="_Toc167864616"/>
      <w:bookmarkStart w:id="99" w:name="_Toc505092264"/>
      <w:bookmarkStart w:id="100" w:name="_Toc46333222"/>
      <w:bookmarkStart w:id="101" w:name="_Toc46333476"/>
      <w:bookmarkStart w:id="102" w:name="_Toc46333630"/>
      <w:bookmarkStart w:id="103" w:name="_Toc46333795"/>
      <w:bookmarkStart w:id="104" w:name="_Toc46333909"/>
      <w:bookmarkStart w:id="105" w:name="_Toc46334645"/>
      <w:bookmarkStart w:id="106" w:name="_Toc47693323"/>
      <w:bookmarkStart w:id="107" w:name="_Toc203641550"/>
      <w:r w:rsidRPr="00ED5334">
        <w:t>B</w:t>
      </w:r>
      <w:bookmarkEnd w:id="98"/>
      <w:r w:rsidRPr="00ED5334">
        <w:t>enefits and Costs</w:t>
      </w:r>
      <w:bookmarkEnd w:id="99"/>
      <w:bookmarkEnd w:id="100"/>
      <w:bookmarkEnd w:id="101"/>
      <w:bookmarkEnd w:id="102"/>
      <w:bookmarkEnd w:id="103"/>
      <w:bookmarkEnd w:id="104"/>
      <w:bookmarkEnd w:id="105"/>
      <w:bookmarkEnd w:id="106"/>
      <w:bookmarkEnd w:id="107"/>
    </w:p>
    <w:p w14:paraId="503FF8BE" w14:textId="740A5EF7" w:rsidR="00B25956" w:rsidRPr="00ED5334" w:rsidRDefault="006D1E3F" w:rsidP="004606A1">
      <w:pPr>
        <w:jc w:val="both"/>
      </w:pPr>
      <w:r w:rsidRPr="00ED5334">
        <w:t>I</w:t>
      </w:r>
      <w:r w:rsidR="00F77DE2" w:rsidRPr="00ED5334">
        <w:t>ntroducin</w:t>
      </w:r>
      <w:r w:rsidRPr="00ED5334">
        <w:t>g</w:t>
      </w:r>
      <w:r w:rsidR="00F77DE2" w:rsidRPr="00ED5334">
        <w:t xml:space="preserve"> a new ADR 107/00 harmonised with the new UN Regulation for ELKS for M</w:t>
      </w:r>
      <w:r w:rsidR="00F77DE2" w:rsidRPr="00ED5334">
        <w:rPr>
          <w:vertAlign w:val="subscript"/>
        </w:rPr>
        <w:t>1</w:t>
      </w:r>
      <w:r w:rsidR="00F77DE2" w:rsidRPr="00ED5334">
        <w:t xml:space="preserve"> and N</w:t>
      </w:r>
      <w:r w:rsidR="00F77DE2" w:rsidRPr="00ED5334">
        <w:rPr>
          <w:vertAlign w:val="subscript"/>
        </w:rPr>
        <w:t>1</w:t>
      </w:r>
      <w:r w:rsidR="00F77DE2" w:rsidRPr="00ED5334">
        <w:t xml:space="preserve"> vehicles </w:t>
      </w:r>
      <w:r w:rsidR="00E572F1" w:rsidRPr="00ED5334">
        <w:t>(equivalent to ADR category MA, MB, MC and NA)</w:t>
      </w:r>
      <w:r w:rsidR="00F77DE2" w:rsidRPr="00ED5334">
        <w:t xml:space="preserve"> supports the Australian Government’s priorities under the National Road Safety Strategy 2021-30</w:t>
      </w:r>
      <w:r w:rsidR="00B25956" w:rsidRPr="00ED5334">
        <w:t xml:space="preserve"> that includes pursuing technological improvements and uptake of safer vehicles</w:t>
      </w:r>
      <w:r w:rsidR="006908F5" w:rsidRPr="00ED5334">
        <w:t>. It also</w:t>
      </w:r>
      <w:r w:rsidR="00B25956" w:rsidRPr="00ED5334">
        <w:t xml:space="preserve"> </w:t>
      </w:r>
      <w:r w:rsidR="00BB51C4" w:rsidRPr="00ED5334">
        <w:t xml:space="preserve">completes one of the actions under </w:t>
      </w:r>
      <w:r w:rsidR="00B25956" w:rsidRPr="00ED5334">
        <w:t xml:space="preserve">the </w:t>
      </w:r>
      <w:r w:rsidR="00F77DE2" w:rsidRPr="00ED5334">
        <w:t>National Road Safety Action Plan 2023-25</w:t>
      </w:r>
      <w:r w:rsidR="00BB51C4" w:rsidRPr="00ED5334">
        <w:t>, i.e.</w:t>
      </w:r>
      <w:r w:rsidR="00F77DE2" w:rsidRPr="00ED5334">
        <w:t xml:space="preserve"> introduce a new ADR for lane keep assist systems for light vehicles. This </w:t>
      </w:r>
      <w:r w:rsidR="0033446B" w:rsidRPr="00ED5334">
        <w:t xml:space="preserve">ADR aims to </w:t>
      </w:r>
      <w:r w:rsidR="00F77DE2" w:rsidRPr="00ED5334">
        <w:t xml:space="preserve">reduce the likelihood of fatalities and serious injuries associated with crashes involving unintended lane departures. </w:t>
      </w:r>
    </w:p>
    <w:p w14:paraId="5CEA21BD" w14:textId="1146EB9E" w:rsidR="00B25956" w:rsidRPr="00ED5334" w:rsidRDefault="00B25956" w:rsidP="004606A1">
      <w:pPr>
        <w:jc w:val="both"/>
      </w:pPr>
      <w:r w:rsidRPr="00ED5334">
        <w:t xml:space="preserve">This option also </w:t>
      </w:r>
      <w:r w:rsidR="006908F5" w:rsidRPr="00ED5334">
        <w:t xml:space="preserve">meets </w:t>
      </w:r>
      <w:r w:rsidRPr="00ED5334">
        <w:t>the Australian Government’s long-standing policy of harmonisation with UN Regulations. Harmonisation with the UN Regulations allows Australia to fulfil its obligations as a Contracting Party under the 1958 Agreement and as a signatory under the World Trade Organisation Technical Barriers to Trade Agreement.</w:t>
      </w:r>
    </w:p>
    <w:p w14:paraId="6E1CEE0D" w14:textId="74453978" w:rsidR="00C3438F" w:rsidRPr="00ED5334" w:rsidRDefault="00BE243D" w:rsidP="004606A1">
      <w:pPr>
        <w:pStyle w:val="HeadingLevel2"/>
        <w:tabs>
          <w:tab w:val="num" w:pos="851"/>
        </w:tabs>
        <w:ind w:left="851"/>
        <w:jc w:val="both"/>
      </w:pPr>
      <w:bookmarkStart w:id="108" w:name="_Toc203641551"/>
      <w:r w:rsidRPr="00ED5334">
        <w:t>Impact Analysis</w:t>
      </w:r>
      <w:bookmarkEnd w:id="108"/>
    </w:p>
    <w:p w14:paraId="4B2DA20C" w14:textId="4C567547" w:rsidR="00330033" w:rsidRPr="00ED5334" w:rsidRDefault="00330033" w:rsidP="004606A1">
      <w:pPr>
        <w:jc w:val="both"/>
      </w:pPr>
      <w:r w:rsidRPr="00ED5334">
        <w:t xml:space="preserve">A Preliminary Impact Analysis was submitted to the </w:t>
      </w:r>
      <w:r w:rsidR="006908F5" w:rsidRPr="00ED5334">
        <w:t>Office of Impact Analysis (</w:t>
      </w:r>
      <w:r w:rsidRPr="00ED5334">
        <w:t>OIA</w:t>
      </w:r>
      <w:r w:rsidR="006908F5" w:rsidRPr="00ED5334">
        <w:t>)</w:t>
      </w:r>
      <w:r w:rsidRPr="00ED5334">
        <w:t xml:space="preserve"> and </w:t>
      </w:r>
      <w:r w:rsidR="00234424" w:rsidRPr="00ED5334">
        <w:t>i</w:t>
      </w:r>
      <w:r w:rsidRPr="00ED5334">
        <w:t xml:space="preserve">t was determined </w:t>
      </w:r>
      <w:r w:rsidR="008D4DDA" w:rsidRPr="00ED5334">
        <w:t xml:space="preserve">in January 2025 that </w:t>
      </w:r>
      <w:r w:rsidRPr="00ED5334">
        <w:t>a</w:t>
      </w:r>
      <w:r w:rsidR="008A0F7D" w:rsidRPr="00ED5334">
        <w:t xml:space="preserve"> detailed analysis is not required </w:t>
      </w:r>
      <w:r w:rsidRPr="00ED5334">
        <w:t xml:space="preserve">under the Australian Government’s Policy Impact Analysis Framework. </w:t>
      </w:r>
      <w:r w:rsidR="00C3438F" w:rsidRPr="00ED5334">
        <w:t>The O</w:t>
      </w:r>
      <w:r w:rsidR="0026194D" w:rsidRPr="00ED5334">
        <w:t>IA</w:t>
      </w:r>
      <w:r w:rsidR="00C3438F" w:rsidRPr="00ED5334">
        <w:t xml:space="preserve"> reference number for the </w:t>
      </w:r>
      <w:r w:rsidR="007A2484" w:rsidRPr="00ED5334">
        <w:t>IA</w:t>
      </w:r>
      <w:r w:rsidR="00C3438F" w:rsidRPr="00ED5334">
        <w:t xml:space="preserve"> is </w:t>
      </w:r>
      <w:r w:rsidRPr="00ED5334">
        <w:t>OIA25-08818</w:t>
      </w:r>
      <w:r w:rsidR="00C3438F" w:rsidRPr="00ED5334">
        <w:t>.</w:t>
      </w:r>
    </w:p>
    <w:p w14:paraId="50BE8A17" w14:textId="56EDCA77" w:rsidR="008D4DDA" w:rsidRPr="00ED5334" w:rsidRDefault="008D4DDA" w:rsidP="004606A1">
      <w:pPr>
        <w:jc w:val="both"/>
      </w:pPr>
      <w:r w:rsidRPr="00ED5334">
        <w:t>Previously a Regulation Impact Statement (RIS) was prepared for public consultation in February 2022. The Office of Best Practice Regulation (OBPR) reference number for this RIS is OBPR21-01230.</w:t>
      </w:r>
      <w:r w:rsidR="00583203" w:rsidRPr="00ED5334">
        <w:t xml:space="preserve"> </w:t>
      </w:r>
      <w:r w:rsidR="00FA455C" w:rsidRPr="00ED5334">
        <w:t>S</w:t>
      </w:r>
      <w:r w:rsidRPr="00ED5334">
        <w:t xml:space="preserve">ubmissions received supported the introduction of a new regulation mandating the fitment of lane keeping systems. The Australian Government has decided to harmonise </w:t>
      </w:r>
      <w:r w:rsidR="00583203" w:rsidRPr="00ED5334">
        <w:t>the ADR with a UN Regulation</w:t>
      </w:r>
      <w:r w:rsidR="00E572F1" w:rsidRPr="00ED5334">
        <w:t xml:space="preserve"> for ELKS</w:t>
      </w:r>
      <w:r w:rsidR="00583203" w:rsidRPr="00ED5334">
        <w:t>, which did not exist at the time of consultation.</w:t>
      </w:r>
    </w:p>
    <w:p w14:paraId="1FB1C58B" w14:textId="3B61FEB9" w:rsidR="00C3438F" w:rsidRPr="00ED5334" w:rsidRDefault="00C3438F" w:rsidP="004606A1">
      <w:pPr>
        <w:pStyle w:val="HeadingLevel1"/>
        <w:tabs>
          <w:tab w:val="clear" w:pos="3970"/>
          <w:tab w:val="num" w:pos="851"/>
        </w:tabs>
        <w:ind w:left="851"/>
        <w:jc w:val="both"/>
      </w:pPr>
      <w:bookmarkStart w:id="109" w:name="_Toc47693325"/>
      <w:bookmarkStart w:id="110" w:name="_Toc203641552"/>
      <w:r w:rsidRPr="00ED5334">
        <w:t>STATEMENT OF COMPATIBILITY WITH HUMAN RIGHTS</w:t>
      </w:r>
      <w:bookmarkEnd w:id="83"/>
      <w:bookmarkEnd w:id="84"/>
      <w:bookmarkEnd w:id="85"/>
      <w:bookmarkEnd w:id="86"/>
      <w:bookmarkEnd w:id="87"/>
      <w:bookmarkEnd w:id="88"/>
      <w:bookmarkEnd w:id="90"/>
      <w:bookmarkEnd w:id="91"/>
      <w:bookmarkEnd w:id="92"/>
      <w:bookmarkEnd w:id="93"/>
      <w:bookmarkEnd w:id="94"/>
      <w:bookmarkEnd w:id="95"/>
      <w:bookmarkEnd w:id="96"/>
      <w:bookmarkEnd w:id="109"/>
      <w:bookmarkEnd w:id="110"/>
    </w:p>
    <w:p w14:paraId="01F41947" w14:textId="77777777" w:rsidR="00C3438F" w:rsidRPr="00ED5334" w:rsidRDefault="00C3438F" w:rsidP="004606A1">
      <w:pPr>
        <w:jc w:val="both"/>
      </w:pPr>
      <w:r w:rsidRPr="00ED5334">
        <w:t xml:space="preserve">The following Statement is prepared in accordance with Part 3 of the </w:t>
      </w:r>
      <w:r w:rsidRPr="00ED5334">
        <w:rPr>
          <w:i/>
          <w:iCs/>
        </w:rPr>
        <w:t>Human Rights (Parliamentary Scrutiny) Act 2011.</w:t>
      </w:r>
    </w:p>
    <w:p w14:paraId="0C7A599D" w14:textId="7B246843" w:rsidR="00C3438F" w:rsidRPr="00ED5334" w:rsidRDefault="00C3438F" w:rsidP="004606A1">
      <w:pPr>
        <w:pStyle w:val="HeadingLevel2"/>
        <w:tabs>
          <w:tab w:val="num" w:pos="851"/>
        </w:tabs>
        <w:ind w:left="851"/>
        <w:jc w:val="both"/>
      </w:pPr>
      <w:bookmarkStart w:id="111" w:name="_Toc318271646"/>
      <w:bookmarkStart w:id="112" w:name="_Toc317171518"/>
      <w:bookmarkStart w:id="113" w:name="_Toc317171392"/>
      <w:bookmarkStart w:id="114" w:name="_Toc318272905"/>
      <w:bookmarkStart w:id="115" w:name="_Toc319402530"/>
      <w:bookmarkStart w:id="116" w:name="_Toc505092268"/>
      <w:bookmarkStart w:id="117" w:name="_Toc46333226"/>
      <w:bookmarkStart w:id="118" w:name="_Toc46333480"/>
      <w:bookmarkStart w:id="119" w:name="_Toc46333634"/>
      <w:bookmarkStart w:id="120" w:name="_Toc46333799"/>
      <w:bookmarkStart w:id="121" w:name="_Toc46333913"/>
      <w:bookmarkStart w:id="122" w:name="_Toc46334649"/>
      <w:bookmarkStart w:id="123" w:name="_Toc47693326"/>
      <w:bookmarkStart w:id="124" w:name="_Toc203641553"/>
      <w:r w:rsidRPr="00ED5334">
        <w:t>Overview</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CCCA4F1" w14:textId="509146DC" w:rsidR="00C3438F" w:rsidRPr="00ED5334" w:rsidRDefault="00C047A1" w:rsidP="004606A1">
      <w:pPr>
        <w:jc w:val="both"/>
      </w:pPr>
      <w:r w:rsidRPr="00ED5334">
        <w:t xml:space="preserve">ADR </w:t>
      </w:r>
      <w:r w:rsidR="00313F5B" w:rsidRPr="00ED5334">
        <w:t>10</w:t>
      </w:r>
      <w:r w:rsidR="00EA7D47" w:rsidRPr="00ED5334">
        <w:t>7</w:t>
      </w:r>
      <w:r w:rsidR="00313F5B" w:rsidRPr="00ED5334">
        <w:t xml:space="preserve">/00 </w:t>
      </w:r>
      <w:r w:rsidR="00C3438F" w:rsidRPr="00ED5334">
        <w:t xml:space="preserve">is a new legislative instrument. It </w:t>
      </w:r>
      <w:r w:rsidRPr="00ED5334">
        <w:t>specifies requirements for</w:t>
      </w:r>
      <w:r w:rsidR="0033446B" w:rsidRPr="00ED5334">
        <w:t xml:space="preserve"> an</w:t>
      </w:r>
      <w:r w:rsidRPr="00ED5334">
        <w:t xml:space="preserve"> </w:t>
      </w:r>
      <w:r w:rsidR="0033446B" w:rsidRPr="00ED5334">
        <w:t>ELKS</w:t>
      </w:r>
      <w:r w:rsidRPr="00ED5334">
        <w:t xml:space="preserve"> fitted to </w:t>
      </w:r>
      <w:r w:rsidR="008D4DDA" w:rsidRPr="00ED5334">
        <w:t>passenger vehicles and light goods vehicles</w:t>
      </w:r>
      <w:r w:rsidR="0015299C" w:rsidRPr="00ED5334">
        <w:t xml:space="preserve">, to </w:t>
      </w:r>
      <w:r w:rsidR="008D4DDA" w:rsidRPr="00ED5334">
        <w:t>reduce deaths and injuries from unintended lane departures</w:t>
      </w:r>
      <w:r w:rsidR="0015299C" w:rsidRPr="00ED5334">
        <w:t>.</w:t>
      </w:r>
    </w:p>
    <w:p w14:paraId="61E09844" w14:textId="2FA03642" w:rsidR="00C3438F" w:rsidRPr="00ED5334" w:rsidRDefault="00C3438F" w:rsidP="004606A1">
      <w:pPr>
        <w:pStyle w:val="HeadingLevel2"/>
        <w:tabs>
          <w:tab w:val="num" w:pos="851"/>
        </w:tabs>
        <w:ind w:left="851"/>
        <w:jc w:val="both"/>
      </w:pPr>
      <w:bookmarkStart w:id="125" w:name="_Toc318271647"/>
      <w:bookmarkStart w:id="126" w:name="_Toc317171519"/>
      <w:bookmarkStart w:id="127" w:name="_Toc317171393"/>
      <w:bookmarkStart w:id="128" w:name="_Toc318272906"/>
      <w:bookmarkStart w:id="129" w:name="_Toc319402531"/>
      <w:bookmarkStart w:id="130" w:name="_Toc505092269"/>
      <w:bookmarkStart w:id="131" w:name="_Toc46333227"/>
      <w:bookmarkStart w:id="132" w:name="_Toc46333481"/>
      <w:bookmarkStart w:id="133" w:name="_Toc46333635"/>
      <w:bookmarkStart w:id="134" w:name="_Toc46333800"/>
      <w:bookmarkStart w:id="135" w:name="_Toc46333914"/>
      <w:bookmarkStart w:id="136" w:name="_Toc46334650"/>
      <w:bookmarkStart w:id="137" w:name="_Toc47693327"/>
      <w:bookmarkStart w:id="138" w:name="_Toc203641554"/>
      <w:r w:rsidRPr="00ED5334">
        <w:lastRenderedPageBreak/>
        <w:t>Human Rights Implications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03E5AC0" w14:textId="4493655F" w:rsidR="00C3438F" w:rsidRPr="00ED5334" w:rsidRDefault="00C047A1" w:rsidP="004606A1">
      <w:pPr>
        <w:jc w:val="both"/>
      </w:pPr>
      <w:r w:rsidRPr="00ED5334">
        <w:t xml:space="preserve">ADR </w:t>
      </w:r>
      <w:r w:rsidR="00313F5B" w:rsidRPr="00ED5334">
        <w:t>10</w:t>
      </w:r>
      <w:r w:rsidR="00EA7D47" w:rsidRPr="00ED5334">
        <w:t>7</w:t>
      </w:r>
      <w:r w:rsidR="00313F5B" w:rsidRPr="00ED5334">
        <w:t xml:space="preserve">/00 </w:t>
      </w:r>
      <w:r w:rsidR="00C3438F" w:rsidRPr="00ED5334">
        <w:t xml:space="preserve">does not engage any of the human rights and freedoms recognised or declared in the international instruments listed in section 3 of the </w:t>
      </w:r>
      <w:r w:rsidR="00C3438F" w:rsidRPr="00ED5334">
        <w:rPr>
          <w:i/>
          <w:iCs/>
        </w:rPr>
        <w:t>Human Rights (Parliamentary Scrutiny) Act 2011</w:t>
      </w:r>
      <w:r w:rsidR="00C3438F" w:rsidRPr="00ED5334">
        <w:t>.</w:t>
      </w:r>
    </w:p>
    <w:p w14:paraId="732C1665" w14:textId="063B00D3" w:rsidR="00C3438F" w:rsidRPr="00ED5334" w:rsidRDefault="00C3438F" w:rsidP="004606A1">
      <w:pPr>
        <w:pStyle w:val="HeadingLevel2"/>
        <w:tabs>
          <w:tab w:val="num" w:pos="851"/>
        </w:tabs>
        <w:ind w:left="851"/>
        <w:jc w:val="both"/>
      </w:pPr>
      <w:bookmarkStart w:id="139" w:name="_Toc319402532"/>
      <w:bookmarkStart w:id="140" w:name="_Toc505092270"/>
      <w:bookmarkStart w:id="141" w:name="_Toc46333228"/>
      <w:bookmarkStart w:id="142" w:name="_Toc46333482"/>
      <w:bookmarkStart w:id="143" w:name="_Toc46333636"/>
      <w:bookmarkStart w:id="144" w:name="_Toc46333801"/>
      <w:bookmarkStart w:id="145" w:name="_Toc46333915"/>
      <w:bookmarkStart w:id="146" w:name="_Toc46334651"/>
      <w:bookmarkStart w:id="147" w:name="_Toc47693328"/>
      <w:bookmarkStart w:id="148" w:name="_Toc203641555"/>
      <w:r w:rsidRPr="00ED5334">
        <w:t>Conclusion</w:t>
      </w:r>
      <w:bookmarkEnd w:id="139"/>
      <w:bookmarkEnd w:id="140"/>
      <w:bookmarkEnd w:id="141"/>
      <w:bookmarkEnd w:id="142"/>
      <w:bookmarkEnd w:id="143"/>
      <w:bookmarkEnd w:id="144"/>
      <w:bookmarkEnd w:id="145"/>
      <w:bookmarkEnd w:id="146"/>
      <w:bookmarkEnd w:id="147"/>
      <w:bookmarkEnd w:id="148"/>
    </w:p>
    <w:p w14:paraId="7D6405B1" w14:textId="7C3EA7D9" w:rsidR="00C3438F" w:rsidRPr="00601B0E" w:rsidRDefault="00C3438F" w:rsidP="004606A1">
      <w:pPr>
        <w:jc w:val="both"/>
      </w:pPr>
      <w:r w:rsidRPr="00ED5334">
        <w:t xml:space="preserve">ADR </w:t>
      </w:r>
      <w:r w:rsidR="00313F5B" w:rsidRPr="00ED5334">
        <w:t>10</w:t>
      </w:r>
      <w:r w:rsidR="00EA7D47" w:rsidRPr="00ED5334">
        <w:t>7</w:t>
      </w:r>
      <w:r w:rsidR="00313F5B" w:rsidRPr="00ED5334">
        <w:t xml:space="preserve">/00 </w:t>
      </w:r>
      <w:r w:rsidRPr="00ED5334">
        <w:t>is compatible with human rights, as it does not raise any human rights issues.</w:t>
      </w:r>
    </w:p>
    <w:p w14:paraId="013B6033" w14:textId="77777777" w:rsidR="005009A5" w:rsidRDefault="005009A5"/>
    <w:sectPr w:rsidR="005009A5" w:rsidSect="00525B27">
      <w:pgSz w:w="11906" w:h="16838"/>
      <w:pgMar w:top="1440" w:right="1797" w:bottom="144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13C0A" w14:textId="77777777" w:rsidR="004E07B7" w:rsidRDefault="004E07B7">
      <w:pPr>
        <w:spacing w:before="0" w:after="0"/>
      </w:pPr>
      <w:r>
        <w:separator/>
      </w:r>
    </w:p>
  </w:endnote>
  <w:endnote w:type="continuationSeparator" w:id="0">
    <w:p w14:paraId="07C8E20C" w14:textId="77777777" w:rsidR="004E07B7" w:rsidRDefault="004E0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B3B33" w14:textId="77777777" w:rsidR="004E07B7" w:rsidRDefault="004E07B7">
      <w:pPr>
        <w:spacing w:before="0" w:after="0"/>
      </w:pPr>
      <w:r>
        <w:separator/>
      </w:r>
    </w:p>
  </w:footnote>
  <w:footnote w:type="continuationSeparator" w:id="0">
    <w:p w14:paraId="69AB36AD" w14:textId="77777777" w:rsidR="004E07B7" w:rsidRDefault="004E0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740675"/>
      <w:docPartObj>
        <w:docPartGallery w:val="Page Numbers (Top of Page)"/>
        <w:docPartUnique/>
      </w:docPartObj>
    </w:sdtPr>
    <w:sdtEndPr>
      <w:rPr>
        <w:noProof/>
      </w:rPr>
    </w:sdtEndPr>
    <w:sdtContent>
      <w:p w14:paraId="621D2A2C" w14:textId="748A0AA2" w:rsidR="00C92AF5" w:rsidRDefault="00C92AF5" w:rsidP="00C92AF5">
        <w:pPr>
          <w:pStyle w:val="Header"/>
          <w:pBdr>
            <w:bottom w:val="single" w:sz="4" w:space="1" w:color="auto"/>
          </w:pBdr>
        </w:pPr>
        <w:r w:rsidRPr="00C92AF5">
          <w:t>Australian Design Rule 107/00 – Emergency Lane Keeping Systems for Passenger Vehicles and Light Goods Vehicles</w:t>
        </w:r>
        <w:r w:rsidRPr="00C92AF5" w:rsidDel="00C92AF5">
          <w:t xml:space="preserve"> </w:t>
        </w:r>
        <w:r w:rsidRPr="00516E0D">
          <w:t xml:space="preserve">Explanatory Statement </w:t>
        </w:r>
        <w:r>
          <w:t>– DRAFT FOR CONSULTATION</w:t>
        </w:r>
        <w:r>
          <w:tab/>
        </w:r>
        <w:r>
          <w:fldChar w:fldCharType="begin"/>
        </w:r>
        <w:r>
          <w:instrText xml:space="preserve"> PAGE   \* MERGEFORMAT </w:instrText>
        </w:r>
        <w:r>
          <w:fldChar w:fldCharType="separate"/>
        </w:r>
        <w:r>
          <w:t>2</w:t>
        </w:r>
        <w:r>
          <w:rPr>
            <w:noProof/>
          </w:rPr>
          <w:fldChar w:fldCharType="end"/>
        </w:r>
      </w:p>
    </w:sdtContent>
  </w:sdt>
  <w:p w14:paraId="04F4C9F2" w14:textId="6A4156C8" w:rsidR="00674C6F" w:rsidRDefault="00C92AF5" w:rsidP="00C92AF5">
    <w:r>
      <w:t xml:space="preserve"> </w:t>
    </w:r>
    <w:sdt>
      <w:sdtPr>
        <w:id w:val="-1085766839"/>
        <w:docPartObj>
          <w:docPartGallery w:val="Watermarks"/>
          <w:docPartUnique/>
        </w:docPartObj>
      </w:sdtPr>
      <w:sdtEndPr/>
      <w:sdtContent>
        <w:r w:rsidR="004E07B7">
          <w:rPr>
            <w:noProof/>
          </w:rPr>
          <w:pict w14:anchorId="6B3F8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B7B"/>
    <w:multiLevelType w:val="hybridMultilevel"/>
    <w:tmpl w:val="42C85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24900"/>
    <w:multiLevelType w:val="hybridMultilevel"/>
    <w:tmpl w:val="7D583B4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 w15:restartNumberingAfterBreak="0">
    <w:nsid w:val="161F59FE"/>
    <w:multiLevelType w:val="multilevel"/>
    <w:tmpl w:val="77F8E0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4E6BCD"/>
    <w:multiLevelType w:val="multilevel"/>
    <w:tmpl w:val="5B2C35CE"/>
    <w:numStyleLink w:val="Bullets"/>
  </w:abstractNum>
  <w:abstractNum w:abstractNumId="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58F7506F"/>
    <w:multiLevelType w:val="multilevel"/>
    <w:tmpl w:val="9D8EFF2A"/>
    <w:lvl w:ilvl="0">
      <w:start w:val="1"/>
      <w:numFmt w:val="decimal"/>
      <w:pStyle w:val="MainHeading"/>
      <w:lvlText w:val="%1."/>
      <w:lvlJc w:val="left"/>
      <w:pPr>
        <w:tabs>
          <w:tab w:val="num" w:pos="3970"/>
        </w:tabs>
        <w:ind w:left="3970" w:hanging="851"/>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section"/>
      <w:lvlText w:val="%1.%2."/>
      <w:lvlJc w:val="left"/>
      <w:pPr>
        <w:tabs>
          <w:tab w:val="num" w:pos="3829"/>
        </w:tabs>
        <w:ind w:left="3829"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1419"/>
        </w:tabs>
        <w:ind w:left="1419"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6" w15:restartNumberingAfterBreak="0">
    <w:nsid w:val="5C486CE2"/>
    <w:multiLevelType w:val="hybridMultilevel"/>
    <w:tmpl w:val="B468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502A70"/>
    <w:multiLevelType w:val="hybridMultilevel"/>
    <w:tmpl w:val="8E4EB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D169D1"/>
    <w:multiLevelType w:val="hybridMultilevel"/>
    <w:tmpl w:val="92D0A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5"/>
  </w:num>
  <w:num w:numId="5">
    <w:abstractNumId w:val="8"/>
  </w:num>
  <w:num w:numId="6">
    <w:abstractNumId w:val="4"/>
  </w:num>
  <w:num w:numId="7">
    <w:abstractNumId w:val="3"/>
  </w:num>
  <w:num w:numId="8">
    <w:abstractNumId w:val="7"/>
  </w:num>
  <w:num w:numId="9">
    <w:abstractNumId w:val="1"/>
  </w:num>
  <w:num w:numId="10">
    <w:abstractNumId w:val="2"/>
  </w:num>
  <w:num w:numId="11">
    <w:abstractNumId w:val="5"/>
  </w:num>
  <w:num w:numId="12">
    <w:abstractNumId w:val="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8F"/>
    <w:rsid w:val="0000373A"/>
    <w:rsid w:val="00004C1A"/>
    <w:rsid w:val="00012327"/>
    <w:rsid w:val="00013B6D"/>
    <w:rsid w:val="00014E83"/>
    <w:rsid w:val="00017B7F"/>
    <w:rsid w:val="00021A88"/>
    <w:rsid w:val="00024024"/>
    <w:rsid w:val="00033ECA"/>
    <w:rsid w:val="00041677"/>
    <w:rsid w:val="00041790"/>
    <w:rsid w:val="00045E24"/>
    <w:rsid w:val="000524CE"/>
    <w:rsid w:val="00056B4E"/>
    <w:rsid w:val="00056B69"/>
    <w:rsid w:val="000672B3"/>
    <w:rsid w:val="000677D6"/>
    <w:rsid w:val="00075A74"/>
    <w:rsid w:val="000839EC"/>
    <w:rsid w:val="0008529D"/>
    <w:rsid w:val="0008788B"/>
    <w:rsid w:val="00087E78"/>
    <w:rsid w:val="000911F5"/>
    <w:rsid w:val="00096D2E"/>
    <w:rsid w:val="000A1DCB"/>
    <w:rsid w:val="000A3813"/>
    <w:rsid w:val="000A6926"/>
    <w:rsid w:val="000D5178"/>
    <w:rsid w:val="000D7C01"/>
    <w:rsid w:val="000E01E2"/>
    <w:rsid w:val="000E085F"/>
    <w:rsid w:val="000E1592"/>
    <w:rsid w:val="000E258F"/>
    <w:rsid w:val="000F5693"/>
    <w:rsid w:val="001063FB"/>
    <w:rsid w:val="00110753"/>
    <w:rsid w:val="00112338"/>
    <w:rsid w:val="00117CA2"/>
    <w:rsid w:val="00117E6E"/>
    <w:rsid w:val="001268AE"/>
    <w:rsid w:val="001272CD"/>
    <w:rsid w:val="001279A5"/>
    <w:rsid w:val="00131AB7"/>
    <w:rsid w:val="001414C6"/>
    <w:rsid w:val="001438EB"/>
    <w:rsid w:val="0015299C"/>
    <w:rsid w:val="001530AB"/>
    <w:rsid w:val="0015346A"/>
    <w:rsid w:val="00157876"/>
    <w:rsid w:val="00167D47"/>
    <w:rsid w:val="0017034F"/>
    <w:rsid w:val="00171385"/>
    <w:rsid w:val="00173523"/>
    <w:rsid w:val="00176CC4"/>
    <w:rsid w:val="00177683"/>
    <w:rsid w:val="00180DF4"/>
    <w:rsid w:val="00181938"/>
    <w:rsid w:val="001826A8"/>
    <w:rsid w:val="001866F6"/>
    <w:rsid w:val="0018799F"/>
    <w:rsid w:val="00191DB5"/>
    <w:rsid w:val="00192313"/>
    <w:rsid w:val="001A38C1"/>
    <w:rsid w:val="001B349E"/>
    <w:rsid w:val="001C0A5D"/>
    <w:rsid w:val="001C493C"/>
    <w:rsid w:val="001C4E85"/>
    <w:rsid w:val="001D0216"/>
    <w:rsid w:val="001D3917"/>
    <w:rsid w:val="001D3FBF"/>
    <w:rsid w:val="001D55D4"/>
    <w:rsid w:val="001D62BB"/>
    <w:rsid w:val="001D7F7E"/>
    <w:rsid w:val="001E0E87"/>
    <w:rsid w:val="001E612A"/>
    <w:rsid w:val="001F003E"/>
    <w:rsid w:val="001F14B3"/>
    <w:rsid w:val="00207193"/>
    <w:rsid w:val="00211097"/>
    <w:rsid w:val="00215C90"/>
    <w:rsid w:val="00231A6D"/>
    <w:rsid w:val="002331F5"/>
    <w:rsid w:val="00234424"/>
    <w:rsid w:val="00251D79"/>
    <w:rsid w:val="002522FA"/>
    <w:rsid w:val="00252A0D"/>
    <w:rsid w:val="00257879"/>
    <w:rsid w:val="00257C3B"/>
    <w:rsid w:val="0026194D"/>
    <w:rsid w:val="00272723"/>
    <w:rsid w:val="002779D1"/>
    <w:rsid w:val="00285FA1"/>
    <w:rsid w:val="002873CD"/>
    <w:rsid w:val="002878E4"/>
    <w:rsid w:val="00290742"/>
    <w:rsid w:val="00290A0C"/>
    <w:rsid w:val="002950F2"/>
    <w:rsid w:val="002A2241"/>
    <w:rsid w:val="002A4AEC"/>
    <w:rsid w:val="002B2EE0"/>
    <w:rsid w:val="002B5184"/>
    <w:rsid w:val="002C6511"/>
    <w:rsid w:val="002C6A3D"/>
    <w:rsid w:val="002D42F7"/>
    <w:rsid w:val="002D45A9"/>
    <w:rsid w:val="002D509D"/>
    <w:rsid w:val="002E0374"/>
    <w:rsid w:val="002E5961"/>
    <w:rsid w:val="00300C3C"/>
    <w:rsid w:val="00304912"/>
    <w:rsid w:val="003060E2"/>
    <w:rsid w:val="00311467"/>
    <w:rsid w:val="00312E64"/>
    <w:rsid w:val="00313F5B"/>
    <w:rsid w:val="003152E3"/>
    <w:rsid w:val="003207CA"/>
    <w:rsid w:val="00323A11"/>
    <w:rsid w:val="003247F8"/>
    <w:rsid w:val="003264F8"/>
    <w:rsid w:val="00330033"/>
    <w:rsid w:val="00333840"/>
    <w:rsid w:val="00333A75"/>
    <w:rsid w:val="00333BFE"/>
    <w:rsid w:val="0033446B"/>
    <w:rsid w:val="0033596D"/>
    <w:rsid w:val="003360B3"/>
    <w:rsid w:val="003361D3"/>
    <w:rsid w:val="00340D87"/>
    <w:rsid w:val="00344AE0"/>
    <w:rsid w:val="00356DE4"/>
    <w:rsid w:val="003665D7"/>
    <w:rsid w:val="00366622"/>
    <w:rsid w:val="003724EB"/>
    <w:rsid w:val="00377E8C"/>
    <w:rsid w:val="00383086"/>
    <w:rsid w:val="003830B4"/>
    <w:rsid w:val="003838E9"/>
    <w:rsid w:val="00392263"/>
    <w:rsid w:val="00392AAE"/>
    <w:rsid w:val="003933B6"/>
    <w:rsid w:val="00395D00"/>
    <w:rsid w:val="0039681C"/>
    <w:rsid w:val="003A10FC"/>
    <w:rsid w:val="003A60D4"/>
    <w:rsid w:val="003A77DC"/>
    <w:rsid w:val="003B24F0"/>
    <w:rsid w:val="003B3064"/>
    <w:rsid w:val="003D0ECA"/>
    <w:rsid w:val="003D0ECF"/>
    <w:rsid w:val="003D10E6"/>
    <w:rsid w:val="003E1774"/>
    <w:rsid w:val="003E2B0F"/>
    <w:rsid w:val="003E3E4F"/>
    <w:rsid w:val="003E5985"/>
    <w:rsid w:val="003F01EC"/>
    <w:rsid w:val="00404297"/>
    <w:rsid w:val="00410927"/>
    <w:rsid w:val="004123C1"/>
    <w:rsid w:val="00412A51"/>
    <w:rsid w:val="0041416E"/>
    <w:rsid w:val="00414F61"/>
    <w:rsid w:val="00416A90"/>
    <w:rsid w:val="004174A4"/>
    <w:rsid w:val="004204F9"/>
    <w:rsid w:val="00426056"/>
    <w:rsid w:val="00431D20"/>
    <w:rsid w:val="004372D6"/>
    <w:rsid w:val="0045088D"/>
    <w:rsid w:val="004606A1"/>
    <w:rsid w:val="004665A1"/>
    <w:rsid w:val="00467845"/>
    <w:rsid w:val="004714DD"/>
    <w:rsid w:val="00471D0D"/>
    <w:rsid w:val="004808BA"/>
    <w:rsid w:val="00481CA9"/>
    <w:rsid w:val="00483D9F"/>
    <w:rsid w:val="004903C4"/>
    <w:rsid w:val="0049656A"/>
    <w:rsid w:val="004A7311"/>
    <w:rsid w:val="004B5E76"/>
    <w:rsid w:val="004B6AE3"/>
    <w:rsid w:val="004C0609"/>
    <w:rsid w:val="004C0C22"/>
    <w:rsid w:val="004C30D9"/>
    <w:rsid w:val="004C5205"/>
    <w:rsid w:val="004D1ED6"/>
    <w:rsid w:val="004D204E"/>
    <w:rsid w:val="004D2A7C"/>
    <w:rsid w:val="004D2F84"/>
    <w:rsid w:val="004D57F3"/>
    <w:rsid w:val="004E07B7"/>
    <w:rsid w:val="004E7FF6"/>
    <w:rsid w:val="004F131F"/>
    <w:rsid w:val="004F2227"/>
    <w:rsid w:val="0050018A"/>
    <w:rsid w:val="005009A5"/>
    <w:rsid w:val="00501CD3"/>
    <w:rsid w:val="0050576E"/>
    <w:rsid w:val="00513D33"/>
    <w:rsid w:val="005232C6"/>
    <w:rsid w:val="00524EC3"/>
    <w:rsid w:val="00525B27"/>
    <w:rsid w:val="005308FE"/>
    <w:rsid w:val="00530F70"/>
    <w:rsid w:val="00537716"/>
    <w:rsid w:val="005439BA"/>
    <w:rsid w:val="005643E4"/>
    <w:rsid w:val="00570BC7"/>
    <w:rsid w:val="0057124B"/>
    <w:rsid w:val="00574B18"/>
    <w:rsid w:val="00582113"/>
    <w:rsid w:val="0058254D"/>
    <w:rsid w:val="00583203"/>
    <w:rsid w:val="00586E18"/>
    <w:rsid w:val="005906D2"/>
    <w:rsid w:val="00597462"/>
    <w:rsid w:val="005A4074"/>
    <w:rsid w:val="005A40DA"/>
    <w:rsid w:val="005B063C"/>
    <w:rsid w:val="005B3910"/>
    <w:rsid w:val="005B5CB3"/>
    <w:rsid w:val="005B7913"/>
    <w:rsid w:val="005C03A8"/>
    <w:rsid w:val="005C15C7"/>
    <w:rsid w:val="005C7EF6"/>
    <w:rsid w:val="005E0F80"/>
    <w:rsid w:val="005E626D"/>
    <w:rsid w:val="006016F1"/>
    <w:rsid w:val="00604B10"/>
    <w:rsid w:val="00606224"/>
    <w:rsid w:val="0060744E"/>
    <w:rsid w:val="00617313"/>
    <w:rsid w:val="00617F38"/>
    <w:rsid w:val="006211AB"/>
    <w:rsid w:val="00625A4C"/>
    <w:rsid w:val="00625CA7"/>
    <w:rsid w:val="00634503"/>
    <w:rsid w:val="006370B9"/>
    <w:rsid w:val="00640758"/>
    <w:rsid w:val="0064144B"/>
    <w:rsid w:val="00643E0F"/>
    <w:rsid w:val="00643FE9"/>
    <w:rsid w:val="006540DF"/>
    <w:rsid w:val="0065428F"/>
    <w:rsid w:val="00656999"/>
    <w:rsid w:val="00661F01"/>
    <w:rsid w:val="00664C33"/>
    <w:rsid w:val="00671DD3"/>
    <w:rsid w:val="00673744"/>
    <w:rsid w:val="006742A6"/>
    <w:rsid w:val="00674C6F"/>
    <w:rsid w:val="00680A35"/>
    <w:rsid w:val="00682435"/>
    <w:rsid w:val="006908F5"/>
    <w:rsid w:val="0069111B"/>
    <w:rsid w:val="00692E83"/>
    <w:rsid w:val="00696AF8"/>
    <w:rsid w:val="006A2AAA"/>
    <w:rsid w:val="006A53E9"/>
    <w:rsid w:val="006B2362"/>
    <w:rsid w:val="006B4600"/>
    <w:rsid w:val="006C27C9"/>
    <w:rsid w:val="006D1E3F"/>
    <w:rsid w:val="006D3649"/>
    <w:rsid w:val="006D5FAC"/>
    <w:rsid w:val="006E05F4"/>
    <w:rsid w:val="006E3FAF"/>
    <w:rsid w:val="006E5E34"/>
    <w:rsid w:val="006E6134"/>
    <w:rsid w:val="007000DD"/>
    <w:rsid w:val="00704733"/>
    <w:rsid w:val="00712464"/>
    <w:rsid w:val="00715E77"/>
    <w:rsid w:val="007167C4"/>
    <w:rsid w:val="00730297"/>
    <w:rsid w:val="00730BA4"/>
    <w:rsid w:val="00732D37"/>
    <w:rsid w:val="00742FE7"/>
    <w:rsid w:val="00744034"/>
    <w:rsid w:val="00751951"/>
    <w:rsid w:val="00761504"/>
    <w:rsid w:val="00770A1A"/>
    <w:rsid w:val="007711E2"/>
    <w:rsid w:val="0077288F"/>
    <w:rsid w:val="007754A7"/>
    <w:rsid w:val="0078054B"/>
    <w:rsid w:val="00782F90"/>
    <w:rsid w:val="00795781"/>
    <w:rsid w:val="007978FD"/>
    <w:rsid w:val="007A2484"/>
    <w:rsid w:val="007A2498"/>
    <w:rsid w:val="007A3548"/>
    <w:rsid w:val="007A6E45"/>
    <w:rsid w:val="007B0669"/>
    <w:rsid w:val="007B4080"/>
    <w:rsid w:val="007B547B"/>
    <w:rsid w:val="007C5208"/>
    <w:rsid w:val="007C5E1D"/>
    <w:rsid w:val="007D11EA"/>
    <w:rsid w:val="007D23EE"/>
    <w:rsid w:val="007F1F36"/>
    <w:rsid w:val="00800F4F"/>
    <w:rsid w:val="00802AD2"/>
    <w:rsid w:val="008063DA"/>
    <w:rsid w:val="00820AE0"/>
    <w:rsid w:val="008219C4"/>
    <w:rsid w:val="00834051"/>
    <w:rsid w:val="00834A72"/>
    <w:rsid w:val="008405A6"/>
    <w:rsid w:val="00845410"/>
    <w:rsid w:val="00852369"/>
    <w:rsid w:val="00875D88"/>
    <w:rsid w:val="00884723"/>
    <w:rsid w:val="00885015"/>
    <w:rsid w:val="0089610E"/>
    <w:rsid w:val="008962F9"/>
    <w:rsid w:val="008A0F7D"/>
    <w:rsid w:val="008A265A"/>
    <w:rsid w:val="008A37F6"/>
    <w:rsid w:val="008A760E"/>
    <w:rsid w:val="008B05F5"/>
    <w:rsid w:val="008B6ED9"/>
    <w:rsid w:val="008D2E28"/>
    <w:rsid w:val="008D4DDA"/>
    <w:rsid w:val="008D726A"/>
    <w:rsid w:val="008E32CB"/>
    <w:rsid w:val="008E33DA"/>
    <w:rsid w:val="008E35D5"/>
    <w:rsid w:val="008E5D8C"/>
    <w:rsid w:val="008F015F"/>
    <w:rsid w:val="008F3C55"/>
    <w:rsid w:val="0090269E"/>
    <w:rsid w:val="00906702"/>
    <w:rsid w:val="009068EC"/>
    <w:rsid w:val="00907D99"/>
    <w:rsid w:val="00913BDD"/>
    <w:rsid w:val="009163DF"/>
    <w:rsid w:val="00916A3B"/>
    <w:rsid w:val="00922C16"/>
    <w:rsid w:val="00924B5F"/>
    <w:rsid w:val="0092633F"/>
    <w:rsid w:val="00930406"/>
    <w:rsid w:val="00934F7B"/>
    <w:rsid w:val="0095315E"/>
    <w:rsid w:val="00953374"/>
    <w:rsid w:val="00960ED3"/>
    <w:rsid w:val="0096149F"/>
    <w:rsid w:val="00973988"/>
    <w:rsid w:val="0097465F"/>
    <w:rsid w:val="00975019"/>
    <w:rsid w:val="00982887"/>
    <w:rsid w:val="00985D5E"/>
    <w:rsid w:val="00986AEA"/>
    <w:rsid w:val="00995AE2"/>
    <w:rsid w:val="009A63AD"/>
    <w:rsid w:val="009B0737"/>
    <w:rsid w:val="009B5A3D"/>
    <w:rsid w:val="009C450E"/>
    <w:rsid w:val="009D06D5"/>
    <w:rsid w:val="009D63C9"/>
    <w:rsid w:val="009E0664"/>
    <w:rsid w:val="009E1D8A"/>
    <w:rsid w:val="009E1ECF"/>
    <w:rsid w:val="009E3781"/>
    <w:rsid w:val="00A03D5A"/>
    <w:rsid w:val="00A12145"/>
    <w:rsid w:val="00A16479"/>
    <w:rsid w:val="00A20466"/>
    <w:rsid w:val="00A26175"/>
    <w:rsid w:val="00A27B1E"/>
    <w:rsid w:val="00A305FC"/>
    <w:rsid w:val="00A34DB5"/>
    <w:rsid w:val="00A45541"/>
    <w:rsid w:val="00A52886"/>
    <w:rsid w:val="00A63708"/>
    <w:rsid w:val="00A6776D"/>
    <w:rsid w:val="00A678B8"/>
    <w:rsid w:val="00A80EE8"/>
    <w:rsid w:val="00A91FB3"/>
    <w:rsid w:val="00A931D3"/>
    <w:rsid w:val="00AA3191"/>
    <w:rsid w:val="00AB393F"/>
    <w:rsid w:val="00AB4DC1"/>
    <w:rsid w:val="00AC109C"/>
    <w:rsid w:val="00AC23C5"/>
    <w:rsid w:val="00AD10AF"/>
    <w:rsid w:val="00AD5D86"/>
    <w:rsid w:val="00AE64A8"/>
    <w:rsid w:val="00AF2F01"/>
    <w:rsid w:val="00AF4C72"/>
    <w:rsid w:val="00B048A5"/>
    <w:rsid w:val="00B05772"/>
    <w:rsid w:val="00B225E2"/>
    <w:rsid w:val="00B2328D"/>
    <w:rsid w:val="00B25956"/>
    <w:rsid w:val="00B374CB"/>
    <w:rsid w:val="00B37519"/>
    <w:rsid w:val="00B37EA0"/>
    <w:rsid w:val="00B41A5A"/>
    <w:rsid w:val="00B428D0"/>
    <w:rsid w:val="00B43901"/>
    <w:rsid w:val="00B46440"/>
    <w:rsid w:val="00B46BA1"/>
    <w:rsid w:val="00B4748F"/>
    <w:rsid w:val="00B50C4A"/>
    <w:rsid w:val="00B52163"/>
    <w:rsid w:val="00B52C9B"/>
    <w:rsid w:val="00B57601"/>
    <w:rsid w:val="00B631CB"/>
    <w:rsid w:val="00B64111"/>
    <w:rsid w:val="00B6625F"/>
    <w:rsid w:val="00B66C7E"/>
    <w:rsid w:val="00B67D11"/>
    <w:rsid w:val="00B72C41"/>
    <w:rsid w:val="00B7302E"/>
    <w:rsid w:val="00B76D9D"/>
    <w:rsid w:val="00B813B0"/>
    <w:rsid w:val="00BA4562"/>
    <w:rsid w:val="00BB51C4"/>
    <w:rsid w:val="00BD4811"/>
    <w:rsid w:val="00BD51B5"/>
    <w:rsid w:val="00BD73DC"/>
    <w:rsid w:val="00BE1427"/>
    <w:rsid w:val="00BE243D"/>
    <w:rsid w:val="00BE5F72"/>
    <w:rsid w:val="00BE6C3F"/>
    <w:rsid w:val="00BF0F46"/>
    <w:rsid w:val="00BF27A6"/>
    <w:rsid w:val="00C00821"/>
    <w:rsid w:val="00C047A1"/>
    <w:rsid w:val="00C10F5D"/>
    <w:rsid w:val="00C13800"/>
    <w:rsid w:val="00C14D0A"/>
    <w:rsid w:val="00C1595B"/>
    <w:rsid w:val="00C20F09"/>
    <w:rsid w:val="00C2138B"/>
    <w:rsid w:val="00C2672A"/>
    <w:rsid w:val="00C26DC6"/>
    <w:rsid w:val="00C33E5E"/>
    <w:rsid w:val="00C3438F"/>
    <w:rsid w:val="00C376A0"/>
    <w:rsid w:val="00C447F1"/>
    <w:rsid w:val="00C46A6F"/>
    <w:rsid w:val="00C50635"/>
    <w:rsid w:val="00C55518"/>
    <w:rsid w:val="00C55B60"/>
    <w:rsid w:val="00C60B9A"/>
    <w:rsid w:val="00C72C5B"/>
    <w:rsid w:val="00C76883"/>
    <w:rsid w:val="00C92AF5"/>
    <w:rsid w:val="00C96968"/>
    <w:rsid w:val="00C9724D"/>
    <w:rsid w:val="00CA0242"/>
    <w:rsid w:val="00CA078B"/>
    <w:rsid w:val="00CA2135"/>
    <w:rsid w:val="00CB4E13"/>
    <w:rsid w:val="00CC7F42"/>
    <w:rsid w:val="00CD0ED7"/>
    <w:rsid w:val="00CE01CA"/>
    <w:rsid w:val="00CE2AB3"/>
    <w:rsid w:val="00CE3C4F"/>
    <w:rsid w:val="00CE44BF"/>
    <w:rsid w:val="00CF4919"/>
    <w:rsid w:val="00CF626B"/>
    <w:rsid w:val="00CF671D"/>
    <w:rsid w:val="00D0054F"/>
    <w:rsid w:val="00D049E5"/>
    <w:rsid w:val="00D121FF"/>
    <w:rsid w:val="00D31DB9"/>
    <w:rsid w:val="00D32862"/>
    <w:rsid w:val="00D330CF"/>
    <w:rsid w:val="00D34751"/>
    <w:rsid w:val="00D35A0C"/>
    <w:rsid w:val="00D40E0F"/>
    <w:rsid w:val="00D4469F"/>
    <w:rsid w:val="00D47176"/>
    <w:rsid w:val="00D47DBB"/>
    <w:rsid w:val="00D5232D"/>
    <w:rsid w:val="00D56275"/>
    <w:rsid w:val="00D67B5B"/>
    <w:rsid w:val="00D74FE9"/>
    <w:rsid w:val="00D77194"/>
    <w:rsid w:val="00D8109D"/>
    <w:rsid w:val="00D87CB1"/>
    <w:rsid w:val="00D92624"/>
    <w:rsid w:val="00DA5F58"/>
    <w:rsid w:val="00DA7246"/>
    <w:rsid w:val="00DB721C"/>
    <w:rsid w:val="00DC159E"/>
    <w:rsid w:val="00DC5D1B"/>
    <w:rsid w:val="00DC5D58"/>
    <w:rsid w:val="00DC7388"/>
    <w:rsid w:val="00DD4854"/>
    <w:rsid w:val="00DE01EF"/>
    <w:rsid w:val="00DE02F8"/>
    <w:rsid w:val="00DE0958"/>
    <w:rsid w:val="00DE3DB6"/>
    <w:rsid w:val="00DE4104"/>
    <w:rsid w:val="00DF0942"/>
    <w:rsid w:val="00DF13B5"/>
    <w:rsid w:val="00DF1B21"/>
    <w:rsid w:val="00DF2BEB"/>
    <w:rsid w:val="00E02E2B"/>
    <w:rsid w:val="00E04ADC"/>
    <w:rsid w:val="00E130F8"/>
    <w:rsid w:val="00E13F28"/>
    <w:rsid w:val="00E14AFA"/>
    <w:rsid w:val="00E17D15"/>
    <w:rsid w:val="00E204F3"/>
    <w:rsid w:val="00E2553E"/>
    <w:rsid w:val="00E25DB6"/>
    <w:rsid w:val="00E315F0"/>
    <w:rsid w:val="00E317B0"/>
    <w:rsid w:val="00E572F1"/>
    <w:rsid w:val="00E63CF5"/>
    <w:rsid w:val="00E73F76"/>
    <w:rsid w:val="00E74A5B"/>
    <w:rsid w:val="00E90A8A"/>
    <w:rsid w:val="00E961F4"/>
    <w:rsid w:val="00E971AB"/>
    <w:rsid w:val="00E97224"/>
    <w:rsid w:val="00EA0E0C"/>
    <w:rsid w:val="00EA7CFA"/>
    <w:rsid w:val="00EA7D47"/>
    <w:rsid w:val="00EB59A6"/>
    <w:rsid w:val="00EC2374"/>
    <w:rsid w:val="00ED5334"/>
    <w:rsid w:val="00EE64C2"/>
    <w:rsid w:val="00EE7E2D"/>
    <w:rsid w:val="00EF07E9"/>
    <w:rsid w:val="00EF54FA"/>
    <w:rsid w:val="00F05B14"/>
    <w:rsid w:val="00F14F91"/>
    <w:rsid w:val="00F1725A"/>
    <w:rsid w:val="00F26D2E"/>
    <w:rsid w:val="00F30A02"/>
    <w:rsid w:val="00F3509E"/>
    <w:rsid w:val="00F41351"/>
    <w:rsid w:val="00F50338"/>
    <w:rsid w:val="00F52CA9"/>
    <w:rsid w:val="00F55D79"/>
    <w:rsid w:val="00F63730"/>
    <w:rsid w:val="00F63A65"/>
    <w:rsid w:val="00F71085"/>
    <w:rsid w:val="00F73DC1"/>
    <w:rsid w:val="00F770C8"/>
    <w:rsid w:val="00F77DE2"/>
    <w:rsid w:val="00F80779"/>
    <w:rsid w:val="00F81A11"/>
    <w:rsid w:val="00F846DC"/>
    <w:rsid w:val="00F95E2E"/>
    <w:rsid w:val="00F97C72"/>
    <w:rsid w:val="00FA16A2"/>
    <w:rsid w:val="00FA455C"/>
    <w:rsid w:val="00FA4B64"/>
    <w:rsid w:val="00FB1063"/>
    <w:rsid w:val="00FB2960"/>
    <w:rsid w:val="00FB73EC"/>
    <w:rsid w:val="00FC292F"/>
    <w:rsid w:val="00FD094B"/>
    <w:rsid w:val="00FD167F"/>
    <w:rsid w:val="00FE5DE4"/>
    <w:rsid w:val="00FF0E0C"/>
    <w:rsid w:val="00FF3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121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B64"/>
    <w:pPr>
      <w:spacing w:before="120" w:after="12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 section"/>
    <w:basedOn w:val="Normal"/>
    <w:next w:val="Normal"/>
    <w:rsid w:val="00C3438F"/>
    <w:pPr>
      <w:numPr>
        <w:ilvl w:val="1"/>
        <w:numId w:val="1"/>
      </w:numPr>
      <w:outlineLvl w:val="1"/>
    </w:pPr>
  </w:style>
  <w:style w:type="paragraph" w:customStyle="1" w:styleId="Subsubsection">
    <w:name w:val="Subsub section"/>
    <w:basedOn w:val="Normal"/>
    <w:next w:val="Normal"/>
    <w:rsid w:val="00C3438F"/>
    <w:pPr>
      <w:numPr>
        <w:ilvl w:val="2"/>
        <w:numId w:val="1"/>
      </w:numPr>
    </w:pPr>
  </w:style>
  <w:style w:type="paragraph" w:customStyle="1" w:styleId="Subsubsubsection">
    <w:name w:val="Subsubsub section"/>
    <w:basedOn w:val="Normal"/>
    <w:next w:val="Normal"/>
    <w:rsid w:val="00C3438F"/>
    <w:pPr>
      <w:numPr>
        <w:ilvl w:val="3"/>
        <w:numId w:val="1"/>
      </w:numPr>
      <w:tabs>
        <w:tab w:val="clear" w:pos="1419"/>
        <w:tab w:val="num" w:pos="851"/>
      </w:tabs>
      <w:ind w:left="851"/>
    </w:pPr>
  </w:style>
  <w:style w:type="paragraph" w:styleId="TOC1">
    <w:name w:val="toc 1"/>
    <w:basedOn w:val="Normal"/>
    <w:next w:val="Normal"/>
    <w:link w:val="TOC1Char"/>
    <w:autoRedefine/>
    <w:uiPriority w:val="39"/>
    <w:rsid w:val="00017B7F"/>
    <w:pPr>
      <w:tabs>
        <w:tab w:val="left" w:pos="851"/>
        <w:tab w:val="right" w:leader="dot" w:pos="8222"/>
        <w:tab w:val="right" w:leader="dot" w:pos="8312"/>
      </w:tabs>
      <w:ind w:left="851" w:hanging="851"/>
    </w:pPr>
    <w:rPr>
      <w:caps/>
    </w:rPr>
  </w:style>
  <w:style w:type="paragraph" w:styleId="Header">
    <w:name w:val="header"/>
    <w:aliases w:val="6_G"/>
    <w:basedOn w:val="Normal"/>
    <w:link w:val="HeaderChar"/>
    <w:uiPriority w:val="99"/>
    <w:rsid w:val="00C3438F"/>
    <w:pPr>
      <w:tabs>
        <w:tab w:val="center" w:pos="4153"/>
        <w:tab w:val="right" w:pos="8306"/>
      </w:tabs>
    </w:pPr>
    <w:rPr>
      <w:sz w:val="20"/>
    </w:rPr>
  </w:style>
  <w:style w:type="character" w:customStyle="1" w:styleId="HeaderChar">
    <w:name w:val="Header Char"/>
    <w:aliases w:val="6_G Char"/>
    <w:basedOn w:val="DefaultParagraphFont"/>
    <w:link w:val="Header"/>
    <w:uiPriority w:val="99"/>
    <w:rsid w:val="00C3438F"/>
    <w:rPr>
      <w:rFonts w:ascii="Times New Roman" w:eastAsia="Times New Roman" w:hAnsi="Times New Roman" w:cs="Times New Roman"/>
      <w:sz w:val="20"/>
      <w:szCs w:val="24"/>
      <w:lang w:eastAsia="en-AU"/>
    </w:rPr>
  </w:style>
  <w:style w:type="paragraph" w:styleId="TOC2">
    <w:name w:val="toc 2"/>
    <w:basedOn w:val="Normal"/>
    <w:next w:val="Normal"/>
    <w:autoRedefine/>
    <w:uiPriority w:val="39"/>
    <w:rsid w:val="00017B7F"/>
    <w:pPr>
      <w:tabs>
        <w:tab w:val="left" w:pos="851"/>
        <w:tab w:val="left" w:leader="dot" w:pos="7938"/>
        <w:tab w:val="right" w:leader="dot" w:pos="8222"/>
        <w:tab w:val="right" w:leader="dot" w:pos="8312"/>
      </w:tabs>
      <w:ind w:left="851" w:hanging="851"/>
    </w:pPr>
  </w:style>
  <w:style w:type="paragraph" w:customStyle="1" w:styleId="MainHeading">
    <w:name w:val="Main Heading"/>
    <w:basedOn w:val="Normal"/>
    <w:next w:val="Normal"/>
    <w:rsid w:val="00C3438F"/>
    <w:pPr>
      <w:numPr>
        <w:numId w:val="1"/>
      </w:numPr>
      <w:spacing w:before="240"/>
      <w:outlineLvl w:val="0"/>
    </w:pPr>
    <w:rPr>
      <w:b/>
      <w:caps/>
    </w:rPr>
  </w:style>
  <w:style w:type="paragraph" w:customStyle="1" w:styleId="StyledotArialLeft0cmFirstline0cmAfter12pt">
    <w:name w:val="Style dot + Arial Left:  0 cm First line:  0 cm After:  12 pt"/>
    <w:basedOn w:val="Normal"/>
    <w:rsid w:val="00C3438F"/>
    <w:pPr>
      <w:spacing w:after="240"/>
    </w:pPr>
    <w:rPr>
      <w:szCs w:val="20"/>
    </w:rPr>
  </w:style>
  <w:style w:type="paragraph" w:customStyle="1" w:styleId="HeadingLevel1">
    <w:name w:val="Heading Level 1"/>
    <w:basedOn w:val="MainHeading"/>
    <w:link w:val="HeadingLevel1Char"/>
    <w:qFormat/>
    <w:rsid w:val="00C3438F"/>
    <w:pPr>
      <w:keepNext/>
    </w:pPr>
  </w:style>
  <w:style w:type="paragraph" w:customStyle="1" w:styleId="HeadingLevel2">
    <w:name w:val="Heading Level 2"/>
    <w:basedOn w:val="Subsection"/>
    <w:link w:val="HeadingLevel2Char"/>
    <w:qFormat/>
    <w:rsid w:val="00C3438F"/>
    <w:pPr>
      <w:keepNext/>
    </w:pPr>
  </w:style>
  <w:style w:type="character" w:customStyle="1" w:styleId="HeadingLevel1Char">
    <w:name w:val="Heading Level 1 Char"/>
    <w:basedOn w:val="DefaultParagraphFont"/>
    <w:link w:val="HeadingLevel1"/>
    <w:rsid w:val="00C3438F"/>
    <w:rPr>
      <w:rFonts w:ascii="Times New Roman" w:eastAsia="Times New Roman" w:hAnsi="Times New Roman" w:cs="Times New Roman"/>
      <w:b/>
      <w:caps/>
      <w:sz w:val="24"/>
      <w:szCs w:val="24"/>
      <w:lang w:eastAsia="en-AU"/>
    </w:rPr>
  </w:style>
  <w:style w:type="character" w:customStyle="1" w:styleId="HeadingLevel2Char">
    <w:name w:val="Heading Level 2 Char"/>
    <w:basedOn w:val="DefaultParagraphFont"/>
    <w:link w:val="HeadingLevel2"/>
    <w:rsid w:val="00C3438F"/>
    <w:rPr>
      <w:rFonts w:ascii="Times New Roman" w:eastAsia="Times New Roman" w:hAnsi="Times New Roman" w:cs="Times New Roman"/>
      <w:sz w:val="24"/>
      <w:szCs w:val="24"/>
      <w:lang w:eastAsia="en-AU"/>
    </w:rPr>
  </w:style>
  <w:style w:type="paragraph" w:customStyle="1" w:styleId="ContentsHeading">
    <w:name w:val="Contents Heading"/>
    <w:basedOn w:val="Normal"/>
    <w:link w:val="ContentsHeadingChar"/>
    <w:qFormat/>
    <w:rsid w:val="00C3438F"/>
    <w:pPr>
      <w:tabs>
        <w:tab w:val="left" w:pos="900"/>
      </w:tabs>
      <w:spacing w:before="0" w:after="0"/>
      <w:jc w:val="center"/>
    </w:pPr>
    <w:rPr>
      <w:b/>
    </w:rPr>
  </w:style>
  <w:style w:type="character" w:customStyle="1" w:styleId="ContentsHeadingChar">
    <w:name w:val="Contents Heading Char"/>
    <w:link w:val="ContentsHeading"/>
    <w:rsid w:val="00C3438F"/>
    <w:rPr>
      <w:rFonts w:ascii="Times New Roman" w:eastAsia="Times New Roman" w:hAnsi="Times New Roman" w:cs="Times New Roman"/>
      <w:b/>
      <w:sz w:val="24"/>
      <w:szCs w:val="24"/>
      <w:lang w:eastAsia="en-AU"/>
    </w:rPr>
  </w:style>
  <w:style w:type="character" w:customStyle="1" w:styleId="TOC1Char">
    <w:name w:val="TOC 1 Char"/>
    <w:link w:val="TOC1"/>
    <w:uiPriority w:val="39"/>
    <w:rsid w:val="00017B7F"/>
    <w:rPr>
      <w:rFonts w:ascii="Times New Roman" w:eastAsia="Times New Roman" w:hAnsi="Times New Roman" w:cs="Times New Roman"/>
      <w:caps/>
      <w:sz w:val="24"/>
      <w:szCs w:val="24"/>
      <w:lang w:eastAsia="en-AU"/>
    </w:rPr>
  </w:style>
  <w:style w:type="paragraph" w:customStyle="1" w:styleId="ESNormal">
    <w:name w:val="ES_Normal"/>
    <w:link w:val="ESNormalChar"/>
    <w:qFormat/>
    <w:rsid w:val="00C3438F"/>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C3438F"/>
    <w:rPr>
      <w:rFonts w:ascii="Times New Roman" w:hAnsi="Times New Roman"/>
      <w:sz w:val="24"/>
    </w:rPr>
  </w:style>
  <w:style w:type="paragraph" w:styleId="Footer">
    <w:name w:val="footer"/>
    <w:basedOn w:val="Normal"/>
    <w:link w:val="FooterChar"/>
    <w:uiPriority w:val="99"/>
    <w:unhideWhenUsed/>
    <w:rsid w:val="00C047A1"/>
    <w:pPr>
      <w:tabs>
        <w:tab w:val="center" w:pos="4513"/>
        <w:tab w:val="right" w:pos="9026"/>
      </w:tabs>
      <w:spacing w:before="0" w:after="0"/>
    </w:pPr>
  </w:style>
  <w:style w:type="character" w:customStyle="1" w:styleId="FooterChar">
    <w:name w:val="Footer Char"/>
    <w:basedOn w:val="DefaultParagraphFont"/>
    <w:link w:val="Footer"/>
    <w:uiPriority w:val="99"/>
    <w:rsid w:val="00C047A1"/>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F27A6"/>
    <w:rPr>
      <w:sz w:val="16"/>
      <w:szCs w:val="16"/>
    </w:rPr>
  </w:style>
  <w:style w:type="paragraph" w:styleId="CommentText">
    <w:name w:val="annotation text"/>
    <w:basedOn w:val="Normal"/>
    <w:link w:val="CommentTextChar"/>
    <w:uiPriority w:val="99"/>
    <w:semiHidden/>
    <w:unhideWhenUsed/>
    <w:rsid w:val="00BF27A6"/>
    <w:rPr>
      <w:sz w:val="20"/>
      <w:szCs w:val="20"/>
    </w:rPr>
  </w:style>
  <w:style w:type="character" w:customStyle="1" w:styleId="CommentTextChar">
    <w:name w:val="Comment Text Char"/>
    <w:basedOn w:val="DefaultParagraphFont"/>
    <w:link w:val="CommentText"/>
    <w:uiPriority w:val="99"/>
    <w:semiHidden/>
    <w:rsid w:val="00BF27A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F27A6"/>
    <w:rPr>
      <w:b/>
      <w:bCs/>
    </w:rPr>
  </w:style>
  <w:style w:type="character" w:customStyle="1" w:styleId="CommentSubjectChar">
    <w:name w:val="Comment Subject Char"/>
    <w:basedOn w:val="CommentTextChar"/>
    <w:link w:val="CommentSubject"/>
    <w:uiPriority w:val="99"/>
    <w:semiHidden/>
    <w:rsid w:val="00BF27A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F27A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A6"/>
    <w:rPr>
      <w:rFonts w:ascii="Segoe UI" w:eastAsia="Times New Roman" w:hAnsi="Segoe UI" w:cs="Segoe UI"/>
      <w:sz w:val="18"/>
      <w:szCs w:val="18"/>
      <w:lang w:eastAsia="en-AU"/>
    </w:rPr>
  </w:style>
  <w:style w:type="paragraph" w:styleId="ListParagraph">
    <w:name w:val="List Paragraph"/>
    <w:basedOn w:val="Normal"/>
    <w:uiPriority w:val="34"/>
    <w:qFormat/>
    <w:rsid w:val="00A34DB5"/>
    <w:pPr>
      <w:ind w:left="720"/>
      <w:contextualSpacing/>
    </w:pPr>
  </w:style>
  <w:style w:type="paragraph" w:customStyle="1" w:styleId="MainHeadding">
    <w:name w:val="Main Headding"/>
    <w:basedOn w:val="Normal"/>
    <w:next w:val="Normal"/>
    <w:rsid w:val="004D57F3"/>
    <w:pPr>
      <w:tabs>
        <w:tab w:val="num" w:pos="851"/>
      </w:tabs>
      <w:spacing w:before="240"/>
      <w:ind w:left="851" w:hanging="851"/>
      <w:outlineLvl w:val="0"/>
    </w:pPr>
    <w:rPr>
      <w:b/>
      <w:caps/>
    </w:rPr>
  </w:style>
  <w:style w:type="character" w:styleId="Hyperlink">
    <w:name w:val="Hyperlink"/>
    <w:basedOn w:val="DefaultParagraphFont"/>
    <w:uiPriority w:val="99"/>
    <w:unhideWhenUsed/>
    <w:rsid w:val="00B43901"/>
    <w:rPr>
      <w:color w:val="0563C1" w:themeColor="hyperlink"/>
      <w:u w:val="single"/>
    </w:rPr>
  </w:style>
  <w:style w:type="character" w:customStyle="1" w:styleId="UnresolvedMention1">
    <w:name w:val="Unresolved Mention1"/>
    <w:basedOn w:val="DefaultParagraphFont"/>
    <w:uiPriority w:val="99"/>
    <w:semiHidden/>
    <w:unhideWhenUsed/>
    <w:rsid w:val="00257C3B"/>
    <w:rPr>
      <w:color w:val="605E5C"/>
      <w:shd w:val="clear" w:color="auto" w:fill="E1DFDD"/>
    </w:rPr>
  </w:style>
  <w:style w:type="paragraph" w:customStyle="1" w:styleId="Bullet1">
    <w:name w:val="Bullet 1"/>
    <w:basedOn w:val="Normal"/>
    <w:uiPriority w:val="3"/>
    <w:qFormat/>
    <w:rsid w:val="00257C3B"/>
    <w:pPr>
      <w:numPr>
        <w:numId w:val="7"/>
      </w:numPr>
      <w:suppressAutoHyphens/>
      <w:spacing w:before="80" w:after="80"/>
    </w:pPr>
    <w:rPr>
      <w:rFonts w:asciiTheme="minorHAnsi" w:eastAsiaTheme="minorHAnsi" w:hAnsiTheme="minorHAnsi" w:cstheme="minorBidi"/>
      <w:color w:val="000000" w:themeColor="text1"/>
      <w:kern w:val="12"/>
      <w:sz w:val="20"/>
      <w:szCs w:val="20"/>
      <w:lang w:val="x-none" w:eastAsia="en-US"/>
    </w:rPr>
  </w:style>
  <w:style w:type="paragraph" w:customStyle="1" w:styleId="Bullet2">
    <w:name w:val="Bullet 2"/>
    <w:basedOn w:val="Bullet1"/>
    <w:uiPriority w:val="3"/>
    <w:rsid w:val="00257C3B"/>
    <w:pPr>
      <w:numPr>
        <w:ilvl w:val="1"/>
      </w:numPr>
    </w:pPr>
  </w:style>
  <w:style w:type="paragraph" w:customStyle="1" w:styleId="Bullet3">
    <w:name w:val="Bullet 3"/>
    <w:basedOn w:val="Bullet2"/>
    <w:uiPriority w:val="3"/>
    <w:rsid w:val="00257C3B"/>
    <w:pPr>
      <w:numPr>
        <w:ilvl w:val="2"/>
      </w:numPr>
    </w:pPr>
  </w:style>
  <w:style w:type="numbering" w:customStyle="1" w:styleId="Bullets">
    <w:name w:val="Bullets"/>
    <w:uiPriority w:val="99"/>
    <w:rsid w:val="00257C3B"/>
    <w:pPr>
      <w:numPr>
        <w:numId w:val="6"/>
      </w:numPr>
    </w:pPr>
  </w:style>
  <w:style w:type="paragraph" w:styleId="NormalWeb">
    <w:name w:val="Normal (Web)"/>
    <w:basedOn w:val="Normal"/>
    <w:uiPriority w:val="99"/>
    <w:semiHidden/>
    <w:unhideWhenUsed/>
    <w:rsid w:val="00845410"/>
    <w:pPr>
      <w:spacing w:before="100" w:beforeAutospacing="1" w:after="100" w:afterAutospacing="1"/>
    </w:pPr>
  </w:style>
  <w:style w:type="paragraph" w:customStyle="1" w:styleId="headinglevel20">
    <w:name w:val="headinglevel2"/>
    <w:basedOn w:val="Normal"/>
    <w:rsid w:val="005B3910"/>
    <w:pPr>
      <w:spacing w:before="100" w:beforeAutospacing="1" w:after="100" w:afterAutospacing="1"/>
    </w:pPr>
  </w:style>
  <w:style w:type="paragraph" w:styleId="Revision">
    <w:name w:val="Revision"/>
    <w:hidden/>
    <w:uiPriority w:val="99"/>
    <w:semiHidden/>
    <w:rsid w:val="00985D5E"/>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01440">
      <w:bodyDiv w:val="1"/>
      <w:marLeft w:val="0"/>
      <w:marRight w:val="0"/>
      <w:marTop w:val="0"/>
      <w:marBottom w:val="0"/>
      <w:divBdr>
        <w:top w:val="none" w:sz="0" w:space="0" w:color="auto"/>
        <w:left w:val="none" w:sz="0" w:space="0" w:color="auto"/>
        <w:bottom w:val="none" w:sz="0" w:space="0" w:color="auto"/>
        <w:right w:val="none" w:sz="0" w:space="0" w:color="auto"/>
      </w:divBdr>
    </w:div>
    <w:div w:id="397048007">
      <w:bodyDiv w:val="1"/>
      <w:marLeft w:val="0"/>
      <w:marRight w:val="0"/>
      <w:marTop w:val="0"/>
      <w:marBottom w:val="0"/>
      <w:divBdr>
        <w:top w:val="none" w:sz="0" w:space="0" w:color="auto"/>
        <w:left w:val="none" w:sz="0" w:space="0" w:color="auto"/>
        <w:bottom w:val="none" w:sz="0" w:space="0" w:color="auto"/>
        <w:right w:val="none" w:sz="0" w:space="0" w:color="auto"/>
      </w:divBdr>
    </w:div>
    <w:div w:id="420488489">
      <w:bodyDiv w:val="1"/>
      <w:marLeft w:val="0"/>
      <w:marRight w:val="0"/>
      <w:marTop w:val="0"/>
      <w:marBottom w:val="0"/>
      <w:divBdr>
        <w:top w:val="none" w:sz="0" w:space="0" w:color="auto"/>
        <w:left w:val="none" w:sz="0" w:space="0" w:color="auto"/>
        <w:bottom w:val="none" w:sz="0" w:space="0" w:color="auto"/>
        <w:right w:val="none" w:sz="0" w:space="0" w:color="auto"/>
      </w:divBdr>
    </w:div>
    <w:div w:id="43794286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1238007346">
      <w:bodyDiv w:val="1"/>
      <w:marLeft w:val="0"/>
      <w:marRight w:val="0"/>
      <w:marTop w:val="0"/>
      <w:marBottom w:val="0"/>
      <w:divBdr>
        <w:top w:val="none" w:sz="0" w:space="0" w:color="auto"/>
        <w:left w:val="none" w:sz="0" w:space="0" w:color="auto"/>
        <w:bottom w:val="none" w:sz="0" w:space="0" w:color="auto"/>
        <w:right w:val="none" w:sz="0" w:space="0" w:color="auto"/>
      </w:divBdr>
    </w:div>
    <w:div w:id="1326281232">
      <w:bodyDiv w:val="1"/>
      <w:marLeft w:val="0"/>
      <w:marRight w:val="0"/>
      <w:marTop w:val="0"/>
      <w:marBottom w:val="0"/>
      <w:divBdr>
        <w:top w:val="none" w:sz="0" w:space="0" w:color="auto"/>
        <w:left w:val="none" w:sz="0" w:space="0" w:color="auto"/>
        <w:bottom w:val="none" w:sz="0" w:space="0" w:color="auto"/>
        <w:right w:val="none" w:sz="0" w:space="0" w:color="auto"/>
      </w:divBdr>
    </w:div>
    <w:div w:id="1438598379">
      <w:bodyDiv w:val="1"/>
      <w:marLeft w:val="0"/>
      <w:marRight w:val="0"/>
      <w:marTop w:val="0"/>
      <w:marBottom w:val="0"/>
      <w:divBdr>
        <w:top w:val="none" w:sz="0" w:space="0" w:color="auto"/>
        <w:left w:val="none" w:sz="0" w:space="0" w:color="auto"/>
        <w:bottom w:val="none" w:sz="0" w:space="0" w:color="auto"/>
        <w:right w:val="none" w:sz="0" w:space="0" w:color="auto"/>
      </w:divBdr>
    </w:div>
    <w:div w:id="1776364938">
      <w:bodyDiv w:val="1"/>
      <w:marLeft w:val="0"/>
      <w:marRight w:val="0"/>
      <w:marTop w:val="0"/>
      <w:marBottom w:val="0"/>
      <w:divBdr>
        <w:top w:val="none" w:sz="0" w:space="0" w:color="auto"/>
        <w:left w:val="none" w:sz="0" w:space="0" w:color="auto"/>
        <w:bottom w:val="none" w:sz="0" w:space="0" w:color="auto"/>
        <w:right w:val="none" w:sz="0" w:space="0" w:color="auto"/>
      </w:divBdr>
    </w:div>
    <w:div w:id="1796211174">
      <w:bodyDiv w:val="1"/>
      <w:marLeft w:val="0"/>
      <w:marRight w:val="0"/>
      <w:marTop w:val="0"/>
      <w:marBottom w:val="0"/>
      <w:divBdr>
        <w:top w:val="none" w:sz="0" w:space="0" w:color="auto"/>
        <w:left w:val="none" w:sz="0" w:space="0" w:color="auto"/>
        <w:bottom w:val="none" w:sz="0" w:space="0" w:color="auto"/>
        <w:right w:val="none" w:sz="0" w:space="0" w:color="auto"/>
      </w:divBdr>
    </w:div>
    <w:div w:id="190096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735E-9A3C-47A7-9BB6-3A35953C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2025-05-12T23:28:00Z</dcterms:created>
  <dcterms:modified xsi:type="dcterms:W3CDTF">2025-07-17T01:58:00Z</dcterms:modified>
</cp:coreProperties>
</file>