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450D0E">
      <w:r>
        <w:rPr>
          <w:noProof/>
          <w:lang w:eastAsia="en-AU"/>
        </w:rPr>
        <w:drawing>
          <wp:inline distT="0" distB="0" distL="0" distR="0" wp14:anchorId="0869800D" wp14:editId="52621603">
            <wp:extent cx="3138924" cy="792000"/>
            <wp:effectExtent l="0" t="0" r="0" b="0"/>
            <wp:docPr id="5" name="Picture 5" descr="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Infrastructure, Transport, Regional Development and Communications."/>
                    <pic:cNvPicPr/>
                  </pic:nvPicPr>
                  <pic:blipFill rotWithShape="1">
                    <a:blip r:embed="rId12" cstate="print">
                      <a:extLst>
                        <a:ext uri="{28A0092B-C50C-407E-A947-70E740481C1C}">
                          <a14:useLocalDpi xmlns:a14="http://schemas.microsoft.com/office/drawing/2010/main" val="0"/>
                        </a:ext>
                      </a:extLst>
                    </a:blip>
                    <a:srcRect t="-2" b="-20056"/>
                    <a:stretch/>
                  </pic:blipFill>
                  <pic:spPr bwMode="auto">
                    <a:xfrm>
                      <a:off x="0" y="0"/>
                      <a:ext cx="3150000" cy="794795"/>
                    </a:xfrm>
                    <a:prstGeom prst="rect">
                      <a:avLst/>
                    </a:prstGeom>
                    <a:ln>
                      <a:noFill/>
                    </a:ln>
                    <a:extLst>
                      <a:ext uri="{53640926-AAD7-44D8-BBD7-CCE9431645EC}">
                        <a14:shadowObscured xmlns:a14="http://schemas.microsoft.com/office/drawing/2010/main"/>
                      </a:ext>
                    </a:extLst>
                  </pic:spPr>
                </pic:pic>
              </a:graphicData>
            </a:graphic>
          </wp:inline>
        </w:drawing>
      </w:r>
      <w:r w:rsidR="009D02D4">
        <w:tab/>
      </w:r>
      <w:r w:rsidR="0093419E">
        <w:rPr>
          <w:noProof/>
          <w:lang w:eastAsia="en-AU"/>
        </w:rPr>
        <w:drawing>
          <wp:inline distT="0" distB="0" distL="0" distR="0" wp14:anchorId="4D6FBA6B" wp14:editId="3A96E207">
            <wp:extent cx="2948688" cy="959020"/>
            <wp:effectExtent l="0" t="0" r="4445" b="0"/>
            <wp:docPr id="13" name="Picture 13" descr="cid:image002.png@01D6B821.D722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B821.D72228E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71091" cy="966306"/>
                    </a:xfrm>
                    <a:prstGeom prst="rect">
                      <a:avLst/>
                    </a:prstGeom>
                    <a:noFill/>
                    <a:ln>
                      <a:noFill/>
                    </a:ln>
                  </pic:spPr>
                </pic:pic>
              </a:graphicData>
            </a:graphic>
          </wp:inline>
        </w:drawing>
      </w:r>
    </w:p>
    <w:p w:rsidR="007A0008" w:rsidRPr="00DA17D2" w:rsidRDefault="000C1781" w:rsidP="00E038FE">
      <w:pPr>
        <w:pStyle w:val="Title"/>
        <w:spacing w:before="840"/>
        <w:rPr>
          <w:sz w:val="52"/>
          <w:szCs w:val="52"/>
        </w:rPr>
      </w:pPr>
      <w:r w:rsidRPr="00DA17D2">
        <w:rPr>
          <w:sz w:val="52"/>
          <w:szCs w:val="52"/>
        </w:rPr>
        <w:t>Inte</w:t>
      </w:r>
      <w:bookmarkStart w:id="0" w:name="_GoBack"/>
      <w:bookmarkEnd w:id="0"/>
      <w:r w:rsidRPr="00DA17D2">
        <w:rPr>
          <w:sz w:val="52"/>
          <w:szCs w:val="52"/>
        </w:rPr>
        <w:t>rnational comparison of fixed broadband performance</w:t>
      </w:r>
    </w:p>
    <w:p w:rsidR="00DE4FE2" w:rsidRPr="00E038FE" w:rsidRDefault="006A5F22" w:rsidP="00BE3AD8">
      <w:pPr>
        <w:pStyle w:val="Subtitle"/>
        <w:rPr>
          <w:color w:val="0066AB"/>
          <w:sz w:val="40"/>
          <w:szCs w:val="40"/>
        </w:rPr>
      </w:pPr>
      <w:r w:rsidRPr="00E038FE">
        <w:rPr>
          <w:color w:val="0066AB"/>
          <w:sz w:val="40"/>
          <w:szCs w:val="40"/>
        </w:rPr>
        <w:t>Coverage and minimum speeds</w:t>
      </w:r>
    </w:p>
    <w:sdt>
      <w:sdtPr>
        <w:alias w:val="Publish Date"/>
        <w:tag w:val=""/>
        <w:id w:val="452527336"/>
        <w:placeholder>
          <w:docPart w:val="5D32CD39AEB244D9A026AAECB7BB6233"/>
        </w:placeholder>
        <w:dataBinding w:prefixMappings="xmlns:ns0='http://schemas.microsoft.com/office/2006/coverPageProps' " w:xpath="/ns0:CoverPageProperties[1]/ns0:PublishDate[1]" w:storeItemID="{55AF091B-3C7A-41E3-B477-F2FDAA23CFDA}"/>
        <w:date w:fullDate="2020-11-01T00:00:00Z">
          <w:dateFormat w:val="MMMM yyyy"/>
          <w:lid w:val="en-AU"/>
          <w:storeMappedDataAs w:val="dateTime"/>
          <w:calendar w:val="gregorian"/>
        </w:date>
      </w:sdtPr>
      <w:sdtEndPr/>
      <w:sdtContent>
        <w:p w:rsidR="00DE4FE2" w:rsidRDefault="00096BFE" w:rsidP="00F20BD4">
          <w:pPr>
            <w:pStyle w:val="CoverDate"/>
            <w:spacing w:before="120" w:after="0"/>
          </w:pPr>
          <w:r>
            <w:t>November</w:t>
          </w:r>
          <w:r w:rsidR="00546218">
            <w:t xml:space="preserve"> 2020</w:t>
          </w:r>
        </w:p>
      </w:sdtContent>
    </w:sdt>
    <w:p w:rsidR="00DE4FE2" w:rsidRDefault="00DE4FE2" w:rsidP="00D02062">
      <w:pPr>
        <w:pBdr>
          <w:bottom w:val="single" w:sz="4" w:space="1" w:color="C0D48F" w:themeColor="accent5"/>
        </w:pBdr>
      </w:pPr>
    </w:p>
    <w:p w:rsidR="00E95BA5" w:rsidRDefault="00E95BA5" w:rsidP="00D02062">
      <w:pPr>
        <w:pStyle w:val="Heading1"/>
        <w:sectPr w:rsidR="00E95BA5" w:rsidSect="00E038FE">
          <w:headerReference w:type="default" r:id="rId15"/>
          <w:footerReference w:type="default" r:id="rId16"/>
          <w:footerReference w:type="first" r:id="rId17"/>
          <w:pgSz w:w="11906" w:h="16838" w:code="9"/>
          <w:pgMar w:top="1021" w:right="1021" w:bottom="1021" w:left="1021" w:header="510" w:footer="0" w:gutter="0"/>
          <w:cols w:space="708"/>
          <w:titlePg/>
          <w:docGrid w:linePitch="360"/>
          <w15:footnoteColumns w:val="1"/>
        </w:sectPr>
      </w:pPr>
      <w:bookmarkStart w:id="1" w:name="_Toc49855348"/>
    </w:p>
    <w:bookmarkEnd w:id="1"/>
    <w:p w:rsidR="005F794B" w:rsidRPr="005F794B" w:rsidRDefault="00617611" w:rsidP="00E038FE">
      <w:pPr>
        <w:pStyle w:val="Heading2"/>
      </w:pPr>
      <w:r>
        <w:t>Role of fixed broadband</w:t>
      </w:r>
    </w:p>
    <w:p w:rsidR="006A5F22" w:rsidRPr="00E038FE" w:rsidRDefault="00096BFE" w:rsidP="005F794B">
      <w:pPr>
        <w:pStyle w:val="Introduction"/>
        <w:rPr>
          <w:color w:val="0066AB"/>
          <w:sz w:val="24"/>
          <w:szCs w:val="24"/>
          <w:lang w:val="en-AU"/>
        </w:rPr>
      </w:pPr>
      <w:r w:rsidRPr="00E038FE">
        <w:rPr>
          <w:color w:val="0066AB"/>
          <w:sz w:val="24"/>
          <w:szCs w:val="24"/>
          <w:lang w:val="en-AU"/>
        </w:rPr>
        <w:t>Fixed broadband</w:t>
      </w:r>
      <w:r w:rsidR="006A5F22" w:rsidRPr="00E038FE">
        <w:rPr>
          <w:color w:val="0066AB"/>
          <w:sz w:val="24"/>
          <w:szCs w:val="24"/>
          <w:lang w:val="en-AU"/>
        </w:rPr>
        <w:t xml:space="preserve"> </w:t>
      </w:r>
      <w:r w:rsidRPr="00E038FE">
        <w:rPr>
          <w:color w:val="0066AB"/>
          <w:sz w:val="24"/>
          <w:szCs w:val="24"/>
          <w:lang w:val="en-AU"/>
        </w:rPr>
        <w:t xml:space="preserve">plays a vital role in connecting Australians, and </w:t>
      </w:r>
      <w:r w:rsidR="006A5F22" w:rsidRPr="00E038FE">
        <w:rPr>
          <w:color w:val="0066AB"/>
          <w:sz w:val="24"/>
          <w:szCs w:val="24"/>
          <w:lang w:val="en-AU"/>
        </w:rPr>
        <w:t>it is</w:t>
      </w:r>
      <w:r w:rsidRPr="00E038FE">
        <w:rPr>
          <w:color w:val="0066AB"/>
          <w:sz w:val="24"/>
          <w:szCs w:val="24"/>
          <w:lang w:val="en-AU"/>
        </w:rPr>
        <w:t xml:space="preserve"> important that the performance of Australia’s fixed broadband infrastructure is known and comparable to our international peers.</w:t>
      </w:r>
    </w:p>
    <w:p w:rsidR="006A5F22" w:rsidRDefault="006A5F22" w:rsidP="006A5F22">
      <w:r>
        <w:t>Fixed broadband, including both fixed-line and wireless connections to fixed locations, plays a vital rol</w:t>
      </w:r>
      <w:r w:rsidR="00277F48">
        <w:t>e in connecting Australians.</w:t>
      </w:r>
      <w:r w:rsidR="00804FD3">
        <w:t xml:space="preserve"> There has been s</w:t>
      </w:r>
      <w:r>
        <w:t xml:space="preserve">ignificant public investment to develop fixed broadband infrastructure with the rollout of </w:t>
      </w:r>
      <w:r w:rsidR="00812503">
        <w:t xml:space="preserve">the </w:t>
      </w:r>
      <w:r>
        <w:t>NBN</w:t>
      </w:r>
      <w:r w:rsidR="00804FD3">
        <w:t xml:space="preserve">. Therefore it is </w:t>
      </w:r>
      <w:r>
        <w:t xml:space="preserve">important that the performance of Australia’s fixed broadband infrastructure is known and </w:t>
      </w:r>
      <w:r w:rsidR="002C4F6B">
        <w:t xml:space="preserve">can be </w:t>
      </w:r>
      <w:r>
        <w:t>compar</w:t>
      </w:r>
      <w:r w:rsidR="002C4F6B">
        <w:t>ed</w:t>
      </w:r>
      <w:r>
        <w:t xml:space="preserve"> to our international peers, especially in the COVID-19 environment. </w:t>
      </w:r>
    </w:p>
    <w:p w:rsidR="006A5F22" w:rsidRPr="00096BFE" w:rsidRDefault="00995CA6" w:rsidP="00DA17D2">
      <w:pPr>
        <w:spacing w:after="0"/>
      </w:pPr>
      <w:r>
        <w:t xml:space="preserve">This </w:t>
      </w:r>
      <w:r w:rsidR="004741BC">
        <w:t xml:space="preserve">fact sheet </w:t>
      </w:r>
      <w:r>
        <w:t>describes Australia’s performance on coverage and minimum speed for fixed broadband services</w:t>
      </w:r>
      <w:r w:rsidR="00F759EA">
        <w:t>.</w:t>
      </w:r>
      <w:r w:rsidR="00F759EA">
        <w:rPr>
          <w:rStyle w:val="EndnoteReference"/>
        </w:rPr>
        <w:endnoteReference w:id="1"/>
      </w:r>
      <w:r>
        <w:t xml:space="preserve"> Further information on the indicators </w:t>
      </w:r>
      <w:r w:rsidR="00CE3E87">
        <w:t xml:space="preserve">and how the comparison countries were selected </w:t>
      </w:r>
      <w:r>
        <w:t>is provided in the paper</w:t>
      </w:r>
      <w:r w:rsidR="004741BC">
        <w:t xml:space="preserve"> </w:t>
      </w:r>
      <w:r w:rsidR="00B36EB7">
        <w:rPr>
          <w:i/>
        </w:rPr>
        <w:t>Measuring Australia’s fixed broadband performance</w:t>
      </w:r>
      <w:r w:rsidR="004741BC">
        <w:t xml:space="preserve">. </w:t>
      </w:r>
      <w:r>
        <w:t xml:space="preserve"> </w:t>
      </w:r>
    </w:p>
    <w:p w:rsidR="005F794B" w:rsidRPr="00E038FE" w:rsidRDefault="00AA208E" w:rsidP="00E038FE">
      <w:pPr>
        <w:pStyle w:val="Heading3"/>
      </w:pPr>
      <w:r w:rsidRPr="00E038FE">
        <w:t>Australia</w:t>
      </w:r>
      <w:r w:rsidR="00F759EA" w:rsidRPr="00E038FE">
        <w:t xml:space="preserve"> performs strongly on coverage</w:t>
      </w:r>
    </w:p>
    <w:p w:rsidR="00794349" w:rsidRDefault="002C4F6B" w:rsidP="005F794B">
      <w:r>
        <w:t>As a</w:t>
      </w:r>
      <w:r w:rsidR="00794349">
        <w:t>t September 2020</w:t>
      </w:r>
      <w:r>
        <w:t>, 99.3 per cent</w:t>
      </w:r>
      <w:r w:rsidR="00794349">
        <w:t xml:space="preserve"> of premises </w:t>
      </w:r>
      <w:r>
        <w:t>could</w:t>
      </w:r>
      <w:r w:rsidR="00794349">
        <w:t xml:space="preserve"> connect to the NBN.</w:t>
      </w:r>
      <w:r w:rsidR="00501D48">
        <w:rPr>
          <w:rStyle w:val="EndnoteReference"/>
        </w:rPr>
        <w:endnoteReference w:id="2"/>
      </w:r>
      <w:r w:rsidR="00501D48">
        <w:t xml:space="preserve"> </w:t>
      </w:r>
      <w:r w:rsidR="00794349">
        <w:t xml:space="preserve"> Relative to the household coverage estimated in other countries, this ranks Australia 8</w:t>
      </w:r>
      <w:r w:rsidR="00794349" w:rsidRPr="00794349">
        <w:rPr>
          <w:vertAlign w:val="superscript"/>
        </w:rPr>
        <w:t>th</w:t>
      </w:r>
      <w:r w:rsidR="00794349">
        <w:t xml:space="preserve"> out of 17 comparable countries</w:t>
      </w:r>
      <w:r w:rsidR="00995CA6">
        <w:t xml:space="preserve"> (chart 1).</w:t>
      </w:r>
    </w:p>
    <w:p w:rsidR="00277F48" w:rsidRDefault="00CA3648" w:rsidP="00C20976">
      <w:pPr>
        <w:keepNext/>
      </w:pPr>
      <w:r>
        <w:rPr>
          <w:noProof/>
          <w:lang w:eastAsia="en-AU"/>
        </w:rPr>
        <w:drawing>
          <wp:inline distT="0" distB="0" distL="0" distR="0" wp14:anchorId="51FDE10B" wp14:editId="7235B67D">
            <wp:extent cx="2907030" cy="2137410"/>
            <wp:effectExtent l="0" t="0" r="7620" b="0"/>
            <wp:docPr id="1" name="Picture 1" descr="Chart 1 - Percentage of households able to access fixed broadband.&#10;&#10;Description: Chart 1 is a bar chart that shows the percentage of households that are able to access fixed broadband services in each of 17 different countries. The chart orders the countries from that with the highest percentage of households with access to fixed broadband on the left of the horizontal axis (United Kingdom) to that with the lowest percentage (the US) on the right. The countries depicted in the chart include the United Kingdom, France, Belgium, Japan, Italy, Switzerland, Denmark, Australia, Israel, Canada, Austria, Ireland, Germany, Sweden, Norway, Finland and the United States of America. Australia is at 8th position near to the middle of the chart, and the bar for Australia is illuminated with different colouring to the other countries in the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7030" cy="2137410"/>
                    </a:xfrm>
                    <a:prstGeom prst="rect">
                      <a:avLst/>
                    </a:prstGeom>
                  </pic:spPr>
                </pic:pic>
              </a:graphicData>
            </a:graphic>
          </wp:inline>
        </w:drawing>
      </w:r>
      <w:r w:rsidR="00C20976" w:rsidRPr="00F20BD4">
        <w:rPr>
          <w:sz w:val="18"/>
          <w:szCs w:val="18"/>
        </w:rPr>
        <w:t>Source: Various, PwC analysis.</w:t>
      </w:r>
    </w:p>
    <w:p w:rsidR="00794349" w:rsidRDefault="00804FD3" w:rsidP="005F794B">
      <w:r>
        <w:t>Coverage b</w:t>
      </w:r>
      <w:r w:rsidR="00794349">
        <w:t xml:space="preserve">ased on the percentage of premises able to access fixed broadband download speeds </w:t>
      </w:r>
      <w:r w:rsidR="00F20BD4">
        <w:t>of at least</w:t>
      </w:r>
      <w:r w:rsidR="002C4F6B">
        <w:t xml:space="preserve"> 25Mbps is approximately 99.3 per cent</w:t>
      </w:r>
      <w:r w:rsidR="00F20BD4">
        <w:t>,</w:t>
      </w:r>
      <w:r w:rsidR="00FC0B63">
        <w:rPr>
          <w:rStyle w:val="EndnoteReference"/>
        </w:rPr>
        <w:endnoteReference w:id="3"/>
      </w:r>
      <w:r w:rsidR="00F20BD4">
        <w:t xml:space="preserve"> ranking</w:t>
      </w:r>
      <w:r w:rsidR="00794349">
        <w:t xml:space="preserve"> Australia 1</w:t>
      </w:r>
      <w:r w:rsidR="00794349" w:rsidRPr="00794349">
        <w:rPr>
          <w:vertAlign w:val="superscript"/>
        </w:rPr>
        <w:t>st</w:t>
      </w:r>
      <w:r w:rsidR="00794349">
        <w:t xml:space="preserve"> out of 15 comparable countries</w:t>
      </w:r>
      <w:r w:rsidR="00995CA6">
        <w:t xml:space="preserve"> (chart 2).</w:t>
      </w:r>
    </w:p>
    <w:p w:rsidR="00C20976" w:rsidRDefault="00CA3648" w:rsidP="00E038FE">
      <w:r>
        <w:rPr>
          <w:noProof/>
          <w:lang w:eastAsia="en-AU"/>
        </w:rPr>
        <w:drawing>
          <wp:inline distT="0" distB="0" distL="0" distR="0" wp14:anchorId="4903FB32" wp14:editId="58C71E8E">
            <wp:extent cx="2771775" cy="1876425"/>
            <wp:effectExtent l="0" t="0" r="9525" b="9525"/>
            <wp:docPr id="11" name="Picture 11" descr="Chart 2 - Household access - fixed broadband speeds of at least 25-30 megabits per second.&#10;&#10;Description: Chart 2 is a bar chart that shows the percentage of households that are able to access fixed broadband services that are a minimum of either 25 Megabits per second or 30 Megabits per second in terms of download speeds, for each of 15 different countries. The chart orders the countries from that with the highest percentage of households with access to fixed broadband of the speeds indicated on the left of the horizontal axis (Australia) to that with the lowest percentage (France) on the right. The countries depicted in the chart include Australia, Switzerland, Belgium, Denmark, USA, Canada, the United Kingdom, Italy, Ireland, Germany, Norway, Austria, Sweden, Finland and Fr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1775" cy="1876425"/>
                    </a:xfrm>
                    <a:prstGeom prst="rect">
                      <a:avLst/>
                    </a:prstGeom>
                  </pic:spPr>
                </pic:pic>
              </a:graphicData>
            </a:graphic>
          </wp:inline>
        </w:drawing>
      </w:r>
      <w:r w:rsidR="00C20976" w:rsidRPr="00F20BD4">
        <w:rPr>
          <w:sz w:val="18"/>
          <w:szCs w:val="18"/>
        </w:rPr>
        <w:t>Source: Various, PwC analysis.</w:t>
      </w:r>
      <w:r w:rsidR="00B56CEB">
        <w:rPr>
          <w:sz w:val="18"/>
          <w:szCs w:val="18"/>
        </w:rPr>
        <w:t xml:space="preserve"> NBN data used for Australia</w:t>
      </w:r>
      <w:r w:rsidR="00B56CEB" w:rsidRPr="00B56CEB">
        <w:rPr>
          <w:sz w:val="18"/>
          <w:szCs w:val="18"/>
        </w:rPr>
        <w:t>.</w:t>
      </w:r>
    </w:p>
    <w:p w:rsidR="00804FD3" w:rsidRDefault="00804FD3" w:rsidP="00E038FE">
      <w:pPr>
        <w:keepNext/>
        <w:keepLines/>
      </w:pPr>
      <w:r>
        <w:lastRenderedPageBreak/>
        <w:t xml:space="preserve">The percentage of premises able to access fixed broadband </w:t>
      </w:r>
      <w:r w:rsidR="002C4F6B">
        <w:t>services with</w:t>
      </w:r>
      <w:r>
        <w:t xml:space="preserve"> download speeds greater than or equal to 100Mbps </w:t>
      </w:r>
      <w:r w:rsidR="00B04483">
        <w:t>is a</w:t>
      </w:r>
      <w:r w:rsidR="00FC0B63">
        <w:t>round</w:t>
      </w:r>
      <w:r w:rsidR="00B04483">
        <w:t xml:space="preserve"> 66 per cent</w:t>
      </w:r>
      <w:r>
        <w:t>,</w:t>
      </w:r>
      <w:r w:rsidR="00FC0B63">
        <w:rPr>
          <w:rStyle w:val="EndnoteReference"/>
        </w:rPr>
        <w:endnoteReference w:id="4"/>
      </w:r>
      <w:r>
        <w:t xml:space="preserve"> which ranks Australia 10</w:t>
      </w:r>
      <w:r w:rsidRPr="00794349">
        <w:rPr>
          <w:vertAlign w:val="superscript"/>
        </w:rPr>
        <w:t>th</w:t>
      </w:r>
      <w:r>
        <w:t xml:space="preserve"> </w:t>
      </w:r>
      <w:r w:rsidR="00E038FE">
        <w:t>out of 16 comparable countries.</w:t>
      </w:r>
    </w:p>
    <w:p w:rsidR="008B5AD0" w:rsidRPr="00CF6CFD" w:rsidRDefault="00CA3648" w:rsidP="00FC0B63">
      <w:pPr>
        <w:keepNext/>
      </w:pPr>
      <w:r>
        <w:rPr>
          <w:noProof/>
          <w:lang w:eastAsia="en-AU"/>
        </w:rPr>
        <w:drawing>
          <wp:inline distT="0" distB="0" distL="0" distR="0" wp14:anchorId="1DB3E197" wp14:editId="1A533C33">
            <wp:extent cx="2771775" cy="2486025"/>
            <wp:effectExtent l="0" t="0" r="9525" b="9525"/>
            <wp:docPr id="14" name="Picture 14" descr="Chart 3 - Household access to services of 100 megabits per second or more.&#10;&#10;Description: This chart is a bar chart that shows in descending order, from left to right, a subset of the countries identified as peers to Australia for broadband performance, in terms of the percentage of households with access to broadband services with speeds of 100 megabits per second or more. The chart shows that 66 per cent of Australian households have access to services with these speeds, ranking Australia, tenth out of 16 comparable countries, which also include Switzerland, Belgium, Denmark, the United States, Canada, New Zealand, Norway, Sweden, Germany, Austria, Ireland, Finland, the United Kingdom, France and Ita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71775" cy="2486025"/>
                    </a:xfrm>
                    <a:prstGeom prst="rect">
                      <a:avLst/>
                    </a:prstGeom>
                  </pic:spPr>
                </pic:pic>
              </a:graphicData>
            </a:graphic>
          </wp:inline>
        </w:drawing>
      </w:r>
      <w:r w:rsidR="00FC0B63" w:rsidRPr="00B56CEB">
        <w:rPr>
          <w:sz w:val="18"/>
          <w:szCs w:val="18"/>
        </w:rPr>
        <w:t>Source: Various, PwC analysis.</w:t>
      </w:r>
      <w:r w:rsidR="00B56CEB" w:rsidRPr="00B56CEB">
        <w:rPr>
          <w:sz w:val="18"/>
          <w:szCs w:val="18"/>
        </w:rPr>
        <w:t xml:space="preserve"> NBN</w:t>
      </w:r>
      <w:r w:rsidR="00B56CEB">
        <w:rPr>
          <w:sz w:val="18"/>
          <w:szCs w:val="18"/>
        </w:rPr>
        <w:t xml:space="preserve"> data used for Australia</w:t>
      </w:r>
      <w:r w:rsidR="00B56CEB" w:rsidRPr="00B56CEB">
        <w:rPr>
          <w:sz w:val="18"/>
          <w:szCs w:val="18"/>
        </w:rPr>
        <w:t>.</w:t>
      </w:r>
    </w:p>
    <w:p w:rsidR="004D4E30" w:rsidRDefault="00F759EA" w:rsidP="00E038FE">
      <w:pPr>
        <w:pStyle w:val="Heading3"/>
        <w:rPr>
          <w:lang w:val="x-none"/>
        </w:rPr>
      </w:pPr>
      <w:r>
        <w:t>Australians are tapped into the digital economy</w:t>
      </w:r>
    </w:p>
    <w:p w:rsidR="00804FD3" w:rsidRPr="00804FD3" w:rsidRDefault="00474414" w:rsidP="002B3569">
      <w:r>
        <w:t>The most recent d</w:t>
      </w:r>
      <w:r w:rsidR="00B26742">
        <w:t>ata on t</w:t>
      </w:r>
      <w:r w:rsidR="00995CA6">
        <w:t>he</w:t>
      </w:r>
      <w:r w:rsidR="00804FD3">
        <w:t xml:space="preserve"> total number of fixed broadband subscriptions and household</w:t>
      </w:r>
      <w:r>
        <w:t>s</w:t>
      </w:r>
      <w:r w:rsidR="00B26742">
        <w:t xml:space="preserve"> shows that</w:t>
      </w:r>
      <w:r>
        <w:t xml:space="preserve"> </w:t>
      </w:r>
      <w:r w:rsidR="00804FD3">
        <w:t>approximately 88 per cent of households in Australia ha</w:t>
      </w:r>
      <w:r>
        <w:t>d</w:t>
      </w:r>
      <w:r w:rsidR="00804FD3">
        <w:t xml:space="preserve"> a fixed broadband subscription</w:t>
      </w:r>
      <w:r>
        <w:t xml:space="preserve"> by December 2019</w:t>
      </w:r>
      <w:r w:rsidR="00804FD3">
        <w:t>.</w:t>
      </w:r>
      <w:r w:rsidR="00804FD3">
        <w:rPr>
          <w:rStyle w:val="EndnoteReference"/>
        </w:rPr>
        <w:endnoteReference w:id="5"/>
      </w:r>
      <w:r w:rsidR="00804FD3">
        <w:t xml:space="preserve"> This rank</w:t>
      </w:r>
      <w:r>
        <w:t>ed</w:t>
      </w:r>
      <w:r w:rsidR="00804FD3">
        <w:t xml:space="preserve"> Australia 8</w:t>
      </w:r>
      <w:r w:rsidR="00804FD3" w:rsidRPr="00804FD3">
        <w:rPr>
          <w:vertAlign w:val="superscript"/>
        </w:rPr>
        <w:t>th</w:t>
      </w:r>
      <w:r w:rsidR="00804FD3">
        <w:t xml:space="preserve"> out of 18 comparable countries, as shown in </w:t>
      </w:r>
      <w:r>
        <w:t>chart 4</w:t>
      </w:r>
      <w:r w:rsidR="00804FD3">
        <w:t>.</w:t>
      </w:r>
    </w:p>
    <w:p w:rsidR="00FC0B63" w:rsidRDefault="00CA3648" w:rsidP="00FC0B63">
      <w:pPr>
        <w:keepNext/>
      </w:pPr>
      <w:r>
        <w:rPr>
          <w:noProof/>
          <w:lang w:eastAsia="en-AU"/>
        </w:rPr>
        <w:drawing>
          <wp:inline distT="0" distB="0" distL="0" distR="0" wp14:anchorId="4F929F53" wp14:editId="4C901B91">
            <wp:extent cx="2907030" cy="1985645"/>
            <wp:effectExtent l="0" t="0" r="7620" b="0"/>
            <wp:docPr id="15" name="Picture 15" descr="Chart 4 - percentage of households with a fixed broadband subscription.&#10;&#10;Description: This chart is a bar chart that shows in descending order, from left to right, a subset of the countries identified as peers to Australia for broadband performance, in terms of the percentage of households with a fixed broadband subscription. The chart shows that 88 per cent of Australian households have a subscription to a fixed broadband service, ranking Australia eighth out of 18 comparable countries, which also include Switzerland, the United Kingdom, Norway, New Zealand, Belgium, Canada, Germany, the United States, Sweden, Israel, Denmark, Ireland, Japan, Austria, France Italy and Fin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07030" cy="1985645"/>
                    </a:xfrm>
                    <a:prstGeom prst="rect">
                      <a:avLst/>
                    </a:prstGeom>
                  </pic:spPr>
                </pic:pic>
              </a:graphicData>
            </a:graphic>
          </wp:inline>
        </w:drawing>
      </w:r>
      <w:r w:rsidR="00FC0B63" w:rsidRPr="00B56CEB">
        <w:rPr>
          <w:sz w:val="18"/>
          <w:szCs w:val="18"/>
        </w:rPr>
        <w:t>Source: Various, PwC analysis.</w:t>
      </w:r>
      <w:r w:rsidR="00B56CEB">
        <w:t xml:space="preserve"> </w:t>
      </w:r>
    </w:p>
    <w:p w:rsidR="00CF6CFD" w:rsidRPr="00804FD3" w:rsidRDefault="00804FD3" w:rsidP="00FC0B63">
      <w:pPr>
        <w:keepNext/>
      </w:pPr>
      <w:r w:rsidRPr="00804FD3">
        <w:rPr>
          <w:lang w:val="x-none"/>
        </w:rPr>
        <w:t xml:space="preserve">Australia’s uptake has grown </w:t>
      </w:r>
      <w:r w:rsidR="00B56CEB">
        <w:t>by more than 50 per cent</w:t>
      </w:r>
      <w:r w:rsidRPr="00804FD3">
        <w:rPr>
          <w:lang w:val="x-none"/>
        </w:rPr>
        <w:t xml:space="preserve"> </w:t>
      </w:r>
      <w:r w:rsidR="00B24B23">
        <w:rPr>
          <w:lang w:val="x-none"/>
        </w:rPr>
        <w:t>over the period of the NBN roll</w:t>
      </w:r>
      <w:r w:rsidRPr="00804FD3">
        <w:rPr>
          <w:lang w:val="x-none"/>
        </w:rPr>
        <w:t>out</w:t>
      </w:r>
      <w:r w:rsidR="00B24B23">
        <w:t>. Chart 5</w:t>
      </w:r>
      <w:r w:rsidRPr="00804FD3">
        <w:rPr>
          <w:lang w:val="x-none"/>
        </w:rPr>
        <w:t xml:space="preserve"> </w:t>
      </w:r>
      <w:r w:rsidR="00B24B23">
        <w:t xml:space="preserve">shows that </w:t>
      </w:r>
      <w:r w:rsidR="004741BC">
        <w:t>the</w:t>
      </w:r>
      <w:r w:rsidRPr="00804FD3">
        <w:rPr>
          <w:lang w:val="x-none"/>
        </w:rPr>
        <w:t xml:space="preserve"> percentage of households with a fixed broadband subscription in Australia has </w:t>
      </w:r>
      <w:r w:rsidR="00B04483">
        <w:rPr>
          <w:lang w:val="x-none"/>
        </w:rPr>
        <w:t>increase</w:t>
      </w:r>
      <w:r w:rsidR="007B304B">
        <w:rPr>
          <w:lang w:val="x-none"/>
        </w:rPr>
        <w:t>d from around 56 per cent to 88 </w:t>
      </w:r>
      <w:r w:rsidR="00B04483">
        <w:rPr>
          <w:lang w:val="x-none"/>
        </w:rPr>
        <w:t>per cent</w:t>
      </w:r>
      <w:r w:rsidRPr="00804FD3">
        <w:rPr>
          <w:lang w:val="x-none"/>
        </w:rPr>
        <w:t xml:space="preserve"> over the period from 2010 to 2019</w:t>
      </w:r>
      <w:r w:rsidR="000D1409">
        <w:t>.</w:t>
      </w:r>
    </w:p>
    <w:p w:rsidR="00CF6CFD" w:rsidRPr="00FC0B63" w:rsidRDefault="00CA3648" w:rsidP="00FC0B63">
      <w:pPr>
        <w:keepNext/>
      </w:pPr>
      <w:r>
        <w:rPr>
          <w:noProof/>
          <w:lang w:eastAsia="en-AU"/>
        </w:rPr>
        <w:drawing>
          <wp:inline distT="0" distB="0" distL="0" distR="0" wp14:anchorId="4F573CF5" wp14:editId="4E361DB1">
            <wp:extent cx="2667000" cy="2114550"/>
            <wp:effectExtent l="0" t="0" r="0" b="0"/>
            <wp:docPr id="18" name="Picture 18" descr="Chart 5 - percentage of Australian households with fixed broadband subscriptions.&#10;&#10;Description: This chart is a bar chart that shows in ascending order, from left to right, growth in the percentage of households with a fixed broadband subscription over the period 2010 to 2019. It shows that 88 per cent of Australian households had a fixed broadband subscription in 2019, up from 78 per cent in 2016, and 56 per cent in 2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0" cy="2114550"/>
                    </a:xfrm>
                    <a:prstGeom prst="rect">
                      <a:avLst/>
                    </a:prstGeom>
                  </pic:spPr>
                </pic:pic>
              </a:graphicData>
            </a:graphic>
          </wp:inline>
        </w:drawing>
      </w:r>
      <w:r w:rsidR="00FC0B63" w:rsidRPr="00B56CEB">
        <w:rPr>
          <w:sz w:val="18"/>
          <w:szCs w:val="18"/>
        </w:rPr>
        <w:t>Source: PwC analysis, World Bank, UN, OECD.</w:t>
      </w:r>
      <w:r w:rsidR="00B56CEB" w:rsidRPr="00B56CEB">
        <w:rPr>
          <w:sz w:val="18"/>
          <w:szCs w:val="18"/>
        </w:rPr>
        <w:t xml:space="preserve"> Includes both NBN and non-NBN subscriptions.</w:t>
      </w:r>
    </w:p>
    <w:p w:rsidR="00DE4FE2" w:rsidRDefault="00DE4FE2"/>
    <w:sectPr w:rsidR="00DE4FE2" w:rsidSect="00E038FE">
      <w:type w:val="continuous"/>
      <w:pgSz w:w="11906" w:h="16838" w:code="9"/>
      <w:pgMar w:top="1021" w:right="1021" w:bottom="1021" w:left="1021" w:header="510" w:footer="0"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48" w:rsidRDefault="00CA3648" w:rsidP="008456D5">
      <w:pPr>
        <w:spacing w:before="0" w:after="0"/>
      </w:pPr>
      <w:r>
        <w:separator/>
      </w:r>
    </w:p>
  </w:endnote>
  <w:endnote w:type="continuationSeparator" w:id="0">
    <w:p w:rsidR="00CA3648" w:rsidRDefault="00CA3648" w:rsidP="008456D5">
      <w:pPr>
        <w:spacing w:before="0" w:after="0"/>
      </w:pPr>
      <w:r>
        <w:continuationSeparator/>
      </w:r>
    </w:p>
  </w:endnote>
  <w:endnote w:id="1">
    <w:p w:rsidR="00F759EA" w:rsidRDefault="00F759EA">
      <w:pPr>
        <w:pStyle w:val="EndnoteText"/>
      </w:pPr>
      <w:r>
        <w:rPr>
          <w:rStyle w:val="EndnoteReference"/>
        </w:rPr>
        <w:endnoteRef/>
      </w:r>
      <w:r>
        <w:t xml:space="preserve"> </w:t>
      </w:r>
      <w:r w:rsidRPr="0021444E">
        <w:rPr>
          <w:sz w:val="18"/>
          <w:szCs w:val="18"/>
        </w:rPr>
        <w:t xml:space="preserve">Information presented in this fact sheet draws on the most recent data available for countries analysed, and may not always relate to the same period. </w:t>
      </w:r>
      <w:r w:rsidR="00B56CEB" w:rsidRPr="0021444E">
        <w:rPr>
          <w:sz w:val="18"/>
          <w:szCs w:val="18"/>
        </w:rPr>
        <w:t>‘Speeds’ refer to wholesale speeds.</w:t>
      </w:r>
      <w:r w:rsidR="0021444E">
        <w:t xml:space="preserve"> </w:t>
      </w:r>
      <w:r w:rsidR="0021444E" w:rsidRPr="005529DC">
        <w:rPr>
          <w:sz w:val="18"/>
          <w:szCs w:val="18"/>
        </w:rPr>
        <w:t>Limitations on the availability of appropriate data means that for some measures, analysis of different subsets of countries from the list of identified peer countries was required.</w:t>
      </w:r>
    </w:p>
  </w:endnote>
  <w:endnote w:id="2">
    <w:p w:rsidR="00501D48" w:rsidRPr="0021444E" w:rsidRDefault="00501D48" w:rsidP="00501D48">
      <w:pPr>
        <w:pStyle w:val="EndnoteText"/>
        <w:rPr>
          <w:sz w:val="18"/>
          <w:szCs w:val="18"/>
        </w:rPr>
      </w:pPr>
      <w:r>
        <w:rPr>
          <w:rStyle w:val="EndnoteReference"/>
        </w:rPr>
        <w:endnoteRef/>
      </w:r>
      <w:r>
        <w:t xml:space="preserve"> </w:t>
      </w:r>
      <w:r w:rsidR="00C20976" w:rsidRPr="0021444E">
        <w:rPr>
          <w:sz w:val="18"/>
          <w:szCs w:val="18"/>
        </w:rPr>
        <w:t>Data provide</w:t>
      </w:r>
      <w:r w:rsidR="00FC0B63" w:rsidRPr="0021444E">
        <w:rPr>
          <w:sz w:val="18"/>
          <w:szCs w:val="18"/>
        </w:rPr>
        <w:t>d</w:t>
      </w:r>
      <w:r w:rsidR="00C20976" w:rsidRPr="0021444E">
        <w:rPr>
          <w:sz w:val="18"/>
          <w:szCs w:val="18"/>
        </w:rPr>
        <w:t xml:space="preserve"> by NBNCo. </w:t>
      </w:r>
      <w:r w:rsidRPr="0021444E">
        <w:rPr>
          <w:sz w:val="18"/>
          <w:szCs w:val="18"/>
        </w:rPr>
        <w:t>Some premises are not yet ready to connect due to having complex connection requirements or being premises added to the fixed-line network in the final year of the build – comprising some new developments and premises previously designated to receive fixed wireless that were reallocated to fixed-line technology. The small proportion of premises defined as ‘complex connections’ includes those that are difficult to access or are in culturally significant areas and heritage sites. NBN Co expects to address 80% of these not yet ready to connect premises by the end of 2020.</w:t>
      </w:r>
    </w:p>
  </w:endnote>
  <w:endnote w:id="3">
    <w:p w:rsidR="00FC0B63" w:rsidRDefault="00FC0B63">
      <w:pPr>
        <w:pStyle w:val="EndnoteText"/>
      </w:pPr>
      <w:r>
        <w:rPr>
          <w:rStyle w:val="EndnoteReference"/>
        </w:rPr>
        <w:endnoteRef/>
      </w:r>
      <w:r>
        <w:t xml:space="preserve"> </w:t>
      </w:r>
      <w:r w:rsidRPr="0021444E">
        <w:rPr>
          <w:sz w:val="18"/>
          <w:szCs w:val="18"/>
        </w:rPr>
        <w:t>Based on data available to the Department, NBNCo.</w:t>
      </w:r>
    </w:p>
  </w:endnote>
  <w:endnote w:id="4">
    <w:p w:rsidR="00FC0B63" w:rsidRDefault="00FC0B63">
      <w:pPr>
        <w:pStyle w:val="EndnoteText"/>
      </w:pPr>
      <w:r>
        <w:rPr>
          <w:rStyle w:val="EndnoteReference"/>
        </w:rPr>
        <w:endnoteRef/>
      </w:r>
      <w:r>
        <w:t xml:space="preserve"> </w:t>
      </w:r>
      <w:r w:rsidRPr="0021444E">
        <w:rPr>
          <w:sz w:val="18"/>
          <w:szCs w:val="18"/>
        </w:rPr>
        <w:t>Based on data available to the Department, NBNCo.</w:t>
      </w:r>
    </w:p>
  </w:endnote>
  <w:endnote w:id="5">
    <w:p w:rsidR="00804FD3" w:rsidRDefault="00804FD3">
      <w:pPr>
        <w:pStyle w:val="EndnoteText"/>
      </w:pPr>
      <w:r>
        <w:rPr>
          <w:rStyle w:val="EndnoteReference"/>
        </w:rPr>
        <w:endnoteRef/>
      </w:r>
      <w:r>
        <w:t xml:space="preserve"> </w:t>
      </w:r>
      <w:r w:rsidR="00FC0B63" w:rsidRPr="0021444E">
        <w:rPr>
          <w:sz w:val="18"/>
          <w:szCs w:val="18"/>
        </w:rPr>
        <w:t>Includes</w:t>
      </w:r>
      <w:r w:rsidRPr="0021444E">
        <w:rPr>
          <w:sz w:val="18"/>
          <w:szCs w:val="18"/>
        </w:rPr>
        <w:t xml:space="preserve"> NBN and non-NBN subscriptions.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E" w:rsidRDefault="00E038FE" w:rsidP="00E038FE">
    <w:pPr>
      <w:pStyle w:val="Footer"/>
      <w:spacing w:before="360" w:after="120"/>
    </w:pPr>
    <w:r w:rsidRPr="00E038FE">
      <w:t>Fact sheet—International comparison of fixed broadband performance</w:t>
    </w:r>
    <w:r w:rsidRPr="00E038FE">
      <w:tab/>
    </w:r>
    <w:sdt>
      <w:sdtPr>
        <w:id w:val="-1069572547"/>
        <w:docPartObj>
          <w:docPartGallery w:val="Page Numbers (Bottom of Page)"/>
          <w:docPartUnique/>
        </w:docPartObj>
      </w:sdtPr>
      <w:sdtContent>
        <w:r w:rsidRPr="00E038FE">
          <w:fldChar w:fldCharType="begin"/>
        </w:r>
        <w:r w:rsidRPr="00E038FE">
          <w:instrText xml:space="preserve"> PAGE   \* MERGEFORMAT </w:instrText>
        </w:r>
        <w:r w:rsidRPr="00E038FE">
          <w:fldChar w:fldCharType="separate"/>
        </w:r>
        <w:r>
          <w:rPr>
            <w:noProof/>
          </w:rPr>
          <w:t>2</w:t>
        </w:r>
        <w:r w:rsidRPr="00E038FE">
          <w:fldChar w:fldCharType="end"/>
        </w:r>
      </w:sdtContent>
    </w:sdt>
  </w:p>
  <w:p w:rsidR="00E038FE" w:rsidRDefault="00E038FE" w:rsidP="00E038FE">
    <w:pPr>
      <w:pStyle w:val="Footer"/>
      <w:spacing w:before="120"/>
      <w:ind w:left="-993"/>
    </w:pPr>
    <w:r>
      <w:rPr>
        <w:noProof/>
        <w:lang w:eastAsia="en-AU"/>
      </w:rPr>
      <w:drawing>
        <wp:inline distT="0" distB="0" distL="0" distR="0" wp14:anchorId="73CC5C12" wp14:editId="01F50306">
          <wp:extent cx="7596000" cy="129912"/>
          <wp:effectExtent l="0" t="0" r="0" b="381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E" w:rsidRDefault="00E038FE" w:rsidP="00E038FE">
    <w:pPr>
      <w:pStyle w:val="Footer"/>
      <w:spacing w:before="360" w:after="120"/>
    </w:pPr>
    <w:r w:rsidRPr="00E038FE">
      <w:t>Fact sheet—International comparison of fixed broadband performance</w:t>
    </w:r>
    <w:r w:rsidRPr="00E038FE">
      <w:tab/>
    </w:r>
    <w:sdt>
      <w:sdtPr>
        <w:id w:val="-846480834"/>
        <w:docPartObj>
          <w:docPartGallery w:val="Page Numbers (Bottom of Page)"/>
          <w:docPartUnique/>
        </w:docPartObj>
      </w:sdtPr>
      <w:sdtContent>
        <w:r w:rsidRPr="00E038FE">
          <w:fldChar w:fldCharType="begin"/>
        </w:r>
        <w:r w:rsidRPr="00E038FE">
          <w:instrText xml:space="preserve"> PAGE   \* MERGEFORMAT </w:instrText>
        </w:r>
        <w:r w:rsidRPr="00E038FE">
          <w:fldChar w:fldCharType="separate"/>
        </w:r>
        <w:r>
          <w:rPr>
            <w:noProof/>
          </w:rPr>
          <w:t>1</w:t>
        </w:r>
        <w:r w:rsidRPr="00E038FE">
          <w:fldChar w:fldCharType="end"/>
        </w:r>
      </w:sdtContent>
    </w:sdt>
  </w:p>
  <w:p w:rsidR="00E038FE" w:rsidRDefault="00E038FE" w:rsidP="00E038FE">
    <w:pPr>
      <w:pStyle w:val="Footer"/>
      <w:spacing w:before="120"/>
      <w:ind w:left="-993"/>
    </w:pPr>
    <w:r>
      <w:rPr>
        <w:noProof/>
        <w:lang w:eastAsia="en-AU"/>
      </w:rPr>
      <w:drawing>
        <wp:inline distT="0" distB="0" distL="0" distR="0" wp14:anchorId="69B4E57A" wp14:editId="5BD4606C">
          <wp:extent cx="7596000" cy="129912"/>
          <wp:effectExtent l="0" t="0" r="0" b="381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48" w:rsidRPr="005912BE" w:rsidRDefault="00CA3648" w:rsidP="005912BE">
      <w:pPr>
        <w:spacing w:before="300"/>
        <w:rPr>
          <w:color w:val="4BB3B5" w:themeColor="accent2"/>
        </w:rPr>
      </w:pPr>
      <w:r>
        <w:rPr>
          <w:color w:val="4BB3B5" w:themeColor="accent2"/>
        </w:rPr>
        <w:t>----------</w:t>
      </w:r>
    </w:p>
  </w:footnote>
  <w:footnote w:type="continuationSeparator" w:id="0">
    <w:p w:rsidR="00CA3648" w:rsidRDefault="00CA364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E" w:rsidRDefault="007A05BE" w:rsidP="000C1781">
    <w:pPr>
      <w:pStyle w:val="Header"/>
      <w:spacing w:after="13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48"/>
    <w:rsid w:val="0001430B"/>
    <w:rsid w:val="00096BFE"/>
    <w:rsid w:val="000C1781"/>
    <w:rsid w:val="000D1409"/>
    <w:rsid w:val="000E24BA"/>
    <w:rsid w:val="000E5674"/>
    <w:rsid w:val="001349C6"/>
    <w:rsid w:val="00151119"/>
    <w:rsid w:val="001556B6"/>
    <w:rsid w:val="001B7645"/>
    <w:rsid w:val="0021444E"/>
    <w:rsid w:val="002254D5"/>
    <w:rsid w:val="0022611D"/>
    <w:rsid w:val="0026422D"/>
    <w:rsid w:val="00277F48"/>
    <w:rsid w:val="00284164"/>
    <w:rsid w:val="002B3569"/>
    <w:rsid w:val="002B7197"/>
    <w:rsid w:val="002C4F6B"/>
    <w:rsid w:val="002E1ADA"/>
    <w:rsid w:val="003720E9"/>
    <w:rsid w:val="003A6F30"/>
    <w:rsid w:val="003A7ECB"/>
    <w:rsid w:val="003C625A"/>
    <w:rsid w:val="003F775D"/>
    <w:rsid w:val="00420F04"/>
    <w:rsid w:val="00450D0E"/>
    <w:rsid w:val="004741BC"/>
    <w:rsid w:val="00474414"/>
    <w:rsid w:val="00477E77"/>
    <w:rsid w:val="004A095C"/>
    <w:rsid w:val="004C1A52"/>
    <w:rsid w:val="004D4E30"/>
    <w:rsid w:val="00501D48"/>
    <w:rsid w:val="00541213"/>
    <w:rsid w:val="00546218"/>
    <w:rsid w:val="005912BE"/>
    <w:rsid w:val="005C0101"/>
    <w:rsid w:val="005F794B"/>
    <w:rsid w:val="00617611"/>
    <w:rsid w:val="00686A7B"/>
    <w:rsid w:val="006A266A"/>
    <w:rsid w:val="006A5F22"/>
    <w:rsid w:val="006C0309"/>
    <w:rsid w:val="006C2AFD"/>
    <w:rsid w:val="006E1ECA"/>
    <w:rsid w:val="006F3FD2"/>
    <w:rsid w:val="00756C9D"/>
    <w:rsid w:val="00794349"/>
    <w:rsid w:val="007A05BE"/>
    <w:rsid w:val="007B304B"/>
    <w:rsid w:val="00804FD3"/>
    <w:rsid w:val="008067A1"/>
    <w:rsid w:val="00812503"/>
    <w:rsid w:val="008456D5"/>
    <w:rsid w:val="0084634B"/>
    <w:rsid w:val="00854B98"/>
    <w:rsid w:val="008A1887"/>
    <w:rsid w:val="008B5AD0"/>
    <w:rsid w:val="008B6A81"/>
    <w:rsid w:val="008E2A0D"/>
    <w:rsid w:val="0093419E"/>
    <w:rsid w:val="00995CA6"/>
    <w:rsid w:val="009B00F2"/>
    <w:rsid w:val="009B68A2"/>
    <w:rsid w:val="009D02D4"/>
    <w:rsid w:val="00A070A2"/>
    <w:rsid w:val="00A95970"/>
    <w:rsid w:val="00A96DA6"/>
    <w:rsid w:val="00AA208E"/>
    <w:rsid w:val="00AD7703"/>
    <w:rsid w:val="00B04483"/>
    <w:rsid w:val="00B15410"/>
    <w:rsid w:val="00B24B23"/>
    <w:rsid w:val="00B26742"/>
    <w:rsid w:val="00B36EB7"/>
    <w:rsid w:val="00B42AC2"/>
    <w:rsid w:val="00B56CEB"/>
    <w:rsid w:val="00BA6587"/>
    <w:rsid w:val="00BB3AAC"/>
    <w:rsid w:val="00BE3AD8"/>
    <w:rsid w:val="00C20976"/>
    <w:rsid w:val="00C43CEC"/>
    <w:rsid w:val="00CA3648"/>
    <w:rsid w:val="00CD233E"/>
    <w:rsid w:val="00CE3E87"/>
    <w:rsid w:val="00CF6CFD"/>
    <w:rsid w:val="00D02062"/>
    <w:rsid w:val="00D37779"/>
    <w:rsid w:val="00D5655E"/>
    <w:rsid w:val="00DA17D2"/>
    <w:rsid w:val="00DE4362"/>
    <w:rsid w:val="00DE4FE2"/>
    <w:rsid w:val="00E038FE"/>
    <w:rsid w:val="00E04908"/>
    <w:rsid w:val="00E94FDD"/>
    <w:rsid w:val="00E95BA5"/>
    <w:rsid w:val="00F11869"/>
    <w:rsid w:val="00F1428D"/>
    <w:rsid w:val="00F20BD4"/>
    <w:rsid w:val="00F67CDB"/>
    <w:rsid w:val="00F759EA"/>
    <w:rsid w:val="00FC0B63"/>
    <w:rsid w:val="00FC32B2"/>
    <w:rsid w:val="00FC34AF"/>
    <w:rsid w:val="00FF5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BD942"/>
  <w15:chartTrackingRefBased/>
  <w15:docId w15:val="{149C5F1A-E82E-445A-A2F2-364CFF3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Heading1"/>
    <w:next w:val="Normal"/>
    <w:link w:val="Heading2Char"/>
    <w:uiPriority w:val="9"/>
    <w:unhideWhenUsed/>
    <w:qFormat/>
    <w:rsid w:val="00E038FE"/>
    <w:pPr>
      <w:spacing w:before="120"/>
      <w:outlineLvl w:val="1"/>
    </w:pPr>
  </w:style>
  <w:style w:type="paragraph" w:styleId="Heading3">
    <w:name w:val="heading 3"/>
    <w:basedOn w:val="Heading4"/>
    <w:next w:val="Normal"/>
    <w:link w:val="Heading3Char"/>
    <w:uiPriority w:val="9"/>
    <w:unhideWhenUsed/>
    <w:qFormat/>
    <w:rsid w:val="00E038FE"/>
    <w:pPr>
      <w:spacing w:before="120" w:after="0"/>
      <w:outlineLvl w:val="2"/>
    </w:pPr>
    <w:rPr>
      <w:color w:val="64646A"/>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4BB3B5" w:themeColor="accent2"/>
      <w:sz w:val="44"/>
      <w:szCs w:val="22"/>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4BB3B5" w:themeColor="accent2"/>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E038FE"/>
    <w:rPr>
      <w:rFonts w:asciiTheme="majorHAnsi" w:eastAsiaTheme="majorEastAsia" w:hAnsiTheme="majorHAnsi" w:cstheme="majorBidi"/>
      <w:color w:val="081E3E" w:themeColor="text2"/>
      <w:kern w:val="12"/>
      <w:sz w:val="44"/>
      <w:szCs w:val="32"/>
    </w:rPr>
  </w:style>
  <w:style w:type="paragraph" w:customStyle="1" w:styleId="Introduction">
    <w:name w:val="Introduction"/>
    <w:basedOn w:val="Normal"/>
    <w:uiPriority w:val="2"/>
    <w:qFormat/>
    <w:rsid w:val="005F794B"/>
    <w:pPr>
      <w:spacing w:before="240" w:after="240"/>
    </w:pPr>
    <w:rPr>
      <w:color w:val="4BB3B5" w:themeColor="accent2"/>
      <w:sz w:val="26"/>
      <w:lang w:val="x-none"/>
    </w:rPr>
  </w:style>
  <w:style w:type="character" w:customStyle="1" w:styleId="Heading3Char">
    <w:name w:val="Heading 3 Char"/>
    <w:basedOn w:val="DefaultParagraphFont"/>
    <w:link w:val="Heading3"/>
    <w:uiPriority w:val="9"/>
    <w:rsid w:val="00E038FE"/>
    <w:rPr>
      <w:rFonts w:asciiTheme="majorHAnsi" w:eastAsiaTheme="majorEastAsia" w:hAnsiTheme="majorHAnsi" w:cstheme="majorBidi"/>
      <w:b/>
      <w:iCs/>
      <w:color w:val="64646A"/>
      <w:kern w:val="12"/>
      <w:sz w:val="26"/>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EndnoteText">
    <w:name w:val="endnote text"/>
    <w:basedOn w:val="Normal"/>
    <w:link w:val="EndnoteTextChar"/>
    <w:uiPriority w:val="99"/>
    <w:semiHidden/>
    <w:unhideWhenUsed/>
    <w:rsid w:val="00804FD3"/>
    <w:pPr>
      <w:spacing w:before="0" w:after="0"/>
    </w:pPr>
  </w:style>
  <w:style w:type="character" w:customStyle="1" w:styleId="EndnoteTextChar">
    <w:name w:val="Endnote Text Char"/>
    <w:basedOn w:val="DefaultParagraphFont"/>
    <w:link w:val="EndnoteText"/>
    <w:uiPriority w:val="99"/>
    <w:semiHidden/>
    <w:rsid w:val="00804FD3"/>
    <w:rPr>
      <w:kern w:val="12"/>
    </w:rPr>
  </w:style>
  <w:style w:type="character" w:styleId="EndnoteReference">
    <w:name w:val="endnote reference"/>
    <w:basedOn w:val="DefaultParagraphFont"/>
    <w:uiPriority w:val="99"/>
    <w:semiHidden/>
    <w:unhideWhenUsed/>
    <w:rsid w:val="00804FD3"/>
    <w:rPr>
      <w:vertAlign w:val="superscript"/>
    </w:rPr>
  </w:style>
  <w:style w:type="paragraph" w:styleId="BalloonText">
    <w:name w:val="Balloon Text"/>
    <w:basedOn w:val="Normal"/>
    <w:link w:val="BalloonTextChar"/>
    <w:uiPriority w:val="99"/>
    <w:semiHidden/>
    <w:unhideWhenUsed/>
    <w:rsid w:val="00995C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A6"/>
    <w:rPr>
      <w:rFonts w:ascii="Segoe UI" w:hAnsi="Segoe UI" w:cs="Segoe UI"/>
      <w:kern w:val="12"/>
      <w:sz w:val="18"/>
      <w:szCs w:val="18"/>
    </w:rPr>
  </w:style>
  <w:style w:type="character" w:styleId="CommentReference">
    <w:name w:val="annotation reference"/>
    <w:basedOn w:val="DefaultParagraphFont"/>
    <w:uiPriority w:val="99"/>
    <w:semiHidden/>
    <w:unhideWhenUsed/>
    <w:rsid w:val="00995CA6"/>
    <w:rPr>
      <w:sz w:val="16"/>
      <w:szCs w:val="16"/>
    </w:rPr>
  </w:style>
  <w:style w:type="paragraph" w:styleId="CommentText">
    <w:name w:val="annotation text"/>
    <w:basedOn w:val="Normal"/>
    <w:link w:val="CommentTextChar"/>
    <w:uiPriority w:val="99"/>
    <w:semiHidden/>
    <w:unhideWhenUsed/>
    <w:rsid w:val="00995CA6"/>
  </w:style>
  <w:style w:type="character" w:customStyle="1" w:styleId="CommentTextChar">
    <w:name w:val="Comment Text Char"/>
    <w:basedOn w:val="DefaultParagraphFont"/>
    <w:link w:val="CommentText"/>
    <w:uiPriority w:val="99"/>
    <w:semiHidden/>
    <w:rsid w:val="00995CA6"/>
    <w:rPr>
      <w:kern w:val="12"/>
    </w:rPr>
  </w:style>
  <w:style w:type="paragraph" w:styleId="CommentSubject">
    <w:name w:val="annotation subject"/>
    <w:basedOn w:val="CommentText"/>
    <w:next w:val="CommentText"/>
    <w:link w:val="CommentSubjectChar"/>
    <w:uiPriority w:val="99"/>
    <w:semiHidden/>
    <w:unhideWhenUsed/>
    <w:rsid w:val="00995CA6"/>
    <w:rPr>
      <w:b/>
      <w:bCs/>
    </w:rPr>
  </w:style>
  <w:style w:type="character" w:customStyle="1" w:styleId="CommentSubjectChar">
    <w:name w:val="Comment Subject Char"/>
    <w:basedOn w:val="CommentTextChar"/>
    <w:link w:val="CommentSubject"/>
    <w:uiPriority w:val="99"/>
    <w:semiHidden/>
    <w:rsid w:val="00995CA6"/>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6B821.D72228E0" TargetMode="Externa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y\AppData\Local\Microsoft\Windows\INetCache\Content.Outlook\GMOEWIKS\International%20comparison%20of%20fixed%20broadband%20performance%20coverage%20and%20minimum%20speeds%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2CD39AEB244D9A026AAECB7BB6233"/>
        <w:category>
          <w:name w:val="General"/>
          <w:gallery w:val="placeholder"/>
        </w:category>
        <w:types>
          <w:type w:val="bbPlcHdr"/>
        </w:types>
        <w:behaviors>
          <w:behavior w:val="content"/>
        </w:behaviors>
        <w:guid w:val="{BA84329B-F81C-4836-8A74-A1C39AF305D7}"/>
      </w:docPartPr>
      <w:docPartBody>
        <w:p w:rsidR="00C447C2" w:rsidRDefault="00C447C2">
          <w:pPr>
            <w:pStyle w:val="5D32CD39AEB244D9A026AAECB7BB623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C2"/>
    <w:rsid w:val="00C44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32CD39AEB244D9A026AAECB7BB6233">
    <w:name w:val="5D32CD39AEB244D9A026AAECB7BB6233"/>
  </w:style>
  <w:style w:type="paragraph" w:customStyle="1" w:styleId="053038222B5B41ACB8BD749F63B80241">
    <w:name w:val="053038222B5B41ACB8BD749F63B8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91a0098f7af4c6482389654131228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4F74BD-B062-44EE-B36E-B2F9A897C8B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B302F89-4D24-4615-9653-AC56FA8EF839}">
  <ds:schemaRefs>
    <ds:schemaRef ds:uri="http://schemas.microsoft.com/sharepoint/v3/contenttype/forms"/>
  </ds:schemaRefs>
</ds:datastoreItem>
</file>

<file path=customXml/itemProps4.xml><?xml version="1.0" encoding="utf-8"?>
<ds:datastoreItem xmlns:ds="http://schemas.openxmlformats.org/officeDocument/2006/customXml" ds:itemID="{D99CEC1B-F57A-49EA-A7E8-4E24C6E27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6F7B469-CB48-413A-BB43-DC7F8364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 comparison of fixed broadband performance coverage and minimum speeds (002).dotx</Template>
  <TotalTime>14</TotalTime>
  <Pages>2</Pages>
  <Words>392</Words>
  <Characters>2201</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International comparison of fixed broadband performance – coverage and minimum speeds</vt:lpstr>
    </vt:vector>
  </TitlesOfParts>
  <Company>Department of Infrastructure, Transport, Regional Development and Communications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comparison of fixed broadband performance – coverage and minimum speeds</dc:title>
  <dc:subject/>
  <dc:creator>Department of Infrastructure, Transport, Regional Development and Communications</dc:creator>
  <cp:keywords/>
  <dc:description/>
  <cp:lastModifiedBy>Hall, Theresa</cp:lastModifiedBy>
  <cp:revision>4</cp:revision>
  <cp:lastPrinted>2020-11-10T06:04:00Z</cp:lastPrinted>
  <dcterms:created xsi:type="dcterms:W3CDTF">2020-11-27T05:15:00Z</dcterms:created>
  <dcterms:modified xsi:type="dcterms:W3CDTF">2020-11-27T05:38:00Z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TrimRevisionNumber">
    <vt:i4>10</vt:i4>
  </property>
</Properties>
</file>