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82AAA" w14:textId="1EC98DFD" w:rsidR="00DB01CB" w:rsidRPr="004D7461" w:rsidRDefault="00353213" w:rsidP="004D7461">
      <w:pPr>
        <w:spacing w:after="240"/>
        <w:ind w:left="-993"/>
      </w:pPr>
      <w:r w:rsidRPr="004D7461">
        <w:rPr>
          <w:noProof/>
        </w:rPr>
        <w:drawing>
          <wp:inline distT="0" distB="0" distL="0" distR="0" wp14:anchorId="3558E140" wp14:editId="44D959FA">
            <wp:extent cx="7561399" cy="1940943"/>
            <wp:effectExtent l="0" t="0" r="1905" b="2540"/>
            <wp:docPr id="21" name="Picture 21" descr="Department logo&#10;&#10;Australian Government&#10;Department of Infrastructure, Transport, Regional Development, Communications and the Arts&#10;&#10;&#10;BCARR Logo&#10;&#10;Bureau of Communications, Arts and Regional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anner--bcarr--9september2022--v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87891" cy="1947743"/>
                    </a:xfrm>
                    <a:prstGeom prst="rect">
                      <a:avLst/>
                    </a:prstGeom>
                  </pic:spPr>
                </pic:pic>
              </a:graphicData>
            </a:graphic>
          </wp:inline>
        </w:drawing>
      </w:r>
    </w:p>
    <w:p w14:paraId="1F7A6161" w14:textId="44D3FAC5" w:rsidR="00DB01CB" w:rsidRPr="004D7461" w:rsidRDefault="00DB01CB" w:rsidP="004D7461">
      <w:pPr>
        <w:pStyle w:val="Heading1"/>
      </w:pPr>
      <w:bookmarkStart w:id="0" w:name="_GoBack"/>
      <w:r w:rsidRPr="004D7461">
        <w:t>FAQ: Cultural and Creative Activity in Australia, 2010–11 to 2019–2020</w:t>
      </w:r>
    </w:p>
    <w:bookmarkEnd w:id="0"/>
    <w:p w14:paraId="34F68089" w14:textId="77777777" w:rsidR="00DB01CB" w:rsidRPr="004D7461" w:rsidRDefault="00DB01CB" w:rsidP="004D7461">
      <w:pPr>
        <w:rPr>
          <w:rFonts w:eastAsia="Calibri" w:cs="Times New Roman"/>
          <w:b/>
          <w:color w:val="081E3E"/>
          <w:kern w:val="12"/>
          <w:sz w:val="24"/>
          <w:szCs w:val="24"/>
        </w:rPr>
      </w:pPr>
      <w:r w:rsidRPr="004D7461">
        <w:rPr>
          <w:rFonts w:eastAsia="Calibri" w:cs="Times New Roman"/>
          <w:b/>
          <w:color w:val="081E3E"/>
          <w:kern w:val="12"/>
          <w:sz w:val="24"/>
          <w:szCs w:val="24"/>
        </w:rPr>
        <w:t>October 2022</w:t>
      </w:r>
    </w:p>
    <w:p w14:paraId="216DAF9C" w14:textId="77777777" w:rsidR="00DB01CB" w:rsidRPr="004D7461" w:rsidRDefault="00DB01CB" w:rsidP="004D7461">
      <w:pPr>
        <w:pBdr>
          <w:bottom w:val="single" w:sz="4" w:space="1" w:color="C0D48F" w:themeColor="accent5"/>
        </w:pBdr>
      </w:pPr>
    </w:p>
    <w:p w14:paraId="06CAA6EB" w14:textId="77777777" w:rsidR="00E95BA5" w:rsidRPr="004D7461" w:rsidRDefault="00E95BA5" w:rsidP="004D7461">
      <w:bookmarkStart w:id="1" w:name="_Toc49855348"/>
    </w:p>
    <w:p w14:paraId="04344F72" w14:textId="77777777" w:rsidR="00E95BA5" w:rsidRPr="004D7461" w:rsidRDefault="00E95BA5" w:rsidP="004D7461">
      <w:pPr>
        <w:pStyle w:val="Heading1"/>
        <w:sectPr w:rsidR="00E95BA5" w:rsidRPr="004D7461" w:rsidSect="00AF3A4D">
          <w:headerReference w:type="even" r:id="rId13"/>
          <w:headerReference w:type="default" r:id="rId14"/>
          <w:footerReference w:type="even" r:id="rId15"/>
          <w:footerReference w:type="default" r:id="rId16"/>
          <w:footerReference w:type="first" r:id="rId17"/>
          <w:pgSz w:w="11906" w:h="16838" w:code="9"/>
          <w:pgMar w:top="0" w:right="1021" w:bottom="1021" w:left="1021" w:header="340" w:footer="0" w:gutter="0"/>
          <w:cols w:space="708"/>
          <w:titlePg/>
          <w:docGrid w:linePitch="360"/>
        </w:sectPr>
      </w:pPr>
    </w:p>
    <w:p w14:paraId="65D87778" w14:textId="77777777" w:rsidR="005F794B" w:rsidRPr="004D7461" w:rsidRDefault="00BF6631" w:rsidP="004D7461">
      <w:pPr>
        <w:pStyle w:val="Heading2"/>
      </w:pPr>
      <w:r w:rsidRPr="004D7461">
        <w:t>Overview</w:t>
      </w:r>
      <w:bookmarkEnd w:id="1"/>
    </w:p>
    <w:p w14:paraId="3C6C1321" w14:textId="77777777" w:rsidR="00BF6631" w:rsidRPr="004D7461" w:rsidRDefault="00BF6631" w:rsidP="004D7461">
      <w:pPr>
        <w:pStyle w:val="Heading3"/>
      </w:pPr>
      <w:r w:rsidRPr="004D7461">
        <w:t>What is the purpose of this publication?</w:t>
      </w:r>
    </w:p>
    <w:p w14:paraId="1926BF58" w14:textId="3EA883F6" w:rsidR="00BF6631" w:rsidRPr="004D7461" w:rsidRDefault="00BF6631" w:rsidP="004D7461">
      <w:pPr>
        <w:rPr>
          <w:lang w:val="x-none"/>
        </w:rPr>
      </w:pPr>
      <w:r w:rsidRPr="004D7461">
        <w:rPr>
          <w:lang w:val="x-none"/>
        </w:rPr>
        <w:t>This publication quantifies the economic contribution of cultural and creative activity in Australia from 20</w:t>
      </w:r>
      <w:r w:rsidRPr="004D7461">
        <w:rPr>
          <w:lang w:val="en-US"/>
        </w:rPr>
        <w:t>10</w:t>
      </w:r>
      <w:r w:rsidR="00DA29E7" w:rsidRPr="004D7461">
        <w:rPr>
          <w:lang w:val="x-none"/>
        </w:rPr>
        <w:t>–‍</w:t>
      </w:r>
      <w:r w:rsidRPr="004D7461">
        <w:t>1</w:t>
      </w:r>
      <w:r w:rsidRPr="004D7461">
        <w:rPr>
          <w:lang w:val="en-US"/>
        </w:rPr>
        <w:t>1</w:t>
      </w:r>
      <w:r w:rsidRPr="004D7461">
        <w:rPr>
          <w:lang w:val="x-none"/>
        </w:rPr>
        <w:t xml:space="preserve"> to 20</w:t>
      </w:r>
      <w:r w:rsidRPr="004D7461">
        <w:rPr>
          <w:lang w:val="en-US"/>
        </w:rPr>
        <w:t>19</w:t>
      </w:r>
      <w:r w:rsidRPr="004D7461">
        <w:rPr>
          <w:lang w:val="x-none"/>
        </w:rPr>
        <w:t>–</w:t>
      </w:r>
      <w:r w:rsidRPr="004D7461">
        <w:rPr>
          <w:lang w:val="en-US"/>
        </w:rPr>
        <w:t>20</w:t>
      </w:r>
      <w:r w:rsidRPr="004D7461">
        <w:rPr>
          <w:lang w:val="x-none"/>
        </w:rPr>
        <w:t xml:space="preserve">. Cultural and creative activity is recognised as an important component of economic growth. It has the potential to </w:t>
      </w:r>
      <w:r w:rsidRPr="004D7461">
        <w:t xml:space="preserve">continue to </w:t>
      </w:r>
      <w:r w:rsidRPr="004D7461">
        <w:rPr>
          <w:lang w:val="x-none"/>
        </w:rPr>
        <w:t>increase as the economy transforms through the growing use of advanced technologies and the rise of automation.</w:t>
      </w:r>
    </w:p>
    <w:p w14:paraId="7E874B16" w14:textId="77777777" w:rsidR="00BF6631" w:rsidRPr="004D7461" w:rsidRDefault="00BF6631" w:rsidP="004D7461">
      <w:r w:rsidRPr="004D7461">
        <w:rPr>
          <w:lang w:val="x-none"/>
        </w:rPr>
        <w:t>This publication provides an update to the Bureau of Communications</w:t>
      </w:r>
      <w:r w:rsidRPr="004D7461">
        <w:t>,</w:t>
      </w:r>
      <w:r w:rsidRPr="004D7461">
        <w:rPr>
          <w:lang w:val="x-none"/>
        </w:rPr>
        <w:t xml:space="preserve"> Arts </w:t>
      </w:r>
      <w:r w:rsidRPr="004D7461">
        <w:t xml:space="preserve">and Regional </w:t>
      </w:r>
      <w:r w:rsidRPr="004D7461">
        <w:rPr>
          <w:lang w:val="x-none"/>
        </w:rPr>
        <w:t>Research (BCAR</w:t>
      </w:r>
      <w:r w:rsidRPr="004D7461">
        <w:t>R</w:t>
      </w:r>
      <w:r w:rsidRPr="004D7461">
        <w:rPr>
          <w:lang w:val="x-none"/>
        </w:rPr>
        <w:t xml:space="preserve">) working paper </w:t>
      </w:r>
      <w:hyperlink r:id="rId18" w:history="1">
        <w:r w:rsidRPr="004D7461">
          <w:rPr>
            <w:rStyle w:val="Hyperlink"/>
            <w:lang w:val="x-none"/>
          </w:rPr>
          <w:t>Cultural and creative activity in Australia, 2008–09 to 2016–17</w:t>
        </w:r>
      </w:hyperlink>
      <w:r w:rsidRPr="004D7461">
        <w:rPr>
          <w:lang w:val="x-none"/>
        </w:rPr>
        <w:t xml:space="preserve"> released in October 2018</w:t>
      </w:r>
      <w:r w:rsidRPr="004D7461">
        <w:t xml:space="preserve"> and the following visual summaries:</w:t>
      </w:r>
    </w:p>
    <w:p w14:paraId="6021927B" w14:textId="77777777" w:rsidR="00DA29E7" w:rsidRPr="004D7461" w:rsidRDefault="003E1AF9" w:rsidP="004D7461">
      <w:pPr>
        <w:pStyle w:val="Listparagraphbullets"/>
        <w:tabs>
          <w:tab w:val="left" w:pos="720"/>
        </w:tabs>
        <w:spacing w:after="0"/>
      </w:pPr>
      <w:hyperlink r:id="rId19" w:history="1">
        <w:r w:rsidR="00BF6631" w:rsidRPr="004D7461">
          <w:rPr>
            <w:rStyle w:val="Hyperlink"/>
            <w:lang w:val="x-none"/>
          </w:rPr>
          <w:t>Cultural and creative activity in Australia, 2008–09 to 201</w:t>
        </w:r>
        <w:r w:rsidR="00BF6631" w:rsidRPr="004D7461">
          <w:rPr>
            <w:rStyle w:val="Hyperlink"/>
          </w:rPr>
          <w:t>7</w:t>
        </w:r>
        <w:r w:rsidR="00BF6631" w:rsidRPr="004D7461">
          <w:rPr>
            <w:rStyle w:val="Hyperlink"/>
            <w:lang w:val="x-none"/>
          </w:rPr>
          <w:t>–1</w:t>
        </w:r>
        <w:r w:rsidR="00BF6631" w:rsidRPr="004D7461">
          <w:rPr>
            <w:rStyle w:val="Hyperlink"/>
          </w:rPr>
          <w:t>8</w:t>
        </w:r>
      </w:hyperlink>
      <w:r w:rsidR="00BF6631" w:rsidRPr="004D7461">
        <w:rPr>
          <w:lang w:val="x-none"/>
        </w:rPr>
        <w:t xml:space="preserve"> </w:t>
      </w:r>
      <w:r w:rsidR="00BF6631" w:rsidRPr="004D7461">
        <w:t>released in October 2020</w:t>
      </w:r>
      <w:r w:rsidR="00BF6631" w:rsidRPr="004D7461">
        <w:rPr>
          <w:lang w:val="en-US"/>
        </w:rPr>
        <w:t>; and</w:t>
      </w:r>
    </w:p>
    <w:p w14:paraId="2B70BC9B" w14:textId="2212F95A" w:rsidR="00DA29E7" w:rsidRPr="004D7461" w:rsidRDefault="003E1AF9" w:rsidP="004D7461">
      <w:pPr>
        <w:pStyle w:val="Listparagraphbullets"/>
      </w:pPr>
      <w:hyperlink r:id="rId20" w:history="1">
        <w:r w:rsidR="00BF6631" w:rsidRPr="004D7461">
          <w:rPr>
            <w:rStyle w:val="Hyperlink"/>
            <w:lang w:val="x-none"/>
          </w:rPr>
          <w:t>Cultural and creative activity in Australia, 20</w:t>
        </w:r>
        <w:r w:rsidR="00BF6631" w:rsidRPr="004D7461">
          <w:rPr>
            <w:rStyle w:val="Hyperlink"/>
            <w:lang w:val="en-US"/>
          </w:rPr>
          <w:t>09</w:t>
        </w:r>
        <w:r w:rsidR="00BF6631" w:rsidRPr="004D7461">
          <w:rPr>
            <w:rStyle w:val="Hyperlink"/>
            <w:lang w:val="x-none"/>
          </w:rPr>
          <w:t>–</w:t>
        </w:r>
        <w:r w:rsidR="00BF6631" w:rsidRPr="004D7461">
          <w:rPr>
            <w:rStyle w:val="Hyperlink"/>
            <w:lang w:val="en-US"/>
          </w:rPr>
          <w:t>10</w:t>
        </w:r>
        <w:r w:rsidR="00BF6631" w:rsidRPr="004D7461">
          <w:rPr>
            <w:rStyle w:val="Hyperlink"/>
            <w:lang w:val="x-none"/>
          </w:rPr>
          <w:t xml:space="preserve"> to 20</w:t>
        </w:r>
        <w:r w:rsidR="00BF6631" w:rsidRPr="004D7461">
          <w:rPr>
            <w:rStyle w:val="Hyperlink"/>
            <w:lang w:val="en-US"/>
          </w:rPr>
          <w:t>18</w:t>
        </w:r>
        <w:r w:rsidR="00BF6631" w:rsidRPr="004D7461">
          <w:rPr>
            <w:rStyle w:val="Hyperlink"/>
            <w:lang w:val="x-none"/>
          </w:rPr>
          <w:t>–</w:t>
        </w:r>
        <w:r w:rsidR="00BF6631" w:rsidRPr="004D7461">
          <w:rPr>
            <w:rStyle w:val="Hyperlink"/>
            <w:lang w:val="en-US"/>
          </w:rPr>
          <w:t>19</w:t>
        </w:r>
      </w:hyperlink>
      <w:r w:rsidR="00BF6631" w:rsidRPr="004D7461">
        <w:t xml:space="preserve"> released in September 2021.</w:t>
      </w:r>
    </w:p>
    <w:p w14:paraId="324C1866" w14:textId="5146FD50" w:rsidR="00BF6631" w:rsidRPr="004D7461" w:rsidRDefault="00BF6631" w:rsidP="004D7461">
      <w:r w:rsidRPr="004D7461">
        <w:t>This publication follows the same approach taken in the working paper. Each table and figure corresponds to those used in the original BCARR working paper.</w:t>
      </w:r>
    </w:p>
    <w:p w14:paraId="2C50D8A6" w14:textId="77777777" w:rsidR="00BF6631" w:rsidRPr="004D7461" w:rsidRDefault="00BF6631" w:rsidP="004D7461">
      <w:r w:rsidRPr="004D7461">
        <w:t>Unless otherwise noted, the 10-year period refers to 2010–11 to 2019–20. Data is subject to revisions by the Australian Bureau of Statistics (ABS) national accounts and estimates in this release vary from those published previously.</w:t>
      </w:r>
    </w:p>
    <w:p w14:paraId="349418BE" w14:textId="77777777" w:rsidR="00BF6631" w:rsidRPr="004D7461" w:rsidRDefault="00BF6631" w:rsidP="004D7461">
      <w:pPr>
        <w:pStyle w:val="Heading3"/>
      </w:pPr>
      <w:r w:rsidRPr="004D7461">
        <w:t>What is cultural and creative activity?</w:t>
      </w:r>
    </w:p>
    <w:p w14:paraId="308612F5" w14:textId="77777777" w:rsidR="00BF6631" w:rsidRPr="004D7461" w:rsidRDefault="00BF6631" w:rsidP="004D7461">
      <w:r w:rsidRPr="004D7461">
        <w:t>Cultural and creative activity refers to activities that involve human creativity as a major input. While there is no universally accepted definition of cultural and creative activity, the terms ‘cultural’ and ‘creative’ are used to describe activities connected with the arts, media, heritage, design, fashion, and information technology. Cultural activity may also contain intellectual property to communicate symbolic meaning while creative activity requires human creativity as a significant and identifiable input.</w:t>
      </w:r>
    </w:p>
    <w:p w14:paraId="229203FE" w14:textId="77777777" w:rsidR="00BF6631" w:rsidRPr="004D7461" w:rsidRDefault="00BF6631" w:rsidP="004D7461">
      <w:r w:rsidRPr="004D7461">
        <w:t>The economic value of cultural and creative activity is determined by how it is defined and identified—as either creative, cultural or both. Some cultural and creative activity may not be captured fully in this approach, owing to methodological issues, unavailability of data, and how volunteering and non-market based production have been reflected in the measurements.</w:t>
      </w:r>
    </w:p>
    <w:p w14:paraId="56AFE995" w14:textId="77777777" w:rsidR="00BF6631" w:rsidRPr="004D7461" w:rsidRDefault="00BF6631" w:rsidP="004D7461">
      <w:r w:rsidRPr="004D7461">
        <w:lastRenderedPageBreak/>
        <w:t xml:space="preserve">Our definition of cultural and creative activity is the same as the ABS 2014 publication </w:t>
      </w:r>
      <w:hyperlink r:id="rId21" w:history="1">
        <w:r w:rsidRPr="004D7461">
          <w:rPr>
            <w:rStyle w:val="Hyperlink"/>
          </w:rPr>
          <w:t>Cultural and Creative Activity Satellite Accounts, 2008–09</w:t>
        </w:r>
      </w:hyperlink>
      <w:r w:rsidRPr="004D7461">
        <w:t>.</w:t>
      </w:r>
    </w:p>
    <w:p w14:paraId="35A0EFD1" w14:textId="77777777" w:rsidR="00BF6631" w:rsidRPr="004D7461" w:rsidRDefault="00BF6631" w:rsidP="004D7461">
      <w:r w:rsidRPr="004D7461">
        <w:t xml:space="preserve">The definition of cultural and creative activity was decided by the Statistics Working Group (SWG) of the Meeting of Cultural Ministers before the 2014 ABS release. For more information on the definitional decision of the SWG, see: </w:t>
      </w:r>
      <w:hyperlink r:id="rId22" w:history="1">
        <w:r w:rsidRPr="004D7461">
          <w:rPr>
            <w:rStyle w:val="Hyperlink"/>
          </w:rPr>
          <w:t>Measuring the economic value of cultural and creative industries</w:t>
        </w:r>
      </w:hyperlink>
      <w:r w:rsidRPr="004D7461">
        <w:t>.</w:t>
      </w:r>
    </w:p>
    <w:p w14:paraId="7A1CF3F9" w14:textId="77777777" w:rsidR="00BF6631" w:rsidRPr="004D7461" w:rsidRDefault="00BF6631" w:rsidP="004D7461">
      <w:pPr>
        <w:pStyle w:val="Heading3"/>
      </w:pPr>
      <w:r w:rsidRPr="004D7461">
        <w:t>How was cultural and creative activity measured?</w:t>
      </w:r>
    </w:p>
    <w:p w14:paraId="43C8897F" w14:textId="77777777" w:rsidR="00BF6631" w:rsidRPr="004D7461" w:rsidRDefault="00BF6631" w:rsidP="004D7461">
      <w:r w:rsidRPr="004D7461">
        <w:t xml:space="preserve">The analysis uses the same approach taken by the ABS in its original report on cultural and creative activity </w:t>
      </w:r>
      <w:hyperlink r:id="rId23" w:history="1">
        <w:r w:rsidRPr="004D7461">
          <w:rPr>
            <w:rStyle w:val="Hyperlink"/>
          </w:rPr>
          <w:t>Cultural and Creative Activity Satellite Accounts, 2008–09</w:t>
        </w:r>
      </w:hyperlink>
      <w:r w:rsidRPr="004D7461">
        <w:t>.</w:t>
      </w:r>
    </w:p>
    <w:p w14:paraId="7F4FB8A8" w14:textId="77777777" w:rsidR="00BF6631" w:rsidRPr="004D7461" w:rsidRDefault="00BF6631" w:rsidP="004D7461">
      <w:r w:rsidRPr="004D7461">
        <w:t>BCARR’s publication calculates a time series from the satellite accounts definition of cultural and creative activity. The figures presented, unless otherwise stated, are in current prices and on a national accounts basis. A satellite accounts basis refers to the activity included on a national accounts basis, plus volunteer services and non-market output of market producers in the cultural and creative industries.</w:t>
      </w:r>
    </w:p>
    <w:p w14:paraId="306BF7F9" w14:textId="77777777" w:rsidR="00BF6631" w:rsidRPr="004D7461" w:rsidRDefault="00BF6631" w:rsidP="004D7461">
      <w:r w:rsidRPr="004D7461">
        <w:t>The main components of cultural and creative activity include activity from cultural and creative industries as well as the wages and salaries, and employers’ social contributions received from cultural and creative occupations that are performed outside of these cultural and creative industries.</w:t>
      </w:r>
    </w:p>
    <w:p w14:paraId="3914D783" w14:textId="79AB02AD" w:rsidR="00BF6631" w:rsidRPr="004D7461" w:rsidRDefault="00BF6631" w:rsidP="004D7461">
      <w:r w:rsidRPr="004D7461">
        <w:t xml:space="preserve">The publication sources all of its data from ABS publications. This consists of the </w:t>
      </w:r>
      <w:hyperlink r:id="rId24" w:history="1">
        <w:r w:rsidRPr="004D7461">
          <w:rPr>
            <w:rStyle w:val="Hyperlink"/>
          </w:rPr>
          <w:t>Australian System of National Accounts, 2020–21</w:t>
        </w:r>
      </w:hyperlink>
      <w:r w:rsidRPr="004D7461">
        <w:t xml:space="preserve">, </w:t>
      </w:r>
      <w:hyperlink r:id="rId25" w:history="1">
        <w:r w:rsidRPr="004D7461">
          <w:rPr>
            <w:rStyle w:val="Hyperlink"/>
          </w:rPr>
          <w:t>Australian National Accounts: Input</w:t>
        </w:r>
        <w:r w:rsidRPr="004D7461">
          <w:rPr>
            <w:rStyle w:val="Hyperlink"/>
          </w:rPr>
          <w:noBreakHyphen/>
          <w:t>Output Tables</w:t>
        </w:r>
      </w:hyperlink>
      <w:r w:rsidRPr="004D7461">
        <w:t xml:space="preserve"> and </w:t>
      </w:r>
      <w:hyperlink r:id="rId26" w:history="1">
        <w:r w:rsidRPr="004D7461">
          <w:rPr>
            <w:rStyle w:val="Hyperlink"/>
          </w:rPr>
          <w:t>Cultural and Creative Activity Satellite Accounts, 2008–09</w:t>
        </w:r>
      </w:hyperlink>
      <w:r w:rsidRPr="004D7461">
        <w:t>.</w:t>
      </w:r>
    </w:p>
    <w:p w14:paraId="6F9C7E13" w14:textId="77777777" w:rsidR="00BF6631" w:rsidRPr="004D7461" w:rsidRDefault="00BF6631" w:rsidP="004D7461">
      <w:pPr>
        <w:pStyle w:val="Heading3"/>
      </w:pPr>
      <w:r w:rsidRPr="004D7461">
        <w:t>What is a ‘satellite account’?</w:t>
      </w:r>
    </w:p>
    <w:p w14:paraId="619D95A9" w14:textId="77777777" w:rsidR="00BF6631" w:rsidRPr="004D7461" w:rsidRDefault="00BF6631" w:rsidP="004D7461">
      <w:r w:rsidRPr="004D7461">
        <w:t>A satellite account is a term used to measure the size of economic sectors that are not defined as industries in national accounts. The ABS has developed satellite accounts such as tourism, non-profit institutions, and cultural and creative activity.</w:t>
      </w:r>
    </w:p>
    <w:p w14:paraId="758370D9" w14:textId="77777777" w:rsidR="00BF6631" w:rsidRPr="004D7461" w:rsidRDefault="00BF6631" w:rsidP="004D7461">
      <w:pPr>
        <w:pStyle w:val="Heading3"/>
      </w:pPr>
      <w:r w:rsidRPr="004D7461">
        <w:t>How was COVID-19 impact captured in this publication?</w:t>
      </w:r>
    </w:p>
    <w:p w14:paraId="4E8D29B8" w14:textId="77777777" w:rsidR="00BF6631" w:rsidRPr="004D7461" w:rsidRDefault="00BF6631" w:rsidP="004D7461">
      <w:pPr>
        <w:rPr>
          <w:rFonts w:cstheme="minorHAnsi"/>
          <w:kern w:val="24"/>
          <w:lang w:eastAsia="en-AU"/>
        </w:rPr>
      </w:pPr>
      <w:r w:rsidRPr="004D7461">
        <w:rPr>
          <w:rFonts w:cstheme="minorHAnsi"/>
          <w:kern w:val="24"/>
          <w:lang w:eastAsia="en-AU"/>
        </w:rPr>
        <w:t xml:space="preserve">This release includes the early impact of COVID-19 on cultural and creative activity. COVID-19 led to social distancing measures and business restrictions announced from 18 March 2020. </w:t>
      </w:r>
    </w:p>
    <w:p w14:paraId="11723931" w14:textId="5A201892" w:rsidR="00BF6631" w:rsidRPr="004D7461" w:rsidRDefault="00BF6631" w:rsidP="004D7461">
      <w:pPr>
        <w:spacing w:after="0"/>
        <w:rPr>
          <w:lang w:eastAsia="en-AU"/>
        </w:rPr>
      </w:pPr>
      <w:r w:rsidRPr="004D7461">
        <w:rPr>
          <w:rFonts w:cstheme="minorHAnsi"/>
          <w:kern w:val="24"/>
          <w:lang w:eastAsia="en-AU"/>
        </w:rPr>
        <w:t>A nationwide lockdown started on 23 March 2020</w:t>
      </w:r>
      <w:r w:rsidR="00B41CBE" w:rsidRPr="004D7461">
        <w:rPr>
          <w:rFonts w:cstheme="minorHAnsi"/>
          <w:kern w:val="24"/>
          <w:lang w:eastAsia="en-AU"/>
        </w:rPr>
        <w:t xml:space="preserve"> after National Cabinet implement</w:t>
      </w:r>
      <w:r w:rsidR="008B1560" w:rsidRPr="004D7461">
        <w:rPr>
          <w:rFonts w:cstheme="minorHAnsi"/>
          <w:kern w:val="24"/>
          <w:lang w:eastAsia="en-AU"/>
        </w:rPr>
        <w:t>ed</w:t>
      </w:r>
      <w:r w:rsidR="00B41CBE" w:rsidRPr="004D7461">
        <w:rPr>
          <w:rFonts w:cstheme="minorHAnsi"/>
          <w:kern w:val="24"/>
          <w:lang w:eastAsia="en-AU"/>
        </w:rPr>
        <w:t xml:space="preserve"> Stage 1 restrictions on social gatherings.</w:t>
      </w:r>
      <w:r w:rsidR="0004763C" w:rsidRPr="004D7461">
        <w:rPr>
          <w:rFonts w:cstheme="minorHAnsi"/>
          <w:kern w:val="24"/>
          <w:lang w:eastAsia="en-AU"/>
        </w:rPr>
        <w:t xml:space="preserve"> Facilities such as pubs, clubs, restaurants and cafes were restricted from opening.</w:t>
      </w:r>
      <w:r w:rsidR="005B6737" w:rsidRPr="004D7461">
        <w:rPr>
          <w:rStyle w:val="FootnoteReference"/>
          <w:rFonts w:cstheme="minorHAnsi"/>
          <w:kern w:val="24"/>
          <w:lang w:eastAsia="en-AU"/>
        </w:rPr>
        <w:footnoteReference w:id="1"/>
      </w:r>
      <w:r w:rsidR="00FF5196" w:rsidRPr="004D7461">
        <w:rPr>
          <w:rFonts w:cstheme="minorHAnsi"/>
          <w:kern w:val="24"/>
          <w:lang w:eastAsia="en-AU"/>
        </w:rPr>
        <w:t xml:space="preserve"> This lockdown was expected to be in place for at least 6 months. </w:t>
      </w:r>
      <w:r w:rsidR="00FF5196" w:rsidRPr="004D7461">
        <w:rPr>
          <w:lang w:eastAsia="en-AU"/>
        </w:rPr>
        <w:t>However, t</w:t>
      </w:r>
      <w:r w:rsidR="00F069C5" w:rsidRPr="004D7461">
        <w:rPr>
          <w:lang w:eastAsia="en-AU"/>
        </w:rPr>
        <w:t>he incidence of new cases of COVID</w:t>
      </w:r>
      <w:r w:rsidR="003536D7" w:rsidRPr="004D7461">
        <w:rPr>
          <w:lang w:eastAsia="en-AU"/>
        </w:rPr>
        <w:noBreakHyphen/>
      </w:r>
      <w:r w:rsidR="00F069C5" w:rsidRPr="004D7461">
        <w:rPr>
          <w:lang w:eastAsia="en-AU"/>
        </w:rPr>
        <w:t xml:space="preserve">19 reduced </w:t>
      </w:r>
      <w:r w:rsidR="00097B0B" w:rsidRPr="004D7461">
        <w:rPr>
          <w:lang w:eastAsia="en-AU"/>
        </w:rPr>
        <w:t>dramatically between late April and early May 2020,</w:t>
      </w:r>
      <w:r w:rsidR="004B1463" w:rsidRPr="004D7461">
        <w:rPr>
          <w:lang w:eastAsia="en-AU"/>
        </w:rPr>
        <w:t xml:space="preserve"> down to fewer than 20 new cases per day</w:t>
      </w:r>
      <w:r w:rsidR="00097B0B" w:rsidRPr="004D7461">
        <w:rPr>
          <w:lang w:eastAsia="en-AU"/>
        </w:rPr>
        <w:t>.</w:t>
      </w:r>
      <w:r w:rsidR="00097B0B" w:rsidRPr="004D7461">
        <w:rPr>
          <w:rStyle w:val="FootnoteReference"/>
          <w:lang w:eastAsia="en-AU"/>
        </w:rPr>
        <w:footnoteReference w:id="2"/>
      </w:r>
      <w:r w:rsidR="00097B0B" w:rsidRPr="004D7461">
        <w:rPr>
          <w:lang w:eastAsia="en-AU"/>
        </w:rPr>
        <w:t xml:space="preserve"> R</w:t>
      </w:r>
      <w:r w:rsidR="004B1463" w:rsidRPr="004D7461">
        <w:rPr>
          <w:lang w:eastAsia="en-AU"/>
        </w:rPr>
        <w:t xml:space="preserve">estriction began </w:t>
      </w:r>
      <w:r w:rsidR="00ED4E16" w:rsidRPr="004D7461">
        <w:rPr>
          <w:lang w:eastAsia="en-AU"/>
        </w:rPr>
        <w:t xml:space="preserve">to ease </w:t>
      </w:r>
      <w:r w:rsidR="004B1463" w:rsidRPr="004D7461">
        <w:rPr>
          <w:lang w:eastAsia="en-AU"/>
        </w:rPr>
        <w:t>during this period</w:t>
      </w:r>
      <w:r w:rsidR="00097B0B" w:rsidRPr="004D7461">
        <w:rPr>
          <w:lang w:eastAsia="en-AU"/>
        </w:rPr>
        <w:t xml:space="preserve"> and</w:t>
      </w:r>
      <w:r w:rsidR="004B1463" w:rsidRPr="004D7461">
        <w:rPr>
          <w:lang w:eastAsia="en-AU"/>
        </w:rPr>
        <w:t xml:space="preserve"> </w:t>
      </w:r>
      <w:r w:rsidR="00097B0B" w:rsidRPr="004D7461">
        <w:rPr>
          <w:lang w:eastAsia="en-AU"/>
        </w:rPr>
        <w:t>s</w:t>
      </w:r>
      <w:r w:rsidRPr="004D7461">
        <w:rPr>
          <w:lang w:eastAsia="en-AU"/>
        </w:rPr>
        <w:t>ome cultural and creative industries such as clothing and footwear retailing experienced a large rise in May and June 2020, with continued recovery from the trading restrictions during this period.</w:t>
      </w:r>
      <w:r w:rsidRPr="004D7461">
        <w:rPr>
          <w:rStyle w:val="FootnoteReference"/>
          <w:rFonts w:cstheme="minorHAnsi"/>
          <w:kern w:val="24"/>
          <w:lang w:eastAsia="en-AU"/>
        </w:rPr>
        <w:footnoteReference w:id="3"/>
      </w:r>
      <w:r w:rsidRPr="004D7461">
        <w:rPr>
          <w:vertAlign w:val="superscript"/>
          <w:lang w:eastAsia="en-AU"/>
        </w:rPr>
        <w:t>,</w:t>
      </w:r>
      <w:r w:rsidRPr="004D7461">
        <w:rPr>
          <w:rStyle w:val="FootnoteReference"/>
          <w:rFonts w:cstheme="minorHAnsi"/>
          <w:kern w:val="24"/>
          <w:lang w:eastAsia="en-AU"/>
        </w:rPr>
        <w:footnoteReference w:id="4"/>
      </w:r>
    </w:p>
    <w:p w14:paraId="65AE679C" w14:textId="44808C8F" w:rsidR="00BF6631" w:rsidRPr="004D7461" w:rsidRDefault="00BF6631" w:rsidP="004D7461">
      <w:pPr>
        <w:pStyle w:val="Heading2"/>
      </w:pPr>
      <w:r w:rsidRPr="004D7461">
        <w:lastRenderedPageBreak/>
        <w:t>Industry</w:t>
      </w:r>
      <w:r w:rsidR="00C20290" w:rsidRPr="004D7461">
        <w:t xml:space="preserve"> </w:t>
      </w:r>
      <w:r w:rsidRPr="004D7461">
        <w:t>/ art form specific</w:t>
      </w:r>
    </w:p>
    <w:p w14:paraId="6EC9A8BB" w14:textId="77777777" w:rsidR="00BF6631" w:rsidRPr="004D7461" w:rsidRDefault="00BF6631" w:rsidP="004D7461">
      <w:pPr>
        <w:pStyle w:val="Heading3"/>
      </w:pPr>
      <w:r w:rsidRPr="004D7461">
        <w:t>Which area of cultural and creative activity experienced the largest increase?</w:t>
      </w:r>
    </w:p>
    <w:p w14:paraId="495AFEB3" w14:textId="77777777" w:rsidR="00BF6631" w:rsidRPr="004D7461" w:rsidRDefault="00BF6631" w:rsidP="004D7461">
      <w:r w:rsidRPr="004D7461">
        <w:t>Design experienced the largest growth in cultural and creative activity over the past decade. From 2010–11 to 2019–20, design’s contribution to the national economy grew by $17.8 billion (or 54 per cent), in line with growth of the overall economy. This growth was driven mainly by computer system design and related services as workplaces have been regularly upgraded and enhanced over the past decade.</w:t>
      </w:r>
    </w:p>
    <w:p w14:paraId="42EA011A" w14:textId="77777777" w:rsidR="00BF6631" w:rsidRPr="004D7461" w:rsidRDefault="00BF6631" w:rsidP="004D7461">
      <w:pPr>
        <w:rPr>
          <w:lang w:eastAsia="en-AU"/>
        </w:rPr>
      </w:pPr>
      <w:r w:rsidRPr="004D7461">
        <w:rPr>
          <w:lang w:eastAsia="en-AU"/>
        </w:rPr>
        <w:t>Demand from computer system design services increased $3.1 billion or 9.6 per cent in 2019</w:t>
      </w:r>
      <w:r w:rsidRPr="004D7461">
        <w:rPr>
          <w:rFonts w:cstheme="minorHAnsi"/>
          <w:kern w:val="24"/>
          <w:lang w:eastAsia="en-AU"/>
        </w:rPr>
        <w:t>–</w:t>
      </w:r>
      <w:r w:rsidRPr="004D7461">
        <w:rPr>
          <w:lang w:eastAsia="en-AU"/>
        </w:rPr>
        <w:t>20. COVID-19 led more people to work from home from late 2019</w:t>
      </w:r>
      <w:r w:rsidRPr="004D7461">
        <w:rPr>
          <w:rFonts w:cstheme="minorHAnsi"/>
          <w:kern w:val="24"/>
          <w:lang w:eastAsia="en-AU"/>
        </w:rPr>
        <w:t>–</w:t>
      </w:r>
      <w:r w:rsidRPr="004D7461">
        <w:rPr>
          <w:lang w:eastAsia="en-AU"/>
        </w:rPr>
        <w:t>20, leading to greater demand for cloud-based services across a range of client businesses and other organisations.</w:t>
      </w:r>
      <w:r w:rsidRPr="004D7461">
        <w:rPr>
          <w:rStyle w:val="FootnoteReference"/>
          <w:lang w:eastAsia="en-AU"/>
        </w:rPr>
        <w:footnoteReference w:id="5"/>
      </w:r>
    </w:p>
    <w:p w14:paraId="79B6BA67" w14:textId="77777777" w:rsidR="00BF6631" w:rsidRPr="004D7461" w:rsidRDefault="00BF6631" w:rsidP="004D7461">
      <w:pPr>
        <w:pStyle w:val="Heading3"/>
      </w:pPr>
      <w:r w:rsidRPr="004D7461">
        <w:t>Which area of cultural and creative activity experienced the largest decline?</w:t>
      </w:r>
    </w:p>
    <w:p w14:paraId="7219F075" w14:textId="77777777" w:rsidR="00BF6631" w:rsidRPr="004D7461" w:rsidRDefault="00BF6631" w:rsidP="004D7461">
      <w:pPr>
        <w:ind w:right="261"/>
      </w:pPr>
      <w:r w:rsidRPr="004D7461">
        <w:t xml:space="preserve">Literature and print media declined significantly by $3.9 billion (or 32 per cent) from 2010–11 to 2019–20. This decline was driven by falling demand for traditional print media as consumers shifted to digital content. Traditional print materials are also comparatively slower to produce and </w:t>
      </w:r>
      <w:proofErr w:type="gramStart"/>
      <w:r w:rsidRPr="004D7461">
        <w:t>more costly</w:t>
      </w:r>
      <w:proofErr w:type="gramEnd"/>
      <w:r w:rsidRPr="004D7461">
        <w:t xml:space="preserve"> to distribute.</w:t>
      </w:r>
    </w:p>
    <w:p w14:paraId="682AC032" w14:textId="261576C2" w:rsidR="00BF6631" w:rsidRPr="004D7461" w:rsidRDefault="00BF6631" w:rsidP="004D7461">
      <w:pPr>
        <w:pStyle w:val="Heading3"/>
      </w:pPr>
      <w:r w:rsidRPr="004D7461">
        <w:t>How can I find out more about the activity captured in each domain?</w:t>
      </w:r>
    </w:p>
    <w:p w14:paraId="4B1C3C91" w14:textId="77777777" w:rsidR="00BF6631" w:rsidRPr="004D7461" w:rsidRDefault="00BF6631" w:rsidP="004D7461">
      <w:r w:rsidRPr="004D7461">
        <w:t xml:space="preserve">More information on the size of cultural and creative activity in Australia by industry division and by each domain is provided in the original BCARR working paper </w:t>
      </w:r>
      <w:hyperlink r:id="rId27" w:history="1">
        <w:r w:rsidRPr="004D7461">
          <w:rPr>
            <w:rStyle w:val="Hyperlink"/>
          </w:rPr>
          <w:t>Cultural and creative activity in Australia, 2008–09 to 2016–17</w:t>
        </w:r>
      </w:hyperlink>
      <w:r w:rsidRPr="004D7461">
        <w:t>.</w:t>
      </w:r>
    </w:p>
    <w:p w14:paraId="154C70ED" w14:textId="77777777" w:rsidR="00BF6631" w:rsidRPr="004D7461" w:rsidRDefault="00BF6631" w:rsidP="004D7461">
      <w:pPr>
        <w:pStyle w:val="Heading3"/>
      </w:pPr>
      <w:r w:rsidRPr="004D7461">
        <w:t>Which domain captures economic activity from the production of Australian visual art?</w:t>
      </w:r>
    </w:p>
    <w:p w14:paraId="3094FD4E" w14:textId="77777777" w:rsidR="00BF6631" w:rsidRPr="004D7461" w:rsidRDefault="00BF6631" w:rsidP="004D7461">
      <w:pPr>
        <w:keepNext/>
      </w:pPr>
      <w:r w:rsidRPr="004D7461">
        <w:t>Economic activity from the production of works of art, such as paintings and sculptures, is captured in more than one domain. For example:</w:t>
      </w:r>
    </w:p>
    <w:p w14:paraId="5EC65E91" w14:textId="77777777" w:rsidR="00BF6631" w:rsidRPr="004D7461" w:rsidRDefault="00BF6631" w:rsidP="004D7461">
      <w:pPr>
        <w:pStyle w:val="Bullet1"/>
      </w:pPr>
      <w:r w:rsidRPr="004D7461">
        <w:rPr>
          <w:b/>
        </w:rPr>
        <w:t>Design</w:t>
      </w:r>
      <w:r w:rsidRPr="004D7461">
        <w:t>: where it is captured as part of the Australian and New Zealand Standard Industrial Classification</w:t>
      </w:r>
      <w:r w:rsidRPr="004D7461">
        <w:rPr>
          <w:lang w:val="en-AU"/>
        </w:rPr>
        <w:t xml:space="preserve"> (</w:t>
      </w:r>
      <w:r w:rsidRPr="004D7461">
        <w:t>ANZSIC</w:t>
      </w:r>
      <w:r w:rsidRPr="004D7461">
        <w:rPr>
          <w:lang w:val="en-AU"/>
        </w:rPr>
        <w:t>)</w:t>
      </w:r>
      <w:r w:rsidRPr="004D7461">
        <w:t xml:space="preserve"> class name </w:t>
      </w:r>
      <w:r w:rsidRPr="0063583D">
        <w:rPr>
          <w:b/>
        </w:rPr>
        <w:t>‘Other Specialised Design Services’</w:t>
      </w:r>
      <w:r w:rsidRPr="004D7461">
        <w:t xml:space="preserve"> which includes commercial art services, alongside other activities that may be indirectly related to fine art (such as fashion and graphic design activities).</w:t>
      </w:r>
    </w:p>
    <w:p w14:paraId="7B26DA95" w14:textId="77777777" w:rsidR="00BF6631" w:rsidRPr="004D7461" w:rsidRDefault="00BF6631" w:rsidP="004D7461">
      <w:pPr>
        <w:pStyle w:val="Bullet1"/>
      </w:pPr>
      <w:r w:rsidRPr="004D7461">
        <w:rPr>
          <w:b/>
        </w:rPr>
        <w:t>Performing arts</w:t>
      </w:r>
      <w:r w:rsidRPr="004D7461">
        <w:t>: where it could otherwise be captured under the ANZSIC class name ‘Creative Artists, Musicians, Writers and Performers’ which includes the services of artists and sculpting, as well as services that may be indirectly related to fine art.</w:t>
      </w:r>
    </w:p>
    <w:p w14:paraId="1C9C7447" w14:textId="77777777" w:rsidR="00BF6631" w:rsidRPr="004D7461" w:rsidRDefault="00BF6631" w:rsidP="004D7461">
      <w:pPr>
        <w:pStyle w:val="Heading3"/>
      </w:pPr>
      <w:r w:rsidRPr="004D7461">
        <w:t>Which domain captures economic activity from interactive game development and distribution?</w:t>
      </w:r>
    </w:p>
    <w:p w14:paraId="39257BDE" w14:textId="77777777" w:rsidR="00BF6631" w:rsidRPr="004D7461" w:rsidRDefault="00BF6631" w:rsidP="004D7461">
      <w:pPr>
        <w:keepNext/>
      </w:pPr>
      <w:r w:rsidRPr="004D7461">
        <w:t>Economic activity from game development and distribution is captured in more than one domain. For example:</w:t>
      </w:r>
    </w:p>
    <w:p w14:paraId="6E0DD6B3" w14:textId="77777777" w:rsidR="00BF6631" w:rsidRPr="004D7461" w:rsidRDefault="00BF6631" w:rsidP="004D7461">
      <w:pPr>
        <w:pStyle w:val="Bullet1"/>
      </w:pPr>
      <w:r w:rsidRPr="004D7461">
        <w:rPr>
          <w:b/>
        </w:rPr>
        <w:t>Design</w:t>
      </w:r>
      <w:r w:rsidRPr="004D7461">
        <w:t>: includes information technology development such as writing, modifying, testing or supporting software to meet the needs of a particular consumer; or planning and designing computer systems that integrate computer hardware, software and communication technologies.</w:t>
      </w:r>
    </w:p>
    <w:p w14:paraId="23F2962D" w14:textId="77777777" w:rsidR="00BF6631" w:rsidRPr="004D7461" w:rsidRDefault="00BF6631" w:rsidP="004D7461">
      <w:pPr>
        <w:pStyle w:val="Bullet1"/>
      </w:pPr>
      <w:r w:rsidRPr="009E245F">
        <w:rPr>
          <w:b/>
        </w:rPr>
        <w:t>Other culture goods manufacturing and sales</w:t>
      </w:r>
      <w:r w:rsidRPr="004D7461">
        <w:t>: includes computer game retailing.</w:t>
      </w:r>
    </w:p>
    <w:p w14:paraId="2C780DA5" w14:textId="77777777" w:rsidR="00BF6631" w:rsidRPr="004D7461" w:rsidRDefault="00BF6631" w:rsidP="004D7461">
      <w:pPr>
        <w:pStyle w:val="Bullet1"/>
      </w:pPr>
      <w:r w:rsidRPr="004D7461">
        <w:rPr>
          <w:b/>
        </w:rPr>
        <w:lastRenderedPageBreak/>
        <w:t>Broadcasting, electronic or digital media, and film</w:t>
      </w:r>
      <w:r w:rsidRPr="004D7461">
        <w:t>: includes software publishing and computer game rental.</w:t>
      </w:r>
    </w:p>
    <w:p w14:paraId="14B04FDB" w14:textId="77777777" w:rsidR="00BF6631" w:rsidRPr="004D7461" w:rsidRDefault="00BF6631" w:rsidP="004D7461">
      <w:pPr>
        <w:pStyle w:val="Heading3"/>
      </w:pPr>
      <w:r w:rsidRPr="004D7461">
        <w:t>Which domain captures economic activity from festivals?</w:t>
      </w:r>
    </w:p>
    <w:p w14:paraId="4AF44106" w14:textId="77777777" w:rsidR="00BF6631" w:rsidRPr="004D7461" w:rsidRDefault="00BF6631" w:rsidP="004D7461">
      <w:pPr>
        <w:keepNext/>
        <w:keepLines/>
      </w:pPr>
      <w:r w:rsidRPr="004D7461">
        <w:t>Economic activity from festivals is captured across multiple domains because it depends on the type of festival. For example:</w:t>
      </w:r>
    </w:p>
    <w:p w14:paraId="176F736D" w14:textId="77777777" w:rsidR="00BF6631" w:rsidRPr="004D7461" w:rsidRDefault="00BF6631" w:rsidP="004D7461">
      <w:pPr>
        <w:pStyle w:val="Bullet1"/>
      </w:pPr>
      <w:r w:rsidRPr="004D7461">
        <w:rPr>
          <w:b/>
        </w:rPr>
        <w:t>Broadcasting, electronic or digital media, and film</w:t>
      </w:r>
      <w:r w:rsidRPr="004D7461">
        <w:t xml:space="preserve">: includes activity relating to screening motion pictures using a variety of visual media (such as screening productions at festivals and other similar events). </w:t>
      </w:r>
    </w:p>
    <w:p w14:paraId="29ABD3D2" w14:textId="77777777" w:rsidR="00BF6631" w:rsidRPr="004D7461" w:rsidRDefault="00BF6631" w:rsidP="004D7461">
      <w:pPr>
        <w:pStyle w:val="Bullet1"/>
      </w:pPr>
      <w:r w:rsidRPr="004D7461">
        <w:rPr>
          <w:b/>
        </w:rPr>
        <w:t>Performing arts</w:t>
      </w:r>
      <w:r w:rsidRPr="004D7461">
        <w:t>: includes operations engaged in providing or producing live theatrical or musical presentations and performances.</w:t>
      </w:r>
    </w:p>
    <w:p w14:paraId="3FE9F41C" w14:textId="77777777" w:rsidR="00BF6631" w:rsidRPr="004D7461" w:rsidRDefault="00BF6631" w:rsidP="004D7461">
      <w:pPr>
        <w:pStyle w:val="Heading2"/>
      </w:pPr>
      <w:r w:rsidRPr="004D7461">
        <w:t>Methodology questions</w:t>
      </w:r>
    </w:p>
    <w:p w14:paraId="0D46A154" w14:textId="1D657F90" w:rsidR="00BF6631" w:rsidRPr="004D7461" w:rsidRDefault="00BF6631" w:rsidP="004D7461">
      <w:pPr>
        <w:pStyle w:val="Heading3"/>
      </w:pPr>
      <w:r w:rsidRPr="004D7461">
        <w:t>Are there any differences between the methodology used in this publication and the approach used by the ABS in 2008–09?</w:t>
      </w:r>
    </w:p>
    <w:p w14:paraId="69A7CE1B" w14:textId="77777777" w:rsidR="00BF6631" w:rsidRPr="004D7461" w:rsidRDefault="00BF6631" w:rsidP="004D7461">
      <w:pPr>
        <w:keepNext/>
      </w:pPr>
      <w:r w:rsidRPr="004D7461">
        <w:t>There are some minor methodological differences from the ABS report as some data was unavailable to BCARR. These differences are outlined in the appendix to the working paper.</w:t>
      </w:r>
    </w:p>
    <w:p w14:paraId="659AE3A8" w14:textId="77777777" w:rsidR="00BF6631" w:rsidRPr="004D7461" w:rsidRDefault="00BF6631" w:rsidP="004D7461">
      <w:pPr>
        <w:pStyle w:val="Heading3"/>
      </w:pPr>
      <w:r w:rsidRPr="004D7461">
        <w:t>How does Australia’s cultural and creative activity compare to other nations, and across states and territories?</w:t>
      </w:r>
    </w:p>
    <w:p w14:paraId="021C9BEC" w14:textId="2B79DC53" w:rsidR="00BF6631" w:rsidRPr="004D7461" w:rsidRDefault="00BF6631" w:rsidP="004D7461">
      <w:r w:rsidRPr="004D7461">
        <w:t>There is no universally agreed definition of cultural and creative activity. A number of government (domestic and international) and non-government organisations have reported on the economic impact of cultural and/or creative industries. However, a range of statistical definitions and approaches have been used. Due to the variety of definitions used to classify cultural and creative activity, international comparisons are difficult to make.</w:t>
      </w:r>
    </w:p>
    <w:p w14:paraId="1E9651D4" w14:textId="77777777" w:rsidR="00BF6631" w:rsidRPr="004D7461" w:rsidRDefault="00BF6631" w:rsidP="004D7461">
      <w:r w:rsidRPr="004D7461">
        <w:t>The ABS data used in the publication does not provide a breakdown of the results at the state and territory level.</w:t>
      </w:r>
    </w:p>
    <w:p w14:paraId="07CDE220" w14:textId="77777777" w:rsidR="00BF6631" w:rsidRPr="004D7461" w:rsidRDefault="00BF6631" w:rsidP="004D7461">
      <w:pPr>
        <w:pStyle w:val="Heading3"/>
      </w:pPr>
      <w:r w:rsidRPr="004D7461">
        <w:t>Why do the estimates only go back to 2010–11?</w:t>
      </w:r>
    </w:p>
    <w:p w14:paraId="0068A146" w14:textId="77777777" w:rsidR="00BF6631" w:rsidRPr="004D7461" w:rsidRDefault="00BF6631" w:rsidP="004D7461">
      <w:pPr>
        <w:pStyle w:val="Bullet1"/>
        <w:numPr>
          <w:ilvl w:val="0"/>
          <w:numId w:val="0"/>
        </w:numPr>
      </w:pPr>
      <w:r w:rsidRPr="004D7461">
        <w:t>BCARR has examined a 10</w:t>
      </w:r>
      <w:r w:rsidRPr="004D7461">
        <w:noBreakHyphen/>
        <w:t>year period to track a consistent period of time. Looking at cultural and creative activity over the decade provides a historical view of the contribution of these sectors over time in Australia.</w:t>
      </w:r>
    </w:p>
    <w:p w14:paraId="48FF9E05" w14:textId="77777777" w:rsidR="00BF6631" w:rsidRPr="004D7461" w:rsidRDefault="00BF6631" w:rsidP="004D7461">
      <w:pPr>
        <w:pStyle w:val="Bullet1"/>
        <w:numPr>
          <w:ilvl w:val="0"/>
          <w:numId w:val="0"/>
        </w:numPr>
      </w:pPr>
      <w:r w:rsidRPr="004D7461">
        <w:t>While this publication only includes estimates back to 2010–11, the previous release has the estimates for 2008–09 and 2009–10 which remain consistent with the estimates presented here and could be used to generate a time series with 12 years of cultural and creative activity estimates.</w:t>
      </w:r>
    </w:p>
    <w:p w14:paraId="115E0A60" w14:textId="77777777" w:rsidR="00BF6631" w:rsidRPr="004D7461" w:rsidRDefault="00BF6631" w:rsidP="004D7461">
      <w:pPr>
        <w:pStyle w:val="Heading3"/>
      </w:pPr>
      <w:r w:rsidRPr="004D7461">
        <w:t>Why do the 2010–11 to 2018–19 cultural and creative estimates in this document vary from previous BCARR releases?</w:t>
      </w:r>
    </w:p>
    <w:p w14:paraId="5FC0BD98" w14:textId="77777777" w:rsidR="00BF6631" w:rsidRPr="004D7461" w:rsidRDefault="00BF6631" w:rsidP="004D7461">
      <w:pPr>
        <w:pStyle w:val="Bullet1"/>
      </w:pPr>
      <w:r w:rsidRPr="004D7461">
        <w:t>The estimates of cultural and creative activity from 20</w:t>
      </w:r>
      <w:r w:rsidRPr="004D7461">
        <w:rPr>
          <w:lang w:val="en-US"/>
        </w:rPr>
        <w:t>10</w:t>
      </w:r>
      <w:r w:rsidRPr="004D7461">
        <w:t>–</w:t>
      </w:r>
      <w:r w:rsidRPr="004D7461">
        <w:rPr>
          <w:lang w:val="en-AU"/>
        </w:rPr>
        <w:t>1</w:t>
      </w:r>
      <w:r w:rsidRPr="004D7461">
        <w:rPr>
          <w:lang w:val="en-US"/>
        </w:rPr>
        <w:t>1</w:t>
      </w:r>
      <w:r w:rsidRPr="004D7461">
        <w:t xml:space="preserve"> to 201</w:t>
      </w:r>
      <w:r w:rsidRPr="004D7461">
        <w:rPr>
          <w:lang w:val="en-AU"/>
        </w:rPr>
        <w:t>9</w:t>
      </w:r>
      <w:r w:rsidRPr="004D7461">
        <w:t>–</w:t>
      </w:r>
      <w:r w:rsidRPr="004D7461">
        <w:rPr>
          <w:lang w:val="en-US"/>
        </w:rPr>
        <w:t>20</w:t>
      </w:r>
      <w:r w:rsidRPr="004D7461">
        <w:t xml:space="preserve"> are derived from the ABS National Accounts data</w:t>
      </w:r>
      <w:r w:rsidRPr="004D7461">
        <w:rPr>
          <w:lang w:val="en-AU"/>
        </w:rPr>
        <w:t>:</w:t>
      </w:r>
      <w:r w:rsidRPr="004D7461">
        <w:t xml:space="preserve"> </w:t>
      </w:r>
      <w:hyperlink r:id="rId28" w:history="1">
        <w:r w:rsidRPr="004D7461">
          <w:rPr>
            <w:rStyle w:val="Hyperlink"/>
          </w:rPr>
          <w:t>Australian System of National Accounts, 20</w:t>
        </w:r>
        <w:r w:rsidRPr="004D7461">
          <w:rPr>
            <w:rStyle w:val="Hyperlink"/>
            <w:lang w:val="en-US"/>
          </w:rPr>
          <w:t>20</w:t>
        </w:r>
        <w:r w:rsidRPr="004D7461">
          <w:rPr>
            <w:rStyle w:val="Hyperlink"/>
          </w:rPr>
          <w:t>–</w:t>
        </w:r>
        <w:r w:rsidRPr="004D7461">
          <w:rPr>
            <w:rStyle w:val="Hyperlink"/>
            <w:lang w:val="en-US"/>
          </w:rPr>
          <w:t>21</w:t>
        </w:r>
      </w:hyperlink>
      <w:r w:rsidRPr="004D7461">
        <w:t xml:space="preserve"> and </w:t>
      </w:r>
      <w:hyperlink r:id="rId29" w:history="1">
        <w:r w:rsidRPr="004D7461">
          <w:rPr>
            <w:rStyle w:val="Hyperlink"/>
          </w:rPr>
          <w:t>Australian National Accounts: Input-Output Tables</w:t>
        </w:r>
        <w:r w:rsidRPr="004D7461">
          <w:rPr>
            <w:rStyle w:val="Hyperlink"/>
            <w:lang w:val="en-AU"/>
          </w:rPr>
          <w:t xml:space="preserve">, </w:t>
        </w:r>
        <w:r w:rsidRPr="004D7461">
          <w:rPr>
            <w:rStyle w:val="Hyperlink"/>
          </w:rPr>
          <w:t>201</w:t>
        </w:r>
        <w:r w:rsidRPr="004D7461">
          <w:rPr>
            <w:rStyle w:val="Hyperlink"/>
            <w:lang w:val="en-AU"/>
          </w:rPr>
          <w:t>9</w:t>
        </w:r>
        <w:r w:rsidRPr="004D7461">
          <w:rPr>
            <w:rStyle w:val="Hyperlink"/>
          </w:rPr>
          <w:t>–‍</w:t>
        </w:r>
        <w:r w:rsidRPr="004D7461">
          <w:rPr>
            <w:rStyle w:val="Hyperlink"/>
            <w:lang w:val="en-US"/>
          </w:rPr>
          <w:t>20</w:t>
        </w:r>
      </w:hyperlink>
      <w:r w:rsidRPr="004D7461">
        <w:rPr>
          <w:lang w:val="en-AU"/>
        </w:rPr>
        <w:t>.</w:t>
      </w:r>
      <w:r w:rsidRPr="004D7461">
        <w:t xml:space="preserve"> </w:t>
      </w:r>
      <w:r w:rsidRPr="004D7461">
        <w:rPr>
          <w:lang w:val="en-US"/>
        </w:rPr>
        <w:t>In 2021 t</w:t>
      </w:r>
      <w:r w:rsidRPr="004D7461">
        <w:t>he ABS</w:t>
      </w:r>
      <w:r w:rsidRPr="004D7461">
        <w:rPr>
          <w:lang w:val="en-US"/>
        </w:rPr>
        <w:t xml:space="preserve"> revised </w:t>
      </w:r>
      <w:r w:rsidRPr="004D7461">
        <w:rPr>
          <w:lang w:val="en-AU"/>
        </w:rPr>
        <w:t>a longer annual time series, referred to as a ‘</w:t>
      </w:r>
      <w:hyperlink r:id="rId30" w:history="1">
        <w:r w:rsidRPr="004D7461">
          <w:rPr>
            <w:rStyle w:val="Hyperlink"/>
            <w:lang w:val="en-AU"/>
          </w:rPr>
          <w:t>historical revision</w:t>
        </w:r>
      </w:hyperlink>
      <w:r w:rsidRPr="004D7461">
        <w:rPr>
          <w:lang w:val="en-AU"/>
        </w:rPr>
        <w:t>’.</w:t>
      </w:r>
      <w:r w:rsidRPr="004D7461">
        <w:rPr>
          <w:lang w:val="en-US"/>
        </w:rPr>
        <w:t xml:space="preserve"> </w:t>
      </w:r>
      <w:r w:rsidRPr="004D7461">
        <w:t>The longer time series revisions focus on improving data quality</w:t>
      </w:r>
      <w:r w:rsidRPr="004D7461">
        <w:rPr>
          <w:lang w:val="en-US"/>
        </w:rPr>
        <w:t>, adopting new classifications, and improving international comparability</w:t>
      </w:r>
      <w:r w:rsidRPr="004D7461">
        <w:t>.</w:t>
      </w:r>
    </w:p>
    <w:p w14:paraId="00365D52" w14:textId="77777777" w:rsidR="00BF6631" w:rsidRPr="004D7461" w:rsidRDefault="00BF6631" w:rsidP="004D7461">
      <w:pPr>
        <w:pStyle w:val="Bullet1"/>
      </w:pPr>
      <w:r w:rsidRPr="004D7461">
        <w:t>As a result of these revisions, BCAR</w:t>
      </w:r>
      <w:r w:rsidRPr="004D7461">
        <w:rPr>
          <w:lang w:val="en-AU"/>
        </w:rPr>
        <w:t>R</w:t>
      </w:r>
      <w:r w:rsidRPr="004D7461">
        <w:t xml:space="preserve">’s updated estimates of cultural and creative activity vary from those presented in </w:t>
      </w:r>
      <w:r w:rsidRPr="004D7461">
        <w:rPr>
          <w:lang w:val="en-AU"/>
        </w:rPr>
        <w:t>previous releases</w:t>
      </w:r>
      <w:r w:rsidRPr="004D7461">
        <w:t>.</w:t>
      </w:r>
    </w:p>
    <w:p w14:paraId="40A6B1E2" w14:textId="297E3D99" w:rsidR="00BF6631" w:rsidRPr="004D7461" w:rsidRDefault="00BF6631" w:rsidP="004D7461">
      <w:pPr>
        <w:pStyle w:val="Bullet1"/>
      </w:pPr>
      <w:r w:rsidRPr="004D7461">
        <w:lastRenderedPageBreak/>
        <w:t xml:space="preserve">Cultural and creative activity estimates for 2018–19 have been revised to $117.2 billion (up $1.3 billion from last year’s release). This </w:t>
      </w:r>
      <w:r w:rsidR="00FE7438">
        <w:rPr>
          <w:lang w:val="en-AU"/>
        </w:rPr>
        <w:t>revision</w:t>
      </w:r>
      <w:r w:rsidRPr="004D7461">
        <w:t xml:space="preserve"> has been mainly driven by the $1.7 billion increase to cultural and creative activity in professional, scientific and technical services.</w:t>
      </w:r>
    </w:p>
    <w:p w14:paraId="5603138D" w14:textId="77777777" w:rsidR="00BF6631" w:rsidRPr="004D7461" w:rsidRDefault="00BF6631" w:rsidP="004D7461">
      <w:pPr>
        <w:pStyle w:val="Bullet1"/>
      </w:pPr>
      <w:r w:rsidRPr="004D7461">
        <w:t>The revisions of cultural and creative activity estimates from 2010-11 to 2017</w:t>
      </w:r>
      <w:r w:rsidRPr="004D7461">
        <w:rPr>
          <w:lang w:val="en-AU"/>
        </w:rPr>
        <w:t>–</w:t>
      </w:r>
      <w:r w:rsidRPr="004D7461">
        <w:t xml:space="preserve">18 were also driven mainly by the revisions of cultural and creative activity in </w:t>
      </w:r>
      <w:r w:rsidRPr="004D7461">
        <w:rPr>
          <w:lang w:val="en-AU"/>
        </w:rPr>
        <w:t>professional, scientific and technical services.</w:t>
      </w:r>
    </w:p>
    <w:p w14:paraId="4F11F864" w14:textId="77777777" w:rsidR="00BF6631" w:rsidRPr="004D7461" w:rsidRDefault="00BF6631" w:rsidP="004D7461">
      <w:pPr>
        <w:pStyle w:val="Tablefigureheading"/>
      </w:pPr>
      <w:bookmarkStart w:id="2" w:name="_Toc49863225"/>
      <w:r w:rsidRPr="004D7461">
        <w:t xml:space="preserve">Table </w:t>
      </w:r>
      <w:fldSimple w:instr=" SEQ Table \* ARABIC ">
        <w:r w:rsidRPr="004D7461">
          <w:rPr>
            <w:noProof/>
          </w:rPr>
          <w:t>1</w:t>
        </w:r>
      </w:fldSimple>
      <w:r w:rsidRPr="004D7461">
        <w:t>: Revisions of cultural and creative activity Gross Value Added (GVA), by industry division, 2010–11 to 2018–</w:t>
      </w:r>
      <w:bookmarkEnd w:id="2"/>
      <w:r w:rsidRPr="004D7461">
        <w:t>19</w:t>
      </w:r>
    </w:p>
    <w:tbl>
      <w:tblPr>
        <w:tblStyle w:val="DefaultTable1"/>
        <w:tblW w:w="11054" w:type="dxa"/>
        <w:tblInd w:w="-567" w:type="dxa"/>
        <w:tblLook w:val="04E0" w:firstRow="1" w:lastRow="1" w:firstColumn="1" w:lastColumn="0" w:noHBand="0" w:noVBand="1"/>
        <w:tblDescription w:val="Table 1: Revisions of cultural and creative activity Gross Value Added (GVA), by industry division, 2010–11 to 2018–19"/>
      </w:tblPr>
      <w:tblGrid>
        <w:gridCol w:w="2121"/>
        <w:gridCol w:w="998"/>
        <w:gridCol w:w="992"/>
        <w:gridCol w:w="992"/>
        <w:gridCol w:w="965"/>
        <w:gridCol w:w="938"/>
        <w:gridCol w:w="1053"/>
        <w:gridCol w:w="1025"/>
        <w:gridCol w:w="999"/>
        <w:gridCol w:w="971"/>
      </w:tblGrid>
      <w:tr w:rsidR="00BF6631" w:rsidRPr="004D7461" w14:paraId="2F342AAC" w14:textId="77777777" w:rsidTr="003B7AD3">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1" w:type="dxa"/>
          </w:tcPr>
          <w:p w14:paraId="7F72EAF1" w14:textId="77777777" w:rsidR="00BF6631" w:rsidRPr="004D7461" w:rsidRDefault="00BF6631" w:rsidP="004D7461">
            <w:pPr>
              <w:keepNext/>
              <w:rPr>
                <w:sz w:val="18"/>
                <w:szCs w:val="18"/>
              </w:rPr>
            </w:pPr>
            <w:r w:rsidRPr="004D7461">
              <w:rPr>
                <w:sz w:val="18"/>
                <w:szCs w:val="18"/>
              </w:rPr>
              <w:t>Division name</w:t>
            </w:r>
          </w:p>
        </w:tc>
        <w:tc>
          <w:tcPr>
            <w:tcW w:w="998" w:type="dxa"/>
            <w:vAlign w:val="center"/>
          </w:tcPr>
          <w:p w14:paraId="76AC1EDA" w14:textId="77777777" w:rsidR="00BF6631" w:rsidRPr="004D7461" w:rsidRDefault="00BF6631" w:rsidP="004D7461">
            <w:pPr>
              <w:pStyle w:val="Tablerowcolumnheading"/>
              <w:keepNext/>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4D7461">
              <w:rPr>
                <w:rFonts w:asciiTheme="minorHAnsi" w:hAnsiTheme="minorHAnsi" w:cstheme="minorHAnsi"/>
                <w:b/>
                <w:sz w:val="18"/>
                <w:szCs w:val="18"/>
              </w:rPr>
              <w:t>2010–11</w:t>
            </w:r>
            <w:r w:rsidRPr="004D7461">
              <w:rPr>
                <w:rFonts w:asciiTheme="minorHAnsi" w:hAnsiTheme="minorHAnsi" w:cstheme="minorHAnsi"/>
                <w:b/>
                <w:sz w:val="18"/>
                <w:szCs w:val="18"/>
              </w:rPr>
              <w:br/>
              <w:t>($m)</w:t>
            </w:r>
          </w:p>
        </w:tc>
        <w:tc>
          <w:tcPr>
            <w:tcW w:w="992" w:type="dxa"/>
            <w:vAlign w:val="center"/>
          </w:tcPr>
          <w:p w14:paraId="44288269" w14:textId="77777777" w:rsidR="00BF6631" w:rsidRPr="004D7461" w:rsidRDefault="00BF6631" w:rsidP="004D7461">
            <w:pPr>
              <w:pStyle w:val="Tablerowcolumnheading"/>
              <w:keepNext/>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4D7461">
              <w:rPr>
                <w:rFonts w:asciiTheme="minorHAnsi" w:hAnsiTheme="minorHAnsi" w:cstheme="minorHAnsi"/>
                <w:b/>
                <w:sz w:val="18"/>
                <w:szCs w:val="18"/>
              </w:rPr>
              <w:t>2011–12</w:t>
            </w:r>
            <w:r w:rsidRPr="004D7461">
              <w:rPr>
                <w:rFonts w:asciiTheme="minorHAnsi" w:hAnsiTheme="minorHAnsi" w:cstheme="minorHAnsi"/>
                <w:b/>
                <w:sz w:val="18"/>
                <w:szCs w:val="18"/>
              </w:rPr>
              <w:br/>
              <w:t>($m)</w:t>
            </w:r>
          </w:p>
        </w:tc>
        <w:tc>
          <w:tcPr>
            <w:tcW w:w="992" w:type="dxa"/>
            <w:vAlign w:val="center"/>
          </w:tcPr>
          <w:p w14:paraId="611FE1AA" w14:textId="77777777" w:rsidR="00BF6631" w:rsidRPr="004D7461" w:rsidRDefault="00BF6631" w:rsidP="004D7461">
            <w:pPr>
              <w:pStyle w:val="Tablerowcolumnheading"/>
              <w:keepNext/>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4D7461">
              <w:rPr>
                <w:rFonts w:asciiTheme="minorHAnsi" w:hAnsiTheme="minorHAnsi" w:cstheme="minorHAnsi"/>
                <w:b/>
                <w:sz w:val="18"/>
                <w:szCs w:val="18"/>
              </w:rPr>
              <w:t>2012–13</w:t>
            </w:r>
            <w:r w:rsidRPr="004D7461">
              <w:rPr>
                <w:rFonts w:asciiTheme="minorHAnsi" w:hAnsiTheme="minorHAnsi" w:cstheme="minorHAnsi"/>
                <w:b/>
                <w:sz w:val="18"/>
                <w:szCs w:val="18"/>
              </w:rPr>
              <w:br/>
              <w:t>($m)</w:t>
            </w:r>
          </w:p>
        </w:tc>
        <w:tc>
          <w:tcPr>
            <w:tcW w:w="965" w:type="dxa"/>
            <w:vAlign w:val="center"/>
          </w:tcPr>
          <w:p w14:paraId="1F2129B3" w14:textId="77777777" w:rsidR="00BF6631" w:rsidRPr="004D7461" w:rsidRDefault="00BF6631" w:rsidP="004D7461">
            <w:pPr>
              <w:pStyle w:val="Tablerowcolumnheading"/>
              <w:keepNext/>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4D7461">
              <w:rPr>
                <w:rFonts w:asciiTheme="minorHAnsi" w:hAnsiTheme="minorHAnsi" w:cstheme="minorHAnsi"/>
                <w:b/>
                <w:sz w:val="18"/>
                <w:szCs w:val="18"/>
              </w:rPr>
              <w:t>2013–14</w:t>
            </w:r>
            <w:r w:rsidRPr="004D7461">
              <w:rPr>
                <w:rFonts w:asciiTheme="minorHAnsi" w:hAnsiTheme="minorHAnsi" w:cstheme="minorHAnsi"/>
                <w:b/>
                <w:sz w:val="18"/>
                <w:szCs w:val="18"/>
              </w:rPr>
              <w:br/>
              <w:t>($m)</w:t>
            </w:r>
          </w:p>
        </w:tc>
        <w:tc>
          <w:tcPr>
            <w:tcW w:w="938" w:type="dxa"/>
            <w:vAlign w:val="center"/>
          </w:tcPr>
          <w:p w14:paraId="564983EE" w14:textId="77777777" w:rsidR="00BF6631" w:rsidRPr="004D7461" w:rsidRDefault="00BF6631" w:rsidP="004D7461">
            <w:pPr>
              <w:pStyle w:val="Tablerowcolumnheading"/>
              <w:keepNext/>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4D7461">
              <w:rPr>
                <w:rFonts w:asciiTheme="minorHAnsi" w:hAnsiTheme="minorHAnsi" w:cstheme="minorHAnsi"/>
                <w:b/>
                <w:sz w:val="18"/>
                <w:szCs w:val="18"/>
              </w:rPr>
              <w:t>2014–15</w:t>
            </w:r>
            <w:r w:rsidRPr="004D7461">
              <w:rPr>
                <w:rFonts w:asciiTheme="minorHAnsi" w:hAnsiTheme="minorHAnsi" w:cstheme="minorHAnsi"/>
                <w:b/>
                <w:sz w:val="18"/>
                <w:szCs w:val="18"/>
              </w:rPr>
              <w:br/>
              <w:t>($m)</w:t>
            </w:r>
          </w:p>
        </w:tc>
        <w:tc>
          <w:tcPr>
            <w:tcW w:w="1053" w:type="dxa"/>
            <w:vAlign w:val="center"/>
          </w:tcPr>
          <w:p w14:paraId="5D571B60" w14:textId="77777777" w:rsidR="00BF6631" w:rsidRPr="004D7461" w:rsidRDefault="00BF6631" w:rsidP="004D7461">
            <w:pPr>
              <w:pStyle w:val="Tablerowcolumnheading"/>
              <w:keepNext/>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4D7461">
              <w:rPr>
                <w:rFonts w:asciiTheme="minorHAnsi" w:hAnsiTheme="minorHAnsi" w:cstheme="minorHAnsi"/>
                <w:b/>
                <w:sz w:val="18"/>
                <w:szCs w:val="18"/>
              </w:rPr>
              <w:t>2015–16</w:t>
            </w:r>
            <w:r w:rsidRPr="004D7461">
              <w:rPr>
                <w:rFonts w:asciiTheme="minorHAnsi" w:hAnsiTheme="minorHAnsi" w:cstheme="minorHAnsi"/>
                <w:b/>
                <w:sz w:val="18"/>
                <w:szCs w:val="18"/>
              </w:rPr>
              <w:br/>
              <w:t>($m)</w:t>
            </w:r>
          </w:p>
        </w:tc>
        <w:tc>
          <w:tcPr>
            <w:tcW w:w="1025" w:type="dxa"/>
          </w:tcPr>
          <w:p w14:paraId="71C20A83" w14:textId="77777777" w:rsidR="00BF6631" w:rsidRPr="004D7461" w:rsidRDefault="00BF6631" w:rsidP="004D7461">
            <w:pPr>
              <w:pStyle w:val="Tablerowcolumnheading"/>
              <w:keepNext/>
              <w:jc w:val="right"/>
              <w:cnfStyle w:val="100000000000" w:firstRow="1" w:lastRow="0" w:firstColumn="0" w:lastColumn="0" w:oddVBand="0" w:evenVBand="0" w:oddHBand="0" w:evenHBand="0" w:firstRowFirstColumn="0" w:firstRowLastColumn="0" w:lastRowFirstColumn="0" w:lastRowLastColumn="0"/>
              <w:rPr>
                <w:b/>
                <w:sz w:val="18"/>
                <w:szCs w:val="18"/>
              </w:rPr>
            </w:pPr>
            <w:r w:rsidRPr="004D7461">
              <w:rPr>
                <w:rFonts w:asciiTheme="minorHAnsi" w:hAnsiTheme="minorHAnsi" w:cstheme="minorHAnsi"/>
                <w:b/>
                <w:sz w:val="18"/>
                <w:szCs w:val="18"/>
              </w:rPr>
              <w:t>2016–17</w:t>
            </w:r>
            <w:r w:rsidRPr="004D7461">
              <w:rPr>
                <w:rFonts w:asciiTheme="minorHAnsi" w:hAnsiTheme="minorHAnsi" w:cstheme="minorHAnsi"/>
                <w:b/>
                <w:sz w:val="18"/>
                <w:szCs w:val="18"/>
              </w:rPr>
              <w:br/>
              <w:t>($m)</w:t>
            </w:r>
          </w:p>
        </w:tc>
        <w:tc>
          <w:tcPr>
            <w:tcW w:w="999" w:type="dxa"/>
          </w:tcPr>
          <w:p w14:paraId="3C1A3F39" w14:textId="77777777" w:rsidR="00BF6631" w:rsidRPr="004D7461" w:rsidRDefault="00BF6631" w:rsidP="004D7461">
            <w:pPr>
              <w:pStyle w:val="Tablerowcolumnheading"/>
              <w:keepNext/>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4D7461">
              <w:rPr>
                <w:rFonts w:asciiTheme="minorHAnsi" w:hAnsiTheme="minorHAnsi" w:cstheme="minorHAnsi"/>
                <w:b/>
                <w:sz w:val="18"/>
                <w:szCs w:val="18"/>
              </w:rPr>
              <w:t>2017–18</w:t>
            </w:r>
            <w:r w:rsidRPr="004D7461">
              <w:rPr>
                <w:rFonts w:asciiTheme="minorHAnsi" w:hAnsiTheme="minorHAnsi" w:cstheme="minorHAnsi"/>
                <w:b/>
                <w:sz w:val="18"/>
                <w:szCs w:val="18"/>
              </w:rPr>
              <w:br/>
              <w:t>($m)</w:t>
            </w:r>
          </w:p>
        </w:tc>
        <w:tc>
          <w:tcPr>
            <w:tcW w:w="971" w:type="dxa"/>
          </w:tcPr>
          <w:p w14:paraId="55F83C75" w14:textId="77777777" w:rsidR="00BF6631" w:rsidRPr="004D7461" w:rsidRDefault="00BF6631" w:rsidP="004D7461">
            <w:pPr>
              <w:pStyle w:val="Tablerowcolumnheading"/>
              <w:keepNext/>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4D7461">
              <w:rPr>
                <w:rFonts w:asciiTheme="minorHAnsi" w:hAnsiTheme="minorHAnsi" w:cstheme="minorHAnsi"/>
                <w:b/>
                <w:sz w:val="18"/>
                <w:szCs w:val="18"/>
              </w:rPr>
              <w:t>2018–19</w:t>
            </w:r>
            <w:r w:rsidRPr="004D7461">
              <w:rPr>
                <w:rFonts w:asciiTheme="minorHAnsi" w:hAnsiTheme="minorHAnsi" w:cstheme="minorHAnsi"/>
                <w:b/>
                <w:sz w:val="18"/>
                <w:szCs w:val="18"/>
              </w:rPr>
              <w:br/>
              <w:t>($m)</w:t>
            </w:r>
          </w:p>
        </w:tc>
      </w:tr>
      <w:tr w:rsidR="00BF6631" w:rsidRPr="004D7461" w14:paraId="7157BD85" w14:textId="77777777" w:rsidTr="003B7AD3">
        <w:trPr>
          <w:cantSplit/>
        </w:trPr>
        <w:tc>
          <w:tcPr>
            <w:cnfStyle w:val="001000000000" w:firstRow="0" w:lastRow="0" w:firstColumn="1" w:lastColumn="0" w:oddVBand="0" w:evenVBand="0" w:oddHBand="0" w:evenHBand="0" w:firstRowFirstColumn="0" w:firstRowLastColumn="0" w:lastRowFirstColumn="0" w:lastRowLastColumn="0"/>
            <w:tcW w:w="2121" w:type="dxa"/>
            <w:vAlign w:val="bottom"/>
          </w:tcPr>
          <w:p w14:paraId="7F55DDF9" w14:textId="77777777" w:rsidR="00BF6631" w:rsidRPr="004D7461" w:rsidRDefault="00BF6631" w:rsidP="004D7461">
            <w:pPr>
              <w:keepNext/>
              <w:rPr>
                <w:sz w:val="18"/>
                <w:szCs w:val="18"/>
              </w:rPr>
            </w:pPr>
            <w:r w:rsidRPr="004D7461">
              <w:rPr>
                <w:rFonts w:cs="Segoe UI"/>
                <w:sz w:val="18"/>
                <w:szCs w:val="18"/>
              </w:rPr>
              <w:t>Manufacturing</w:t>
            </w:r>
          </w:p>
        </w:tc>
        <w:tc>
          <w:tcPr>
            <w:tcW w:w="998" w:type="dxa"/>
            <w:vAlign w:val="center"/>
          </w:tcPr>
          <w:p w14:paraId="1C31A354" w14:textId="77777777" w:rsidR="00BF6631" w:rsidRPr="004D7461" w:rsidRDefault="00BF6631" w:rsidP="004D7461">
            <w:pPr>
              <w:keepNext/>
              <w:jc w:val="right"/>
              <w:cnfStyle w:val="000000000000" w:firstRow="0" w:lastRow="0" w:firstColumn="0" w:lastColumn="0" w:oddVBand="0" w:evenVBand="0" w:oddHBand="0" w:evenHBand="0" w:firstRowFirstColumn="0" w:firstRowLastColumn="0" w:lastRowFirstColumn="0" w:lastRowLastColumn="0"/>
              <w:rPr>
                <w:sz w:val="18"/>
                <w:szCs w:val="18"/>
              </w:rPr>
            </w:pPr>
            <w:r w:rsidRPr="004D7461">
              <w:rPr>
                <w:sz w:val="18"/>
                <w:szCs w:val="18"/>
              </w:rPr>
              <w:t>17</w:t>
            </w:r>
          </w:p>
        </w:tc>
        <w:tc>
          <w:tcPr>
            <w:tcW w:w="992" w:type="dxa"/>
            <w:vAlign w:val="center"/>
          </w:tcPr>
          <w:p w14:paraId="37538962" w14:textId="77777777" w:rsidR="00BF6631" w:rsidRPr="004D7461" w:rsidRDefault="00BF6631" w:rsidP="004D7461">
            <w:pPr>
              <w:keepNext/>
              <w:jc w:val="right"/>
              <w:cnfStyle w:val="000000000000" w:firstRow="0" w:lastRow="0" w:firstColumn="0" w:lastColumn="0" w:oddVBand="0" w:evenVBand="0" w:oddHBand="0" w:evenHBand="0" w:firstRowFirstColumn="0" w:firstRowLastColumn="0" w:lastRowFirstColumn="0" w:lastRowLastColumn="0"/>
              <w:rPr>
                <w:sz w:val="18"/>
                <w:szCs w:val="18"/>
              </w:rPr>
            </w:pPr>
            <w:r w:rsidRPr="004D7461">
              <w:rPr>
                <w:sz w:val="18"/>
                <w:szCs w:val="18"/>
              </w:rPr>
              <w:t>17</w:t>
            </w:r>
          </w:p>
        </w:tc>
        <w:tc>
          <w:tcPr>
            <w:tcW w:w="992" w:type="dxa"/>
            <w:vAlign w:val="center"/>
          </w:tcPr>
          <w:p w14:paraId="1ACA5377" w14:textId="77777777" w:rsidR="00BF6631" w:rsidRPr="004D7461" w:rsidRDefault="00BF6631" w:rsidP="004D7461">
            <w:pPr>
              <w:keepNext/>
              <w:jc w:val="right"/>
              <w:cnfStyle w:val="000000000000" w:firstRow="0" w:lastRow="0" w:firstColumn="0" w:lastColumn="0" w:oddVBand="0" w:evenVBand="0" w:oddHBand="0" w:evenHBand="0" w:firstRowFirstColumn="0" w:firstRowLastColumn="0" w:lastRowFirstColumn="0" w:lastRowLastColumn="0"/>
              <w:rPr>
                <w:sz w:val="18"/>
                <w:szCs w:val="18"/>
              </w:rPr>
            </w:pPr>
            <w:r w:rsidRPr="004D7461">
              <w:rPr>
                <w:sz w:val="18"/>
                <w:szCs w:val="18"/>
              </w:rPr>
              <w:t>6</w:t>
            </w:r>
          </w:p>
        </w:tc>
        <w:tc>
          <w:tcPr>
            <w:tcW w:w="965" w:type="dxa"/>
            <w:vAlign w:val="center"/>
          </w:tcPr>
          <w:p w14:paraId="5EF0AE0E" w14:textId="77777777" w:rsidR="00BF6631" w:rsidRPr="004D7461" w:rsidRDefault="00BF6631" w:rsidP="004D7461">
            <w:pPr>
              <w:keepNext/>
              <w:jc w:val="right"/>
              <w:cnfStyle w:val="000000000000" w:firstRow="0" w:lastRow="0" w:firstColumn="0" w:lastColumn="0" w:oddVBand="0" w:evenVBand="0" w:oddHBand="0" w:evenHBand="0" w:firstRowFirstColumn="0" w:firstRowLastColumn="0" w:lastRowFirstColumn="0" w:lastRowLastColumn="0"/>
              <w:rPr>
                <w:sz w:val="18"/>
                <w:szCs w:val="18"/>
              </w:rPr>
            </w:pPr>
            <w:r w:rsidRPr="004D7461">
              <w:rPr>
                <w:sz w:val="18"/>
                <w:szCs w:val="18"/>
              </w:rPr>
              <w:t>6</w:t>
            </w:r>
          </w:p>
        </w:tc>
        <w:tc>
          <w:tcPr>
            <w:tcW w:w="938" w:type="dxa"/>
            <w:vAlign w:val="center"/>
          </w:tcPr>
          <w:p w14:paraId="52524745" w14:textId="77777777" w:rsidR="00BF6631" w:rsidRPr="004D7461" w:rsidRDefault="00BF6631" w:rsidP="004D7461">
            <w:pPr>
              <w:keepNext/>
              <w:jc w:val="right"/>
              <w:cnfStyle w:val="000000000000" w:firstRow="0" w:lastRow="0" w:firstColumn="0" w:lastColumn="0" w:oddVBand="0" w:evenVBand="0" w:oddHBand="0" w:evenHBand="0" w:firstRowFirstColumn="0" w:firstRowLastColumn="0" w:lastRowFirstColumn="0" w:lastRowLastColumn="0"/>
              <w:rPr>
                <w:sz w:val="18"/>
                <w:szCs w:val="18"/>
              </w:rPr>
            </w:pPr>
            <w:r w:rsidRPr="004D7461">
              <w:rPr>
                <w:sz w:val="18"/>
                <w:szCs w:val="18"/>
              </w:rPr>
              <w:t>2</w:t>
            </w:r>
          </w:p>
        </w:tc>
        <w:tc>
          <w:tcPr>
            <w:tcW w:w="1053" w:type="dxa"/>
            <w:vAlign w:val="center"/>
          </w:tcPr>
          <w:p w14:paraId="39850965" w14:textId="77777777" w:rsidR="00BF6631" w:rsidRPr="004D7461" w:rsidRDefault="00BF6631" w:rsidP="004D7461">
            <w:pPr>
              <w:keepNext/>
              <w:jc w:val="right"/>
              <w:cnfStyle w:val="000000000000" w:firstRow="0" w:lastRow="0" w:firstColumn="0" w:lastColumn="0" w:oddVBand="0" w:evenVBand="0" w:oddHBand="0" w:evenHBand="0" w:firstRowFirstColumn="0" w:firstRowLastColumn="0" w:lastRowFirstColumn="0" w:lastRowLastColumn="0"/>
              <w:rPr>
                <w:sz w:val="18"/>
                <w:szCs w:val="18"/>
              </w:rPr>
            </w:pPr>
            <w:r w:rsidRPr="004D7461">
              <w:rPr>
                <w:sz w:val="18"/>
                <w:szCs w:val="18"/>
              </w:rPr>
              <w:t>-3</w:t>
            </w:r>
          </w:p>
        </w:tc>
        <w:tc>
          <w:tcPr>
            <w:tcW w:w="1025" w:type="dxa"/>
            <w:vAlign w:val="center"/>
          </w:tcPr>
          <w:p w14:paraId="3FC62DAD" w14:textId="77777777" w:rsidR="00BF6631" w:rsidRPr="004D7461" w:rsidRDefault="00BF6631" w:rsidP="004D7461">
            <w:pPr>
              <w:keepNext/>
              <w:jc w:val="right"/>
              <w:cnfStyle w:val="000000000000" w:firstRow="0" w:lastRow="0" w:firstColumn="0" w:lastColumn="0" w:oddVBand="0" w:evenVBand="0" w:oddHBand="0" w:evenHBand="0" w:firstRowFirstColumn="0" w:firstRowLastColumn="0" w:lastRowFirstColumn="0" w:lastRowLastColumn="0"/>
              <w:rPr>
                <w:sz w:val="18"/>
                <w:szCs w:val="18"/>
              </w:rPr>
            </w:pPr>
            <w:r w:rsidRPr="004D7461">
              <w:rPr>
                <w:sz w:val="18"/>
                <w:szCs w:val="18"/>
              </w:rPr>
              <w:t>-8</w:t>
            </w:r>
          </w:p>
        </w:tc>
        <w:tc>
          <w:tcPr>
            <w:tcW w:w="999" w:type="dxa"/>
            <w:vAlign w:val="center"/>
          </w:tcPr>
          <w:p w14:paraId="30D3125A" w14:textId="77777777" w:rsidR="00BF6631" w:rsidRPr="004D7461" w:rsidRDefault="00BF6631" w:rsidP="004D7461">
            <w:pPr>
              <w:keepNext/>
              <w:jc w:val="right"/>
              <w:cnfStyle w:val="000000000000" w:firstRow="0" w:lastRow="0" w:firstColumn="0" w:lastColumn="0" w:oddVBand="0" w:evenVBand="0" w:oddHBand="0" w:evenHBand="0" w:firstRowFirstColumn="0" w:firstRowLastColumn="0" w:lastRowFirstColumn="0" w:lastRowLastColumn="0"/>
              <w:rPr>
                <w:sz w:val="18"/>
                <w:szCs w:val="18"/>
              </w:rPr>
            </w:pPr>
            <w:r w:rsidRPr="004D7461">
              <w:rPr>
                <w:sz w:val="18"/>
                <w:szCs w:val="18"/>
              </w:rPr>
              <w:t>-14</w:t>
            </w:r>
          </w:p>
        </w:tc>
        <w:tc>
          <w:tcPr>
            <w:tcW w:w="971" w:type="dxa"/>
            <w:vAlign w:val="center"/>
          </w:tcPr>
          <w:p w14:paraId="2C73CBA2" w14:textId="77777777" w:rsidR="00BF6631" w:rsidRPr="004D7461" w:rsidRDefault="00BF6631" w:rsidP="004D7461">
            <w:pPr>
              <w:keepNext/>
              <w:jc w:val="right"/>
              <w:cnfStyle w:val="000000000000" w:firstRow="0" w:lastRow="0" w:firstColumn="0" w:lastColumn="0" w:oddVBand="0" w:evenVBand="0" w:oddHBand="0" w:evenHBand="0" w:firstRowFirstColumn="0" w:firstRowLastColumn="0" w:lastRowFirstColumn="0" w:lastRowLastColumn="0"/>
              <w:rPr>
                <w:sz w:val="18"/>
                <w:szCs w:val="18"/>
              </w:rPr>
            </w:pPr>
            <w:r w:rsidRPr="004D7461">
              <w:rPr>
                <w:sz w:val="18"/>
                <w:szCs w:val="18"/>
              </w:rPr>
              <w:t>-184</w:t>
            </w:r>
          </w:p>
        </w:tc>
      </w:tr>
      <w:tr w:rsidR="00BF6631" w:rsidRPr="004D7461" w14:paraId="1866FE46" w14:textId="77777777" w:rsidTr="003B7AD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1" w:type="dxa"/>
            <w:vAlign w:val="bottom"/>
          </w:tcPr>
          <w:p w14:paraId="4E0E95F2" w14:textId="77777777" w:rsidR="00BF6631" w:rsidRPr="004D7461" w:rsidRDefault="00BF6631" w:rsidP="004D7461">
            <w:pPr>
              <w:keepNext/>
              <w:rPr>
                <w:sz w:val="18"/>
                <w:szCs w:val="18"/>
              </w:rPr>
            </w:pPr>
            <w:r w:rsidRPr="004D7461">
              <w:rPr>
                <w:rFonts w:cs="Segoe UI"/>
                <w:sz w:val="18"/>
                <w:szCs w:val="18"/>
              </w:rPr>
              <w:t>Wholesale Trade</w:t>
            </w:r>
          </w:p>
        </w:tc>
        <w:tc>
          <w:tcPr>
            <w:tcW w:w="998" w:type="dxa"/>
            <w:vAlign w:val="center"/>
          </w:tcPr>
          <w:p w14:paraId="209B3DDB" w14:textId="77777777" w:rsidR="00BF6631" w:rsidRPr="004D7461" w:rsidRDefault="00BF6631" w:rsidP="004D7461">
            <w:pPr>
              <w:keepNext/>
              <w:jc w:val="right"/>
              <w:cnfStyle w:val="000000010000" w:firstRow="0" w:lastRow="0" w:firstColumn="0" w:lastColumn="0" w:oddVBand="0" w:evenVBand="0" w:oddHBand="0" w:evenHBand="1" w:firstRowFirstColumn="0" w:firstRowLastColumn="0" w:lastRowFirstColumn="0" w:lastRowLastColumn="0"/>
              <w:rPr>
                <w:sz w:val="18"/>
                <w:szCs w:val="18"/>
              </w:rPr>
            </w:pPr>
            <w:r w:rsidRPr="004D7461">
              <w:rPr>
                <w:sz w:val="18"/>
                <w:szCs w:val="18"/>
              </w:rPr>
              <w:t>18</w:t>
            </w:r>
          </w:p>
        </w:tc>
        <w:tc>
          <w:tcPr>
            <w:tcW w:w="992" w:type="dxa"/>
            <w:vAlign w:val="center"/>
          </w:tcPr>
          <w:p w14:paraId="7EA0C555" w14:textId="77777777" w:rsidR="00BF6631" w:rsidRPr="004D7461" w:rsidRDefault="00BF6631" w:rsidP="004D7461">
            <w:pPr>
              <w:keepNext/>
              <w:jc w:val="right"/>
              <w:cnfStyle w:val="000000010000" w:firstRow="0" w:lastRow="0" w:firstColumn="0" w:lastColumn="0" w:oddVBand="0" w:evenVBand="0" w:oddHBand="0" w:evenHBand="1" w:firstRowFirstColumn="0" w:firstRowLastColumn="0" w:lastRowFirstColumn="0" w:lastRowLastColumn="0"/>
              <w:rPr>
                <w:sz w:val="18"/>
                <w:szCs w:val="18"/>
              </w:rPr>
            </w:pPr>
            <w:r w:rsidRPr="004D7461">
              <w:rPr>
                <w:sz w:val="18"/>
                <w:szCs w:val="18"/>
              </w:rPr>
              <w:t>13</w:t>
            </w:r>
          </w:p>
        </w:tc>
        <w:tc>
          <w:tcPr>
            <w:tcW w:w="992" w:type="dxa"/>
            <w:vAlign w:val="center"/>
          </w:tcPr>
          <w:p w14:paraId="78BF58B8" w14:textId="77777777" w:rsidR="00BF6631" w:rsidRPr="004D7461" w:rsidRDefault="00BF6631" w:rsidP="004D7461">
            <w:pPr>
              <w:keepNext/>
              <w:jc w:val="right"/>
              <w:cnfStyle w:val="000000010000" w:firstRow="0" w:lastRow="0" w:firstColumn="0" w:lastColumn="0" w:oddVBand="0" w:evenVBand="0" w:oddHBand="0" w:evenHBand="1" w:firstRowFirstColumn="0" w:firstRowLastColumn="0" w:lastRowFirstColumn="0" w:lastRowLastColumn="0"/>
              <w:rPr>
                <w:sz w:val="18"/>
                <w:szCs w:val="18"/>
              </w:rPr>
            </w:pPr>
            <w:r w:rsidRPr="004D7461">
              <w:rPr>
                <w:sz w:val="18"/>
                <w:szCs w:val="18"/>
              </w:rPr>
              <w:t>4</w:t>
            </w:r>
          </w:p>
        </w:tc>
        <w:tc>
          <w:tcPr>
            <w:tcW w:w="965" w:type="dxa"/>
            <w:vAlign w:val="center"/>
          </w:tcPr>
          <w:p w14:paraId="5FBB7B03" w14:textId="77777777" w:rsidR="00BF6631" w:rsidRPr="004D7461" w:rsidRDefault="00BF6631" w:rsidP="004D7461">
            <w:pPr>
              <w:keepNext/>
              <w:jc w:val="right"/>
              <w:cnfStyle w:val="000000010000" w:firstRow="0" w:lastRow="0" w:firstColumn="0" w:lastColumn="0" w:oddVBand="0" w:evenVBand="0" w:oddHBand="0" w:evenHBand="1" w:firstRowFirstColumn="0" w:firstRowLastColumn="0" w:lastRowFirstColumn="0" w:lastRowLastColumn="0"/>
              <w:rPr>
                <w:sz w:val="18"/>
                <w:szCs w:val="18"/>
              </w:rPr>
            </w:pPr>
            <w:r w:rsidRPr="004D7461">
              <w:rPr>
                <w:sz w:val="18"/>
                <w:szCs w:val="18"/>
              </w:rPr>
              <w:t>7</w:t>
            </w:r>
          </w:p>
        </w:tc>
        <w:tc>
          <w:tcPr>
            <w:tcW w:w="938" w:type="dxa"/>
            <w:vAlign w:val="center"/>
          </w:tcPr>
          <w:p w14:paraId="366AF8C8" w14:textId="77777777" w:rsidR="00BF6631" w:rsidRPr="004D7461" w:rsidRDefault="00BF6631" w:rsidP="004D7461">
            <w:pPr>
              <w:keepNext/>
              <w:jc w:val="right"/>
              <w:cnfStyle w:val="000000010000" w:firstRow="0" w:lastRow="0" w:firstColumn="0" w:lastColumn="0" w:oddVBand="0" w:evenVBand="0" w:oddHBand="0" w:evenHBand="1" w:firstRowFirstColumn="0" w:firstRowLastColumn="0" w:lastRowFirstColumn="0" w:lastRowLastColumn="0"/>
              <w:rPr>
                <w:sz w:val="18"/>
                <w:szCs w:val="18"/>
              </w:rPr>
            </w:pPr>
            <w:r w:rsidRPr="004D7461">
              <w:rPr>
                <w:sz w:val="18"/>
                <w:szCs w:val="18"/>
              </w:rPr>
              <w:t>-3</w:t>
            </w:r>
          </w:p>
        </w:tc>
        <w:tc>
          <w:tcPr>
            <w:tcW w:w="1053" w:type="dxa"/>
            <w:vAlign w:val="center"/>
          </w:tcPr>
          <w:p w14:paraId="40D6F091" w14:textId="77777777" w:rsidR="00BF6631" w:rsidRPr="004D7461" w:rsidRDefault="00BF6631" w:rsidP="004D7461">
            <w:pPr>
              <w:keepNext/>
              <w:jc w:val="right"/>
              <w:cnfStyle w:val="000000010000" w:firstRow="0" w:lastRow="0" w:firstColumn="0" w:lastColumn="0" w:oddVBand="0" w:evenVBand="0" w:oddHBand="0" w:evenHBand="1" w:firstRowFirstColumn="0" w:firstRowLastColumn="0" w:lastRowFirstColumn="0" w:lastRowLastColumn="0"/>
              <w:rPr>
                <w:sz w:val="18"/>
                <w:szCs w:val="18"/>
              </w:rPr>
            </w:pPr>
            <w:r w:rsidRPr="004D7461">
              <w:rPr>
                <w:sz w:val="18"/>
                <w:szCs w:val="18"/>
              </w:rPr>
              <w:t>-8</w:t>
            </w:r>
          </w:p>
        </w:tc>
        <w:tc>
          <w:tcPr>
            <w:tcW w:w="1025" w:type="dxa"/>
            <w:vAlign w:val="center"/>
          </w:tcPr>
          <w:p w14:paraId="10D7B156" w14:textId="77777777" w:rsidR="00BF6631" w:rsidRPr="004D7461" w:rsidRDefault="00BF6631" w:rsidP="004D7461">
            <w:pPr>
              <w:keepNext/>
              <w:jc w:val="right"/>
              <w:cnfStyle w:val="000000010000" w:firstRow="0" w:lastRow="0" w:firstColumn="0" w:lastColumn="0" w:oddVBand="0" w:evenVBand="0" w:oddHBand="0" w:evenHBand="1" w:firstRowFirstColumn="0" w:firstRowLastColumn="0" w:lastRowFirstColumn="0" w:lastRowLastColumn="0"/>
              <w:rPr>
                <w:sz w:val="18"/>
                <w:szCs w:val="18"/>
              </w:rPr>
            </w:pPr>
            <w:r w:rsidRPr="004D7461">
              <w:rPr>
                <w:sz w:val="18"/>
                <w:szCs w:val="18"/>
              </w:rPr>
              <w:t>-30</w:t>
            </w:r>
          </w:p>
        </w:tc>
        <w:tc>
          <w:tcPr>
            <w:tcW w:w="999" w:type="dxa"/>
            <w:vAlign w:val="center"/>
          </w:tcPr>
          <w:p w14:paraId="3DBAEEBC" w14:textId="77777777" w:rsidR="00BF6631" w:rsidRPr="004D7461" w:rsidRDefault="00BF6631" w:rsidP="004D7461">
            <w:pPr>
              <w:keepNext/>
              <w:jc w:val="right"/>
              <w:cnfStyle w:val="000000010000" w:firstRow="0" w:lastRow="0" w:firstColumn="0" w:lastColumn="0" w:oddVBand="0" w:evenVBand="0" w:oddHBand="0" w:evenHBand="1" w:firstRowFirstColumn="0" w:firstRowLastColumn="0" w:lastRowFirstColumn="0" w:lastRowLastColumn="0"/>
              <w:rPr>
                <w:sz w:val="18"/>
                <w:szCs w:val="18"/>
              </w:rPr>
            </w:pPr>
            <w:r w:rsidRPr="004D7461">
              <w:rPr>
                <w:sz w:val="18"/>
                <w:szCs w:val="18"/>
              </w:rPr>
              <w:t>-61</w:t>
            </w:r>
          </w:p>
        </w:tc>
        <w:tc>
          <w:tcPr>
            <w:tcW w:w="971" w:type="dxa"/>
            <w:vAlign w:val="center"/>
          </w:tcPr>
          <w:p w14:paraId="47656881" w14:textId="77777777" w:rsidR="00BF6631" w:rsidRPr="004D7461" w:rsidRDefault="00BF6631" w:rsidP="004D7461">
            <w:pPr>
              <w:keepNext/>
              <w:jc w:val="right"/>
              <w:cnfStyle w:val="000000010000" w:firstRow="0" w:lastRow="0" w:firstColumn="0" w:lastColumn="0" w:oddVBand="0" w:evenVBand="0" w:oddHBand="0" w:evenHBand="1" w:firstRowFirstColumn="0" w:firstRowLastColumn="0" w:lastRowFirstColumn="0" w:lastRowLastColumn="0"/>
              <w:rPr>
                <w:sz w:val="18"/>
                <w:szCs w:val="18"/>
              </w:rPr>
            </w:pPr>
            <w:r w:rsidRPr="004D7461">
              <w:rPr>
                <w:sz w:val="18"/>
                <w:szCs w:val="18"/>
              </w:rPr>
              <w:t>-17</w:t>
            </w:r>
          </w:p>
        </w:tc>
      </w:tr>
      <w:tr w:rsidR="00BF6631" w:rsidRPr="004D7461" w14:paraId="1FD2EC6A" w14:textId="77777777" w:rsidTr="003B7AD3">
        <w:trPr>
          <w:cantSplit/>
        </w:trPr>
        <w:tc>
          <w:tcPr>
            <w:cnfStyle w:val="001000000000" w:firstRow="0" w:lastRow="0" w:firstColumn="1" w:lastColumn="0" w:oddVBand="0" w:evenVBand="0" w:oddHBand="0" w:evenHBand="0" w:firstRowFirstColumn="0" w:firstRowLastColumn="0" w:lastRowFirstColumn="0" w:lastRowLastColumn="0"/>
            <w:tcW w:w="2121" w:type="dxa"/>
            <w:vAlign w:val="bottom"/>
          </w:tcPr>
          <w:p w14:paraId="42357C00" w14:textId="77777777" w:rsidR="00BF6631" w:rsidRPr="004D7461" w:rsidRDefault="00BF6631" w:rsidP="004D7461">
            <w:pPr>
              <w:keepNext/>
              <w:rPr>
                <w:sz w:val="18"/>
                <w:szCs w:val="18"/>
              </w:rPr>
            </w:pPr>
            <w:r w:rsidRPr="004D7461">
              <w:rPr>
                <w:rFonts w:cs="Segoe UI"/>
                <w:sz w:val="18"/>
                <w:szCs w:val="18"/>
              </w:rPr>
              <w:t>Retail Trade</w:t>
            </w:r>
          </w:p>
        </w:tc>
        <w:tc>
          <w:tcPr>
            <w:tcW w:w="998" w:type="dxa"/>
            <w:vAlign w:val="center"/>
          </w:tcPr>
          <w:p w14:paraId="18E2EB29" w14:textId="77777777" w:rsidR="00BF6631" w:rsidRPr="004D7461" w:rsidRDefault="00BF6631" w:rsidP="004D7461">
            <w:pPr>
              <w:keepNext/>
              <w:jc w:val="right"/>
              <w:cnfStyle w:val="000000000000" w:firstRow="0" w:lastRow="0" w:firstColumn="0" w:lastColumn="0" w:oddVBand="0" w:evenVBand="0" w:oddHBand="0" w:evenHBand="0" w:firstRowFirstColumn="0" w:firstRowLastColumn="0" w:lastRowFirstColumn="0" w:lastRowLastColumn="0"/>
              <w:rPr>
                <w:sz w:val="18"/>
                <w:szCs w:val="18"/>
              </w:rPr>
            </w:pPr>
            <w:r w:rsidRPr="004D7461">
              <w:rPr>
                <w:sz w:val="18"/>
                <w:szCs w:val="18"/>
              </w:rPr>
              <w:t>40</w:t>
            </w:r>
          </w:p>
        </w:tc>
        <w:tc>
          <w:tcPr>
            <w:tcW w:w="992" w:type="dxa"/>
            <w:vAlign w:val="center"/>
          </w:tcPr>
          <w:p w14:paraId="54645198" w14:textId="77777777" w:rsidR="00BF6631" w:rsidRPr="004D7461" w:rsidRDefault="00BF6631" w:rsidP="004D7461">
            <w:pPr>
              <w:keepNext/>
              <w:jc w:val="right"/>
              <w:cnfStyle w:val="000000000000" w:firstRow="0" w:lastRow="0" w:firstColumn="0" w:lastColumn="0" w:oddVBand="0" w:evenVBand="0" w:oddHBand="0" w:evenHBand="0" w:firstRowFirstColumn="0" w:firstRowLastColumn="0" w:lastRowFirstColumn="0" w:lastRowLastColumn="0"/>
              <w:rPr>
                <w:sz w:val="18"/>
                <w:szCs w:val="18"/>
              </w:rPr>
            </w:pPr>
            <w:r w:rsidRPr="004D7461">
              <w:rPr>
                <w:sz w:val="18"/>
                <w:szCs w:val="18"/>
              </w:rPr>
              <w:t>31</w:t>
            </w:r>
          </w:p>
        </w:tc>
        <w:tc>
          <w:tcPr>
            <w:tcW w:w="992" w:type="dxa"/>
            <w:vAlign w:val="center"/>
          </w:tcPr>
          <w:p w14:paraId="279B1BEC" w14:textId="77777777" w:rsidR="00BF6631" w:rsidRPr="004D7461" w:rsidRDefault="00BF6631" w:rsidP="004D7461">
            <w:pPr>
              <w:keepNext/>
              <w:jc w:val="right"/>
              <w:cnfStyle w:val="000000000000" w:firstRow="0" w:lastRow="0" w:firstColumn="0" w:lastColumn="0" w:oddVBand="0" w:evenVBand="0" w:oddHBand="0" w:evenHBand="0" w:firstRowFirstColumn="0" w:firstRowLastColumn="0" w:lastRowFirstColumn="0" w:lastRowLastColumn="0"/>
              <w:rPr>
                <w:sz w:val="18"/>
                <w:szCs w:val="18"/>
              </w:rPr>
            </w:pPr>
            <w:r w:rsidRPr="004D7461">
              <w:rPr>
                <w:sz w:val="18"/>
                <w:szCs w:val="18"/>
              </w:rPr>
              <w:t>8</w:t>
            </w:r>
          </w:p>
        </w:tc>
        <w:tc>
          <w:tcPr>
            <w:tcW w:w="965" w:type="dxa"/>
            <w:vAlign w:val="center"/>
          </w:tcPr>
          <w:p w14:paraId="048AEF33" w14:textId="77777777" w:rsidR="00BF6631" w:rsidRPr="004D7461" w:rsidRDefault="00BF6631" w:rsidP="004D7461">
            <w:pPr>
              <w:keepNext/>
              <w:jc w:val="right"/>
              <w:cnfStyle w:val="000000000000" w:firstRow="0" w:lastRow="0" w:firstColumn="0" w:lastColumn="0" w:oddVBand="0" w:evenVBand="0" w:oddHBand="0" w:evenHBand="0" w:firstRowFirstColumn="0" w:firstRowLastColumn="0" w:lastRowFirstColumn="0" w:lastRowLastColumn="0"/>
              <w:rPr>
                <w:sz w:val="18"/>
                <w:szCs w:val="18"/>
              </w:rPr>
            </w:pPr>
            <w:r w:rsidRPr="004D7461">
              <w:rPr>
                <w:sz w:val="18"/>
                <w:szCs w:val="18"/>
              </w:rPr>
              <w:t>16</w:t>
            </w:r>
          </w:p>
        </w:tc>
        <w:tc>
          <w:tcPr>
            <w:tcW w:w="938" w:type="dxa"/>
            <w:vAlign w:val="center"/>
          </w:tcPr>
          <w:p w14:paraId="61072F6C" w14:textId="77777777" w:rsidR="00BF6631" w:rsidRPr="004D7461" w:rsidRDefault="00BF6631" w:rsidP="004D7461">
            <w:pPr>
              <w:keepNext/>
              <w:jc w:val="right"/>
              <w:cnfStyle w:val="000000000000" w:firstRow="0" w:lastRow="0" w:firstColumn="0" w:lastColumn="0" w:oddVBand="0" w:evenVBand="0" w:oddHBand="0" w:evenHBand="0" w:firstRowFirstColumn="0" w:firstRowLastColumn="0" w:lastRowFirstColumn="0" w:lastRowLastColumn="0"/>
              <w:rPr>
                <w:sz w:val="18"/>
                <w:szCs w:val="18"/>
              </w:rPr>
            </w:pPr>
            <w:r w:rsidRPr="004D7461">
              <w:rPr>
                <w:sz w:val="18"/>
                <w:szCs w:val="18"/>
              </w:rPr>
              <w:t>3</w:t>
            </w:r>
          </w:p>
        </w:tc>
        <w:tc>
          <w:tcPr>
            <w:tcW w:w="1053" w:type="dxa"/>
            <w:vAlign w:val="center"/>
          </w:tcPr>
          <w:p w14:paraId="6BB32F67" w14:textId="77777777" w:rsidR="00BF6631" w:rsidRPr="004D7461" w:rsidRDefault="00BF6631" w:rsidP="004D7461">
            <w:pPr>
              <w:keepNext/>
              <w:jc w:val="right"/>
              <w:cnfStyle w:val="000000000000" w:firstRow="0" w:lastRow="0" w:firstColumn="0" w:lastColumn="0" w:oddVBand="0" w:evenVBand="0" w:oddHBand="0" w:evenHBand="0" w:firstRowFirstColumn="0" w:firstRowLastColumn="0" w:lastRowFirstColumn="0" w:lastRowLastColumn="0"/>
              <w:rPr>
                <w:sz w:val="18"/>
                <w:szCs w:val="18"/>
              </w:rPr>
            </w:pPr>
            <w:r w:rsidRPr="004D7461">
              <w:rPr>
                <w:sz w:val="18"/>
                <w:szCs w:val="18"/>
              </w:rPr>
              <w:t>21</w:t>
            </w:r>
          </w:p>
        </w:tc>
        <w:tc>
          <w:tcPr>
            <w:tcW w:w="1025" w:type="dxa"/>
            <w:vAlign w:val="center"/>
          </w:tcPr>
          <w:p w14:paraId="542E7535" w14:textId="77777777" w:rsidR="00BF6631" w:rsidRPr="004D7461" w:rsidRDefault="00BF6631" w:rsidP="004D7461">
            <w:pPr>
              <w:keepNext/>
              <w:jc w:val="right"/>
              <w:cnfStyle w:val="000000000000" w:firstRow="0" w:lastRow="0" w:firstColumn="0" w:lastColumn="0" w:oddVBand="0" w:evenVBand="0" w:oddHBand="0" w:evenHBand="0" w:firstRowFirstColumn="0" w:firstRowLastColumn="0" w:lastRowFirstColumn="0" w:lastRowLastColumn="0"/>
              <w:rPr>
                <w:sz w:val="18"/>
                <w:szCs w:val="18"/>
              </w:rPr>
            </w:pPr>
            <w:r w:rsidRPr="004D7461">
              <w:rPr>
                <w:sz w:val="18"/>
                <w:szCs w:val="18"/>
              </w:rPr>
              <w:t>-79</w:t>
            </w:r>
          </w:p>
        </w:tc>
        <w:tc>
          <w:tcPr>
            <w:tcW w:w="999" w:type="dxa"/>
            <w:vAlign w:val="center"/>
          </w:tcPr>
          <w:p w14:paraId="15535696" w14:textId="77777777" w:rsidR="00BF6631" w:rsidRPr="004D7461" w:rsidRDefault="00BF6631" w:rsidP="004D7461">
            <w:pPr>
              <w:keepNext/>
              <w:jc w:val="right"/>
              <w:cnfStyle w:val="000000000000" w:firstRow="0" w:lastRow="0" w:firstColumn="0" w:lastColumn="0" w:oddVBand="0" w:evenVBand="0" w:oddHBand="0" w:evenHBand="0" w:firstRowFirstColumn="0" w:firstRowLastColumn="0" w:lastRowFirstColumn="0" w:lastRowLastColumn="0"/>
              <w:rPr>
                <w:sz w:val="18"/>
                <w:szCs w:val="18"/>
              </w:rPr>
            </w:pPr>
            <w:r w:rsidRPr="004D7461">
              <w:rPr>
                <w:sz w:val="18"/>
                <w:szCs w:val="18"/>
              </w:rPr>
              <w:t>-118</w:t>
            </w:r>
          </w:p>
        </w:tc>
        <w:tc>
          <w:tcPr>
            <w:tcW w:w="971" w:type="dxa"/>
            <w:vAlign w:val="center"/>
          </w:tcPr>
          <w:p w14:paraId="392D7449" w14:textId="77777777" w:rsidR="00BF6631" w:rsidRPr="004D7461" w:rsidRDefault="00BF6631" w:rsidP="004D7461">
            <w:pPr>
              <w:keepNext/>
              <w:jc w:val="right"/>
              <w:cnfStyle w:val="000000000000" w:firstRow="0" w:lastRow="0" w:firstColumn="0" w:lastColumn="0" w:oddVBand="0" w:evenVBand="0" w:oddHBand="0" w:evenHBand="0" w:firstRowFirstColumn="0" w:firstRowLastColumn="0" w:lastRowFirstColumn="0" w:lastRowLastColumn="0"/>
              <w:rPr>
                <w:sz w:val="18"/>
                <w:szCs w:val="18"/>
              </w:rPr>
            </w:pPr>
            <w:r w:rsidRPr="004D7461">
              <w:rPr>
                <w:sz w:val="18"/>
                <w:szCs w:val="18"/>
              </w:rPr>
              <w:t>0</w:t>
            </w:r>
          </w:p>
        </w:tc>
      </w:tr>
      <w:tr w:rsidR="00BF6631" w:rsidRPr="004D7461" w14:paraId="6AA62B1E" w14:textId="77777777" w:rsidTr="003B7AD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1" w:type="dxa"/>
            <w:vAlign w:val="bottom"/>
          </w:tcPr>
          <w:p w14:paraId="79C45474" w14:textId="77777777" w:rsidR="00BF6631" w:rsidRPr="004D7461" w:rsidRDefault="00BF6631" w:rsidP="004D7461">
            <w:pPr>
              <w:keepNext/>
              <w:rPr>
                <w:sz w:val="18"/>
                <w:szCs w:val="18"/>
              </w:rPr>
            </w:pPr>
            <w:r w:rsidRPr="004D7461">
              <w:rPr>
                <w:rFonts w:cs="Segoe UI"/>
                <w:sz w:val="18"/>
                <w:szCs w:val="18"/>
              </w:rPr>
              <w:t>Information Media and Telecommunications</w:t>
            </w:r>
          </w:p>
        </w:tc>
        <w:tc>
          <w:tcPr>
            <w:tcW w:w="998" w:type="dxa"/>
            <w:vAlign w:val="center"/>
          </w:tcPr>
          <w:p w14:paraId="7BE8DDF3" w14:textId="77777777" w:rsidR="00BF6631" w:rsidRPr="004D7461" w:rsidRDefault="00BF6631" w:rsidP="004D7461">
            <w:pPr>
              <w:keepNext/>
              <w:jc w:val="right"/>
              <w:cnfStyle w:val="000000010000" w:firstRow="0" w:lastRow="0" w:firstColumn="0" w:lastColumn="0" w:oddVBand="0" w:evenVBand="0" w:oddHBand="0" w:evenHBand="1" w:firstRowFirstColumn="0" w:firstRowLastColumn="0" w:lastRowFirstColumn="0" w:lastRowLastColumn="0"/>
              <w:rPr>
                <w:sz w:val="18"/>
                <w:szCs w:val="18"/>
              </w:rPr>
            </w:pPr>
            <w:r w:rsidRPr="004D7461">
              <w:rPr>
                <w:sz w:val="18"/>
                <w:szCs w:val="18"/>
              </w:rPr>
              <w:t>61</w:t>
            </w:r>
          </w:p>
        </w:tc>
        <w:tc>
          <w:tcPr>
            <w:tcW w:w="992" w:type="dxa"/>
            <w:vAlign w:val="center"/>
          </w:tcPr>
          <w:p w14:paraId="2F979E34" w14:textId="77777777" w:rsidR="00BF6631" w:rsidRPr="004D7461" w:rsidRDefault="00BF6631" w:rsidP="004D7461">
            <w:pPr>
              <w:keepNext/>
              <w:jc w:val="right"/>
              <w:cnfStyle w:val="000000010000" w:firstRow="0" w:lastRow="0" w:firstColumn="0" w:lastColumn="0" w:oddVBand="0" w:evenVBand="0" w:oddHBand="0" w:evenHBand="1" w:firstRowFirstColumn="0" w:firstRowLastColumn="0" w:lastRowFirstColumn="0" w:lastRowLastColumn="0"/>
              <w:rPr>
                <w:sz w:val="18"/>
                <w:szCs w:val="18"/>
              </w:rPr>
            </w:pPr>
            <w:r w:rsidRPr="004D7461">
              <w:rPr>
                <w:sz w:val="18"/>
                <w:szCs w:val="18"/>
              </w:rPr>
              <w:t>55</w:t>
            </w:r>
          </w:p>
        </w:tc>
        <w:tc>
          <w:tcPr>
            <w:tcW w:w="992" w:type="dxa"/>
            <w:vAlign w:val="center"/>
          </w:tcPr>
          <w:p w14:paraId="669CEC28" w14:textId="77777777" w:rsidR="00BF6631" w:rsidRPr="004D7461" w:rsidRDefault="00BF6631" w:rsidP="004D7461">
            <w:pPr>
              <w:keepNext/>
              <w:jc w:val="right"/>
              <w:cnfStyle w:val="000000010000" w:firstRow="0" w:lastRow="0" w:firstColumn="0" w:lastColumn="0" w:oddVBand="0" w:evenVBand="0" w:oddHBand="0" w:evenHBand="1" w:firstRowFirstColumn="0" w:firstRowLastColumn="0" w:lastRowFirstColumn="0" w:lastRowLastColumn="0"/>
              <w:rPr>
                <w:sz w:val="18"/>
                <w:szCs w:val="18"/>
              </w:rPr>
            </w:pPr>
            <w:r w:rsidRPr="004D7461">
              <w:rPr>
                <w:sz w:val="18"/>
                <w:szCs w:val="18"/>
              </w:rPr>
              <w:t>31</w:t>
            </w:r>
          </w:p>
        </w:tc>
        <w:tc>
          <w:tcPr>
            <w:tcW w:w="965" w:type="dxa"/>
            <w:vAlign w:val="center"/>
          </w:tcPr>
          <w:p w14:paraId="2D1CAE5F" w14:textId="77777777" w:rsidR="00BF6631" w:rsidRPr="004D7461" w:rsidRDefault="00BF6631" w:rsidP="004D7461">
            <w:pPr>
              <w:keepNext/>
              <w:jc w:val="right"/>
              <w:cnfStyle w:val="000000010000" w:firstRow="0" w:lastRow="0" w:firstColumn="0" w:lastColumn="0" w:oddVBand="0" w:evenVBand="0" w:oddHBand="0" w:evenHBand="1" w:firstRowFirstColumn="0" w:firstRowLastColumn="0" w:lastRowFirstColumn="0" w:lastRowLastColumn="0"/>
              <w:rPr>
                <w:sz w:val="18"/>
                <w:szCs w:val="18"/>
              </w:rPr>
            </w:pPr>
            <w:r w:rsidRPr="004D7461">
              <w:rPr>
                <w:sz w:val="18"/>
                <w:szCs w:val="18"/>
              </w:rPr>
              <w:t>37</w:t>
            </w:r>
          </w:p>
        </w:tc>
        <w:tc>
          <w:tcPr>
            <w:tcW w:w="938" w:type="dxa"/>
            <w:vAlign w:val="center"/>
          </w:tcPr>
          <w:p w14:paraId="405A454F" w14:textId="77777777" w:rsidR="00BF6631" w:rsidRPr="004D7461" w:rsidRDefault="00BF6631" w:rsidP="004D7461">
            <w:pPr>
              <w:keepNext/>
              <w:jc w:val="right"/>
              <w:cnfStyle w:val="000000010000" w:firstRow="0" w:lastRow="0" w:firstColumn="0" w:lastColumn="0" w:oddVBand="0" w:evenVBand="0" w:oddHBand="0" w:evenHBand="1" w:firstRowFirstColumn="0" w:firstRowLastColumn="0" w:lastRowFirstColumn="0" w:lastRowLastColumn="0"/>
              <w:rPr>
                <w:sz w:val="18"/>
                <w:szCs w:val="18"/>
              </w:rPr>
            </w:pPr>
            <w:r w:rsidRPr="004D7461">
              <w:rPr>
                <w:sz w:val="18"/>
                <w:szCs w:val="18"/>
              </w:rPr>
              <w:t>10</w:t>
            </w:r>
          </w:p>
        </w:tc>
        <w:tc>
          <w:tcPr>
            <w:tcW w:w="1053" w:type="dxa"/>
            <w:vAlign w:val="center"/>
          </w:tcPr>
          <w:p w14:paraId="6221B686" w14:textId="77777777" w:rsidR="00BF6631" w:rsidRPr="004D7461" w:rsidRDefault="00BF6631" w:rsidP="004D7461">
            <w:pPr>
              <w:keepNext/>
              <w:jc w:val="right"/>
              <w:cnfStyle w:val="000000010000" w:firstRow="0" w:lastRow="0" w:firstColumn="0" w:lastColumn="0" w:oddVBand="0" w:evenVBand="0" w:oddHBand="0" w:evenHBand="1" w:firstRowFirstColumn="0" w:firstRowLastColumn="0" w:lastRowFirstColumn="0" w:lastRowLastColumn="0"/>
              <w:rPr>
                <w:sz w:val="18"/>
                <w:szCs w:val="18"/>
              </w:rPr>
            </w:pPr>
            <w:r w:rsidRPr="004D7461">
              <w:rPr>
                <w:sz w:val="18"/>
                <w:szCs w:val="18"/>
              </w:rPr>
              <w:t>8</w:t>
            </w:r>
          </w:p>
        </w:tc>
        <w:tc>
          <w:tcPr>
            <w:tcW w:w="1025" w:type="dxa"/>
            <w:vAlign w:val="center"/>
          </w:tcPr>
          <w:p w14:paraId="42640FD1" w14:textId="77777777" w:rsidR="00BF6631" w:rsidRPr="004D7461" w:rsidRDefault="00BF6631" w:rsidP="004D7461">
            <w:pPr>
              <w:keepNext/>
              <w:jc w:val="right"/>
              <w:cnfStyle w:val="000000010000" w:firstRow="0" w:lastRow="0" w:firstColumn="0" w:lastColumn="0" w:oddVBand="0" w:evenVBand="0" w:oddHBand="0" w:evenHBand="1" w:firstRowFirstColumn="0" w:firstRowLastColumn="0" w:lastRowFirstColumn="0" w:lastRowLastColumn="0"/>
              <w:rPr>
                <w:sz w:val="18"/>
                <w:szCs w:val="18"/>
              </w:rPr>
            </w:pPr>
            <w:r w:rsidRPr="004D7461">
              <w:rPr>
                <w:sz w:val="18"/>
                <w:szCs w:val="18"/>
              </w:rPr>
              <w:t>-107</w:t>
            </w:r>
          </w:p>
        </w:tc>
        <w:tc>
          <w:tcPr>
            <w:tcW w:w="999" w:type="dxa"/>
            <w:vAlign w:val="center"/>
          </w:tcPr>
          <w:p w14:paraId="13BF964D" w14:textId="77777777" w:rsidR="00BF6631" w:rsidRPr="004D7461" w:rsidRDefault="00BF6631" w:rsidP="004D7461">
            <w:pPr>
              <w:keepNext/>
              <w:jc w:val="right"/>
              <w:cnfStyle w:val="000000010000" w:firstRow="0" w:lastRow="0" w:firstColumn="0" w:lastColumn="0" w:oddVBand="0" w:evenVBand="0" w:oddHBand="0" w:evenHBand="1" w:firstRowFirstColumn="0" w:firstRowLastColumn="0" w:lastRowFirstColumn="0" w:lastRowLastColumn="0"/>
              <w:rPr>
                <w:sz w:val="18"/>
                <w:szCs w:val="18"/>
              </w:rPr>
            </w:pPr>
            <w:r w:rsidRPr="004D7461">
              <w:rPr>
                <w:sz w:val="18"/>
                <w:szCs w:val="18"/>
              </w:rPr>
              <w:t>113</w:t>
            </w:r>
          </w:p>
        </w:tc>
        <w:tc>
          <w:tcPr>
            <w:tcW w:w="971" w:type="dxa"/>
            <w:vAlign w:val="center"/>
          </w:tcPr>
          <w:p w14:paraId="37F5C57D" w14:textId="77777777" w:rsidR="00BF6631" w:rsidRPr="004D7461" w:rsidRDefault="00BF6631" w:rsidP="004D7461">
            <w:pPr>
              <w:keepNext/>
              <w:jc w:val="right"/>
              <w:cnfStyle w:val="000000010000" w:firstRow="0" w:lastRow="0" w:firstColumn="0" w:lastColumn="0" w:oddVBand="0" w:evenVBand="0" w:oddHBand="0" w:evenHBand="1" w:firstRowFirstColumn="0" w:firstRowLastColumn="0" w:lastRowFirstColumn="0" w:lastRowLastColumn="0"/>
              <w:rPr>
                <w:sz w:val="18"/>
                <w:szCs w:val="18"/>
              </w:rPr>
            </w:pPr>
            <w:r w:rsidRPr="004D7461">
              <w:rPr>
                <w:sz w:val="18"/>
                <w:szCs w:val="18"/>
              </w:rPr>
              <w:t>-469</w:t>
            </w:r>
          </w:p>
        </w:tc>
      </w:tr>
      <w:tr w:rsidR="00BF6631" w:rsidRPr="004D7461" w14:paraId="08B5E019" w14:textId="77777777" w:rsidTr="003B7AD3">
        <w:trPr>
          <w:cantSplit/>
        </w:trPr>
        <w:tc>
          <w:tcPr>
            <w:cnfStyle w:val="001000000000" w:firstRow="0" w:lastRow="0" w:firstColumn="1" w:lastColumn="0" w:oddVBand="0" w:evenVBand="0" w:oddHBand="0" w:evenHBand="0" w:firstRowFirstColumn="0" w:firstRowLastColumn="0" w:lastRowFirstColumn="0" w:lastRowLastColumn="0"/>
            <w:tcW w:w="2121" w:type="dxa"/>
            <w:vAlign w:val="bottom"/>
          </w:tcPr>
          <w:p w14:paraId="03D10E85" w14:textId="77777777" w:rsidR="00BF6631" w:rsidRPr="004D7461" w:rsidRDefault="00BF6631" w:rsidP="004D7461">
            <w:pPr>
              <w:keepNext/>
              <w:rPr>
                <w:sz w:val="18"/>
                <w:szCs w:val="18"/>
              </w:rPr>
            </w:pPr>
            <w:r w:rsidRPr="004D7461">
              <w:rPr>
                <w:rFonts w:cs="Segoe UI"/>
                <w:sz w:val="18"/>
                <w:szCs w:val="18"/>
              </w:rPr>
              <w:t>Rental, Hiring and Real Estate Services</w:t>
            </w:r>
          </w:p>
        </w:tc>
        <w:tc>
          <w:tcPr>
            <w:tcW w:w="998" w:type="dxa"/>
            <w:vAlign w:val="center"/>
          </w:tcPr>
          <w:p w14:paraId="0626B805" w14:textId="77777777" w:rsidR="00BF6631" w:rsidRPr="004D7461" w:rsidRDefault="00BF6631" w:rsidP="004D7461">
            <w:pPr>
              <w:keepNext/>
              <w:jc w:val="right"/>
              <w:cnfStyle w:val="000000000000" w:firstRow="0" w:lastRow="0" w:firstColumn="0" w:lastColumn="0" w:oddVBand="0" w:evenVBand="0" w:oddHBand="0" w:evenHBand="0" w:firstRowFirstColumn="0" w:firstRowLastColumn="0" w:lastRowFirstColumn="0" w:lastRowLastColumn="0"/>
              <w:rPr>
                <w:sz w:val="18"/>
                <w:szCs w:val="18"/>
              </w:rPr>
            </w:pPr>
            <w:r w:rsidRPr="004D7461">
              <w:rPr>
                <w:sz w:val="18"/>
                <w:szCs w:val="18"/>
              </w:rPr>
              <w:t>3</w:t>
            </w:r>
          </w:p>
        </w:tc>
        <w:tc>
          <w:tcPr>
            <w:tcW w:w="992" w:type="dxa"/>
            <w:vAlign w:val="center"/>
          </w:tcPr>
          <w:p w14:paraId="166E5808" w14:textId="77777777" w:rsidR="00BF6631" w:rsidRPr="004D7461" w:rsidRDefault="00BF6631" w:rsidP="004D7461">
            <w:pPr>
              <w:keepNext/>
              <w:jc w:val="right"/>
              <w:cnfStyle w:val="000000000000" w:firstRow="0" w:lastRow="0" w:firstColumn="0" w:lastColumn="0" w:oddVBand="0" w:evenVBand="0" w:oddHBand="0" w:evenHBand="0" w:firstRowFirstColumn="0" w:firstRowLastColumn="0" w:lastRowFirstColumn="0" w:lastRowLastColumn="0"/>
              <w:rPr>
                <w:sz w:val="18"/>
                <w:szCs w:val="18"/>
              </w:rPr>
            </w:pPr>
            <w:r w:rsidRPr="004D7461">
              <w:rPr>
                <w:sz w:val="18"/>
                <w:szCs w:val="18"/>
              </w:rPr>
              <w:t>2</w:t>
            </w:r>
          </w:p>
        </w:tc>
        <w:tc>
          <w:tcPr>
            <w:tcW w:w="992" w:type="dxa"/>
            <w:vAlign w:val="center"/>
          </w:tcPr>
          <w:p w14:paraId="2233F7EF" w14:textId="77777777" w:rsidR="00BF6631" w:rsidRPr="004D7461" w:rsidRDefault="00BF6631" w:rsidP="004D7461">
            <w:pPr>
              <w:keepNext/>
              <w:jc w:val="right"/>
              <w:cnfStyle w:val="000000000000" w:firstRow="0" w:lastRow="0" w:firstColumn="0" w:lastColumn="0" w:oddVBand="0" w:evenVBand="0" w:oddHBand="0" w:evenHBand="0" w:firstRowFirstColumn="0" w:firstRowLastColumn="0" w:lastRowFirstColumn="0" w:lastRowLastColumn="0"/>
              <w:rPr>
                <w:sz w:val="18"/>
                <w:szCs w:val="18"/>
              </w:rPr>
            </w:pPr>
            <w:r w:rsidRPr="004D7461">
              <w:rPr>
                <w:sz w:val="18"/>
                <w:szCs w:val="18"/>
              </w:rPr>
              <w:t>1</w:t>
            </w:r>
          </w:p>
        </w:tc>
        <w:tc>
          <w:tcPr>
            <w:tcW w:w="965" w:type="dxa"/>
            <w:vAlign w:val="center"/>
          </w:tcPr>
          <w:p w14:paraId="3EBB5B2C" w14:textId="77777777" w:rsidR="00BF6631" w:rsidRPr="004D7461" w:rsidRDefault="00BF6631" w:rsidP="004D7461">
            <w:pPr>
              <w:keepNext/>
              <w:jc w:val="right"/>
              <w:cnfStyle w:val="000000000000" w:firstRow="0" w:lastRow="0" w:firstColumn="0" w:lastColumn="0" w:oddVBand="0" w:evenVBand="0" w:oddHBand="0" w:evenHBand="0" w:firstRowFirstColumn="0" w:firstRowLastColumn="0" w:lastRowFirstColumn="0" w:lastRowLastColumn="0"/>
              <w:rPr>
                <w:sz w:val="18"/>
                <w:szCs w:val="18"/>
              </w:rPr>
            </w:pPr>
            <w:r w:rsidRPr="004D7461">
              <w:rPr>
                <w:sz w:val="18"/>
                <w:szCs w:val="18"/>
              </w:rPr>
              <w:t>0</w:t>
            </w:r>
          </w:p>
        </w:tc>
        <w:tc>
          <w:tcPr>
            <w:tcW w:w="938" w:type="dxa"/>
            <w:vAlign w:val="center"/>
          </w:tcPr>
          <w:p w14:paraId="34A58E89" w14:textId="77777777" w:rsidR="00BF6631" w:rsidRPr="004D7461" w:rsidRDefault="00BF6631" w:rsidP="004D7461">
            <w:pPr>
              <w:keepNext/>
              <w:jc w:val="right"/>
              <w:cnfStyle w:val="000000000000" w:firstRow="0" w:lastRow="0" w:firstColumn="0" w:lastColumn="0" w:oddVBand="0" w:evenVBand="0" w:oddHBand="0" w:evenHBand="0" w:firstRowFirstColumn="0" w:firstRowLastColumn="0" w:lastRowFirstColumn="0" w:lastRowLastColumn="0"/>
              <w:rPr>
                <w:sz w:val="18"/>
                <w:szCs w:val="18"/>
              </w:rPr>
            </w:pPr>
            <w:r w:rsidRPr="004D7461">
              <w:rPr>
                <w:sz w:val="18"/>
                <w:szCs w:val="18"/>
              </w:rPr>
              <w:t>0</w:t>
            </w:r>
          </w:p>
        </w:tc>
        <w:tc>
          <w:tcPr>
            <w:tcW w:w="1053" w:type="dxa"/>
            <w:vAlign w:val="center"/>
          </w:tcPr>
          <w:p w14:paraId="4E59F8A8" w14:textId="77777777" w:rsidR="00BF6631" w:rsidRPr="004D7461" w:rsidRDefault="00BF6631" w:rsidP="004D7461">
            <w:pPr>
              <w:keepNext/>
              <w:jc w:val="right"/>
              <w:cnfStyle w:val="000000000000" w:firstRow="0" w:lastRow="0" w:firstColumn="0" w:lastColumn="0" w:oddVBand="0" w:evenVBand="0" w:oddHBand="0" w:evenHBand="0" w:firstRowFirstColumn="0" w:firstRowLastColumn="0" w:lastRowFirstColumn="0" w:lastRowLastColumn="0"/>
              <w:rPr>
                <w:sz w:val="18"/>
                <w:szCs w:val="18"/>
              </w:rPr>
            </w:pPr>
            <w:r w:rsidRPr="004D7461">
              <w:rPr>
                <w:sz w:val="18"/>
                <w:szCs w:val="18"/>
              </w:rPr>
              <w:t>-1</w:t>
            </w:r>
          </w:p>
        </w:tc>
        <w:tc>
          <w:tcPr>
            <w:tcW w:w="1025" w:type="dxa"/>
            <w:vAlign w:val="center"/>
          </w:tcPr>
          <w:p w14:paraId="6CA52B88" w14:textId="77777777" w:rsidR="00BF6631" w:rsidRPr="004D7461" w:rsidRDefault="00BF6631" w:rsidP="004D7461">
            <w:pPr>
              <w:keepNext/>
              <w:jc w:val="right"/>
              <w:cnfStyle w:val="000000000000" w:firstRow="0" w:lastRow="0" w:firstColumn="0" w:lastColumn="0" w:oddVBand="0" w:evenVBand="0" w:oddHBand="0" w:evenHBand="0" w:firstRowFirstColumn="0" w:firstRowLastColumn="0" w:lastRowFirstColumn="0" w:lastRowLastColumn="0"/>
              <w:rPr>
                <w:sz w:val="18"/>
                <w:szCs w:val="18"/>
              </w:rPr>
            </w:pPr>
            <w:r w:rsidRPr="004D7461">
              <w:rPr>
                <w:sz w:val="18"/>
                <w:szCs w:val="18"/>
              </w:rPr>
              <w:t>-1</w:t>
            </w:r>
          </w:p>
        </w:tc>
        <w:tc>
          <w:tcPr>
            <w:tcW w:w="999" w:type="dxa"/>
            <w:vAlign w:val="center"/>
          </w:tcPr>
          <w:p w14:paraId="1783ECD5" w14:textId="77777777" w:rsidR="00BF6631" w:rsidRPr="004D7461" w:rsidRDefault="00BF6631" w:rsidP="004D7461">
            <w:pPr>
              <w:keepNext/>
              <w:jc w:val="right"/>
              <w:cnfStyle w:val="000000000000" w:firstRow="0" w:lastRow="0" w:firstColumn="0" w:lastColumn="0" w:oddVBand="0" w:evenVBand="0" w:oddHBand="0" w:evenHBand="0" w:firstRowFirstColumn="0" w:firstRowLastColumn="0" w:lastRowFirstColumn="0" w:lastRowLastColumn="0"/>
              <w:rPr>
                <w:sz w:val="18"/>
                <w:szCs w:val="18"/>
              </w:rPr>
            </w:pPr>
            <w:r w:rsidRPr="004D7461">
              <w:rPr>
                <w:sz w:val="18"/>
                <w:szCs w:val="18"/>
              </w:rPr>
              <w:t>-1</w:t>
            </w:r>
          </w:p>
        </w:tc>
        <w:tc>
          <w:tcPr>
            <w:tcW w:w="971" w:type="dxa"/>
            <w:vAlign w:val="center"/>
          </w:tcPr>
          <w:p w14:paraId="3B215490" w14:textId="77777777" w:rsidR="00BF6631" w:rsidRPr="004D7461" w:rsidRDefault="00BF6631" w:rsidP="004D7461">
            <w:pPr>
              <w:keepNext/>
              <w:jc w:val="right"/>
              <w:cnfStyle w:val="000000000000" w:firstRow="0" w:lastRow="0" w:firstColumn="0" w:lastColumn="0" w:oddVBand="0" w:evenVBand="0" w:oddHBand="0" w:evenHBand="0" w:firstRowFirstColumn="0" w:firstRowLastColumn="0" w:lastRowFirstColumn="0" w:lastRowLastColumn="0"/>
              <w:rPr>
                <w:sz w:val="18"/>
                <w:szCs w:val="18"/>
              </w:rPr>
            </w:pPr>
            <w:r w:rsidRPr="004D7461">
              <w:rPr>
                <w:sz w:val="18"/>
                <w:szCs w:val="18"/>
              </w:rPr>
              <w:t>2</w:t>
            </w:r>
          </w:p>
        </w:tc>
      </w:tr>
      <w:tr w:rsidR="00BF6631" w:rsidRPr="004D7461" w14:paraId="5651DAC7" w14:textId="77777777" w:rsidTr="003B7AD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1" w:type="dxa"/>
            <w:vAlign w:val="bottom"/>
          </w:tcPr>
          <w:p w14:paraId="4462D302" w14:textId="77777777" w:rsidR="00BF6631" w:rsidRPr="004D7461" w:rsidRDefault="00BF6631" w:rsidP="004D7461">
            <w:pPr>
              <w:keepNext/>
              <w:rPr>
                <w:sz w:val="18"/>
                <w:szCs w:val="18"/>
              </w:rPr>
            </w:pPr>
            <w:r w:rsidRPr="004D7461">
              <w:rPr>
                <w:rFonts w:cs="Segoe UI"/>
                <w:sz w:val="18"/>
                <w:szCs w:val="18"/>
              </w:rPr>
              <w:t>Professional, Scientific and Technical Services</w:t>
            </w:r>
          </w:p>
        </w:tc>
        <w:tc>
          <w:tcPr>
            <w:tcW w:w="998" w:type="dxa"/>
            <w:vAlign w:val="center"/>
          </w:tcPr>
          <w:p w14:paraId="1E45C8D9" w14:textId="77777777" w:rsidR="00BF6631" w:rsidRPr="004D7461" w:rsidRDefault="00BF6631" w:rsidP="004D7461">
            <w:pPr>
              <w:keepNext/>
              <w:jc w:val="right"/>
              <w:cnfStyle w:val="000000010000" w:firstRow="0" w:lastRow="0" w:firstColumn="0" w:lastColumn="0" w:oddVBand="0" w:evenVBand="0" w:oddHBand="0" w:evenHBand="1" w:firstRowFirstColumn="0" w:firstRowLastColumn="0" w:lastRowFirstColumn="0" w:lastRowLastColumn="0"/>
              <w:rPr>
                <w:sz w:val="18"/>
                <w:szCs w:val="18"/>
              </w:rPr>
            </w:pPr>
            <w:r w:rsidRPr="004D7461">
              <w:rPr>
                <w:sz w:val="18"/>
                <w:szCs w:val="18"/>
              </w:rPr>
              <w:t>191</w:t>
            </w:r>
          </w:p>
        </w:tc>
        <w:tc>
          <w:tcPr>
            <w:tcW w:w="992" w:type="dxa"/>
            <w:vAlign w:val="center"/>
          </w:tcPr>
          <w:p w14:paraId="7636ED7E" w14:textId="77777777" w:rsidR="00BF6631" w:rsidRPr="004D7461" w:rsidRDefault="00BF6631" w:rsidP="004D7461">
            <w:pPr>
              <w:keepNext/>
              <w:jc w:val="right"/>
              <w:cnfStyle w:val="000000010000" w:firstRow="0" w:lastRow="0" w:firstColumn="0" w:lastColumn="0" w:oddVBand="0" w:evenVBand="0" w:oddHBand="0" w:evenHBand="1" w:firstRowFirstColumn="0" w:firstRowLastColumn="0" w:lastRowFirstColumn="0" w:lastRowLastColumn="0"/>
              <w:rPr>
                <w:sz w:val="18"/>
                <w:szCs w:val="18"/>
              </w:rPr>
            </w:pPr>
            <w:r w:rsidRPr="004D7461">
              <w:rPr>
                <w:sz w:val="18"/>
                <w:szCs w:val="18"/>
              </w:rPr>
              <w:t>179</w:t>
            </w:r>
          </w:p>
        </w:tc>
        <w:tc>
          <w:tcPr>
            <w:tcW w:w="992" w:type="dxa"/>
            <w:vAlign w:val="center"/>
          </w:tcPr>
          <w:p w14:paraId="3441F19C" w14:textId="77777777" w:rsidR="00BF6631" w:rsidRPr="004D7461" w:rsidRDefault="00BF6631" w:rsidP="004D7461">
            <w:pPr>
              <w:keepNext/>
              <w:jc w:val="right"/>
              <w:cnfStyle w:val="000000010000" w:firstRow="0" w:lastRow="0" w:firstColumn="0" w:lastColumn="0" w:oddVBand="0" w:evenVBand="0" w:oddHBand="0" w:evenHBand="1" w:firstRowFirstColumn="0" w:firstRowLastColumn="0" w:lastRowFirstColumn="0" w:lastRowLastColumn="0"/>
              <w:rPr>
                <w:sz w:val="18"/>
                <w:szCs w:val="18"/>
              </w:rPr>
            </w:pPr>
            <w:r w:rsidRPr="004D7461">
              <w:rPr>
                <w:sz w:val="18"/>
                <w:szCs w:val="18"/>
              </w:rPr>
              <w:t>68</w:t>
            </w:r>
          </w:p>
        </w:tc>
        <w:tc>
          <w:tcPr>
            <w:tcW w:w="965" w:type="dxa"/>
            <w:vAlign w:val="center"/>
          </w:tcPr>
          <w:p w14:paraId="60DECACE" w14:textId="77777777" w:rsidR="00BF6631" w:rsidRPr="004D7461" w:rsidRDefault="00BF6631" w:rsidP="004D7461">
            <w:pPr>
              <w:keepNext/>
              <w:jc w:val="right"/>
              <w:cnfStyle w:val="000000010000" w:firstRow="0" w:lastRow="0" w:firstColumn="0" w:lastColumn="0" w:oddVBand="0" w:evenVBand="0" w:oddHBand="0" w:evenHBand="1" w:firstRowFirstColumn="0" w:firstRowLastColumn="0" w:lastRowFirstColumn="0" w:lastRowLastColumn="0"/>
              <w:rPr>
                <w:sz w:val="18"/>
                <w:szCs w:val="18"/>
              </w:rPr>
            </w:pPr>
            <w:r w:rsidRPr="004D7461">
              <w:rPr>
                <w:sz w:val="18"/>
                <w:szCs w:val="18"/>
              </w:rPr>
              <w:t>48</w:t>
            </w:r>
          </w:p>
        </w:tc>
        <w:tc>
          <w:tcPr>
            <w:tcW w:w="938" w:type="dxa"/>
            <w:vAlign w:val="center"/>
          </w:tcPr>
          <w:p w14:paraId="5E173892" w14:textId="77777777" w:rsidR="00BF6631" w:rsidRPr="004D7461" w:rsidRDefault="00BF6631" w:rsidP="004D7461">
            <w:pPr>
              <w:keepNext/>
              <w:jc w:val="right"/>
              <w:cnfStyle w:val="000000010000" w:firstRow="0" w:lastRow="0" w:firstColumn="0" w:lastColumn="0" w:oddVBand="0" w:evenVBand="0" w:oddHBand="0" w:evenHBand="1" w:firstRowFirstColumn="0" w:firstRowLastColumn="0" w:lastRowFirstColumn="0" w:lastRowLastColumn="0"/>
              <w:rPr>
                <w:sz w:val="18"/>
                <w:szCs w:val="18"/>
              </w:rPr>
            </w:pPr>
            <w:r w:rsidRPr="004D7461">
              <w:rPr>
                <w:sz w:val="18"/>
                <w:szCs w:val="18"/>
              </w:rPr>
              <w:t>24</w:t>
            </w:r>
          </w:p>
        </w:tc>
        <w:tc>
          <w:tcPr>
            <w:tcW w:w="1053" w:type="dxa"/>
            <w:vAlign w:val="center"/>
          </w:tcPr>
          <w:p w14:paraId="3BE21CEB" w14:textId="77777777" w:rsidR="00BF6631" w:rsidRPr="004D7461" w:rsidRDefault="00BF6631" w:rsidP="004D7461">
            <w:pPr>
              <w:keepNext/>
              <w:jc w:val="right"/>
              <w:cnfStyle w:val="000000010000" w:firstRow="0" w:lastRow="0" w:firstColumn="0" w:lastColumn="0" w:oddVBand="0" w:evenVBand="0" w:oddHBand="0" w:evenHBand="1" w:firstRowFirstColumn="0" w:firstRowLastColumn="0" w:lastRowFirstColumn="0" w:lastRowLastColumn="0"/>
              <w:rPr>
                <w:sz w:val="18"/>
                <w:szCs w:val="18"/>
              </w:rPr>
            </w:pPr>
            <w:r w:rsidRPr="004D7461">
              <w:rPr>
                <w:sz w:val="18"/>
                <w:szCs w:val="18"/>
              </w:rPr>
              <w:t>-9</w:t>
            </w:r>
          </w:p>
        </w:tc>
        <w:tc>
          <w:tcPr>
            <w:tcW w:w="1025" w:type="dxa"/>
            <w:vAlign w:val="center"/>
          </w:tcPr>
          <w:p w14:paraId="6C7C4214" w14:textId="77777777" w:rsidR="00BF6631" w:rsidRPr="004D7461" w:rsidRDefault="00BF6631" w:rsidP="004D7461">
            <w:pPr>
              <w:keepNext/>
              <w:jc w:val="right"/>
              <w:cnfStyle w:val="000000010000" w:firstRow="0" w:lastRow="0" w:firstColumn="0" w:lastColumn="0" w:oddVBand="0" w:evenVBand="0" w:oddHBand="0" w:evenHBand="1" w:firstRowFirstColumn="0" w:firstRowLastColumn="0" w:lastRowFirstColumn="0" w:lastRowLastColumn="0"/>
              <w:rPr>
                <w:sz w:val="18"/>
                <w:szCs w:val="18"/>
              </w:rPr>
            </w:pPr>
            <w:r w:rsidRPr="004D7461">
              <w:rPr>
                <w:sz w:val="18"/>
                <w:szCs w:val="18"/>
              </w:rPr>
              <w:t>-82</w:t>
            </w:r>
          </w:p>
        </w:tc>
        <w:tc>
          <w:tcPr>
            <w:tcW w:w="999" w:type="dxa"/>
            <w:vAlign w:val="center"/>
          </w:tcPr>
          <w:p w14:paraId="75FFE9E1" w14:textId="77777777" w:rsidR="00BF6631" w:rsidRPr="004D7461" w:rsidRDefault="00BF6631" w:rsidP="004D7461">
            <w:pPr>
              <w:keepNext/>
              <w:jc w:val="right"/>
              <w:cnfStyle w:val="000000010000" w:firstRow="0" w:lastRow="0" w:firstColumn="0" w:lastColumn="0" w:oddVBand="0" w:evenVBand="0" w:oddHBand="0" w:evenHBand="1" w:firstRowFirstColumn="0" w:firstRowLastColumn="0" w:lastRowFirstColumn="0" w:lastRowLastColumn="0"/>
              <w:rPr>
                <w:sz w:val="18"/>
                <w:szCs w:val="18"/>
              </w:rPr>
            </w:pPr>
            <w:r w:rsidRPr="004D7461">
              <w:rPr>
                <w:sz w:val="18"/>
                <w:szCs w:val="18"/>
              </w:rPr>
              <w:t>-156</w:t>
            </w:r>
          </w:p>
        </w:tc>
        <w:tc>
          <w:tcPr>
            <w:tcW w:w="971" w:type="dxa"/>
            <w:vAlign w:val="center"/>
          </w:tcPr>
          <w:p w14:paraId="75BC5D3D" w14:textId="77777777" w:rsidR="00BF6631" w:rsidRPr="004D7461" w:rsidRDefault="00BF6631" w:rsidP="004D7461">
            <w:pPr>
              <w:keepNext/>
              <w:jc w:val="right"/>
              <w:cnfStyle w:val="000000010000" w:firstRow="0" w:lastRow="0" w:firstColumn="0" w:lastColumn="0" w:oddVBand="0" w:evenVBand="0" w:oddHBand="0" w:evenHBand="1" w:firstRowFirstColumn="0" w:firstRowLastColumn="0" w:lastRowFirstColumn="0" w:lastRowLastColumn="0"/>
              <w:rPr>
                <w:sz w:val="18"/>
                <w:szCs w:val="18"/>
              </w:rPr>
            </w:pPr>
            <w:r w:rsidRPr="004D7461">
              <w:rPr>
                <w:sz w:val="18"/>
                <w:szCs w:val="18"/>
              </w:rPr>
              <w:t>1,790</w:t>
            </w:r>
          </w:p>
        </w:tc>
      </w:tr>
      <w:tr w:rsidR="00BF6631" w:rsidRPr="004D7461" w14:paraId="3852CB1E" w14:textId="77777777" w:rsidTr="003B7AD3">
        <w:trPr>
          <w:cantSplit/>
        </w:trPr>
        <w:tc>
          <w:tcPr>
            <w:cnfStyle w:val="001000000000" w:firstRow="0" w:lastRow="0" w:firstColumn="1" w:lastColumn="0" w:oddVBand="0" w:evenVBand="0" w:oddHBand="0" w:evenHBand="0" w:firstRowFirstColumn="0" w:firstRowLastColumn="0" w:lastRowFirstColumn="0" w:lastRowLastColumn="0"/>
            <w:tcW w:w="2121" w:type="dxa"/>
            <w:vAlign w:val="bottom"/>
          </w:tcPr>
          <w:p w14:paraId="1D42FA9B" w14:textId="77777777" w:rsidR="00BF6631" w:rsidRPr="004D7461" w:rsidRDefault="00BF6631" w:rsidP="004D7461">
            <w:pPr>
              <w:keepNext/>
              <w:rPr>
                <w:sz w:val="18"/>
                <w:szCs w:val="18"/>
              </w:rPr>
            </w:pPr>
            <w:r w:rsidRPr="004D7461">
              <w:rPr>
                <w:rFonts w:cs="Segoe UI"/>
                <w:sz w:val="18"/>
                <w:szCs w:val="18"/>
              </w:rPr>
              <w:t>Education and Training</w:t>
            </w:r>
          </w:p>
        </w:tc>
        <w:tc>
          <w:tcPr>
            <w:tcW w:w="998" w:type="dxa"/>
            <w:vAlign w:val="center"/>
          </w:tcPr>
          <w:p w14:paraId="2D94DEE2" w14:textId="77777777" w:rsidR="00BF6631" w:rsidRPr="004D7461" w:rsidRDefault="00BF6631" w:rsidP="004D7461">
            <w:pPr>
              <w:keepNext/>
              <w:jc w:val="right"/>
              <w:cnfStyle w:val="000000000000" w:firstRow="0" w:lastRow="0" w:firstColumn="0" w:lastColumn="0" w:oddVBand="0" w:evenVBand="0" w:oddHBand="0" w:evenHBand="0" w:firstRowFirstColumn="0" w:firstRowLastColumn="0" w:lastRowFirstColumn="0" w:lastRowLastColumn="0"/>
              <w:rPr>
                <w:sz w:val="18"/>
                <w:szCs w:val="18"/>
              </w:rPr>
            </w:pPr>
            <w:r w:rsidRPr="004D7461">
              <w:rPr>
                <w:sz w:val="18"/>
                <w:szCs w:val="18"/>
              </w:rPr>
              <w:t>1</w:t>
            </w:r>
          </w:p>
        </w:tc>
        <w:tc>
          <w:tcPr>
            <w:tcW w:w="992" w:type="dxa"/>
            <w:vAlign w:val="center"/>
          </w:tcPr>
          <w:p w14:paraId="43373E05" w14:textId="77777777" w:rsidR="00BF6631" w:rsidRPr="004D7461" w:rsidRDefault="00BF6631" w:rsidP="004D7461">
            <w:pPr>
              <w:keepNext/>
              <w:jc w:val="right"/>
              <w:cnfStyle w:val="000000000000" w:firstRow="0" w:lastRow="0" w:firstColumn="0" w:lastColumn="0" w:oddVBand="0" w:evenVBand="0" w:oddHBand="0" w:evenHBand="0" w:firstRowFirstColumn="0" w:firstRowLastColumn="0" w:lastRowFirstColumn="0" w:lastRowLastColumn="0"/>
              <w:rPr>
                <w:sz w:val="18"/>
                <w:szCs w:val="18"/>
              </w:rPr>
            </w:pPr>
            <w:r w:rsidRPr="004D7461">
              <w:rPr>
                <w:sz w:val="18"/>
                <w:szCs w:val="18"/>
              </w:rPr>
              <w:t>2</w:t>
            </w:r>
          </w:p>
        </w:tc>
        <w:tc>
          <w:tcPr>
            <w:tcW w:w="992" w:type="dxa"/>
            <w:vAlign w:val="center"/>
          </w:tcPr>
          <w:p w14:paraId="39532F51" w14:textId="77777777" w:rsidR="00BF6631" w:rsidRPr="004D7461" w:rsidRDefault="00BF6631" w:rsidP="004D7461">
            <w:pPr>
              <w:keepNext/>
              <w:jc w:val="right"/>
              <w:cnfStyle w:val="000000000000" w:firstRow="0" w:lastRow="0" w:firstColumn="0" w:lastColumn="0" w:oddVBand="0" w:evenVBand="0" w:oddHBand="0" w:evenHBand="0" w:firstRowFirstColumn="0" w:firstRowLastColumn="0" w:lastRowFirstColumn="0" w:lastRowLastColumn="0"/>
              <w:rPr>
                <w:sz w:val="18"/>
                <w:szCs w:val="18"/>
              </w:rPr>
            </w:pPr>
            <w:r w:rsidRPr="004D7461">
              <w:rPr>
                <w:sz w:val="18"/>
                <w:szCs w:val="18"/>
              </w:rPr>
              <w:t>2</w:t>
            </w:r>
          </w:p>
        </w:tc>
        <w:tc>
          <w:tcPr>
            <w:tcW w:w="965" w:type="dxa"/>
            <w:vAlign w:val="center"/>
          </w:tcPr>
          <w:p w14:paraId="474B06AD" w14:textId="77777777" w:rsidR="00BF6631" w:rsidRPr="004D7461" w:rsidRDefault="00BF6631" w:rsidP="004D7461">
            <w:pPr>
              <w:keepNext/>
              <w:jc w:val="right"/>
              <w:cnfStyle w:val="000000000000" w:firstRow="0" w:lastRow="0" w:firstColumn="0" w:lastColumn="0" w:oddVBand="0" w:evenVBand="0" w:oddHBand="0" w:evenHBand="0" w:firstRowFirstColumn="0" w:firstRowLastColumn="0" w:lastRowFirstColumn="0" w:lastRowLastColumn="0"/>
              <w:rPr>
                <w:sz w:val="18"/>
                <w:szCs w:val="18"/>
              </w:rPr>
            </w:pPr>
            <w:r w:rsidRPr="004D7461">
              <w:rPr>
                <w:sz w:val="18"/>
                <w:szCs w:val="18"/>
              </w:rPr>
              <w:t>2</w:t>
            </w:r>
          </w:p>
        </w:tc>
        <w:tc>
          <w:tcPr>
            <w:tcW w:w="938" w:type="dxa"/>
            <w:vAlign w:val="center"/>
          </w:tcPr>
          <w:p w14:paraId="244BE2EE" w14:textId="77777777" w:rsidR="00BF6631" w:rsidRPr="004D7461" w:rsidRDefault="00BF6631" w:rsidP="004D7461">
            <w:pPr>
              <w:keepNext/>
              <w:jc w:val="right"/>
              <w:cnfStyle w:val="000000000000" w:firstRow="0" w:lastRow="0" w:firstColumn="0" w:lastColumn="0" w:oddVBand="0" w:evenVBand="0" w:oddHBand="0" w:evenHBand="0" w:firstRowFirstColumn="0" w:firstRowLastColumn="0" w:lastRowFirstColumn="0" w:lastRowLastColumn="0"/>
              <w:rPr>
                <w:sz w:val="18"/>
                <w:szCs w:val="18"/>
              </w:rPr>
            </w:pPr>
            <w:r w:rsidRPr="004D7461">
              <w:rPr>
                <w:sz w:val="18"/>
                <w:szCs w:val="18"/>
              </w:rPr>
              <w:t>2</w:t>
            </w:r>
          </w:p>
        </w:tc>
        <w:tc>
          <w:tcPr>
            <w:tcW w:w="1053" w:type="dxa"/>
            <w:vAlign w:val="center"/>
          </w:tcPr>
          <w:p w14:paraId="0E4D9443" w14:textId="77777777" w:rsidR="00BF6631" w:rsidRPr="004D7461" w:rsidRDefault="00BF6631" w:rsidP="004D7461">
            <w:pPr>
              <w:keepNext/>
              <w:jc w:val="right"/>
              <w:cnfStyle w:val="000000000000" w:firstRow="0" w:lastRow="0" w:firstColumn="0" w:lastColumn="0" w:oddVBand="0" w:evenVBand="0" w:oddHBand="0" w:evenHBand="0" w:firstRowFirstColumn="0" w:firstRowLastColumn="0" w:lastRowFirstColumn="0" w:lastRowLastColumn="0"/>
              <w:rPr>
                <w:sz w:val="18"/>
                <w:szCs w:val="18"/>
              </w:rPr>
            </w:pPr>
            <w:r w:rsidRPr="004D7461">
              <w:rPr>
                <w:sz w:val="18"/>
                <w:szCs w:val="18"/>
              </w:rPr>
              <w:t>2</w:t>
            </w:r>
          </w:p>
        </w:tc>
        <w:tc>
          <w:tcPr>
            <w:tcW w:w="1025" w:type="dxa"/>
            <w:vAlign w:val="center"/>
          </w:tcPr>
          <w:p w14:paraId="513D92F9" w14:textId="77777777" w:rsidR="00BF6631" w:rsidRPr="004D7461" w:rsidRDefault="00BF6631" w:rsidP="004D7461">
            <w:pPr>
              <w:keepNext/>
              <w:jc w:val="right"/>
              <w:cnfStyle w:val="000000000000" w:firstRow="0" w:lastRow="0" w:firstColumn="0" w:lastColumn="0" w:oddVBand="0" w:evenVBand="0" w:oddHBand="0" w:evenHBand="0" w:firstRowFirstColumn="0" w:firstRowLastColumn="0" w:lastRowFirstColumn="0" w:lastRowLastColumn="0"/>
              <w:rPr>
                <w:sz w:val="18"/>
                <w:szCs w:val="18"/>
              </w:rPr>
            </w:pPr>
            <w:r w:rsidRPr="004D7461">
              <w:rPr>
                <w:sz w:val="18"/>
                <w:szCs w:val="18"/>
              </w:rPr>
              <w:t>2</w:t>
            </w:r>
          </w:p>
        </w:tc>
        <w:tc>
          <w:tcPr>
            <w:tcW w:w="999" w:type="dxa"/>
            <w:vAlign w:val="center"/>
          </w:tcPr>
          <w:p w14:paraId="423C42FB" w14:textId="77777777" w:rsidR="00BF6631" w:rsidRPr="004D7461" w:rsidRDefault="00BF6631" w:rsidP="004D7461">
            <w:pPr>
              <w:keepNext/>
              <w:jc w:val="right"/>
              <w:cnfStyle w:val="000000000000" w:firstRow="0" w:lastRow="0" w:firstColumn="0" w:lastColumn="0" w:oddVBand="0" w:evenVBand="0" w:oddHBand="0" w:evenHBand="0" w:firstRowFirstColumn="0" w:firstRowLastColumn="0" w:lastRowFirstColumn="0" w:lastRowLastColumn="0"/>
              <w:rPr>
                <w:sz w:val="18"/>
                <w:szCs w:val="18"/>
              </w:rPr>
            </w:pPr>
            <w:r w:rsidRPr="004D7461">
              <w:rPr>
                <w:sz w:val="18"/>
                <w:szCs w:val="18"/>
              </w:rPr>
              <w:t>4</w:t>
            </w:r>
          </w:p>
        </w:tc>
        <w:tc>
          <w:tcPr>
            <w:tcW w:w="971" w:type="dxa"/>
            <w:vAlign w:val="center"/>
          </w:tcPr>
          <w:p w14:paraId="1CE27FF0" w14:textId="77777777" w:rsidR="00BF6631" w:rsidRPr="004D7461" w:rsidRDefault="00BF6631" w:rsidP="004D7461">
            <w:pPr>
              <w:keepNext/>
              <w:jc w:val="right"/>
              <w:cnfStyle w:val="000000000000" w:firstRow="0" w:lastRow="0" w:firstColumn="0" w:lastColumn="0" w:oddVBand="0" w:evenVBand="0" w:oddHBand="0" w:evenHBand="0" w:firstRowFirstColumn="0" w:firstRowLastColumn="0" w:lastRowFirstColumn="0" w:lastRowLastColumn="0"/>
              <w:rPr>
                <w:sz w:val="18"/>
                <w:szCs w:val="18"/>
              </w:rPr>
            </w:pPr>
            <w:r w:rsidRPr="004D7461">
              <w:rPr>
                <w:sz w:val="18"/>
                <w:szCs w:val="18"/>
              </w:rPr>
              <w:t>15</w:t>
            </w:r>
          </w:p>
        </w:tc>
      </w:tr>
      <w:tr w:rsidR="00BF6631" w:rsidRPr="004D7461" w14:paraId="093ADE8B" w14:textId="77777777" w:rsidTr="003B7AD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1" w:type="dxa"/>
            <w:vAlign w:val="bottom"/>
          </w:tcPr>
          <w:p w14:paraId="5B4708D3" w14:textId="77777777" w:rsidR="00BF6631" w:rsidRPr="004D7461" w:rsidRDefault="00BF6631" w:rsidP="004D7461">
            <w:pPr>
              <w:keepNext/>
              <w:rPr>
                <w:rFonts w:cs="Segoe UI"/>
                <w:sz w:val="18"/>
                <w:szCs w:val="18"/>
              </w:rPr>
            </w:pPr>
            <w:r w:rsidRPr="004D7461">
              <w:rPr>
                <w:rFonts w:cs="Segoe UI"/>
                <w:sz w:val="18"/>
                <w:szCs w:val="18"/>
              </w:rPr>
              <w:t>Arts and Recreation Services</w:t>
            </w:r>
          </w:p>
        </w:tc>
        <w:tc>
          <w:tcPr>
            <w:tcW w:w="998" w:type="dxa"/>
            <w:vAlign w:val="center"/>
          </w:tcPr>
          <w:p w14:paraId="4F2A7911" w14:textId="77777777" w:rsidR="00BF6631" w:rsidRPr="004D7461" w:rsidRDefault="00BF6631" w:rsidP="004D7461">
            <w:pPr>
              <w:keepNext/>
              <w:jc w:val="right"/>
              <w:cnfStyle w:val="000000010000" w:firstRow="0" w:lastRow="0" w:firstColumn="0" w:lastColumn="0" w:oddVBand="0" w:evenVBand="0" w:oddHBand="0" w:evenHBand="1" w:firstRowFirstColumn="0" w:firstRowLastColumn="0" w:lastRowFirstColumn="0" w:lastRowLastColumn="0"/>
              <w:rPr>
                <w:sz w:val="18"/>
                <w:szCs w:val="18"/>
              </w:rPr>
            </w:pPr>
            <w:r w:rsidRPr="004D7461">
              <w:rPr>
                <w:sz w:val="18"/>
                <w:szCs w:val="18"/>
              </w:rPr>
              <w:t>9</w:t>
            </w:r>
          </w:p>
        </w:tc>
        <w:tc>
          <w:tcPr>
            <w:tcW w:w="992" w:type="dxa"/>
            <w:vAlign w:val="center"/>
          </w:tcPr>
          <w:p w14:paraId="2B736907" w14:textId="77777777" w:rsidR="00BF6631" w:rsidRPr="004D7461" w:rsidRDefault="00BF6631" w:rsidP="004D7461">
            <w:pPr>
              <w:keepNext/>
              <w:jc w:val="right"/>
              <w:cnfStyle w:val="000000010000" w:firstRow="0" w:lastRow="0" w:firstColumn="0" w:lastColumn="0" w:oddVBand="0" w:evenVBand="0" w:oddHBand="0" w:evenHBand="1" w:firstRowFirstColumn="0" w:firstRowLastColumn="0" w:lastRowFirstColumn="0" w:lastRowLastColumn="0"/>
              <w:rPr>
                <w:sz w:val="18"/>
                <w:szCs w:val="18"/>
              </w:rPr>
            </w:pPr>
            <w:r w:rsidRPr="004D7461">
              <w:rPr>
                <w:sz w:val="18"/>
                <w:szCs w:val="18"/>
              </w:rPr>
              <w:t>6</w:t>
            </w:r>
          </w:p>
        </w:tc>
        <w:tc>
          <w:tcPr>
            <w:tcW w:w="992" w:type="dxa"/>
            <w:vAlign w:val="center"/>
          </w:tcPr>
          <w:p w14:paraId="059101F2" w14:textId="77777777" w:rsidR="00BF6631" w:rsidRPr="004D7461" w:rsidRDefault="00BF6631" w:rsidP="004D7461">
            <w:pPr>
              <w:keepNext/>
              <w:jc w:val="right"/>
              <w:cnfStyle w:val="000000010000" w:firstRow="0" w:lastRow="0" w:firstColumn="0" w:lastColumn="0" w:oddVBand="0" w:evenVBand="0" w:oddHBand="0" w:evenHBand="1" w:firstRowFirstColumn="0" w:firstRowLastColumn="0" w:lastRowFirstColumn="0" w:lastRowLastColumn="0"/>
              <w:rPr>
                <w:sz w:val="18"/>
                <w:szCs w:val="18"/>
              </w:rPr>
            </w:pPr>
            <w:r w:rsidRPr="004D7461">
              <w:rPr>
                <w:sz w:val="18"/>
                <w:szCs w:val="18"/>
              </w:rPr>
              <w:t>3</w:t>
            </w:r>
          </w:p>
        </w:tc>
        <w:tc>
          <w:tcPr>
            <w:tcW w:w="965" w:type="dxa"/>
            <w:vAlign w:val="center"/>
          </w:tcPr>
          <w:p w14:paraId="27045092" w14:textId="77777777" w:rsidR="00BF6631" w:rsidRPr="004D7461" w:rsidRDefault="00BF6631" w:rsidP="004D7461">
            <w:pPr>
              <w:keepNext/>
              <w:jc w:val="right"/>
              <w:cnfStyle w:val="000000010000" w:firstRow="0" w:lastRow="0" w:firstColumn="0" w:lastColumn="0" w:oddVBand="0" w:evenVBand="0" w:oddHBand="0" w:evenHBand="1" w:firstRowFirstColumn="0" w:firstRowLastColumn="0" w:lastRowFirstColumn="0" w:lastRowLastColumn="0"/>
              <w:rPr>
                <w:sz w:val="18"/>
                <w:szCs w:val="18"/>
              </w:rPr>
            </w:pPr>
            <w:r w:rsidRPr="004D7461">
              <w:rPr>
                <w:sz w:val="18"/>
                <w:szCs w:val="18"/>
              </w:rPr>
              <w:t>3</w:t>
            </w:r>
          </w:p>
        </w:tc>
        <w:tc>
          <w:tcPr>
            <w:tcW w:w="938" w:type="dxa"/>
            <w:vAlign w:val="center"/>
          </w:tcPr>
          <w:p w14:paraId="6B93B898" w14:textId="77777777" w:rsidR="00BF6631" w:rsidRPr="004D7461" w:rsidRDefault="00BF6631" w:rsidP="004D7461">
            <w:pPr>
              <w:keepNext/>
              <w:jc w:val="right"/>
              <w:cnfStyle w:val="000000010000" w:firstRow="0" w:lastRow="0" w:firstColumn="0" w:lastColumn="0" w:oddVBand="0" w:evenVBand="0" w:oddHBand="0" w:evenHBand="1" w:firstRowFirstColumn="0" w:firstRowLastColumn="0" w:lastRowFirstColumn="0" w:lastRowLastColumn="0"/>
              <w:rPr>
                <w:sz w:val="18"/>
                <w:szCs w:val="18"/>
              </w:rPr>
            </w:pPr>
            <w:r w:rsidRPr="004D7461">
              <w:rPr>
                <w:sz w:val="18"/>
                <w:szCs w:val="18"/>
              </w:rPr>
              <w:t>1</w:t>
            </w:r>
          </w:p>
        </w:tc>
        <w:tc>
          <w:tcPr>
            <w:tcW w:w="1053" w:type="dxa"/>
            <w:vAlign w:val="center"/>
          </w:tcPr>
          <w:p w14:paraId="1D1D8AF8" w14:textId="77777777" w:rsidR="00BF6631" w:rsidRPr="004D7461" w:rsidRDefault="00BF6631" w:rsidP="004D7461">
            <w:pPr>
              <w:keepNext/>
              <w:jc w:val="right"/>
              <w:cnfStyle w:val="000000010000" w:firstRow="0" w:lastRow="0" w:firstColumn="0" w:lastColumn="0" w:oddVBand="0" w:evenVBand="0" w:oddHBand="0" w:evenHBand="1" w:firstRowFirstColumn="0" w:firstRowLastColumn="0" w:lastRowFirstColumn="0" w:lastRowLastColumn="0"/>
              <w:rPr>
                <w:sz w:val="18"/>
                <w:szCs w:val="18"/>
              </w:rPr>
            </w:pPr>
            <w:r w:rsidRPr="004D7461">
              <w:rPr>
                <w:sz w:val="18"/>
                <w:szCs w:val="18"/>
              </w:rPr>
              <w:t>-1</w:t>
            </w:r>
          </w:p>
        </w:tc>
        <w:tc>
          <w:tcPr>
            <w:tcW w:w="1025" w:type="dxa"/>
            <w:vAlign w:val="center"/>
          </w:tcPr>
          <w:p w14:paraId="1169075D" w14:textId="77777777" w:rsidR="00BF6631" w:rsidRPr="004D7461" w:rsidRDefault="00BF6631" w:rsidP="004D7461">
            <w:pPr>
              <w:keepNext/>
              <w:jc w:val="right"/>
              <w:cnfStyle w:val="000000010000" w:firstRow="0" w:lastRow="0" w:firstColumn="0" w:lastColumn="0" w:oddVBand="0" w:evenVBand="0" w:oddHBand="0" w:evenHBand="1" w:firstRowFirstColumn="0" w:firstRowLastColumn="0" w:lastRowFirstColumn="0" w:lastRowLastColumn="0"/>
              <w:rPr>
                <w:sz w:val="18"/>
                <w:szCs w:val="18"/>
              </w:rPr>
            </w:pPr>
            <w:r w:rsidRPr="004D7461">
              <w:rPr>
                <w:sz w:val="18"/>
                <w:szCs w:val="18"/>
              </w:rPr>
              <w:t>-19</w:t>
            </w:r>
          </w:p>
        </w:tc>
        <w:tc>
          <w:tcPr>
            <w:tcW w:w="999" w:type="dxa"/>
            <w:vAlign w:val="center"/>
          </w:tcPr>
          <w:p w14:paraId="054C4844" w14:textId="77777777" w:rsidR="00BF6631" w:rsidRPr="004D7461" w:rsidRDefault="00BF6631" w:rsidP="004D7461">
            <w:pPr>
              <w:keepNext/>
              <w:jc w:val="right"/>
              <w:cnfStyle w:val="000000010000" w:firstRow="0" w:lastRow="0" w:firstColumn="0" w:lastColumn="0" w:oddVBand="0" w:evenVBand="0" w:oddHBand="0" w:evenHBand="1" w:firstRowFirstColumn="0" w:firstRowLastColumn="0" w:lastRowFirstColumn="0" w:lastRowLastColumn="0"/>
              <w:rPr>
                <w:sz w:val="18"/>
                <w:szCs w:val="18"/>
              </w:rPr>
            </w:pPr>
            <w:r w:rsidRPr="004D7461">
              <w:rPr>
                <w:sz w:val="18"/>
                <w:szCs w:val="18"/>
              </w:rPr>
              <w:t>-21</w:t>
            </w:r>
          </w:p>
        </w:tc>
        <w:tc>
          <w:tcPr>
            <w:tcW w:w="971" w:type="dxa"/>
            <w:vAlign w:val="center"/>
          </w:tcPr>
          <w:p w14:paraId="5A7D0522" w14:textId="77777777" w:rsidR="00BF6631" w:rsidRPr="004D7461" w:rsidRDefault="00BF6631" w:rsidP="004D7461">
            <w:pPr>
              <w:keepNext/>
              <w:jc w:val="right"/>
              <w:cnfStyle w:val="000000010000" w:firstRow="0" w:lastRow="0" w:firstColumn="0" w:lastColumn="0" w:oddVBand="0" w:evenVBand="0" w:oddHBand="0" w:evenHBand="1" w:firstRowFirstColumn="0" w:firstRowLastColumn="0" w:lastRowFirstColumn="0" w:lastRowLastColumn="0"/>
              <w:rPr>
                <w:sz w:val="18"/>
                <w:szCs w:val="18"/>
              </w:rPr>
            </w:pPr>
            <w:r w:rsidRPr="004D7461">
              <w:rPr>
                <w:sz w:val="18"/>
                <w:szCs w:val="18"/>
              </w:rPr>
              <w:t>132</w:t>
            </w:r>
          </w:p>
        </w:tc>
      </w:tr>
      <w:tr w:rsidR="00BF6631" w:rsidRPr="004D7461" w14:paraId="2B3CCD3D" w14:textId="77777777" w:rsidTr="003B7AD3">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1" w:type="dxa"/>
          </w:tcPr>
          <w:p w14:paraId="32783145" w14:textId="77777777" w:rsidR="00BF6631" w:rsidRPr="004D7461" w:rsidRDefault="00BF6631" w:rsidP="004D7461">
            <w:pPr>
              <w:keepNext/>
              <w:rPr>
                <w:sz w:val="18"/>
                <w:szCs w:val="18"/>
              </w:rPr>
            </w:pPr>
            <w:r w:rsidRPr="004D7461">
              <w:rPr>
                <w:sz w:val="18"/>
                <w:szCs w:val="18"/>
              </w:rPr>
              <w:t>Total</w:t>
            </w:r>
          </w:p>
        </w:tc>
        <w:tc>
          <w:tcPr>
            <w:tcW w:w="998" w:type="dxa"/>
            <w:vAlign w:val="center"/>
          </w:tcPr>
          <w:p w14:paraId="4806F570" w14:textId="77777777" w:rsidR="00BF6631" w:rsidRPr="004D7461" w:rsidRDefault="00BF6631" w:rsidP="004D7461">
            <w:pPr>
              <w:keepNext/>
              <w:jc w:val="right"/>
              <w:cnfStyle w:val="010000000000" w:firstRow="0" w:lastRow="1" w:firstColumn="0" w:lastColumn="0" w:oddVBand="0" w:evenVBand="0" w:oddHBand="0" w:evenHBand="0" w:firstRowFirstColumn="0" w:firstRowLastColumn="0" w:lastRowFirstColumn="0" w:lastRowLastColumn="0"/>
              <w:rPr>
                <w:sz w:val="18"/>
                <w:szCs w:val="18"/>
              </w:rPr>
            </w:pPr>
            <w:r w:rsidRPr="004D7461">
              <w:rPr>
                <w:sz w:val="18"/>
                <w:szCs w:val="18"/>
              </w:rPr>
              <w:t>340</w:t>
            </w:r>
          </w:p>
        </w:tc>
        <w:tc>
          <w:tcPr>
            <w:tcW w:w="992" w:type="dxa"/>
            <w:vAlign w:val="center"/>
          </w:tcPr>
          <w:p w14:paraId="4E02AD91" w14:textId="77777777" w:rsidR="00BF6631" w:rsidRPr="004D7461" w:rsidRDefault="00BF6631" w:rsidP="004D7461">
            <w:pPr>
              <w:keepNext/>
              <w:jc w:val="right"/>
              <w:cnfStyle w:val="010000000000" w:firstRow="0" w:lastRow="1" w:firstColumn="0" w:lastColumn="0" w:oddVBand="0" w:evenVBand="0" w:oddHBand="0" w:evenHBand="0" w:firstRowFirstColumn="0" w:firstRowLastColumn="0" w:lastRowFirstColumn="0" w:lastRowLastColumn="0"/>
              <w:rPr>
                <w:sz w:val="18"/>
                <w:szCs w:val="18"/>
              </w:rPr>
            </w:pPr>
            <w:r w:rsidRPr="004D7461">
              <w:rPr>
                <w:sz w:val="18"/>
                <w:szCs w:val="18"/>
              </w:rPr>
              <w:t>305</w:t>
            </w:r>
          </w:p>
        </w:tc>
        <w:tc>
          <w:tcPr>
            <w:tcW w:w="992" w:type="dxa"/>
            <w:vAlign w:val="center"/>
          </w:tcPr>
          <w:p w14:paraId="57C97262" w14:textId="77777777" w:rsidR="00BF6631" w:rsidRPr="004D7461" w:rsidRDefault="00BF6631" w:rsidP="004D7461">
            <w:pPr>
              <w:keepNext/>
              <w:jc w:val="right"/>
              <w:cnfStyle w:val="010000000000" w:firstRow="0" w:lastRow="1" w:firstColumn="0" w:lastColumn="0" w:oddVBand="0" w:evenVBand="0" w:oddHBand="0" w:evenHBand="0" w:firstRowFirstColumn="0" w:firstRowLastColumn="0" w:lastRowFirstColumn="0" w:lastRowLastColumn="0"/>
              <w:rPr>
                <w:sz w:val="18"/>
                <w:szCs w:val="18"/>
              </w:rPr>
            </w:pPr>
            <w:r w:rsidRPr="004D7461">
              <w:rPr>
                <w:sz w:val="18"/>
                <w:szCs w:val="18"/>
              </w:rPr>
              <w:t>123</w:t>
            </w:r>
          </w:p>
        </w:tc>
        <w:tc>
          <w:tcPr>
            <w:tcW w:w="965" w:type="dxa"/>
            <w:vAlign w:val="center"/>
          </w:tcPr>
          <w:p w14:paraId="66360A37" w14:textId="77777777" w:rsidR="00BF6631" w:rsidRPr="004D7461" w:rsidRDefault="00BF6631" w:rsidP="004D7461">
            <w:pPr>
              <w:keepNext/>
              <w:jc w:val="right"/>
              <w:cnfStyle w:val="010000000000" w:firstRow="0" w:lastRow="1" w:firstColumn="0" w:lastColumn="0" w:oddVBand="0" w:evenVBand="0" w:oddHBand="0" w:evenHBand="0" w:firstRowFirstColumn="0" w:firstRowLastColumn="0" w:lastRowFirstColumn="0" w:lastRowLastColumn="0"/>
              <w:rPr>
                <w:sz w:val="18"/>
                <w:szCs w:val="18"/>
              </w:rPr>
            </w:pPr>
            <w:r w:rsidRPr="004D7461">
              <w:rPr>
                <w:sz w:val="18"/>
                <w:szCs w:val="18"/>
              </w:rPr>
              <w:t>119</w:t>
            </w:r>
          </w:p>
        </w:tc>
        <w:tc>
          <w:tcPr>
            <w:tcW w:w="938" w:type="dxa"/>
            <w:vAlign w:val="center"/>
          </w:tcPr>
          <w:p w14:paraId="4232E068" w14:textId="77777777" w:rsidR="00BF6631" w:rsidRPr="004D7461" w:rsidRDefault="00BF6631" w:rsidP="004D7461">
            <w:pPr>
              <w:keepNext/>
              <w:jc w:val="right"/>
              <w:cnfStyle w:val="010000000000" w:firstRow="0" w:lastRow="1" w:firstColumn="0" w:lastColumn="0" w:oddVBand="0" w:evenVBand="0" w:oddHBand="0" w:evenHBand="0" w:firstRowFirstColumn="0" w:firstRowLastColumn="0" w:lastRowFirstColumn="0" w:lastRowLastColumn="0"/>
              <w:rPr>
                <w:sz w:val="18"/>
                <w:szCs w:val="18"/>
              </w:rPr>
            </w:pPr>
            <w:r w:rsidRPr="004D7461">
              <w:rPr>
                <w:sz w:val="18"/>
                <w:szCs w:val="18"/>
              </w:rPr>
              <w:t>39</w:t>
            </w:r>
          </w:p>
        </w:tc>
        <w:tc>
          <w:tcPr>
            <w:tcW w:w="1053" w:type="dxa"/>
            <w:vAlign w:val="center"/>
          </w:tcPr>
          <w:p w14:paraId="34D7DC5C" w14:textId="77777777" w:rsidR="00BF6631" w:rsidRPr="004D7461" w:rsidRDefault="00BF6631" w:rsidP="004D7461">
            <w:pPr>
              <w:keepNext/>
              <w:jc w:val="right"/>
              <w:cnfStyle w:val="010000000000" w:firstRow="0" w:lastRow="1" w:firstColumn="0" w:lastColumn="0" w:oddVBand="0" w:evenVBand="0" w:oddHBand="0" w:evenHBand="0" w:firstRowFirstColumn="0" w:firstRowLastColumn="0" w:lastRowFirstColumn="0" w:lastRowLastColumn="0"/>
              <w:rPr>
                <w:sz w:val="18"/>
                <w:szCs w:val="18"/>
              </w:rPr>
            </w:pPr>
            <w:r w:rsidRPr="004D7461">
              <w:rPr>
                <w:sz w:val="18"/>
                <w:szCs w:val="18"/>
              </w:rPr>
              <w:t>9</w:t>
            </w:r>
          </w:p>
        </w:tc>
        <w:tc>
          <w:tcPr>
            <w:tcW w:w="1025" w:type="dxa"/>
            <w:vAlign w:val="center"/>
          </w:tcPr>
          <w:p w14:paraId="582D8272" w14:textId="77777777" w:rsidR="00BF6631" w:rsidRPr="004D7461" w:rsidRDefault="00BF6631" w:rsidP="004D7461">
            <w:pPr>
              <w:keepNext/>
              <w:jc w:val="right"/>
              <w:cnfStyle w:val="010000000000" w:firstRow="0" w:lastRow="1" w:firstColumn="0" w:lastColumn="0" w:oddVBand="0" w:evenVBand="0" w:oddHBand="0" w:evenHBand="0" w:firstRowFirstColumn="0" w:firstRowLastColumn="0" w:lastRowFirstColumn="0" w:lastRowLastColumn="0"/>
              <w:rPr>
                <w:sz w:val="18"/>
                <w:szCs w:val="18"/>
              </w:rPr>
            </w:pPr>
            <w:r w:rsidRPr="004D7461">
              <w:rPr>
                <w:sz w:val="18"/>
                <w:szCs w:val="18"/>
              </w:rPr>
              <w:t>-324</w:t>
            </w:r>
          </w:p>
        </w:tc>
        <w:tc>
          <w:tcPr>
            <w:tcW w:w="999" w:type="dxa"/>
            <w:vAlign w:val="center"/>
          </w:tcPr>
          <w:p w14:paraId="64F24520" w14:textId="77777777" w:rsidR="00BF6631" w:rsidRPr="004D7461" w:rsidRDefault="00BF6631" w:rsidP="004D7461">
            <w:pPr>
              <w:keepNext/>
              <w:jc w:val="right"/>
              <w:cnfStyle w:val="010000000000" w:firstRow="0" w:lastRow="1" w:firstColumn="0" w:lastColumn="0" w:oddVBand="0" w:evenVBand="0" w:oddHBand="0" w:evenHBand="0" w:firstRowFirstColumn="0" w:firstRowLastColumn="0" w:lastRowFirstColumn="0" w:lastRowLastColumn="0"/>
              <w:rPr>
                <w:sz w:val="18"/>
                <w:szCs w:val="18"/>
              </w:rPr>
            </w:pPr>
            <w:r w:rsidRPr="004D7461">
              <w:rPr>
                <w:sz w:val="18"/>
                <w:szCs w:val="18"/>
              </w:rPr>
              <w:t>-254</w:t>
            </w:r>
          </w:p>
        </w:tc>
        <w:tc>
          <w:tcPr>
            <w:tcW w:w="971" w:type="dxa"/>
            <w:vAlign w:val="center"/>
          </w:tcPr>
          <w:p w14:paraId="3D52C42D" w14:textId="77777777" w:rsidR="00BF6631" w:rsidRPr="004D7461" w:rsidRDefault="00BF6631" w:rsidP="004D7461">
            <w:pPr>
              <w:keepNext/>
              <w:jc w:val="right"/>
              <w:cnfStyle w:val="010000000000" w:firstRow="0" w:lastRow="1" w:firstColumn="0" w:lastColumn="0" w:oddVBand="0" w:evenVBand="0" w:oddHBand="0" w:evenHBand="0" w:firstRowFirstColumn="0" w:firstRowLastColumn="0" w:lastRowFirstColumn="0" w:lastRowLastColumn="0"/>
              <w:rPr>
                <w:sz w:val="18"/>
                <w:szCs w:val="18"/>
              </w:rPr>
            </w:pPr>
            <w:r w:rsidRPr="004D7461">
              <w:rPr>
                <w:sz w:val="18"/>
                <w:szCs w:val="18"/>
              </w:rPr>
              <w:t>1,269</w:t>
            </w:r>
          </w:p>
        </w:tc>
      </w:tr>
    </w:tbl>
    <w:p w14:paraId="569A5D4C" w14:textId="77777777" w:rsidR="00BF6631" w:rsidRPr="006637CF" w:rsidRDefault="00BF6631" w:rsidP="004D7461">
      <w:pPr>
        <w:pStyle w:val="Sourcenotes"/>
      </w:pPr>
      <w:r w:rsidRPr="004D7461">
        <w:t>Source: ABS Australian System of National Accounts, ABS Australian National Accounts: Input-Output Tables; BCARR calculations</w:t>
      </w:r>
    </w:p>
    <w:p w14:paraId="7AFA1907" w14:textId="77777777" w:rsidR="0038444F" w:rsidRDefault="0038444F" w:rsidP="004D7461"/>
    <w:sectPr w:rsidR="0038444F" w:rsidSect="00AF3A4D">
      <w:type w:val="continuous"/>
      <w:pgSz w:w="11906" w:h="16838" w:code="9"/>
      <w:pgMar w:top="1021" w:right="1021" w:bottom="1021" w:left="102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70A18" w14:textId="77777777" w:rsidR="00253E55" w:rsidRDefault="00253E55" w:rsidP="008456D5">
      <w:pPr>
        <w:spacing w:after="0"/>
      </w:pPr>
      <w:r>
        <w:separator/>
      </w:r>
    </w:p>
  </w:endnote>
  <w:endnote w:type="continuationSeparator" w:id="0">
    <w:p w14:paraId="1D7B20D9" w14:textId="77777777" w:rsidR="00253E55" w:rsidRDefault="00253E55" w:rsidP="008456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34A7A" w14:textId="0A873BD8" w:rsidR="00180B5B" w:rsidRDefault="00180B5B" w:rsidP="00180B5B">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0376E" w14:textId="34D329AF" w:rsidR="00975546" w:rsidRPr="0009708B" w:rsidRDefault="0009708B" w:rsidP="0009708B">
    <w:pPr>
      <w:pStyle w:val="Footer"/>
    </w:pPr>
    <w:r w:rsidRPr="0009708B">
      <w:t>FAQ: Cultural and Creative Activity in Australia, 2010–11 to 2019–2020</w:t>
    </w:r>
    <w:r w:rsidRPr="0009708B">
      <w:fldChar w:fldCharType="begin"/>
    </w:r>
    <w:r w:rsidRPr="0009708B">
      <w:instrText xml:space="preserve"> STYLEREF  "Heading 1"  \* MERGEFORMAT </w:instrText>
    </w:r>
    <w:r w:rsidRPr="0009708B">
      <w:fldChar w:fldCharType="end"/>
    </w:r>
    <w:r w:rsidRPr="0009708B">
      <w:tab/>
    </w:r>
    <w:r w:rsidR="005C20CC" w:rsidRPr="0009708B">
      <w:fldChar w:fldCharType="begin"/>
    </w:r>
    <w:r w:rsidR="005C20CC" w:rsidRPr="0009708B">
      <w:instrText xml:space="preserve"> STYLEREF  "Heading 1"  \* MERGEFORMAT </w:instrText>
    </w:r>
    <w:r w:rsidR="005C20CC" w:rsidRPr="0009708B">
      <w:fldChar w:fldCharType="end"/>
    </w:r>
    <w:r w:rsidR="004A16D5" w:rsidRPr="0009708B">
      <w:fldChar w:fldCharType="begin"/>
    </w:r>
    <w:r w:rsidR="004A16D5" w:rsidRPr="0009708B">
      <w:instrText xml:space="preserve"> STYLEREF  "Heading 1"  \* MERGEFORMAT </w:instrText>
    </w:r>
    <w:r w:rsidR="004A16D5" w:rsidRPr="0009708B">
      <w:fldChar w:fldCharType="end"/>
    </w:r>
    <w:r w:rsidR="00975546" w:rsidRPr="0009708B">
      <w:fldChar w:fldCharType="begin"/>
    </w:r>
    <w:r w:rsidR="00975546" w:rsidRPr="0009708B">
      <w:instrText xml:space="preserve"> STYLEREF  "Heading 1"  \* MERGEFORMAT </w:instrText>
    </w:r>
    <w:r w:rsidR="00975546" w:rsidRPr="0009708B">
      <w:fldChar w:fldCharType="end"/>
    </w:r>
    <w:r w:rsidRPr="0009708B">
      <w:fldChar w:fldCharType="begin"/>
    </w:r>
    <w:r w:rsidRPr="0009708B">
      <w:instrText xml:space="preserve"> STYLEREF  "Heading 1"  \* MERGEFORMAT </w:instrText>
    </w:r>
    <w:r w:rsidRPr="0009708B">
      <w:fldChar w:fldCharType="end"/>
    </w:r>
    <w:r w:rsidR="00975546" w:rsidRPr="0009708B">
      <w:fldChar w:fldCharType="begin"/>
    </w:r>
    <w:r w:rsidR="00975546" w:rsidRPr="0009708B">
      <w:instrText xml:space="preserve"> STYLEREF  "Heading 1"  \* MERGEFORMAT </w:instrText>
    </w:r>
    <w:r w:rsidR="00975546" w:rsidRPr="0009708B">
      <w:fldChar w:fldCharType="end"/>
    </w:r>
    <w:r w:rsidR="00975546" w:rsidRPr="0009708B">
      <w:fldChar w:fldCharType="begin"/>
    </w:r>
    <w:r w:rsidR="00975546" w:rsidRPr="0009708B">
      <w:instrText xml:space="preserve"> PAGE  \* Arabic  \* MERGEFORMAT </w:instrText>
    </w:r>
    <w:r w:rsidR="00975546" w:rsidRPr="0009708B">
      <w:fldChar w:fldCharType="separate"/>
    </w:r>
    <w:r w:rsidR="00975546" w:rsidRPr="0009708B">
      <w:t>1</w:t>
    </w:r>
    <w:r w:rsidR="00975546" w:rsidRPr="0009708B">
      <w:fldChar w:fldCharType="end"/>
    </w:r>
  </w:p>
  <w:p w14:paraId="1059710C" w14:textId="34080872" w:rsidR="002229F7" w:rsidRDefault="002229F7" w:rsidP="00975546">
    <w:pPr>
      <w:pStyle w:val="SecurityMarker"/>
      <w:spacing w:before="0" w:after="0"/>
      <w:ind w:left="-993"/>
    </w:pPr>
    <w:r>
      <w:rPr>
        <w:noProof/>
        <w:lang w:eastAsia="en-AU"/>
      </w:rPr>
      <w:drawing>
        <wp:inline distT="0" distB="0" distL="0" distR="0" wp14:anchorId="7FE6D129" wp14:editId="2A57B220">
          <wp:extent cx="7560000" cy="129564"/>
          <wp:effectExtent l="0" t="0" r="3175" b="381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956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78473" w14:textId="39BCE87A" w:rsidR="002229F7" w:rsidRDefault="00B51250" w:rsidP="002229F7">
    <w:pPr>
      <w:pStyle w:val="Footer"/>
      <w:spacing w:before="360"/>
    </w:pPr>
    <w:fldSimple w:instr=" STYLEREF  &quot;Heading 1&quot;  \* MERGEFORMAT ">
      <w:r w:rsidR="003E1AF9">
        <w:rPr>
          <w:noProof/>
        </w:rPr>
        <w:t>FAQ: Cultural and Creative Activity in Australia, 2010–11 to 2019–2020</w:t>
      </w:r>
    </w:fldSimple>
    <w:r w:rsidR="00353213">
      <w:tab/>
    </w:r>
    <w:r w:rsidR="00353213">
      <w:rPr>
        <w:rFonts w:cs="Segoe UI"/>
        <w:color w:val="auto"/>
        <w:szCs w:val="18"/>
      </w:rPr>
      <w:fldChar w:fldCharType="begin"/>
    </w:r>
    <w:r w:rsidR="00353213">
      <w:rPr>
        <w:rFonts w:cs="Segoe UI"/>
        <w:color w:val="auto"/>
        <w:szCs w:val="18"/>
      </w:rPr>
      <w:instrText xml:space="preserve"> PAGE  \* Arabic  \* MERGEFORMAT </w:instrText>
    </w:r>
    <w:r w:rsidR="00353213">
      <w:rPr>
        <w:rFonts w:cs="Segoe UI"/>
        <w:color w:val="auto"/>
        <w:szCs w:val="18"/>
      </w:rPr>
      <w:fldChar w:fldCharType="separate"/>
    </w:r>
    <w:r w:rsidR="00353213">
      <w:rPr>
        <w:rFonts w:cs="Segoe UI"/>
        <w:color w:val="auto"/>
        <w:szCs w:val="18"/>
      </w:rPr>
      <w:t>2</w:t>
    </w:r>
    <w:r w:rsidR="00353213">
      <w:rPr>
        <w:rFonts w:cs="Segoe UI"/>
        <w:color w:val="auto"/>
        <w:szCs w:val="18"/>
      </w:rPr>
      <w:fldChar w:fldCharType="end"/>
    </w:r>
  </w:p>
  <w:p w14:paraId="7BC0F1C9" w14:textId="6220AB12" w:rsidR="002229F7" w:rsidRDefault="002229F7" w:rsidP="00353213">
    <w:pPr>
      <w:pStyle w:val="SecurityMarker"/>
      <w:spacing w:before="120" w:after="0"/>
      <w:ind w:left="-993"/>
    </w:pPr>
    <w:r>
      <w:rPr>
        <w:noProof/>
        <w:lang w:eastAsia="en-AU"/>
      </w:rPr>
      <w:drawing>
        <wp:inline distT="0" distB="0" distL="0" distR="0" wp14:anchorId="584A23A5" wp14:editId="4A14A65D">
          <wp:extent cx="7560000" cy="129564"/>
          <wp:effectExtent l="0" t="0" r="3175" b="3810"/>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956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F1B60" w14:textId="77777777" w:rsidR="00253E55" w:rsidRPr="005912BE" w:rsidRDefault="00253E55" w:rsidP="005912BE">
      <w:pPr>
        <w:spacing w:before="300"/>
        <w:rPr>
          <w:color w:val="008089" w:themeColor="accent2"/>
        </w:rPr>
      </w:pPr>
      <w:r w:rsidRPr="001606C9">
        <w:rPr>
          <w:color w:val="004044" w:themeColor="accent2" w:themeShade="80"/>
        </w:rPr>
        <w:t>----------</w:t>
      </w:r>
    </w:p>
  </w:footnote>
  <w:footnote w:type="continuationSeparator" w:id="0">
    <w:p w14:paraId="5DEA1933" w14:textId="77777777" w:rsidR="00253E55" w:rsidRDefault="00253E55" w:rsidP="008456D5">
      <w:pPr>
        <w:spacing w:after="0"/>
      </w:pPr>
      <w:r>
        <w:continuationSeparator/>
      </w:r>
    </w:p>
  </w:footnote>
  <w:footnote w:id="1">
    <w:p w14:paraId="788D5BFF" w14:textId="77777777" w:rsidR="005B6737" w:rsidRPr="004D7461" w:rsidRDefault="005B6737" w:rsidP="005B6737">
      <w:pPr>
        <w:pStyle w:val="FootnoteText"/>
        <w:ind w:left="142" w:hanging="142"/>
        <w:rPr>
          <w:sz w:val="16"/>
          <w:szCs w:val="16"/>
        </w:rPr>
      </w:pPr>
      <w:r w:rsidRPr="004D7461">
        <w:rPr>
          <w:rStyle w:val="FootnoteReference"/>
          <w:sz w:val="16"/>
          <w:szCs w:val="16"/>
        </w:rPr>
        <w:footnoteRef/>
      </w:r>
      <w:r w:rsidRPr="004D7461">
        <w:rPr>
          <w:sz w:val="16"/>
          <w:szCs w:val="16"/>
        </w:rPr>
        <w:t xml:space="preserve"> Department of Health and Aged Care (2020), </w:t>
      </w:r>
      <w:hyperlink r:id="rId1" w:history="1">
        <w:r w:rsidRPr="004D7461">
          <w:rPr>
            <w:rStyle w:val="Hyperlink"/>
            <w:sz w:val="16"/>
            <w:szCs w:val="16"/>
          </w:rPr>
          <w:t>Australian Health Protection Principal Committee (AHPPC) coronavirus (COVID-19) statement on 22 March 2020</w:t>
        </w:r>
      </w:hyperlink>
      <w:r w:rsidRPr="004D7461">
        <w:rPr>
          <w:sz w:val="16"/>
          <w:szCs w:val="16"/>
        </w:rPr>
        <w:t>, March 2020</w:t>
      </w:r>
    </w:p>
  </w:footnote>
  <w:footnote w:id="2">
    <w:p w14:paraId="69EBD825" w14:textId="4B22DB59" w:rsidR="00097B0B" w:rsidRPr="004D7461" w:rsidRDefault="00097B0B" w:rsidP="00097B0B">
      <w:pPr>
        <w:pStyle w:val="FootnoteText"/>
        <w:ind w:left="142" w:hanging="142"/>
        <w:rPr>
          <w:sz w:val="16"/>
          <w:szCs w:val="16"/>
        </w:rPr>
      </w:pPr>
      <w:r w:rsidRPr="004D7461">
        <w:rPr>
          <w:rStyle w:val="FootnoteReference"/>
          <w:sz w:val="16"/>
          <w:szCs w:val="16"/>
        </w:rPr>
        <w:footnoteRef/>
      </w:r>
      <w:r w:rsidRPr="004D7461">
        <w:rPr>
          <w:sz w:val="16"/>
          <w:szCs w:val="16"/>
        </w:rPr>
        <w:t xml:space="preserve"> Department of Health and Aged Care (2022), </w:t>
      </w:r>
      <w:hyperlink r:id="rId2" w:history="1">
        <w:r w:rsidRPr="004D7461">
          <w:rPr>
            <w:rStyle w:val="Hyperlink"/>
            <w:sz w:val="16"/>
            <w:szCs w:val="16"/>
          </w:rPr>
          <w:t>Coronavirus disease 2019 (COVID-19) epidemiology reports, Australia, 2020–2022</w:t>
        </w:r>
      </w:hyperlink>
      <w:r w:rsidRPr="004D7461">
        <w:rPr>
          <w:sz w:val="16"/>
          <w:szCs w:val="16"/>
        </w:rPr>
        <w:t>, Australia, September 2022</w:t>
      </w:r>
    </w:p>
  </w:footnote>
  <w:footnote w:id="3">
    <w:p w14:paraId="1A98CE65" w14:textId="77777777" w:rsidR="00BF6631" w:rsidRPr="004D7461" w:rsidRDefault="00BF6631" w:rsidP="00BF6631">
      <w:pPr>
        <w:pStyle w:val="FootnoteText"/>
        <w:rPr>
          <w:sz w:val="16"/>
          <w:szCs w:val="16"/>
        </w:rPr>
      </w:pPr>
      <w:r w:rsidRPr="004D7461">
        <w:rPr>
          <w:rStyle w:val="FootnoteReference"/>
          <w:sz w:val="16"/>
          <w:szCs w:val="16"/>
        </w:rPr>
        <w:footnoteRef/>
      </w:r>
      <w:r w:rsidRPr="004D7461">
        <w:rPr>
          <w:sz w:val="16"/>
          <w:szCs w:val="16"/>
        </w:rPr>
        <w:t xml:space="preserve"> Australian Bureau of Statistics (2020), </w:t>
      </w:r>
      <w:hyperlink r:id="rId3" w:history="1">
        <w:r w:rsidRPr="004D7461">
          <w:rPr>
            <w:rStyle w:val="Hyperlink"/>
            <w:sz w:val="16"/>
            <w:szCs w:val="16"/>
          </w:rPr>
          <w:t>Retail Trade, Australia</w:t>
        </w:r>
      </w:hyperlink>
      <w:r w:rsidRPr="004D7461">
        <w:rPr>
          <w:sz w:val="16"/>
          <w:szCs w:val="16"/>
        </w:rPr>
        <w:t>, May 2020</w:t>
      </w:r>
    </w:p>
  </w:footnote>
  <w:footnote w:id="4">
    <w:p w14:paraId="7332A678" w14:textId="77777777" w:rsidR="00BF6631" w:rsidRPr="004D7461" w:rsidRDefault="00BF6631" w:rsidP="00BF6631">
      <w:pPr>
        <w:pStyle w:val="FootnoteText"/>
        <w:rPr>
          <w:sz w:val="16"/>
          <w:szCs w:val="16"/>
          <w:lang w:val="en-US"/>
        </w:rPr>
      </w:pPr>
      <w:r w:rsidRPr="004D7461">
        <w:rPr>
          <w:rStyle w:val="FootnoteReference"/>
          <w:sz w:val="16"/>
          <w:szCs w:val="16"/>
        </w:rPr>
        <w:footnoteRef/>
      </w:r>
      <w:r w:rsidRPr="004D7461">
        <w:rPr>
          <w:sz w:val="16"/>
          <w:szCs w:val="16"/>
        </w:rPr>
        <w:t xml:space="preserve"> Australian Bureau of Statistics (2020), </w:t>
      </w:r>
      <w:hyperlink r:id="rId4" w:history="1">
        <w:r w:rsidRPr="004D7461">
          <w:rPr>
            <w:rStyle w:val="Hyperlink"/>
            <w:sz w:val="16"/>
            <w:szCs w:val="16"/>
          </w:rPr>
          <w:t>Retail Trade, Australia</w:t>
        </w:r>
      </w:hyperlink>
      <w:r w:rsidRPr="004D7461">
        <w:rPr>
          <w:sz w:val="16"/>
          <w:szCs w:val="16"/>
        </w:rPr>
        <w:t>, June 2020</w:t>
      </w:r>
    </w:p>
  </w:footnote>
  <w:footnote w:id="5">
    <w:p w14:paraId="7929491E" w14:textId="77777777" w:rsidR="00BF6631" w:rsidRPr="00F67E2F" w:rsidRDefault="00BF6631" w:rsidP="00BF6631">
      <w:pPr>
        <w:pStyle w:val="FootnoteText"/>
        <w:rPr>
          <w:sz w:val="16"/>
          <w:szCs w:val="16"/>
          <w:lang w:val="en-US"/>
        </w:rPr>
      </w:pPr>
      <w:r>
        <w:rPr>
          <w:rStyle w:val="FootnoteReference"/>
        </w:rPr>
        <w:footnoteRef/>
      </w:r>
      <w:r>
        <w:t xml:space="preserve"> </w:t>
      </w:r>
      <w:r w:rsidRPr="00F67E2F">
        <w:rPr>
          <w:sz w:val="16"/>
          <w:szCs w:val="16"/>
        </w:rPr>
        <w:t>IBISWorld industry report (2022), M7000 Computer system design services in Australia, April 2022, p.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695F0" w14:textId="77777777" w:rsidR="00180B5B" w:rsidRDefault="00E30EB4" w:rsidP="00180B5B">
    <w:pPr>
      <w:pStyle w:val="Header"/>
      <w:spacing w:after="1320"/>
      <w:jc w:val="left"/>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2A5B9" w14:textId="5EB4FF33" w:rsidR="007A05BE" w:rsidRDefault="00B51250" w:rsidP="00353213">
    <w:pPr>
      <w:pStyle w:val="Header"/>
      <w:spacing w:after="720"/>
    </w:pPr>
    <w:fldSimple w:instr=" STYLEREF  &quot;Heading 2&quot;  \* MERGEFORMAT ">
      <w:r w:rsidR="003E1AF9">
        <w:rPr>
          <w:noProof/>
        </w:rPr>
        <w:t>Methodology questions</w:t>
      </w:r>
    </w:fldSimple>
    <w:r w:rsidR="00852FC0">
      <w:fldChar w:fldCharType="begin"/>
    </w:r>
    <w:r w:rsidR="00852FC0">
      <w:instrText xml:space="preserve"> STYLEREF  "Heading 1" \l  \* MERGEFORMAT </w:instrText>
    </w:r>
    <w:r w:rsidR="00852FC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A5643B6"/>
    <w:multiLevelType w:val="hybridMultilevel"/>
    <w:tmpl w:val="AC968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webHidden w:val="0"/>
        <w:color w:val="auto"/>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AA51938"/>
    <w:multiLevelType w:val="multilevel"/>
    <w:tmpl w:val="298C34E4"/>
    <w:numStyleLink w:val="AppendixNumbers"/>
  </w:abstractNum>
  <w:abstractNum w:abstractNumId="16"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173295E"/>
    <w:multiLevelType w:val="multilevel"/>
    <w:tmpl w:val="23B8CE86"/>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2"/>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num>
  <w:num w:numId="26">
    <w:abstractNumId w:val="19"/>
  </w:num>
  <w:num w:numId="27">
    <w:abstractNumId w:val="19"/>
  </w:num>
  <w:num w:numId="28">
    <w:abstractNumId w:val="1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E55"/>
    <w:rsid w:val="0001430B"/>
    <w:rsid w:val="000341E0"/>
    <w:rsid w:val="0004763C"/>
    <w:rsid w:val="0009708B"/>
    <w:rsid w:val="00097B0B"/>
    <w:rsid w:val="000A133A"/>
    <w:rsid w:val="000E24BA"/>
    <w:rsid w:val="000E5674"/>
    <w:rsid w:val="000E7E9F"/>
    <w:rsid w:val="001349C6"/>
    <w:rsid w:val="001606C9"/>
    <w:rsid w:val="00180B5B"/>
    <w:rsid w:val="00203702"/>
    <w:rsid w:val="002229F7"/>
    <w:rsid w:val="002254D5"/>
    <w:rsid w:val="0022611D"/>
    <w:rsid w:val="00253E55"/>
    <w:rsid w:val="0026422D"/>
    <w:rsid w:val="00266955"/>
    <w:rsid w:val="00284164"/>
    <w:rsid w:val="002959FB"/>
    <w:rsid w:val="002B3569"/>
    <w:rsid w:val="002B7197"/>
    <w:rsid w:val="002E1ADA"/>
    <w:rsid w:val="00353213"/>
    <w:rsid w:val="003536D7"/>
    <w:rsid w:val="003720E9"/>
    <w:rsid w:val="0038444F"/>
    <w:rsid w:val="00393717"/>
    <w:rsid w:val="003B7AD3"/>
    <w:rsid w:val="003C625A"/>
    <w:rsid w:val="003D4EDF"/>
    <w:rsid w:val="003E1AF9"/>
    <w:rsid w:val="003F1371"/>
    <w:rsid w:val="003F775D"/>
    <w:rsid w:val="004172EB"/>
    <w:rsid w:val="00420F04"/>
    <w:rsid w:val="00430511"/>
    <w:rsid w:val="00447B73"/>
    <w:rsid w:val="00450D0E"/>
    <w:rsid w:val="00453FB1"/>
    <w:rsid w:val="00477E77"/>
    <w:rsid w:val="00483596"/>
    <w:rsid w:val="004A16D5"/>
    <w:rsid w:val="004B1463"/>
    <w:rsid w:val="004B1600"/>
    <w:rsid w:val="004D510F"/>
    <w:rsid w:val="004D7461"/>
    <w:rsid w:val="004E1AFB"/>
    <w:rsid w:val="004F77AA"/>
    <w:rsid w:val="00541213"/>
    <w:rsid w:val="00546218"/>
    <w:rsid w:val="005653A9"/>
    <w:rsid w:val="005912BE"/>
    <w:rsid w:val="005B6737"/>
    <w:rsid w:val="005C20CC"/>
    <w:rsid w:val="005F794B"/>
    <w:rsid w:val="00611CC1"/>
    <w:rsid w:val="0063583D"/>
    <w:rsid w:val="00686A7B"/>
    <w:rsid w:val="006A0F8A"/>
    <w:rsid w:val="006A266A"/>
    <w:rsid w:val="006E1ECA"/>
    <w:rsid w:val="007A05BE"/>
    <w:rsid w:val="007B22CC"/>
    <w:rsid w:val="007F351B"/>
    <w:rsid w:val="008067A1"/>
    <w:rsid w:val="008456D5"/>
    <w:rsid w:val="0084634B"/>
    <w:rsid w:val="00852FC0"/>
    <w:rsid w:val="00860CDB"/>
    <w:rsid w:val="008A1887"/>
    <w:rsid w:val="008A3E38"/>
    <w:rsid w:val="008B1560"/>
    <w:rsid w:val="008B6A81"/>
    <w:rsid w:val="008E13B2"/>
    <w:rsid w:val="008E2A0D"/>
    <w:rsid w:val="00975546"/>
    <w:rsid w:val="009909EC"/>
    <w:rsid w:val="00996B8C"/>
    <w:rsid w:val="009B00F2"/>
    <w:rsid w:val="009E245F"/>
    <w:rsid w:val="00A070A2"/>
    <w:rsid w:val="00A146EE"/>
    <w:rsid w:val="00A55479"/>
    <w:rsid w:val="00A57092"/>
    <w:rsid w:val="00A95970"/>
    <w:rsid w:val="00AD7703"/>
    <w:rsid w:val="00AE1A3E"/>
    <w:rsid w:val="00AF3A4D"/>
    <w:rsid w:val="00B0484D"/>
    <w:rsid w:val="00B14692"/>
    <w:rsid w:val="00B41CBE"/>
    <w:rsid w:val="00B42AC2"/>
    <w:rsid w:val="00B51250"/>
    <w:rsid w:val="00B800E2"/>
    <w:rsid w:val="00B83402"/>
    <w:rsid w:val="00B9430D"/>
    <w:rsid w:val="00BB3AAC"/>
    <w:rsid w:val="00BB7CB7"/>
    <w:rsid w:val="00BE3AD8"/>
    <w:rsid w:val="00BF6631"/>
    <w:rsid w:val="00C20290"/>
    <w:rsid w:val="00CB53AC"/>
    <w:rsid w:val="00CD233E"/>
    <w:rsid w:val="00CF6CFD"/>
    <w:rsid w:val="00CF763F"/>
    <w:rsid w:val="00CF78A5"/>
    <w:rsid w:val="00D02062"/>
    <w:rsid w:val="00D07CBA"/>
    <w:rsid w:val="00D5655E"/>
    <w:rsid w:val="00D56984"/>
    <w:rsid w:val="00D62C1B"/>
    <w:rsid w:val="00D93AEC"/>
    <w:rsid w:val="00D96BC0"/>
    <w:rsid w:val="00DA29E7"/>
    <w:rsid w:val="00DB01CB"/>
    <w:rsid w:val="00DB4F25"/>
    <w:rsid w:val="00DD09C2"/>
    <w:rsid w:val="00DE4362"/>
    <w:rsid w:val="00DE4FE2"/>
    <w:rsid w:val="00DE6FBF"/>
    <w:rsid w:val="00E04908"/>
    <w:rsid w:val="00E2218A"/>
    <w:rsid w:val="00E30EB4"/>
    <w:rsid w:val="00E735E1"/>
    <w:rsid w:val="00E94FDD"/>
    <w:rsid w:val="00E95BA5"/>
    <w:rsid w:val="00EA42CC"/>
    <w:rsid w:val="00ED4E16"/>
    <w:rsid w:val="00ED6056"/>
    <w:rsid w:val="00EE59C1"/>
    <w:rsid w:val="00F069C5"/>
    <w:rsid w:val="00F11869"/>
    <w:rsid w:val="00F1428D"/>
    <w:rsid w:val="00F67CDB"/>
    <w:rsid w:val="00FC32B2"/>
    <w:rsid w:val="00FC34AF"/>
    <w:rsid w:val="00FE7438"/>
    <w:rsid w:val="00FF519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4FEF90C"/>
  <w15:chartTrackingRefBased/>
  <w15:docId w15:val="{4B49A9CF-09BA-4415-8C36-A79A27EA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29E7"/>
    <w:pPr>
      <w:suppressAutoHyphens/>
      <w:spacing w:before="0" w:after="160"/>
    </w:pPr>
  </w:style>
  <w:style w:type="paragraph" w:styleId="Heading1">
    <w:name w:val="heading 1"/>
    <w:basedOn w:val="Normal"/>
    <w:next w:val="Normal"/>
    <w:link w:val="Heading1Char"/>
    <w:uiPriority w:val="9"/>
    <w:qFormat/>
    <w:rsid w:val="004A16D5"/>
    <w:pPr>
      <w:keepNext/>
      <w:keepLines/>
      <w:spacing w:before="240"/>
      <w:contextualSpacing/>
      <w:outlineLvl w:val="0"/>
    </w:pPr>
    <w:rPr>
      <w:rFonts w:asciiTheme="majorHAnsi" w:eastAsiaTheme="majorEastAsia" w:hAnsiTheme="majorHAnsi" w:cstheme="majorBidi"/>
      <w:b/>
      <w:color w:val="auto"/>
      <w:sz w:val="60"/>
      <w:szCs w:val="32"/>
      <w:lang w:val="x-none"/>
    </w:rPr>
  </w:style>
  <w:style w:type="paragraph" w:styleId="Heading2">
    <w:name w:val="heading 2"/>
    <w:basedOn w:val="Normal"/>
    <w:next w:val="Normal"/>
    <w:link w:val="Heading2Char"/>
    <w:uiPriority w:val="9"/>
    <w:unhideWhenUsed/>
    <w:qFormat/>
    <w:rsid w:val="005F794B"/>
    <w:pPr>
      <w:keepNext/>
      <w:keepLines/>
      <w:spacing w:before="32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DA29E7"/>
    <w:pPr>
      <w:keepNext/>
      <w:keepLines/>
      <w:spacing w:before="120"/>
      <w:outlineLvl w:val="2"/>
    </w:pPr>
    <w:rPr>
      <w:rFonts w:asciiTheme="majorHAnsi" w:eastAsiaTheme="majorEastAsia" w:hAnsiTheme="majorHAnsi" w:cstheme="majorBidi"/>
      <w:b/>
      <w:color w:val="59626F"/>
      <w:sz w:val="30"/>
      <w:szCs w:val="24"/>
    </w:rPr>
  </w:style>
  <w:style w:type="paragraph" w:styleId="Heading4">
    <w:name w:val="heading 4"/>
    <w:basedOn w:val="Normal"/>
    <w:next w:val="Normal"/>
    <w:link w:val="Heading4Char"/>
    <w:uiPriority w:val="9"/>
    <w:unhideWhenUsed/>
    <w:rsid w:val="001606C9"/>
    <w:pPr>
      <w:keepNext/>
      <w:keepLines/>
      <w:spacing w:before="24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4A16D5"/>
    <w:rPr>
      <w:rFonts w:asciiTheme="majorHAnsi" w:eastAsiaTheme="majorEastAsia" w:hAnsiTheme="majorHAnsi" w:cstheme="majorBidi"/>
      <w:b/>
      <w:color w:val="auto"/>
      <w:sz w:val="60"/>
      <w:szCs w:val="32"/>
      <w:lang w:val="x-none"/>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DA29E7"/>
    <w:rPr>
      <w:rFonts w:asciiTheme="majorHAnsi" w:eastAsiaTheme="majorEastAsia" w:hAnsiTheme="majorHAnsi" w:cstheme="majorBidi"/>
      <w:b/>
      <w:color w:val="59626F"/>
      <w:sz w:val="30"/>
      <w:szCs w:val="24"/>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975546"/>
    <w:pPr>
      <w:numPr>
        <w:numId w:val="11"/>
      </w:numPr>
      <w:spacing w:before="80"/>
      <w:ind w:left="567" w:hanging="567"/>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1606C9"/>
    <w:pPr>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customStyle="1" w:styleId="SecurityMarker">
    <w:name w:val="Security Marker"/>
    <w:basedOn w:val="Normal"/>
    <w:qFormat/>
    <w:rsid w:val="000341E0"/>
    <w:pPr>
      <w:spacing w:before="60" w:after="60"/>
      <w:jc w:val="center"/>
    </w:pPr>
    <w:rPr>
      <w:b/>
      <w:bCs/>
      <w:caps/>
      <w:color w:val="E10000"/>
      <w:shd w:val="clear" w:color="auto" w:fill="FFFFFF" w:themeFill="background1"/>
    </w:rPr>
  </w:style>
  <w:style w:type="paragraph" w:customStyle="1" w:styleId="Tablerowcolumnheading">
    <w:name w:val="Table row/column heading"/>
    <w:basedOn w:val="Normal"/>
    <w:next w:val="Normal"/>
    <w:rsid w:val="00BF6631"/>
    <w:pPr>
      <w:suppressAutoHyphens w:val="0"/>
      <w:spacing w:after="0"/>
    </w:pPr>
    <w:rPr>
      <w:rFonts w:ascii="Segoe UI" w:eastAsia="Times New Roman" w:hAnsi="Segoe UI" w:cs="Times New Roman"/>
      <w:b/>
      <w:bCs/>
      <w:color w:val="FFFFFF" w:themeColor="background1"/>
      <w:sz w:val="21"/>
      <w:szCs w:val="20"/>
    </w:rPr>
  </w:style>
  <w:style w:type="paragraph" w:styleId="ListParagraph">
    <w:name w:val="List Paragraph"/>
    <w:basedOn w:val="Normal"/>
    <w:uiPriority w:val="99"/>
    <w:unhideWhenUsed/>
    <w:qFormat/>
    <w:rsid w:val="00BF6631"/>
    <w:pPr>
      <w:ind w:left="720"/>
      <w:contextualSpacing/>
    </w:pPr>
    <w:rPr>
      <w:kern w:val="12"/>
      <w:sz w:val="20"/>
      <w:szCs w:val="20"/>
    </w:rPr>
  </w:style>
  <w:style w:type="paragraph" w:customStyle="1" w:styleId="Tablefigureheading">
    <w:name w:val="Table/figure heading"/>
    <w:basedOn w:val="Normal"/>
    <w:next w:val="Normal"/>
    <w:qFormat/>
    <w:rsid w:val="00353213"/>
    <w:pPr>
      <w:keepNext/>
      <w:suppressAutoHyphens w:val="0"/>
      <w:spacing w:after="0"/>
    </w:pPr>
    <w:rPr>
      <w:rFonts w:ascii="Calibri" w:hAnsi="Calibri"/>
      <w:b/>
      <w:color w:val="002D72"/>
    </w:rPr>
  </w:style>
  <w:style w:type="paragraph" w:customStyle="1" w:styleId="Listparagraphbullets">
    <w:name w:val="List paragraph—bullets"/>
    <w:basedOn w:val="ListParagraph"/>
    <w:qFormat/>
    <w:rsid w:val="00DA29E7"/>
    <w:pPr>
      <w:numPr>
        <w:numId w:val="29"/>
      </w:numPr>
      <w:tabs>
        <w:tab w:val="left" w:pos="567"/>
      </w:tabs>
      <w:suppressAutoHyphens w:val="0"/>
      <w:ind w:left="567" w:hanging="567"/>
    </w:pPr>
    <w:rPr>
      <w:rFonts w:ascii="Calibri" w:hAnsi="Calibri"/>
      <w:color w:val="auto"/>
      <w:kern w:val="0"/>
      <w:sz w:val="22"/>
      <w:szCs w:val="22"/>
      <w:lang w:eastAsia="zh-TW"/>
    </w:rPr>
  </w:style>
  <w:style w:type="character" w:styleId="FollowedHyperlink">
    <w:name w:val="FollowedHyperlink"/>
    <w:basedOn w:val="DefaultParagraphFont"/>
    <w:uiPriority w:val="99"/>
    <w:semiHidden/>
    <w:unhideWhenUsed/>
    <w:rsid w:val="00B83402"/>
    <w:rPr>
      <w:color w:val="0046FF" w:themeColor="followedHyperlink"/>
      <w:u w:val="single"/>
    </w:rPr>
  </w:style>
  <w:style w:type="character" w:styleId="UnresolvedMention">
    <w:name w:val="Unresolved Mention"/>
    <w:basedOn w:val="DefaultParagraphFont"/>
    <w:uiPriority w:val="99"/>
    <w:semiHidden/>
    <w:unhideWhenUsed/>
    <w:rsid w:val="00097B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2643">
      <w:bodyDiv w:val="1"/>
      <w:marLeft w:val="0"/>
      <w:marRight w:val="0"/>
      <w:marTop w:val="0"/>
      <w:marBottom w:val="0"/>
      <w:divBdr>
        <w:top w:val="none" w:sz="0" w:space="0" w:color="auto"/>
        <w:left w:val="none" w:sz="0" w:space="0" w:color="auto"/>
        <w:bottom w:val="none" w:sz="0" w:space="0" w:color="auto"/>
        <w:right w:val="none" w:sz="0" w:space="0" w:color="auto"/>
      </w:divBdr>
    </w:div>
    <w:div w:id="844051944">
      <w:bodyDiv w:val="1"/>
      <w:marLeft w:val="0"/>
      <w:marRight w:val="0"/>
      <w:marTop w:val="0"/>
      <w:marBottom w:val="0"/>
      <w:divBdr>
        <w:top w:val="none" w:sz="0" w:space="0" w:color="auto"/>
        <w:left w:val="none" w:sz="0" w:space="0" w:color="auto"/>
        <w:bottom w:val="none" w:sz="0" w:space="0" w:color="auto"/>
        <w:right w:val="none" w:sz="0" w:space="0" w:color="auto"/>
      </w:divBdr>
    </w:div>
    <w:div w:id="1370103902">
      <w:bodyDiv w:val="1"/>
      <w:marLeft w:val="0"/>
      <w:marRight w:val="0"/>
      <w:marTop w:val="0"/>
      <w:marBottom w:val="0"/>
      <w:divBdr>
        <w:top w:val="none" w:sz="0" w:space="0" w:color="auto"/>
        <w:left w:val="none" w:sz="0" w:space="0" w:color="auto"/>
        <w:bottom w:val="none" w:sz="0" w:space="0" w:color="auto"/>
        <w:right w:val="none" w:sz="0" w:space="0" w:color="auto"/>
      </w:divBdr>
    </w:div>
    <w:div w:id="197960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infrastructure.gov.au/sites/default/files/cultural_and_creative_activity_in_australia_2008-09_to_2016-17-2.pdf" TargetMode="External"/><Relationship Id="rId26" Type="http://schemas.openxmlformats.org/officeDocument/2006/relationships/hyperlink" Target="http://www.abs.gov.au/AUSSTATS/abs@.nsf/DetailsPage/5271.02008-09?OpenDocument" TargetMode="External"/><Relationship Id="rId3" Type="http://schemas.openxmlformats.org/officeDocument/2006/relationships/customXml" Target="../customXml/item3.xml"/><Relationship Id="rId21" Type="http://schemas.openxmlformats.org/officeDocument/2006/relationships/hyperlink" Target="http://www.abs.gov.au/AUSSTATS/abs@.nsf/DetailsPage/5271.02008-09?OpenDocument"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hyperlink" Target="http://www.abs.gov.au/ausstats/abs@.nsf/mf/5209.0.55.001"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infrastructure.gov.au/department/media/publications/visual-summary-cultural-and-creative-activity-australia-2009-10-2018-19" TargetMode="External"/><Relationship Id="rId29" Type="http://schemas.openxmlformats.org/officeDocument/2006/relationships/hyperlink" Target="https://www.abs.gov.au/statistics/economy/national-accounts/australian-national-accounts-input-output-tables/latest-releas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bs.gov.au/statistics/economy/national-accounts/australian-system-national-accounts/latest-release"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abs.gov.au/AUSSTATS/abs@.nsf/DetailsPage/5271.02008-09?OpenDocument" TargetMode="External"/><Relationship Id="rId28" Type="http://schemas.openxmlformats.org/officeDocument/2006/relationships/hyperlink" Target="https://www.abs.gov.au/statistics/economy/national-accounts/australian-system-national-accounts/latest-release" TargetMode="External"/><Relationship Id="rId10" Type="http://schemas.openxmlformats.org/officeDocument/2006/relationships/footnotes" Target="footnotes.xml"/><Relationship Id="rId19" Type="http://schemas.openxmlformats.org/officeDocument/2006/relationships/hyperlink" Target="https://www.infrastructure.gov.au/department/media/publications/cultural-and-creative-activity-australia-2008-09-2017-18-visual-summary"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arts.gov.au/documents/measuring-economic-value-cultural-and-creative-industries-statistics-working-group-meeting-cultural" TargetMode="External"/><Relationship Id="rId27" Type="http://schemas.openxmlformats.org/officeDocument/2006/relationships/hyperlink" Target="https://www.infrastructure.gov.au/sites/default/files/cultural_and_creative_activity_in_australia_2008-09_to_2016-17-2.pdf" TargetMode="External"/><Relationship Id="rId30" Type="http://schemas.openxmlformats.org/officeDocument/2006/relationships/hyperlink" Target="https://www.abs.gov.au/articles/improved-estimates-annual-national-accounts-results-2021-historical-revis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abs.gov.au/media-centre/media-releases/retail-turnover-rises-169-cent-may" TargetMode="External"/><Relationship Id="rId2" Type="http://schemas.openxmlformats.org/officeDocument/2006/relationships/hyperlink" Target="https://www1.health.gov.au/internet/main/publishing.nsf/Content/novel_coronavirus_2019_ncov_weekly_epidemiology_reports_australia_2020.htm" TargetMode="External"/><Relationship Id="rId1" Type="http://schemas.openxmlformats.org/officeDocument/2006/relationships/hyperlink" Target="https://www.health.gov.au/news/australian-health-protection-principal-committee-ahppc-coronavirus-covid-19-statement-on-22-march-2020-0" TargetMode="External"/><Relationship Id="rId4" Type="http://schemas.openxmlformats.org/officeDocument/2006/relationships/hyperlink" Target="https://www.abs.gov.au/media-centre/media-releases/retail-turnover-rises-27-cent-june" TargetMode="External"/></Relationship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2022-10-03T00:00:00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4445DB9DB87B45AE63FDC2E3BA3BB1" ma:contentTypeVersion="0" ma:contentTypeDescription="Create a new document." ma:contentTypeScope="" ma:versionID="5a05b88e2a1aaddd07c5f7438a54f71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2D86CC-F39A-4350-81E6-0F13CC13C27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2DCBB55-EA5C-42A3-848E-1BD8E6621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8224D78-AB61-49A6-9440-085D9D67F046}">
  <ds:schemaRefs>
    <ds:schemaRef ds:uri="http://schemas.microsoft.com/sharepoint/v3/contenttype/forms"/>
  </ds:schemaRefs>
</ds:datastoreItem>
</file>

<file path=customXml/itemProps5.xml><?xml version="1.0" encoding="utf-8"?>
<ds:datastoreItem xmlns:ds="http://schemas.openxmlformats.org/officeDocument/2006/customXml" ds:itemID="{DB5078EE-DD38-47F3-AE89-69377E886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2017</Words>
  <Characters>11786</Characters>
  <Application>Microsoft Office Word</Application>
  <DocSecurity>0</DocSecurity>
  <Lines>491</Lines>
  <Paragraphs>363</Paragraphs>
  <ScaleCrop>false</ScaleCrop>
  <HeadingPairs>
    <vt:vector size="2" baseType="variant">
      <vt:variant>
        <vt:lpstr>Title</vt:lpstr>
      </vt:variant>
      <vt:variant>
        <vt:i4>1</vt:i4>
      </vt:variant>
    </vt:vector>
  </HeadingPairs>
  <TitlesOfParts>
    <vt:vector size="1" baseType="lpstr">
      <vt:lpstr>FAQ: Cultural and Creative Activity in Australia 2010–11 to 2019–2020—overview</vt:lpstr>
    </vt:vector>
  </TitlesOfParts>
  <Company>Department of Infrastructure, Transport, Regional Development, Communications and the Arts</Company>
  <LinksUpToDate>false</LinksUpToDate>
  <CharactersWithSpaces>13440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 Cultural and Creative Activity in Australia, 2010–11 to 2019–2020</dc:title>
  <dc:subject/>
  <dc:creator>Department of Infrastructure, Transport, Regional Development, Communications and the Arts</dc:creator>
  <cp:keywords/>
  <dc:description/>
  <cp:lastModifiedBy>HALL Theresa</cp:lastModifiedBy>
  <cp:revision>5</cp:revision>
  <dcterms:created xsi:type="dcterms:W3CDTF">2022-10-17T03:21:00Z</dcterms:created>
  <dcterms:modified xsi:type="dcterms:W3CDTF">2022-10-19T06:20:00Z</dcterms:modified>
  <cp:contentStatus>Security Marker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0x0101009F4445DB9DB87B45AE63FDC2E3BA3BB1</vt:lpwstr>
  </property>
  <property fmtid="{D5CDD505-2E9C-101B-9397-08002B2CF9AE}" pid="3" name="TrimRevisionNumber">
    <vt:i4>8</vt:i4>
  </property>
</Properties>
</file>