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Start w:id="2" w:name="_GoBack"/>
    <w:bookmarkEnd w:id="0"/>
    <w:p w14:paraId="1CE63FE1" w14:textId="3635EFD0" w:rsidR="00CD52D3" w:rsidRPr="00BE3AD8" w:rsidRDefault="00606832"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EndPr/>
        <w:sdtContent>
          <w:r w:rsidR="00977F3D">
            <w:rPr>
              <w:color w:val="205277"/>
              <w:szCs w:val="60"/>
            </w:rPr>
            <w:t>Supporting regional aviation</w:t>
          </w:r>
        </w:sdtContent>
      </w:sdt>
    </w:p>
    <w:p w14:paraId="5B7310E2" w14:textId="77777777" w:rsidR="0091256A" w:rsidRDefault="0091256A" w:rsidP="0091256A">
      <w:pPr>
        <w:pStyle w:val="Quote"/>
      </w:pPr>
      <w:bookmarkStart w:id="3" w:name="_Toc49855348"/>
      <w:bookmarkEnd w:id="2"/>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71C57C22" w14:textId="77777777" w:rsidR="00D2335F" w:rsidRDefault="00D2335F" w:rsidP="00D2335F">
      <w:pPr>
        <w:rPr>
          <w:lang w:val="x-none"/>
        </w:rPr>
        <w:sectPr w:rsidR="00D2335F" w:rsidSect="002D233D">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340" w:footer="397" w:gutter="0"/>
          <w:cols w:space="708"/>
          <w:titlePg/>
          <w:docGrid w:linePitch="360"/>
        </w:sectPr>
      </w:pPr>
      <w:bookmarkStart w:id="5" w:name="_Hlk159929407"/>
      <w:bookmarkStart w:id="6" w:name="_Hlk159929398"/>
      <w:bookmarkEnd w:id="3"/>
    </w:p>
    <w:p w14:paraId="5868601C" w14:textId="77777777" w:rsidR="00977F3D" w:rsidRDefault="00977F3D" w:rsidP="00D2335F">
      <w:pPr>
        <w:tabs>
          <w:tab w:val="left" w:pos="1276"/>
        </w:tabs>
        <w:ind w:left="1276" w:hanging="1276"/>
        <w:rPr>
          <w:noProof/>
          <w:lang w:eastAsia="en-AU"/>
        </w:rPr>
      </w:pPr>
    </w:p>
    <w:p w14:paraId="40381651" w14:textId="13344C86" w:rsidR="00D2335F" w:rsidRPr="00D659E9" w:rsidRDefault="00D2335F" w:rsidP="00D2335F">
      <w:pPr>
        <w:tabs>
          <w:tab w:val="left" w:pos="1276"/>
        </w:tabs>
        <w:ind w:left="1276" w:hanging="1276"/>
      </w:pPr>
      <w:r w:rsidRPr="00200303">
        <w:rPr>
          <w:noProof/>
          <w:lang w:eastAsia="en-AU"/>
        </w:rPr>
        <w:drawing>
          <wp:inline distT="0" distB="0" distL="0" distR="0" wp14:anchorId="67879747" wp14:editId="04300CD5">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50C59701" w14:textId="77777777" w:rsidR="00977F3D" w:rsidRDefault="00D2335F" w:rsidP="00977F3D">
      <w:pPr>
        <w:ind w:left="142"/>
      </w:pPr>
      <w:r>
        <w:br w:type="column"/>
      </w:r>
      <w:bookmarkEnd w:id="5"/>
    </w:p>
    <w:p w14:paraId="7B148AE1" w14:textId="4647EFC1" w:rsidR="00977F3D" w:rsidRDefault="00977F3D" w:rsidP="00977F3D">
      <w:pPr>
        <w:ind w:left="142"/>
      </w:pPr>
      <w:r>
        <w:t>We recognise</w:t>
      </w:r>
      <w:r w:rsidRPr="00C22C5B">
        <w:t xml:space="preserve"> the critical role </w:t>
      </w:r>
      <w:r>
        <w:t xml:space="preserve">of </w:t>
      </w:r>
      <w:r w:rsidRPr="00C22C5B">
        <w:t xml:space="preserve">aviation </w:t>
      </w:r>
      <w:r>
        <w:t xml:space="preserve">for </w:t>
      </w:r>
      <w:r w:rsidRPr="00C22C5B">
        <w:t xml:space="preserve">regional </w:t>
      </w:r>
      <w:r>
        <w:t xml:space="preserve">and remote </w:t>
      </w:r>
      <w:r w:rsidRPr="00C22C5B">
        <w:t>communities</w:t>
      </w:r>
      <w:r>
        <w:t xml:space="preserve"> in </w:t>
      </w:r>
      <w:r w:rsidRPr="00C22C5B">
        <w:t>support</w:t>
      </w:r>
      <w:r>
        <w:t>ing</w:t>
      </w:r>
      <w:r w:rsidRPr="00C22C5B">
        <w:t xml:space="preserve"> </w:t>
      </w:r>
      <w:r>
        <w:t>essential</w:t>
      </w:r>
      <w:r w:rsidRPr="00C22C5B">
        <w:t xml:space="preserve"> services such as healthcare, education and freight. Improving connectivity </w:t>
      </w:r>
      <w:r>
        <w:t xml:space="preserve">between regional and remote communities and </w:t>
      </w:r>
      <w:r w:rsidRPr="00C22C5B">
        <w:t xml:space="preserve">larger centres will </w:t>
      </w:r>
      <w:r>
        <w:t>help promote the</w:t>
      </w:r>
      <w:r w:rsidRPr="00C22C5B">
        <w:t xml:space="preserve"> growth and prosperity of </w:t>
      </w:r>
      <w:r>
        <w:t xml:space="preserve">Australia’s </w:t>
      </w:r>
      <w:r w:rsidRPr="00C22C5B">
        <w:t>region</w:t>
      </w:r>
      <w:r>
        <w:t>s</w:t>
      </w:r>
      <w:r w:rsidRPr="00C22C5B">
        <w:t xml:space="preserve"> to 2050</w:t>
      </w:r>
      <w:r w:rsidRPr="000D1B51">
        <w:t xml:space="preserve">. </w:t>
      </w:r>
    </w:p>
    <w:p w14:paraId="5E20C8EE" w14:textId="77777777" w:rsidR="00977F3D" w:rsidRDefault="00977F3D" w:rsidP="00977F3D">
      <w:pPr>
        <w:ind w:left="142"/>
      </w:pPr>
      <w:r w:rsidRPr="000D1B51">
        <w:t xml:space="preserve">Through the Aviation White Paper, we are </w:t>
      </w:r>
      <w:r>
        <w:t>strengthening</w:t>
      </w:r>
      <w:r w:rsidRPr="000D1B51">
        <w:t xml:space="preserve"> regional </w:t>
      </w:r>
      <w:r>
        <w:t xml:space="preserve">and remote </w:t>
      </w:r>
      <w:r w:rsidRPr="000D1B51">
        <w:t xml:space="preserve">aviation through a </w:t>
      </w:r>
      <w:r>
        <w:t>range</w:t>
      </w:r>
      <w:r w:rsidRPr="000D1B51">
        <w:t xml:space="preserve"> of initiatives. </w:t>
      </w:r>
    </w:p>
    <w:p w14:paraId="617F114A" w14:textId="2ED4025C" w:rsidR="00975331" w:rsidRPr="00977F3D" w:rsidRDefault="00977F3D" w:rsidP="00977F3D">
      <w:pPr>
        <w:ind w:left="142"/>
      </w:pPr>
      <w:r>
        <w:t>The Government will continue to act to protect regional aviation through our ongoing response to the voluntary administration at Regional Express (Rex).</w:t>
      </w:r>
      <w:r w:rsidR="00975331" w:rsidRPr="00977F3D">
        <w:rPr>
          <w:rFonts w:cstheme="minorHAnsi"/>
        </w:rPr>
        <w:t xml:space="preserve"> </w:t>
      </w:r>
    </w:p>
    <w:p w14:paraId="23C79FAD" w14:textId="6D18AB16" w:rsidR="002D2DD8" w:rsidRPr="00975331" w:rsidRDefault="002D2DD8" w:rsidP="00975331">
      <w:pPr>
        <w:pStyle w:val="ListParagraph"/>
        <w:suppressAutoHyphens w:val="0"/>
        <w:spacing w:before="120" w:after="120" w:line="259" w:lineRule="auto"/>
        <w:ind w:left="567"/>
        <w:contextualSpacing w:val="0"/>
        <w:rPr>
          <w:rFonts w:cstheme="minorHAnsi"/>
        </w:rPr>
        <w:sectPr w:rsidR="002D2DD8" w:rsidRPr="00975331"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1"/>
    <w:bookmarkEnd w:id="6"/>
    <w:p w14:paraId="38214979" w14:textId="77777777" w:rsidR="00977F3D" w:rsidRPr="00977F3D" w:rsidRDefault="00977F3D" w:rsidP="00977F3D">
      <w:pPr>
        <w:pStyle w:val="Heading2"/>
        <w:spacing w:before="240" w:after="120"/>
      </w:pPr>
      <w:r w:rsidRPr="00977F3D">
        <w:t>Productivity Commission review into regional airfares</w:t>
      </w:r>
    </w:p>
    <w:p w14:paraId="3688D82A" w14:textId="77777777" w:rsidR="00977F3D" w:rsidRPr="002A1F27" w:rsidRDefault="00977F3D" w:rsidP="00977F3D">
      <w:pPr>
        <w:rPr>
          <w:b/>
        </w:rPr>
      </w:pPr>
      <w:bookmarkStart w:id="7" w:name="_Toc134516812"/>
      <w:bookmarkStart w:id="8" w:name="_Toc134613228"/>
      <w:bookmarkStart w:id="9" w:name="_Toc134608834"/>
      <w:bookmarkStart w:id="10" w:name="_Toc134726984"/>
      <w:bookmarkStart w:id="11" w:name="_Toc134516813"/>
      <w:bookmarkStart w:id="12" w:name="_Toc134613229"/>
      <w:bookmarkStart w:id="13" w:name="_Toc134608835"/>
      <w:bookmarkStart w:id="14" w:name="_Toc134726985"/>
      <w:bookmarkStart w:id="15" w:name="_Toc133826034"/>
      <w:bookmarkStart w:id="16" w:name="_Toc133860333"/>
      <w:bookmarkStart w:id="17" w:name="_Toc133862105"/>
      <w:bookmarkStart w:id="18" w:name="_Toc133909912"/>
      <w:bookmarkStart w:id="19" w:name="_Toc136943489"/>
      <w:bookmarkStart w:id="20" w:name="_Toc136954640"/>
      <w:bookmarkStart w:id="21" w:name="_Toc136954909"/>
      <w:bookmarkStart w:id="22" w:name="_Toc136957553"/>
      <w:bookmarkStart w:id="23" w:name="_Toc136959056"/>
      <w:bookmarkStart w:id="24" w:name="_Toc136005898"/>
      <w:bookmarkStart w:id="25" w:name="_Toc136006060"/>
      <w:bookmarkStart w:id="26" w:name="_Toc136007614"/>
      <w:bookmarkStart w:id="27" w:name="_Toc136009512"/>
      <w:bookmarkStart w:id="28" w:name="_Toc136010036"/>
      <w:bookmarkStart w:id="29" w:name="_Toc134449164"/>
      <w:bookmarkStart w:id="30" w:name="_Toc134445399"/>
      <w:bookmarkStart w:id="31" w:name="_Toc134516802"/>
      <w:bookmarkStart w:id="32" w:name="_Toc134613218"/>
      <w:bookmarkStart w:id="33" w:name="_Toc134608824"/>
      <w:bookmarkStart w:id="34" w:name="_Toc134726975"/>
      <w:bookmarkStart w:id="35" w:name="_Toc134261466"/>
      <w:bookmarkStart w:id="36" w:name="_Toc134261651"/>
      <w:bookmarkStart w:id="37" w:name="_Toc134308102"/>
      <w:bookmarkStart w:id="38" w:name="_Toc134308226"/>
      <w:bookmarkStart w:id="39" w:name="_Toc134449165"/>
      <w:bookmarkStart w:id="40" w:name="_Toc134445400"/>
      <w:bookmarkStart w:id="41" w:name="_Toc134516803"/>
      <w:bookmarkStart w:id="42" w:name="_Toc134613219"/>
      <w:bookmarkStart w:id="43" w:name="_Toc134608825"/>
      <w:bookmarkStart w:id="44" w:name="_Toc134726976"/>
      <w:bookmarkStart w:id="45" w:name="_Toc134261467"/>
      <w:bookmarkStart w:id="46" w:name="_Toc134261652"/>
      <w:bookmarkStart w:id="47" w:name="_Toc134308103"/>
      <w:bookmarkStart w:id="48" w:name="_Toc134308227"/>
      <w:bookmarkStart w:id="49" w:name="_Toc134449166"/>
      <w:bookmarkStart w:id="50" w:name="_Toc134445401"/>
      <w:bookmarkStart w:id="51" w:name="_Toc134516804"/>
      <w:bookmarkStart w:id="52" w:name="_Toc134613220"/>
      <w:bookmarkStart w:id="53" w:name="_Toc134608826"/>
      <w:bookmarkStart w:id="54" w:name="_Toc134726977"/>
      <w:bookmarkStart w:id="55" w:name="_Toc134261468"/>
      <w:bookmarkStart w:id="56" w:name="_Toc134261653"/>
      <w:bookmarkStart w:id="57" w:name="_Toc134308104"/>
      <w:bookmarkStart w:id="58" w:name="_Toc134308228"/>
      <w:bookmarkStart w:id="59" w:name="_Toc134449167"/>
      <w:bookmarkStart w:id="60" w:name="_Toc134445402"/>
      <w:bookmarkStart w:id="61" w:name="_Toc134516805"/>
      <w:bookmarkStart w:id="62" w:name="_Toc134613221"/>
      <w:bookmarkStart w:id="63" w:name="_Toc134608827"/>
      <w:bookmarkStart w:id="64" w:name="_Toc134726978"/>
      <w:bookmarkStart w:id="65" w:name="_Toc134261469"/>
      <w:bookmarkStart w:id="66" w:name="_Toc134261654"/>
      <w:bookmarkStart w:id="67" w:name="_Toc134308105"/>
      <w:bookmarkStart w:id="68" w:name="_Toc134308229"/>
      <w:bookmarkStart w:id="69" w:name="_Toc134449168"/>
      <w:bookmarkStart w:id="70" w:name="_Toc134445403"/>
      <w:bookmarkStart w:id="71" w:name="_Toc134516806"/>
      <w:bookmarkStart w:id="72" w:name="_Toc134613222"/>
      <w:bookmarkStart w:id="73" w:name="_Toc134608828"/>
      <w:bookmarkStart w:id="74" w:name="_Toc134726979"/>
      <w:bookmarkStart w:id="75" w:name="_Toc134261470"/>
      <w:bookmarkStart w:id="76" w:name="_Toc134261655"/>
      <w:bookmarkStart w:id="77" w:name="_Toc134308106"/>
      <w:bookmarkStart w:id="78" w:name="_Toc134308230"/>
      <w:bookmarkStart w:id="79" w:name="_Toc134449169"/>
      <w:bookmarkStart w:id="80" w:name="_Toc134445404"/>
      <w:bookmarkStart w:id="81" w:name="_Toc134516807"/>
      <w:bookmarkStart w:id="82" w:name="_Toc134613223"/>
      <w:bookmarkStart w:id="83" w:name="_Toc134608829"/>
      <w:bookmarkStart w:id="84" w:name="_Toc134726980"/>
      <w:bookmarkStart w:id="85" w:name="_Toc134308232"/>
      <w:bookmarkStart w:id="86" w:name="_Toc134261495"/>
      <w:bookmarkStart w:id="87" w:name="_Toc134261680"/>
      <w:bookmarkStart w:id="88" w:name="_Toc134308113"/>
      <w:bookmarkStart w:id="89" w:name="_Toc134308239"/>
      <w:bookmarkStart w:id="90" w:name="_Toc134449176"/>
      <w:bookmarkStart w:id="91" w:name="_Toc134445411"/>
      <w:bookmarkStart w:id="92" w:name="_Toc134516868"/>
      <w:bookmarkStart w:id="93" w:name="_Toc134362786"/>
      <w:bookmarkStart w:id="94" w:name="_Toc134363496"/>
      <w:bookmarkStart w:id="95" w:name="_Toc134363895"/>
      <w:bookmarkStart w:id="96" w:name="_Toc134366242"/>
      <w:bookmarkStart w:id="97" w:name="_Toc134369243"/>
      <w:bookmarkStart w:id="98" w:name="_Toc134369783"/>
      <w:bookmarkStart w:id="99" w:name="_Toc134362791"/>
      <w:bookmarkStart w:id="100" w:name="_Toc134363501"/>
      <w:bookmarkStart w:id="101" w:name="_Toc134363900"/>
      <w:bookmarkStart w:id="102" w:name="_Toc134366247"/>
      <w:bookmarkStart w:id="103" w:name="_Toc134369248"/>
      <w:bookmarkStart w:id="104" w:name="_Toc134369788"/>
      <w:bookmarkStart w:id="105" w:name="_Toc134362792"/>
      <w:bookmarkStart w:id="106" w:name="_Toc134363502"/>
      <w:bookmarkStart w:id="107" w:name="_Toc134363901"/>
      <w:bookmarkStart w:id="108" w:name="_Toc134366248"/>
      <w:bookmarkStart w:id="109" w:name="_Toc134369249"/>
      <w:bookmarkStart w:id="110" w:name="_Toc134369789"/>
      <w:bookmarkStart w:id="111" w:name="_Toc134362793"/>
      <w:bookmarkStart w:id="112" w:name="_Toc134363503"/>
      <w:bookmarkStart w:id="113" w:name="_Toc134363902"/>
      <w:bookmarkStart w:id="114" w:name="_Toc134366249"/>
      <w:bookmarkStart w:id="115" w:name="_Toc134369250"/>
      <w:bookmarkStart w:id="116" w:name="_Toc134369790"/>
      <w:bookmarkStart w:id="117" w:name="_Toc134362821"/>
      <w:bookmarkStart w:id="118" w:name="_Toc134363531"/>
      <w:bookmarkStart w:id="119" w:name="_Toc134363930"/>
      <w:bookmarkStart w:id="120" w:name="_Toc134366277"/>
      <w:bookmarkStart w:id="121" w:name="_Toc134369278"/>
      <w:bookmarkStart w:id="122" w:name="_Toc134369818"/>
      <w:bookmarkStart w:id="123" w:name="_Toc134449179"/>
      <w:bookmarkStart w:id="124" w:name="_Toc134445414"/>
      <w:bookmarkStart w:id="125" w:name="_Toc134516871"/>
      <w:bookmarkStart w:id="126" w:name="_Toc134261513"/>
      <w:bookmarkStart w:id="127" w:name="_Toc134261698"/>
      <w:bookmarkStart w:id="128" w:name="_Toc134308131"/>
      <w:bookmarkStart w:id="129" w:name="_Toc134308257"/>
      <w:bookmarkStart w:id="130" w:name="_Toc134449197"/>
      <w:bookmarkStart w:id="131" w:name="_Toc134445432"/>
      <w:bookmarkStart w:id="132" w:name="_Toc134516884"/>
      <w:bookmarkStart w:id="133" w:name="_Toc134516888"/>
      <w:bookmarkStart w:id="134" w:name="_Toc134516889"/>
      <w:bookmarkStart w:id="135" w:name="_Toc134516897"/>
      <w:bookmarkStart w:id="136" w:name="_Toc134516898"/>
      <w:bookmarkStart w:id="137" w:name="_Toc134516899"/>
      <w:bookmarkStart w:id="138" w:name="_Toc134516900"/>
      <w:bookmarkStart w:id="139" w:name="_Toc134261521"/>
      <w:bookmarkStart w:id="140" w:name="_Toc134261706"/>
      <w:bookmarkStart w:id="141" w:name="_Toc134308139"/>
      <w:bookmarkStart w:id="142" w:name="_Toc134308265"/>
      <w:bookmarkStart w:id="143" w:name="_Toc134449205"/>
      <w:bookmarkStart w:id="144" w:name="_Toc134445440"/>
      <w:bookmarkStart w:id="145" w:name="_Toc134261522"/>
      <w:bookmarkStart w:id="146" w:name="_Toc134261707"/>
      <w:bookmarkStart w:id="147" w:name="_Toc134308140"/>
      <w:bookmarkStart w:id="148" w:name="_Toc134308266"/>
      <w:bookmarkStart w:id="149" w:name="_Toc134449206"/>
      <w:bookmarkStart w:id="150" w:name="_Toc134445441"/>
      <w:bookmarkStart w:id="151" w:name="_Toc134261523"/>
      <w:bookmarkStart w:id="152" w:name="_Toc134261708"/>
      <w:bookmarkStart w:id="153" w:name="_Toc134308141"/>
      <w:bookmarkStart w:id="154" w:name="_Toc134308267"/>
      <w:bookmarkStart w:id="155" w:name="_Toc134449207"/>
      <w:bookmarkStart w:id="156" w:name="_Toc134445442"/>
      <w:bookmarkStart w:id="157" w:name="_Toc134261524"/>
      <w:bookmarkStart w:id="158" w:name="_Toc134261709"/>
      <w:bookmarkStart w:id="159" w:name="_Toc134308142"/>
      <w:bookmarkStart w:id="160" w:name="_Toc134308268"/>
      <w:bookmarkStart w:id="161" w:name="_Toc134449208"/>
      <w:bookmarkStart w:id="162" w:name="_Toc134445443"/>
      <w:bookmarkStart w:id="163" w:name="_Toc134007664"/>
      <w:bookmarkStart w:id="164" w:name="_Toc136943482"/>
      <w:bookmarkStart w:id="165" w:name="_Toc136954634"/>
      <w:bookmarkStart w:id="166" w:name="_Toc136954903"/>
      <w:bookmarkStart w:id="167" w:name="_Toc136957547"/>
      <w:bookmarkStart w:id="168" w:name="_Toc136959050"/>
      <w:bookmarkStart w:id="169" w:name="_Toc134613282"/>
      <w:bookmarkStart w:id="170" w:name="_Toc134608888"/>
      <w:bookmarkStart w:id="171" w:name="_Toc134727037"/>
      <w:bookmarkStart w:id="172" w:name="_Toc134261534"/>
      <w:bookmarkStart w:id="173" w:name="_Toc134261719"/>
      <w:bookmarkStart w:id="174" w:name="_Toc134308144"/>
      <w:bookmarkStart w:id="175" w:name="_Toc134308270"/>
      <w:bookmarkStart w:id="176" w:name="_Toc134449210"/>
      <w:bookmarkStart w:id="177" w:name="_Toc134445445"/>
      <w:bookmarkStart w:id="178" w:name="_Toc134516902"/>
      <w:bookmarkStart w:id="179" w:name="_Toc135391555"/>
      <w:bookmarkStart w:id="180" w:name="_Toc134877769"/>
      <w:bookmarkStart w:id="181" w:name="_Toc134877770"/>
      <w:bookmarkStart w:id="182" w:name="_Toc134877775"/>
      <w:bookmarkStart w:id="183" w:name="_Toc134958566"/>
      <w:bookmarkStart w:id="184" w:name="_Toc134877788"/>
      <w:bookmarkStart w:id="185" w:name="_Toc134877790"/>
      <w:bookmarkStart w:id="186" w:name="_Toc134877791"/>
      <w:bookmarkStart w:id="187" w:name="_Toc134877792"/>
      <w:bookmarkStart w:id="188" w:name="_Toc134877793"/>
      <w:bookmarkStart w:id="189" w:name="_Toc134877794"/>
      <w:bookmarkStart w:id="190" w:name="_Toc134877795"/>
      <w:bookmarkStart w:id="191" w:name="_Toc134877796"/>
      <w:bookmarkStart w:id="192" w:name="_Toc134877797"/>
      <w:bookmarkStart w:id="193" w:name="_Toc134877798"/>
      <w:bookmarkStart w:id="194" w:name="_Toc134877799"/>
      <w:bookmarkStart w:id="195" w:name="_Toc134877804"/>
      <w:bookmarkStart w:id="196" w:name="_Toc134877806"/>
      <w:bookmarkStart w:id="197" w:name="_Toc134877807"/>
      <w:bookmarkStart w:id="198" w:name="_Toc134877809"/>
      <w:bookmarkStart w:id="199" w:name="_Toc134877810"/>
      <w:bookmarkStart w:id="200" w:name="_Toc134877811"/>
      <w:bookmarkStart w:id="201" w:name="_Toc134877812"/>
      <w:bookmarkStart w:id="202" w:name="_Toc134877818"/>
      <w:bookmarkStart w:id="203" w:name="_Toc134877819"/>
      <w:bookmarkStart w:id="204" w:name="_Toc134877820"/>
      <w:bookmarkStart w:id="205" w:name="_Toc134877821"/>
      <w:bookmarkStart w:id="206" w:name="_Toc134877822"/>
      <w:bookmarkStart w:id="207" w:name="_Toc134877823"/>
      <w:bookmarkStart w:id="208" w:name="_Toc134877824"/>
      <w:bookmarkStart w:id="209" w:name="_Toc134877825"/>
      <w:bookmarkStart w:id="210" w:name="_Toc134261590"/>
      <w:bookmarkStart w:id="211" w:name="_Toc134261773"/>
      <w:bookmarkStart w:id="212" w:name="_Toc134261591"/>
      <w:bookmarkStart w:id="213" w:name="_Toc134261774"/>
      <w:bookmarkStart w:id="214" w:name="_Toc134261592"/>
      <w:bookmarkStart w:id="215" w:name="_Toc134261775"/>
      <w:bookmarkStart w:id="216" w:name="_Toc134261593"/>
      <w:bookmarkStart w:id="217" w:name="_Toc134261776"/>
      <w:bookmarkStart w:id="218" w:name="_Toc134261594"/>
      <w:bookmarkStart w:id="219" w:name="_Toc134261777"/>
      <w:bookmarkStart w:id="220" w:name="_Toc134261595"/>
      <w:bookmarkStart w:id="221" w:name="_Toc134261778"/>
      <w:bookmarkStart w:id="222" w:name="_Toc134261596"/>
      <w:bookmarkStart w:id="223" w:name="_Toc134261779"/>
      <w:bookmarkStart w:id="224" w:name="_Toc134261597"/>
      <w:bookmarkStart w:id="225" w:name="_Toc134261780"/>
      <w:bookmarkStart w:id="226" w:name="_Toc134261598"/>
      <w:bookmarkStart w:id="227" w:name="_Toc134261781"/>
      <w:bookmarkStart w:id="228" w:name="_Toc134261599"/>
      <w:bookmarkStart w:id="229" w:name="_Toc134261782"/>
      <w:bookmarkStart w:id="230" w:name="_Toc134261600"/>
      <w:bookmarkStart w:id="231" w:name="_Toc134261783"/>
      <w:bookmarkStart w:id="232" w:name="_Toc134261601"/>
      <w:bookmarkStart w:id="233" w:name="_Toc134261784"/>
      <w:bookmarkStart w:id="234" w:name="_Toc134261602"/>
      <w:bookmarkStart w:id="235" w:name="_Toc134261785"/>
      <w:bookmarkStart w:id="236" w:name="_Toc134261603"/>
      <w:bookmarkStart w:id="237" w:name="_Toc134261786"/>
      <w:bookmarkStart w:id="238" w:name="_Toc134261604"/>
      <w:bookmarkStart w:id="239" w:name="_Toc134261787"/>
      <w:bookmarkStart w:id="240" w:name="_Toc134261605"/>
      <w:bookmarkStart w:id="241" w:name="_Toc134261788"/>
      <w:bookmarkStart w:id="242" w:name="_Toc134261606"/>
      <w:bookmarkStart w:id="243" w:name="_Toc134261789"/>
      <w:bookmarkStart w:id="244" w:name="_Toc134261607"/>
      <w:bookmarkStart w:id="245" w:name="_Toc134261790"/>
      <w:bookmarkStart w:id="246" w:name="_Toc134261608"/>
      <w:bookmarkStart w:id="247" w:name="_Toc134261791"/>
      <w:bookmarkStart w:id="248" w:name="_Toc134261609"/>
      <w:bookmarkStart w:id="249" w:name="_Toc134261792"/>
      <w:bookmarkStart w:id="250" w:name="_Toc134261610"/>
      <w:bookmarkStart w:id="251" w:name="_Toc134261793"/>
      <w:bookmarkStart w:id="252" w:name="_Toc134261611"/>
      <w:bookmarkStart w:id="253" w:name="_Toc134261794"/>
      <w:bookmarkStart w:id="254" w:name="_Toc134261612"/>
      <w:bookmarkStart w:id="255" w:name="_Toc134261795"/>
      <w:bookmarkStart w:id="256" w:name="_Toc134261613"/>
      <w:bookmarkStart w:id="257" w:name="_Toc134261796"/>
      <w:bookmarkStart w:id="258" w:name="_Toc134261614"/>
      <w:bookmarkStart w:id="259" w:name="_Toc134261797"/>
      <w:bookmarkStart w:id="260" w:name="_Toc134261615"/>
      <w:bookmarkStart w:id="261" w:name="_Toc134261798"/>
      <w:bookmarkStart w:id="262" w:name="_Toc134261616"/>
      <w:bookmarkStart w:id="263" w:name="_Toc134261799"/>
      <w:bookmarkStart w:id="264" w:name="_Toc134261617"/>
      <w:bookmarkStart w:id="265" w:name="_Toc134261800"/>
      <w:bookmarkStart w:id="266" w:name="_Toc134261618"/>
      <w:bookmarkStart w:id="267" w:name="_Toc134261801"/>
      <w:bookmarkStart w:id="268" w:name="_Toc134261619"/>
      <w:bookmarkStart w:id="269" w:name="_Toc134261802"/>
      <w:bookmarkStart w:id="270" w:name="_Toc134958748"/>
      <w:bookmarkStart w:id="271" w:name="_Toc134958749"/>
      <w:bookmarkStart w:id="272" w:name="_Toc136979112"/>
      <w:bookmarkStart w:id="273" w:name="_Toc134370153"/>
      <w:bookmarkStart w:id="274" w:name="_Toc134370154"/>
      <w:bookmarkStart w:id="275" w:name="_Toc133826044"/>
      <w:bookmarkStart w:id="276" w:name="_Toc133860361"/>
      <w:bookmarkStart w:id="277" w:name="_Toc133862129"/>
      <w:bookmarkStart w:id="278" w:name="_Toc133909947"/>
      <w:bookmarkStart w:id="279" w:name="_Toc134877779"/>
      <w:bookmarkStart w:id="280" w:name="_Toc134877780"/>
      <w:bookmarkStart w:id="281" w:name="_Toc134449222"/>
      <w:bookmarkStart w:id="282" w:name="_Toc134445457"/>
      <w:bookmarkStart w:id="283" w:name="_Toc134516914"/>
      <w:bookmarkStart w:id="284" w:name="_Toc134261564"/>
      <w:bookmarkStart w:id="285" w:name="_Toc134261749"/>
      <w:bookmarkStart w:id="286" w:name="_Toc134308156"/>
      <w:bookmarkStart w:id="287" w:name="_Toc134308282"/>
      <w:bookmarkStart w:id="288" w:name="_Toc134449223"/>
      <w:bookmarkStart w:id="289" w:name="_Toc134445458"/>
      <w:bookmarkStart w:id="290" w:name="_Toc134516915"/>
      <w:bookmarkStart w:id="291" w:name="_Toc134613294"/>
      <w:bookmarkStart w:id="292" w:name="_Toc134608900"/>
      <w:bookmarkStart w:id="293" w:name="_Toc134727044"/>
      <w:bookmarkStart w:id="294" w:name="_Toc134261565"/>
      <w:bookmarkStart w:id="295" w:name="_Toc134261750"/>
      <w:bookmarkStart w:id="296" w:name="_Toc134308157"/>
      <w:bookmarkStart w:id="297" w:name="_Toc134308283"/>
      <w:bookmarkStart w:id="298" w:name="_Toc134449224"/>
      <w:bookmarkStart w:id="299" w:name="_Toc134445459"/>
      <w:bookmarkStart w:id="300" w:name="_Toc134516916"/>
      <w:bookmarkStart w:id="301" w:name="_Toc134613295"/>
      <w:bookmarkStart w:id="302" w:name="_Toc134608901"/>
      <w:bookmarkStart w:id="303" w:name="_Toc134727045"/>
      <w:bookmarkStart w:id="304" w:name="_Toc134261566"/>
      <w:bookmarkStart w:id="305" w:name="_Toc134261751"/>
      <w:bookmarkStart w:id="306" w:name="_Toc134308158"/>
      <w:bookmarkStart w:id="307" w:name="_Toc134308284"/>
      <w:bookmarkStart w:id="308" w:name="_Toc134449225"/>
      <w:bookmarkStart w:id="309" w:name="_Toc134445460"/>
      <w:bookmarkStart w:id="310" w:name="_Toc134516917"/>
      <w:bookmarkStart w:id="311" w:name="_Toc134613296"/>
      <w:bookmarkStart w:id="312" w:name="_Toc134608902"/>
      <w:bookmarkStart w:id="313" w:name="_Toc134727046"/>
      <w:bookmarkStart w:id="314" w:name="_Toc134261568"/>
      <w:bookmarkStart w:id="315" w:name="_Toc134261753"/>
      <w:bookmarkStart w:id="316" w:name="_Toc134308160"/>
      <w:bookmarkStart w:id="317" w:name="_Toc134308286"/>
      <w:bookmarkStart w:id="318" w:name="_Toc134449227"/>
      <w:bookmarkStart w:id="319" w:name="_Toc134445462"/>
      <w:bookmarkStart w:id="320" w:name="_Toc134516919"/>
      <w:bookmarkStart w:id="321" w:name="_Toc134613298"/>
      <w:bookmarkStart w:id="322" w:name="_Toc134608904"/>
      <w:bookmarkStart w:id="323" w:name="_Toc134727048"/>
      <w:bookmarkStart w:id="324" w:name="_Toc134261569"/>
      <w:bookmarkStart w:id="325" w:name="_Toc134261754"/>
      <w:bookmarkStart w:id="326" w:name="_Toc134308161"/>
      <w:bookmarkStart w:id="327" w:name="_Toc134308287"/>
      <w:bookmarkStart w:id="328" w:name="_Toc134449228"/>
      <w:bookmarkStart w:id="329" w:name="_Toc134445463"/>
      <w:bookmarkStart w:id="330" w:name="_Toc134516920"/>
      <w:bookmarkStart w:id="331" w:name="_Toc134613299"/>
      <w:bookmarkStart w:id="332" w:name="_Toc134608905"/>
      <w:bookmarkStart w:id="333" w:name="_Toc134727049"/>
      <w:bookmarkStart w:id="334" w:name="_Toc134261570"/>
      <w:bookmarkStart w:id="335" w:name="_Toc134261755"/>
      <w:bookmarkStart w:id="336" w:name="_Toc134308162"/>
      <w:bookmarkStart w:id="337" w:name="_Toc134308288"/>
      <w:bookmarkStart w:id="338" w:name="_Toc134449229"/>
      <w:bookmarkStart w:id="339" w:name="_Toc134445464"/>
      <w:bookmarkStart w:id="340" w:name="_Toc134516921"/>
      <w:bookmarkStart w:id="341" w:name="_Toc134613300"/>
      <w:bookmarkStart w:id="342" w:name="_Toc134608906"/>
      <w:bookmarkStart w:id="343" w:name="_Toc134727050"/>
      <w:bookmarkStart w:id="344" w:name="_Toc134261571"/>
      <w:bookmarkStart w:id="345" w:name="_Toc134261756"/>
      <w:bookmarkStart w:id="346" w:name="_Toc134308163"/>
      <w:bookmarkStart w:id="347" w:name="_Toc134308289"/>
      <w:bookmarkStart w:id="348" w:name="_Toc134449230"/>
      <w:bookmarkStart w:id="349" w:name="_Toc134445465"/>
      <w:bookmarkStart w:id="350" w:name="_Toc134516922"/>
      <w:bookmarkStart w:id="351" w:name="_Toc134613301"/>
      <w:bookmarkStart w:id="352" w:name="_Toc134608907"/>
      <w:bookmarkStart w:id="353" w:name="_Toc134727051"/>
      <w:bookmarkStart w:id="354" w:name="_Toc134261572"/>
      <w:bookmarkStart w:id="355" w:name="_Toc134261757"/>
      <w:bookmarkStart w:id="356" w:name="_Toc134308164"/>
      <w:bookmarkStart w:id="357" w:name="_Toc134308290"/>
      <w:bookmarkStart w:id="358" w:name="_Toc134449231"/>
      <w:bookmarkStart w:id="359" w:name="_Toc134445466"/>
      <w:bookmarkStart w:id="360" w:name="_Toc134516923"/>
      <w:bookmarkStart w:id="361" w:name="_Toc134613302"/>
      <w:bookmarkStart w:id="362" w:name="_Toc134608908"/>
      <w:bookmarkStart w:id="363" w:name="_Toc134727052"/>
      <w:bookmarkStart w:id="364" w:name="_Toc134261573"/>
      <w:bookmarkStart w:id="365" w:name="_Toc134261758"/>
      <w:bookmarkStart w:id="366" w:name="_Toc134308165"/>
      <w:bookmarkStart w:id="367" w:name="_Toc134308291"/>
      <w:bookmarkStart w:id="368" w:name="_Toc134449232"/>
      <w:bookmarkStart w:id="369" w:name="_Toc134445467"/>
      <w:bookmarkStart w:id="370" w:name="_Toc134516924"/>
      <w:bookmarkStart w:id="371" w:name="_Toc134613303"/>
      <w:bookmarkStart w:id="372" w:name="_Toc134608909"/>
      <w:bookmarkStart w:id="373" w:name="_Toc134727053"/>
      <w:bookmarkStart w:id="374" w:name="_Toc134261574"/>
      <w:bookmarkStart w:id="375" w:name="_Toc134261759"/>
      <w:bookmarkStart w:id="376" w:name="_Toc134308166"/>
      <w:bookmarkStart w:id="377" w:name="_Toc134308292"/>
      <w:bookmarkStart w:id="378" w:name="_Toc134449233"/>
      <w:bookmarkStart w:id="379" w:name="_Toc134445468"/>
      <w:bookmarkStart w:id="380" w:name="_Toc134516925"/>
      <w:bookmarkStart w:id="381" w:name="_Toc134613304"/>
      <w:bookmarkStart w:id="382" w:name="_Toc134608910"/>
      <w:bookmarkStart w:id="383" w:name="_Toc134727054"/>
      <w:bookmarkStart w:id="384" w:name="_Toc134261575"/>
      <w:bookmarkStart w:id="385" w:name="_Toc134261760"/>
      <w:bookmarkStart w:id="386" w:name="_Toc134308167"/>
      <w:bookmarkStart w:id="387" w:name="_Toc134308293"/>
      <w:bookmarkStart w:id="388" w:name="_Toc134449234"/>
      <w:bookmarkStart w:id="389" w:name="_Toc134445469"/>
      <w:bookmarkStart w:id="390" w:name="_Toc134516926"/>
      <w:bookmarkStart w:id="391" w:name="_Toc134613305"/>
      <w:bookmarkStart w:id="392" w:name="_Toc134608911"/>
      <w:bookmarkStart w:id="393" w:name="_Toc134727055"/>
      <w:bookmarkStart w:id="394" w:name="_Toc134449237"/>
      <w:bookmarkStart w:id="395" w:name="_Toc134445472"/>
      <w:bookmarkStart w:id="396" w:name="_Toc134516929"/>
      <w:bookmarkStart w:id="397" w:name="_Toc134613308"/>
      <w:bookmarkStart w:id="398" w:name="_Toc134608914"/>
      <w:bookmarkStart w:id="399" w:name="_Toc134727058"/>
      <w:bookmarkStart w:id="400" w:name="_Toc134877845"/>
      <w:bookmarkStart w:id="401" w:name="_Toc134877848"/>
      <w:bookmarkStart w:id="402" w:name="_Toc134877849"/>
      <w:bookmarkStart w:id="403" w:name="_Toc134877850"/>
      <w:bookmarkStart w:id="404" w:name="_Toc134877851"/>
      <w:bookmarkStart w:id="405" w:name="_Toc134877852"/>
      <w:bookmarkStart w:id="406" w:name="_Toc134877853"/>
      <w:bookmarkStart w:id="407" w:name="_Toc134877854"/>
      <w:bookmarkStart w:id="408" w:name="_Toc134877855"/>
      <w:bookmarkStart w:id="409" w:name="_Toc134877856"/>
      <w:bookmarkStart w:id="410" w:name="_Toc134877857"/>
      <w:bookmarkStart w:id="411" w:name="_Toc134877858"/>
      <w:bookmarkStart w:id="412" w:name="_Toc134877859"/>
      <w:bookmarkStart w:id="413" w:name="_Toc134877860"/>
      <w:bookmarkStart w:id="414" w:name="_Toc134877861"/>
      <w:bookmarkStart w:id="415" w:name="_Toc134877867"/>
      <w:bookmarkStart w:id="416" w:name="_Toc134877868"/>
      <w:bookmarkStart w:id="417" w:name="_Toc134877877"/>
      <w:bookmarkStart w:id="418" w:name="_Toc134877878"/>
      <w:bookmarkStart w:id="419" w:name="_Toc134877883"/>
      <w:bookmarkStart w:id="420" w:name="_Toc134877887"/>
      <w:bookmarkStart w:id="421" w:name="_Toc134877889"/>
      <w:bookmarkStart w:id="422" w:name="_Toc134877890"/>
      <w:bookmarkStart w:id="423" w:name="_Toc134877903"/>
      <w:bookmarkStart w:id="424" w:name="_Toc134877908"/>
      <w:bookmarkStart w:id="425" w:name="_Toc134877909"/>
      <w:bookmarkStart w:id="426" w:name="_Toc134877913"/>
      <w:bookmarkStart w:id="427" w:name="_Toc134877914"/>
      <w:bookmarkStart w:id="428" w:name="_Toc134877933"/>
      <w:bookmarkStart w:id="429" w:name="_Toc134877942"/>
      <w:bookmarkStart w:id="430" w:name="_Toc134877949"/>
      <w:bookmarkStart w:id="431" w:name="_Toc134877953"/>
      <w:bookmarkStart w:id="432" w:name="_Toc134877954"/>
      <w:bookmarkStart w:id="433" w:name="_Toc134877955"/>
      <w:bookmarkStart w:id="434" w:name="_Toc134877977"/>
      <w:bookmarkStart w:id="435" w:name="_Toc134877978"/>
      <w:bookmarkStart w:id="436" w:name="Chapter63questions"/>
      <w:bookmarkStart w:id="437" w:name="Ch6300520231"/>
      <w:bookmarkStart w:id="438" w:name="_Toc135386776"/>
      <w:bookmarkStart w:id="439" w:name="_Toc135387225"/>
      <w:bookmarkStart w:id="440" w:name="_Toc135391579"/>
      <w:bookmarkStart w:id="441" w:name="_Toc136005941"/>
      <w:bookmarkStart w:id="442" w:name="_Toc136006103"/>
      <w:bookmarkStart w:id="443" w:name="_Toc136007657"/>
      <w:bookmarkStart w:id="444" w:name="_Toc136009555"/>
      <w:bookmarkStart w:id="445" w:name="_Toc136010079"/>
      <w:bookmarkStart w:id="446" w:name="_Toc135386780"/>
      <w:bookmarkStart w:id="447" w:name="_Toc135387229"/>
      <w:bookmarkStart w:id="448" w:name="_Toc135391583"/>
      <w:bookmarkStart w:id="449" w:name="_Toc136005945"/>
      <w:bookmarkStart w:id="450" w:name="_Toc136006107"/>
      <w:bookmarkStart w:id="451" w:name="_Toc136007661"/>
      <w:bookmarkStart w:id="452" w:name="_Toc136009559"/>
      <w:bookmarkStart w:id="453" w:name="_Toc13601008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2A1F27">
        <w:rPr>
          <w:b/>
        </w:rPr>
        <w:t>The review will seek to identify policy and regulatory interventions that could be implemented by governments to reduce regional airfares.</w:t>
      </w:r>
    </w:p>
    <w:p w14:paraId="3AD99348" w14:textId="77777777" w:rsidR="00977F3D" w:rsidRDefault="00977F3D" w:rsidP="00977F3D">
      <w:r>
        <w:t xml:space="preserve">The review will focus on: </w:t>
      </w:r>
    </w:p>
    <w:p w14:paraId="47F40AB2" w14:textId="77777777" w:rsidR="00977F3D" w:rsidRPr="005D0532" w:rsidRDefault="00977F3D" w:rsidP="00977F3D">
      <w:pPr>
        <w:pStyle w:val="ListParagraph"/>
        <w:numPr>
          <w:ilvl w:val="0"/>
          <w:numId w:val="43"/>
        </w:numPr>
        <w:suppressAutoHyphens w:val="0"/>
        <w:spacing w:before="0" w:after="160" w:line="259" w:lineRule="auto"/>
      </w:pPr>
      <w:r w:rsidRPr="005D0532">
        <w:t>competition across the sector</w:t>
      </w:r>
    </w:p>
    <w:p w14:paraId="784B2AD3" w14:textId="77777777" w:rsidR="00977F3D" w:rsidRPr="005D0532" w:rsidRDefault="00977F3D" w:rsidP="00977F3D">
      <w:pPr>
        <w:pStyle w:val="ListParagraph"/>
        <w:numPr>
          <w:ilvl w:val="0"/>
          <w:numId w:val="43"/>
        </w:numPr>
        <w:suppressAutoHyphens w:val="0"/>
        <w:spacing w:before="0" w:after="160" w:line="259" w:lineRule="auto"/>
      </w:pPr>
      <w:r w:rsidRPr="005D0532">
        <w:t xml:space="preserve">the impact of current Commonwealth, state and local government interventions on competition </w:t>
      </w:r>
    </w:p>
    <w:p w14:paraId="76B6CA86" w14:textId="77777777" w:rsidR="00977F3D" w:rsidRDefault="00977F3D" w:rsidP="00977F3D">
      <w:pPr>
        <w:pStyle w:val="ListParagraph"/>
        <w:numPr>
          <w:ilvl w:val="0"/>
          <w:numId w:val="43"/>
        </w:numPr>
        <w:suppressAutoHyphens w:val="0"/>
        <w:spacing w:before="0" w:after="160" w:line="259" w:lineRule="auto"/>
      </w:pPr>
      <w:r w:rsidRPr="005D0532">
        <w:t xml:space="preserve">how connectivity can be improved. </w:t>
      </w:r>
    </w:p>
    <w:p w14:paraId="5D8469D8" w14:textId="77777777" w:rsidR="00977F3D" w:rsidRPr="00977F3D" w:rsidRDefault="00977F3D" w:rsidP="00977F3D">
      <w:pPr>
        <w:pStyle w:val="Heading2"/>
        <w:spacing w:before="240" w:after="120"/>
      </w:pPr>
      <w:r w:rsidRPr="00977F3D">
        <w:t>Extending the Remote Airstrip Upgrade Program</w:t>
      </w:r>
    </w:p>
    <w:p w14:paraId="77C94F43" w14:textId="77777777" w:rsidR="00977F3D" w:rsidRDefault="00977F3D" w:rsidP="00977F3D">
      <w:pPr>
        <w:rPr>
          <w:b/>
        </w:rPr>
      </w:pPr>
      <w:r w:rsidRPr="002A7DA7">
        <w:rPr>
          <w:b/>
        </w:rPr>
        <w:t xml:space="preserve">The Remote Airstrip Upgrade Program </w:t>
      </w:r>
      <w:r>
        <w:rPr>
          <w:b/>
        </w:rPr>
        <w:t xml:space="preserve">has </w:t>
      </w:r>
      <w:r w:rsidRPr="002A7DA7">
        <w:rPr>
          <w:b/>
        </w:rPr>
        <w:t>be</w:t>
      </w:r>
      <w:r>
        <w:rPr>
          <w:b/>
        </w:rPr>
        <w:t>en</w:t>
      </w:r>
      <w:r w:rsidRPr="002A7DA7">
        <w:rPr>
          <w:b/>
        </w:rPr>
        <w:t xml:space="preserve"> extended and expanded to provide an additional $50 million over </w:t>
      </w:r>
      <w:r>
        <w:rPr>
          <w:b/>
        </w:rPr>
        <w:t xml:space="preserve">3 </w:t>
      </w:r>
      <w:r w:rsidRPr="002A7DA7">
        <w:rPr>
          <w:b/>
        </w:rPr>
        <w:t>years</w:t>
      </w:r>
      <w:r>
        <w:rPr>
          <w:b/>
        </w:rPr>
        <w:t xml:space="preserve"> from 2024-25. </w:t>
      </w:r>
    </w:p>
    <w:p w14:paraId="375FA537" w14:textId="4C8A7C24" w:rsidR="00977F3D" w:rsidRPr="003303EC" w:rsidRDefault="00977F3D" w:rsidP="00977F3D">
      <w:pPr>
        <w:rPr>
          <w:b/>
        </w:rPr>
      </w:pPr>
      <w:r>
        <w:t>The program aims to improve the safety and accessibility of remote airstrips across Australia. It recognises aviation’s important role in connecting Australians and providing support for remote aviation where it is not commercially viable, but essential for the social and economic wellbeing of the communities. The program will be expanded to include improving accessibility for people with disability.</w:t>
      </w:r>
    </w:p>
    <w:p w14:paraId="6B52049F" w14:textId="77777777" w:rsidR="00977F3D" w:rsidRPr="00977F3D" w:rsidRDefault="00977F3D" w:rsidP="00977F3D">
      <w:pPr>
        <w:pStyle w:val="Heading2"/>
        <w:spacing w:before="240" w:after="120"/>
      </w:pPr>
      <w:r w:rsidRPr="00977F3D">
        <w:lastRenderedPageBreak/>
        <w:t xml:space="preserve">Extending the Regional Airports Program </w:t>
      </w:r>
    </w:p>
    <w:p w14:paraId="761EDEED" w14:textId="77777777" w:rsidR="00977F3D" w:rsidRDefault="00977F3D" w:rsidP="00977F3D">
      <w:r w:rsidRPr="002A7DA7">
        <w:rPr>
          <w:b/>
        </w:rPr>
        <w:t>The Regional Airports Program</w:t>
      </w:r>
      <w:r>
        <w:rPr>
          <w:b/>
        </w:rPr>
        <w:t xml:space="preserve"> (RAP)</w:t>
      </w:r>
      <w:r w:rsidRPr="002A7DA7">
        <w:rPr>
          <w:b/>
        </w:rPr>
        <w:t xml:space="preserve"> </w:t>
      </w:r>
      <w:r>
        <w:rPr>
          <w:b/>
        </w:rPr>
        <w:t xml:space="preserve">has </w:t>
      </w:r>
      <w:r w:rsidRPr="002A7DA7">
        <w:rPr>
          <w:b/>
        </w:rPr>
        <w:t>be</w:t>
      </w:r>
      <w:r>
        <w:rPr>
          <w:b/>
        </w:rPr>
        <w:t>en</w:t>
      </w:r>
      <w:r w:rsidRPr="002A7DA7">
        <w:rPr>
          <w:b/>
        </w:rPr>
        <w:t xml:space="preserve"> extended and expanded to provide an additional $40 million in competitive grant funding over </w:t>
      </w:r>
      <w:r>
        <w:rPr>
          <w:b/>
        </w:rPr>
        <w:t>3</w:t>
      </w:r>
      <w:r w:rsidRPr="002A7DA7">
        <w:rPr>
          <w:b/>
        </w:rPr>
        <w:t xml:space="preserve"> years from 2024-25.</w:t>
      </w:r>
      <w:r>
        <w:t xml:space="preserve"> </w:t>
      </w:r>
    </w:p>
    <w:p w14:paraId="11D37442" w14:textId="77777777" w:rsidR="00977F3D" w:rsidRDefault="00977F3D" w:rsidP="00977F3D">
      <w:r>
        <w:t xml:space="preserve">The RAP will continue to invest in safety and accessibility upgrades of regional airports and will also consider the infrastructure required to transition to net zero, such as electric chargers, hydrogen fuelling or storage facilities.  </w:t>
      </w:r>
    </w:p>
    <w:p w14:paraId="6A15AC16" w14:textId="3B67A28B" w:rsidR="00977F3D" w:rsidRDefault="00977F3D" w:rsidP="00977F3D">
      <w:r>
        <w:t xml:space="preserve">Applicants seeking high value grants will be asked to provide their  airport financial management framework to support efficiency of government support, to help ensure upgraded airports can meet community needs over the long term and enable sustainable management of regional airport assets. </w:t>
      </w:r>
    </w:p>
    <w:p w14:paraId="5C77B742" w14:textId="77777777" w:rsidR="00977F3D" w:rsidRPr="00977F3D" w:rsidRDefault="00977F3D" w:rsidP="00977F3D">
      <w:pPr>
        <w:pStyle w:val="Heading2"/>
        <w:spacing w:before="240" w:after="120"/>
      </w:pPr>
      <w:r w:rsidRPr="00977F3D">
        <w:t>Funding the Remote Aerodrome Inspection Program</w:t>
      </w:r>
    </w:p>
    <w:p w14:paraId="77BE550F" w14:textId="77777777" w:rsidR="00977F3D" w:rsidRDefault="00977F3D" w:rsidP="00977F3D">
      <w:r w:rsidRPr="002A7DA7">
        <w:rPr>
          <w:b/>
        </w:rPr>
        <w:t xml:space="preserve">The </w:t>
      </w:r>
      <w:r>
        <w:rPr>
          <w:b/>
        </w:rPr>
        <w:t>Australian G</w:t>
      </w:r>
      <w:r w:rsidRPr="002A7DA7">
        <w:rPr>
          <w:b/>
        </w:rPr>
        <w:t>overnment will provide $0.5 million funding per year</w:t>
      </w:r>
      <w:r>
        <w:rPr>
          <w:b/>
        </w:rPr>
        <w:t xml:space="preserve"> (indexed) from 2024-25 </w:t>
      </w:r>
      <w:r w:rsidRPr="002A7DA7">
        <w:rPr>
          <w:b/>
        </w:rPr>
        <w:t>to the Remote Aerodrome Inspection Program (RAI) program.</w:t>
      </w:r>
      <w:r>
        <w:t xml:space="preserve"> </w:t>
      </w:r>
    </w:p>
    <w:p w14:paraId="5BD22AD7" w14:textId="77777777" w:rsidR="00977F3D" w:rsidRDefault="00977F3D" w:rsidP="00977F3D">
      <w:r>
        <w:t xml:space="preserve">The RAI provides critical inspection services to ensure the safe operation of regional airports. This includes annual aerodrome inspections and reports for a number of remote aerodromes across the Northern Territory, Queensland and Western Australia that are predominately located in, or adjacent to, First Nations communities. </w:t>
      </w:r>
    </w:p>
    <w:p w14:paraId="28C266D4" w14:textId="77777777" w:rsidR="00977F3D" w:rsidRDefault="00977F3D" w:rsidP="00977F3D">
      <w:r>
        <w:t>The RAI supports First Nations community aerodromes to meet their aviation safety obligations, while providing the ability for Royal Flying Doctor Service and other service providers to safely land in remote communities to provide critical community services.</w:t>
      </w:r>
    </w:p>
    <w:p w14:paraId="44EF9BFF" w14:textId="77777777" w:rsidR="00977F3D" w:rsidRPr="00977F3D" w:rsidRDefault="00977F3D" w:rsidP="00977F3D">
      <w:pPr>
        <w:pStyle w:val="Heading2"/>
        <w:spacing w:before="240" w:after="120"/>
      </w:pPr>
      <w:r w:rsidRPr="00977F3D">
        <w:t xml:space="preserve">Supporting Closing the Gap outcomes </w:t>
      </w:r>
    </w:p>
    <w:p w14:paraId="37405C54" w14:textId="77777777" w:rsidR="00977F3D" w:rsidRDefault="00977F3D" w:rsidP="00977F3D">
      <w:r>
        <w:t xml:space="preserve">Reporting on how the </w:t>
      </w:r>
      <w:r w:rsidRPr="00CE7C7D">
        <w:t>regional and remote aviation programs contribute to Closing the Gap outcomes, such as providing increased training, employment and procurement opportunities for First Nations businesses and communities</w:t>
      </w:r>
      <w:r>
        <w:t xml:space="preserve"> will also be required</w:t>
      </w:r>
      <w:r w:rsidRPr="00CE7C7D">
        <w:t xml:space="preserve">. </w:t>
      </w:r>
    </w:p>
    <w:p w14:paraId="3B22E26D" w14:textId="77777777" w:rsidR="00977F3D" w:rsidRPr="00977F3D" w:rsidRDefault="00977F3D" w:rsidP="00977F3D">
      <w:pPr>
        <w:pStyle w:val="Heading2"/>
        <w:spacing w:before="240" w:after="120"/>
      </w:pPr>
      <w:r w:rsidRPr="00977F3D">
        <w:t>Securing the future of regional services</w:t>
      </w:r>
    </w:p>
    <w:p w14:paraId="44553641" w14:textId="77777777" w:rsidR="00977F3D" w:rsidRDefault="00977F3D" w:rsidP="00977F3D">
      <w:r>
        <w:t>This Aviation White Paper is being released at a time when Rex, a significant airline servicing regional Australia, remains in voluntary administration. The Australian Government’s actions throughout this period of administration, as well as after, will be guided by our clear understanding of the essential nature of reliable and affordable air services across regional and remote Australia.</w:t>
      </w:r>
    </w:p>
    <w:p w14:paraId="50FBF9FE" w14:textId="693855F4" w:rsidR="009015ED" w:rsidRPr="005F794B" w:rsidRDefault="009015ED" w:rsidP="009015ED">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18"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19" w:history="1">
        <w:r w:rsidRPr="009015ED">
          <w:rPr>
            <w:rStyle w:val="Hyperlink"/>
          </w:rPr>
          <w:t>infrastructure.gov.au</w:t>
        </w:r>
        <w:r w:rsidRPr="009015ED">
          <w:rPr>
            <w:rStyle w:val="Hyperlink"/>
            <w:lang w:val="en-AU"/>
          </w:rPr>
          <w:t>/department/social-media</w:t>
        </w:r>
      </w:hyperlink>
      <w:r>
        <w:rPr>
          <w:lang w:val="en-AU"/>
        </w:rPr>
        <w:t xml:space="preserve"> </w:t>
      </w:r>
    </w:p>
    <w:sectPr w:rsidR="00430511"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4DD8F" w14:textId="77777777" w:rsidR="00606832" w:rsidRDefault="00606832" w:rsidP="008456D5">
      <w:pPr>
        <w:spacing w:before="0" w:after="0"/>
      </w:pPr>
      <w:r>
        <w:separator/>
      </w:r>
    </w:p>
  </w:endnote>
  <w:endnote w:type="continuationSeparator" w:id="0">
    <w:p w14:paraId="4AE661E2" w14:textId="77777777" w:rsidR="00606832" w:rsidRDefault="0060683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0A35ADC8" w:rsidR="00AB3238" w:rsidRPr="003C67CE" w:rsidRDefault="007E5C86"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33A4EE3E" w:rsidR="001D659E" w:rsidRPr="003C67CE" w:rsidRDefault="007E5C86"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0B48B" w14:textId="77777777" w:rsidR="00606832" w:rsidRPr="00EF7FF3" w:rsidRDefault="00606832" w:rsidP="005912BE">
      <w:pPr>
        <w:spacing w:before="300"/>
        <w:rPr>
          <w:color w:val="081E3E" w:themeColor="text2"/>
        </w:rPr>
      </w:pPr>
      <w:r w:rsidRPr="00EF7FF3">
        <w:rPr>
          <w:color w:val="081E3E" w:themeColor="text2"/>
        </w:rPr>
        <w:t>----------</w:t>
      </w:r>
    </w:p>
  </w:footnote>
  <w:footnote w:type="continuationSeparator" w:id="0">
    <w:p w14:paraId="5EF15BD3" w14:textId="77777777" w:rsidR="00606832" w:rsidRDefault="00606832" w:rsidP="008456D5">
      <w:pPr>
        <w:spacing w:before="0" w:after="0"/>
      </w:pPr>
      <w:r>
        <w:continuationSeparator/>
      </w:r>
    </w:p>
  </w:footnote>
  <w:footnote w:type="continuationNotice" w:id="1">
    <w:p w14:paraId="382237C7" w14:textId="77777777" w:rsidR="00606832" w:rsidRDefault="006068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7E5C86" w:rsidP="00180B5B">
    <w:pPr>
      <w:pStyle w:val="Header"/>
      <w:spacing w:after="1320"/>
      <w:jc w:val="left"/>
    </w:pPr>
    <w:fldSimple w:instr=" STYLEREF  &quot;Heading 1&quot; \l  \* MERGEFORMAT ">
      <w:r w:rsidR="002E45FD">
        <w:rPr>
          <w:noProof/>
        </w:rPr>
        <w:t>Heading 1</w:t>
      </w:r>
    </w:fldSimple>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286C6D1B" w:rsidR="002229F7" w:rsidRDefault="007E5C86"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4" w:name="_Hlk148680551"/>
    <w:r>
      <w:rPr>
        <w:noProof/>
      </w:rPr>
      <w:drawing>
        <wp:inline distT="0" distB="0" distL="0" distR="0" wp14:anchorId="5DC2A94C" wp14:editId="2E4572EE">
          <wp:extent cx="7553115" cy="1916840"/>
          <wp:effectExtent l="0" t="0" r="3810" b="1270"/>
          <wp:docPr id="12" name="Picture 12"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4"/>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36A24"/>
    <w:multiLevelType w:val="hybridMultilevel"/>
    <w:tmpl w:val="5F26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DD3B94"/>
    <w:multiLevelType w:val="hybridMultilevel"/>
    <w:tmpl w:val="C4F6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D36418"/>
    <w:multiLevelType w:val="hybridMultilevel"/>
    <w:tmpl w:val="5F3C0520"/>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210D32FC"/>
    <w:multiLevelType w:val="hybridMultilevel"/>
    <w:tmpl w:val="7060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750303"/>
    <w:multiLevelType w:val="hybridMultilevel"/>
    <w:tmpl w:val="8CA654F0"/>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D6E48DD2"/>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8D2C00"/>
    <w:multiLevelType w:val="hybridMultilevel"/>
    <w:tmpl w:val="8B32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DE51DD"/>
    <w:multiLevelType w:val="hybridMultilevel"/>
    <w:tmpl w:val="B5C8602A"/>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744C4D61"/>
    <w:multiLevelType w:val="multilevel"/>
    <w:tmpl w:val="5B2C35CE"/>
    <w:lvl w:ilvl="0">
      <w:start w:val="1"/>
      <w:numFmt w:val="bullet"/>
      <w:lvlText w:val="•"/>
      <w:lvlJc w:val="left"/>
      <w:pPr>
        <w:ind w:left="284" w:hanging="284"/>
      </w:pPr>
      <w:rPr>
        <w:rFonts w:ascii="Calibri" w:hAnsi="Calibri" w:cs="Times New Roman" w:hint="default"/>
        <w:color w:val="auto"/>
      </w:rPr>
    </w:lvl>
    <w:lvl w:ilvl="1">
      <w:start w:val="1"/>
      <w:numFmt w:val="bullet"/>
      <w:lvlText w:val="–"/>
      <w:lvlJc w:val="left"/>
      <w:pPr>
        <w:ind w:left="568" w:hanging="284"/>
      </w:pPr>
      <w:rPr>
        <w:rFonts w:ascii="Calibri" w:hAnsi="Calibri" w:cs="Times New Roman" w:hint="default"/>
        <w:color w:val="auto"/>
      </w:rPr>
    </w:lvl>
    <w:lvl w:ilvl="2">
      <w:start w:val="1"/>
      <w:numFmt w:val="bullet"/>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1" w15:restartNumberingAfterBreak="0">
    <w:nsid w:val="7D3E132D"/>
    <w:multiLevelType w:val="hybridMultilevel"/>
    <w:tmpl w:val="BF34C6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num>
  <w:num w:numId="26">
    <w:abstractNumId w:val="28"/>
  </w:num>
  <w:num w:numId="27">
    <w:abstractNumId w:val="28"/>
  </w:num>
  <w:num w:numId="28">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 w:numId="31">
    <w:abstractNumId w:val="23"/>
  </w:num>
  <w:num w:numId="32">
    <w:abstractNumId w:val="14"/>
  </w:num>
  <w:num w:numId="33">
    <w:abstractNumId w:val="18"/>
  </w:num>
  <w:num w:numId="34">
    <w:abstractNumId w:val="30"/>
  </w:num>
  <w:num w:numId="35">
    <w:abstractNumId w:val="11"/>
  </w:num>
  <w:num w:numId="36">
    <w:abstractNumId w:val="27"/>
  </w:num>
  <w:num w:numId="37">
    <w:abstractNumId w:val="13"/>
  </w:num>
  <w:num w:numId="38">
    <w:abstractNumId w:val="15"/>
  </w:num>
  <w:num w:numId="39">
    <w:abstractNumId w:val="29"/>
  </w:num>
  <w:num w:numId="40">
    <w:abstractNumId w:val="19"/>
  </w:num>
  <w:num w:numId="41">
    <w:abstractNumId w:val="31"/>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304"/>
    <w:rsid w:val="00067445"/>
    <w:rsid w:val="00072740"/>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D2DD8"/>
    <w:rsid w:val="002E1ADA"/>
    <w:rsid w:val="002E45FD"/>
    <w:rsid w:val="002F7111"/>
    <w:rsid w:val="003155B9"/>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06832"/>
    <w:rsid w:val="00611CC1"/>
    <w:rsid w:val="006335BA"/>
    <w:rsid w:val="006851B3"/>
    <w:rsid w:val="00686A7B"/>
    <w:rsid w:val="006A0F8A"/>
    <w:rsid w:val="006A266A"/>
    <w:rsid w:val="006B1647"/>
    <w:rsid w:val="006E1ECA"/>
    <w:rsid w:val="006E2A0E"/>
    <w:rsid w:val="006F42E5"/>
    <w:rsid w:val="007A05BE"/>
    <w:rsid w:val="007A0CD1"/>
    <w:rsid w:val="007D7CD4"/>
    <w:rsid w:val="007E40AE"/>
    <w:rsid w:val="007E5C86"/>
    <w:rsid w:val="0080482C"/>
    <w:rsid w:val="008067A1"/>
    <w:rsid w:val="00823E03"/>
    <w:rsid w:val="00833543"/>
    <w:rsid w:val="00835773"/>
    <w:rsid w:val="00840953"/>
    <w:rsid w:val="008456D5"/>
    <w:rsid w:val="0084634B"/>
    <w:rsid w:val="008500E4"/>
    <w:rsid w:val="008538C1"/>
    <w:rsid w:val="00884E68"/>
    <w:rsid w:val="008A1887"/>
    <w:rsid w:val="008A3E38"/>
    <w:rsid w:val="008B3901"/>
    <w:rsid w:val="008B6A81"/>
    <w:rsid w:val="008E2A0D"/>
    <w:rsid w:val="009015ED"/>
    <w:rsid w:val="0091256A"/>
    <w:rsid w:val="00924CF8"/>
    <w:rsid w:val="00946BCD"/>
    <w:rsid w:val="0096475A"/>
    <w:rsid w:val="00975331"/>
    <w:rsid w:val="00977F3D"/>
    <w:rsid w:val="00981F9A"/>
    <w:rsid w:val="009909EC"/>
    <w:rsid w:val="0099647D"/>
    <w:rsid w:val="00996B8C"/>
    <w:rsid w:val="009B00F2"/>
    <w:rsid w:val="009B0B3A"/>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39CE"/>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42"/>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frastructure.gov.au/AviationWhitePape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nfrastructure.gov.au/departmen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1407A1">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114F7D"/>
    <w:rsid w:val="001407A1"/>
    <w:rsid w:val="004F10EB"/>
    <w:rsid w:val="00E23AA4"/>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8F41775C-620E-45ED-A60F-4643F8D5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Maximising aviation’s contribution to net zero</vt:lpstr>
    </vt:vector>
  </TitlesOfParts>
  <Company>Department of Infrastructure &amp; Regional Development</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regional aviation</dc:title>
  <dc:subject/>
  <dc:creator>Leah Harris</dc:creator>
  <cp:keywords/>
  <dc:description/>
  <cp:lastModifiedBy>JEFFERY, Belinda</cp:lastModifiedBy>
  <cp:revision>2</cp:revision>
  <dcterms:created xsi:type="dcterms:W3CDTF">2024-08-21T09:37:00Z</dcterms:created>
  <dcterms:modified xsi:type="dcterms:W3CDTF">2024-08-21T09:37:00Z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