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1A196D" w14:textId="381B4663" w:rsidR="001D659E" w:rsidRPr="0069753D" w:rsidRDefault="001D659E" w:rsidP="00140888">
      <w:pPr>
        <w:pStyle w:val="SecurityMarker"/>
        <w:framePr w:w="11873" w:h="465" w:hRule="exact" w:hSpace="181" w:wrap="around" w:vAnchor="page" w:hAnchor="page" w:x="29" w:y="353" w:anchorLock="1"/>
        <w:tabs>
          <w:tab w:val="center" w:pos="4932"/>
          <w:tab w:val="left" w:pos="7290"/>
        </w:tabs>
        <w:rPr>
          <w:color w:val="FF0000"/>
        </w:rPr>
      </w:pPr>
      <w:bookmarkStart w:id="0" w:name="_Hlk148942357"/>
      <w:bookmarkStart w:id="1" w:name="_Hlk150152067"/>
    </w:p>
    <w:bookmarkStart w:id="2" w:name="_GoBack"/>
    <w:bookmarkEnd w:id="0"/>
    <w:p w14:paraId="1CE63FE1" w14:textId="723D31D4" w:rsidR="00CD52D3" w:rsidRPr="00BE3AD8" w:rsidRDefault="00975331" w:rsidP="004F77AA">
      <w:pPr>
        <w:pStyle w:val="Title"/>
        <w:spacing w:before="0"/>
      </w:pPr>
      <w:sdt>
        <w:sdtPr>
          <w:rPr>
            <w:color w:val="205277"/>
            <w:szCs w:val="60"/>
          </w:rPr>
          <w:alias w:val="Title"/>
          <w:tag w:val=""/>
          <w:id w:val="975726233"/>
          <w:placeholder>
            <w:docPart w:val="C2364C772649F744A928071F7EB058D7"/>
          </w:placeholder>
          <w:dataBinding w:prefixMappings="xmlns:ns0='http://purl.org/dc/elements/1.1/' xmlns:ns1='http://schemas.openxmlformats.org/package/2006/metadata/core-properties' " w:xpath="/ns1:coreProperties[1]/ns0:title[1]" w:storeItemID="{6C3C8BC8-F283-45AE-878A-BAB7291924A1}"/>
          <w:text/>
        </w:sdtPr>
        <w:sdtContent>
          <w:r>
            <w:rPr>
              <w:color w:val="205277"/>
              <w:szCs w:val="60"/>
            </w:rPr>
            <w:t>Maximising aviation’s contribution to net zero</w:t>
          </w:r>
        </w:sdtContent>
      </w:sdt>
    </w:p>
    <w:p w14:paraId="5B7310E2" w14:textId="77777777" w:rsidR="0091256A" w:rsidRDefault="0091256A" w:rsidP="0091256A">
      <w:pPr>
        <w:pStyle w:val="Quote"/>
      </w:pPr>
      <w:bookmarkStart w:id="3" w:name="_Toc49855348"/>
      <w:bookmarkEnd w:id="2"/>
    </w:p>
    <w:p w14:paraId="7FA864BE" w14:textId="48DBA8C6" w:rsidR="0091256A" w:rsidRDefault="0091256A" w:rsidP="0091256A">
      <w:pPr>
        <w:pStyle w:val="Quote"/>
      </w:pPr>
      <w:r w:rsidRPr="0091256A">
        <w:rPr>
          <w:sz w:val="28"/>
        </w:rPr>
        <w:t>The Aviation White Paper sets out long-term policies and actions to guide the next generation of growth and innovation across Australian aviation.</w:t>
      </w:r>
      <w:r>
        <w:br/>
      </w:r>
    </w:p>
    <w:p w14:paraId="1AA58FEB" w14:textId="352E475F" w:rsidR="002D2DD8" w:rsidRPr="005F794B" w:rsidRDefault="002D2DD8" w:rsidP="002D2DD8">
      <w:pPr>
        <w:pStyle w:val="Heading2"/>
      </w:pPr>
      <w:r>
        <w:t>The current experience</w:t>
      </w:r>
    </w:p>
    <w:p w14:paraId="71C57C22" w14:textId="77777777" w:rsidR="00D2335F" w:rsidRDefault="00D2335F" w:rsidP="00D2335F">
      <w:pPr>
        <w:rPr>
          <w:lang w:val="x-none"/>
        </w:rPr>
        <w:sectPr w:rsidR="00D2335F" w:rsidSect="002D233D">
          <w:headerReference w:type="even" r:id="rId11"/>
          <w:headerReference w:type="default" r:id="rId12"/>
          <w:footerReference w:type="even" r:id="rId13"/>
          <w:footerReference w:type="default" r:id="rId14"/>
          <w:headerReference w:type="first" r:id="rId15"/>
          <w:footerReference w:type="first" r:id="rId16"/>
          <w:pgSz w:w="11906" w:h="16838" w:code="9"/>
          <w:pgMar w:top="1021" w:right="1021" w:bottom="1021" w:left="1021" w:header="340" w:footer="397" w:gutter="0"/>
          <w:cols w:space="708"/>
          <w:titlePg/>
          <w:docGrid w:linePitch="360"/>
        </w:sectPr>
      </w:pPr>
      <w:bookmarkStart w:id="5" w:name="_Hlk159929398"/>
      <w:bookmarkStart w:id="6" w:name="_Hlk159929407"/>
      <w:bookmarkEnd w:id="3"/>
    </w:p>
    <w:p w14:paraId="40381651" w14:textId="77777777" w:rsidR="00D2335F" w:rsidRPr="00D659E9" w:rsidRDefault="00D2335F" w:rsidP="00D2335F">
      <w:pPr>
        <w:tabs>
          <w:tab w:val="left" w:pos="1276"/>
        </w:tabs>
        <w:ind w:left="1276" w:hanging="1276"/>
      </w:pPr>
      <w:r w:rsidRPr="00200303">
        <w:rPr>
          <w:noProof/>
          <w:lang w:eastAsia="en-AU"/>
        </w:rPr>
        <w:drawing>
          <wp:inline distT="0" distB="0" distL="0" distR="0" wp14:anchorId="67879747" wp14:editId="2DA7C0B4">
            <wp:extent cx="540000" cy="5400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p w14:paraId="000D79E2" w14:textId="4CA0255F" w:rsidR="00975331" w:rsidRPr="00975331" w:rsidRDefault="00D2335F" w:rsidP="00975331">
      <w:pPr>
        <w:ind w:left="142"/>
      </w:pPr>
      <w:r>
        <w:br w:type="column"/>
      </w:r>
      <w:bookmarkEnd w:id="6"/>
      <w:r w:rsidR="00975331" w:rsidRPr="00975331">
        <w:t xml:space="preserve">We are committed to reducing greenhouse gas emissions to 43% below 2005 levels by 2030 and achieving net zero emissions by 2050. Reducing emissions in the Australia’s transport sector will require concerted action across government and industry to secure long lasting benefits and the aviation sector has a role to play. With aviation demand is expected to grow to 2050emissions from this sector will continue to rise without further emissions reduction policies and efforts.  </w:t>
      </w:r>
    </w:p>
    <w:p w14:paraId="200992A5" w14:textId="77777777" w:rsidR="00975331" w:rsidRPr="00975331" w:rsidRDefault="00975331" w:rsidP="00975331">
      <w:pPr>
        <w:ind w:left="142"/>
      </w:pPr>
      <w:r w:rsidRPr="00975331">
        <w:t xml:space="preserve">There are opportunities for emissions reduction in the aviation sector to reach net zero carbon emissions by 2050, including: </w:t>
      </w:r>
    </w:p>
    <w:p w14:paraId="6626A954" w14:textId="77777777" w:rsidR="00975331" w:rsidRPr="00975331" w:rsidRDefault="00975331" w:rsidP="00975331">
      <w:pPr>
        <w:pStyle w:val="ListParagraph"/>
        <w:numPr>
          <w:ilvl w:val="0"/>
          <w:numId w:val="31"/>
        </w:numPr>
        <w:suppressAutoHyphens w:val="0"/>
        <w:spacing w:before="120" w:after="120" w:line="259" w:lineRule="auto"/>
        <w:ind w:left="567" w:hanging="284"/>
        <w:contextualSpacing w:val="0"/>
        <w:rPr>
          <w:rFonts w:cstheme="minorHAnsi"/>
        </w:rPr>
      </w:pPr>
      <w:r w:rsidRPr="00975331">
        <w:rPr>
          <w:rFonts w:cstheme="minorHAnsi"/>
        </w:rPr>
        <w:t>using renewable hydrogen or electric powered aircraft on shorter routes</w:t>
      </w:r>
    </w:p>
    <w:p w14:paraId="743AD67A" w14:textId="77777777" w:rsidR="00975331" w:rsidRPr="00975331" w:rsidRDefault="00975331" w:rsidP="00975331">
      <w:pPr>
        <w:pStyle w:val="ListParagraph"/>
        <w:numPr>
          <w:ilvl w:val="0"/>
          <w:numId w:val="31"/>
        </w:numPr>
        <w:suppressAutoHyphens w:val="0"/>
        <w:spacing w:before="120" w:after="120" w:line="259" w:lineRule="auto"/>
        <w:ind w:left="567" w:hanging="284"/>
        <w:contextualSpacing w:val="0"/>
        <w:rPr>
          <w:rFonts w:cstheme="minorHAnsi"/>
        </w:rPr>
      </w:pPr>
      <w:r w:rsidRPr="00975331">
        <w:rPr>
          <w:rFonts w:cstheme="minorHAnsi"/>
        </w:rPr>
        <w:t xml:space="preserve">adopting sustainable aviation fuel (SAF) to replace traditional jet fuel </w:t>
      </w:r>
    </w:p>
    <w:p w14:paraId="1042F3CB" w14:textId="77777777" w:rsidR="00975331" w:rsidRPr="00975331" w:rsidRDefault="00975331" w:rsidP="00975331">
      <w:pPr>
        <w:pStyle w:val="ListParagraph"/>
        <w:numPr>
          <w:ilvl w:val="0"/>
          <w:numId w:val="31"/>
        </w:numPr>
        <w:suppressAutoHyphens w:val="0"/>
        <w:spacing w:before="120" w:after="120" w:line="259" w:lineRule="auto"/>
        <w:ind w:left="567" w:hanging="284"/>
        <w:contextualSpacing w:val="0"/>
        <w:rPr>
          <w:rFonts w:cstheme="minorHAnsi"/>
        </w:rPr>
      </w:pPr>
      <w:r w:rsidRPr="00975331">
        <w:rPr>
          <w:rFonts w:cstheme="minorHAnsi"/>
        </w:rPr>
        <w:t xml:space="preserve">new and more fuel-efficient aircraft </w:t>
      </w:r>
    </w:p>
    <w:p w14:paraId="738F74C1" w14:textId="77777777" w:rsidR="00975331" w:rsidRPr="00975331" w:rsidRDefault="00975331" w:rsidP="00975331">
      <w:pPr>
        <w:pStyle w:val="ListParagraph"/>
        <w:numPr>
          <w:ilvl w:val="0"/>
          <w:numId w:val="31"/>
        </w:numPr>
        <w:suppressAutoHyphens w:val="0"/>
        <w:spacing w:before="120" w:after="120" w:line="259" w:lineRule="auto"/>
        <w:ind w:left="567" w:hanging="284"/>
        <w:contextualSpacing w:val="0"/>
        <w:rPr>
          <w:rFonts w:cstheme="minorHAnsi"/>
        </w:rPr>
      </w:pPr>
      <w:r w:rsidRPr="00975331">
        <w:rPr>
          <w:rFonts w:cstheme="minorHAnsi"/>
        </w:rPr>
        <w:t xml:space="preserve">using airport infrastructure and renewable energy supply to recharge hydrogen or electric powered aircraft and ground vehicles </w:t>
      </w:r>
    </w:p>
    <w:p w14:paraId="617F114A" w14:textId="77777777" w:rsidR="00975331" w:rsidRPr="00975331" w:rsidRDefault="00975331" w:rsidP="00975331">
      <w:pPr>
        <w:pStyle w:val="ListParagraph"/>
        <w:numPr>
          <w:ilvl w:val="0"/>
          <w:numId w:val="31"/>
        </w:numPr>
        <w:suppressAutoHyphens w:val="0"/>
        <w:spacing w:before="120" w:after="120" w:line="259" w:lineRule="auto"/>
        <w:ind w:left="567" w:hanging="284"/>
        <w:contextualSpacing w:val="0"/>
        <w:rPr>
          <w:rFonts w:cstheme="minorHAnsi"/>
        </w:rPr>
      </w:pPr>
      <w:r w:rsidRPr="00975331">
        <w:rPr>
          <w:rFonts w:cstheme="minorHAnsi"/>
        </w:rPr>
        <w:t xml:space="preserve">increasing electrified ground operations at airports. </w:t>
      </w:r>
    </w:p>
    <w:p w14:paraId="23C79FAD" w14:textId="6D18AB16" w:rsidR="002D2DD8" w:rsidRPr="00975331" w:rsidRDefault="002D2DD8" w:rsidP="00975331">
      <w:pPr>
        <w:pStyle w:val="ListParagraph"/>
        <w:suppressAutoHyphens w:val="0"/>
        <w:spacing w:before="120" w:after="120" w:line="259" w:lineRule="auto"/>
        <w:ind w:left="567"/>
        <w:contextualSpacing w:val="0"/>
        <w:rPr>
          <w:rFonts w:cstheme="minorHAnsi"/>
        </w:rPr>
        <w:sectPr w:rsidR="002D2DD8" w:rsidRPr="00975331" w:rsidSect="00D2335F">
          <w:type w:val="continuous"/>
          <w:pgSz w:w="11906" w:h="16838" w:code="9"/>
          <w:pgMar w:top="1021" w:right="1021" w:bottom="1021" w:left="1021" w:header="340" w:footer="397" w:gutter="0"/>
          <w:cols w:num="2" w:space="113" w:equalWidth="0">
            <w:col w:w="851" w:space="113"/>
            <w:col w:w="8900"/>
          </w:cols>
          <w:titlePg/>
          <w:docGrid w:linePitch="360"/>
        </w:sectPr>
      </w:pPr>
    </w:p>
    <w:bookmarkEnd w:id="1"/>
    <w:bookmarkEnd w:id="5"/>
    <w:p w14:paraId="3FEC5066" w14:textId="1B212247" w:rsidR="002D2DD8" w:rsidRPr="00D17795" w:rsidRDefault="00975331" w:rsidP="002D2DD8">
      <w:pPr>
        <w:pStyle w:val="Heading2"/>
      </w:pPr>
      <w:r>
        <w:t>An ambitious approach to deliver emissions reduction</w:t>
      </w:r>
    </w:p>
    <w:p w14:paraId="0303A77C" w14:textId="77777777" w:rsidR="00975331" w:rsidRDefault="00975331" w:rsidP="00975331">
      <w:pPr>
        <w:rPr>
          <w:caps/>
        </w:rPr>
      </w:pPr>
      <w:bookmarkStart w:id="7" w:name="_Toc134516812"/>
      <w:bookmarkStart w:id="8" w:name="_Toc134613228"/>
      <w:bookmarkStart w:id="9" w:name="_Toc134608834"/>
      <w:bookmarkStart w:id="10" w:name="_Toc134726984"/>
      <w:bookmarkStart w:id="11" w:name="_Toc134516813"/>
      <w:bookmarkStart w:id="12" w:name="_Toc134613229"/>
      <w:bookmarkStart w:id="13" w:name="_Toc134608835"/>
      <w:bookmarkStart w:id="14" w:name="_Toc134726985"/>
      <w:bookmarkStart w:id="15" w:name="_Toc133826034"/>
      <w:bookmarkStart w:id="16" w:name="_Toc133860333"/>
      <w:bookmarkStart w:id="17" w:name="_Toc133862105"/>
      <w:bookmarkStart w:id="18" w:name="_Toc133909912"/>
      <w:bookmarkStart w:id="19" w:name="_Toc136943489"/>
      <w:bookmarkStart w:id="20" w:name="_Toc136954640"/>
      <w:bookmarkStart w:id="21" w:name="_Toc136954909"/>
      <w:bookmarkStart w:id="22" w:name="_Toc136957553"/>
      <w:bookmarkStart w:id="23" w:name="_Toc136959056"/>
      <w:bookmarkStart w:id="24" w:name="_Toc136005898"/>
      <w:bookmarkStart w:id="25" w:name="_Toc136006060"/>
      <w:bookmarkStart w:id="26" w:name="_Toc136007614"/>
      <w:bookmarkStart w:id="27" w:name="_Toc136009512"/>
      <w:bookmarkStart w:id="28" w:name="_Toc136010036"/>
      <w:bookmarkStart w:id="29" w:name="_Toc134449164"/>
      <w:bookmarkStart w:id="30" w:name="_Toc134445399"/>
      <w:bookmarkStart w:id="31" w:name="_Toc134516802"/>
      <w:bookmarkStart w:id="32" w:name="_Toc134613218"/>
      <w:bookmarkStart w:id="33" w:name="_Toc134608824"/>
      <w:bookmarkStart w:id="34" w:name="_Toc134726975"/>
      <w:bookmarkStart w:id="35" w:name="_Toc134261466"/>
      <w:bookmarkStart w:id="36" w:name="_Toc134261651"/>
      <w:bookmarkStart w:id="37" w:name="_Toc134308102"/>
      <w:bookmarkStart w:id="38" w:name="_Toc134308226"/>
      <w:bookmarkStart w:id="39" w:name="_Toc134449165"/>
      <w:bookmarkStart w:id="40" w:name="_Toc134445400"/>
      <w:bookmarkStart w:id="41" w:name="_Toc134516803"/>
      <w:bookmarkStart w:id="42" w:name="_Toc134613219"/>
      <w:bookmarkStart w:id="43" w:name="_Toc134608825"/>
      <w:bookmarkStart w:id="44" w:name="_Toc134726976"/>
      <w:bookmarkStart w:id="45" w:name="_Toc134261467"/>
      <w:bookmarkStart w:id="46" w:name="_Toc134261652"/>
      <w:bookmarkStart w:id="47" w:name="_Toc134308103"/>
      <w:bookmarkStart w:id="48" w:name="_Toc134308227"/>
      <w:bookmarkStart w:id="49" w:name="_Toc134449166"/>
      <w:bookmarkStart w:id="50" w:name="_Toc134445401"/>
      <w:bookmarkStart w:id="51" w:name="_Toc134516804"/>
      <w:bookmarkStart w:id="52" w:name="_Toc134613220"/>
      <w:bookmarkStart w:id="53" w:name="_Toc134608826"/>
      <w:bookmarkStart w:id="54" w:name="_Toc134726977"/>
      <w:bookmarkStart w:id="55" w:name="_Toc134261468"/>
      <w:bookmarkStart w:id="56" w:name="_Toc134261653"/>
      <w:bookmarkStart w:id="57" w:name="_Toc134308104"/>
      <w:bookmarkStart w:id="58" w:name="_Toc134308228"/>
      <w:bookmarkStart w:id="59" w:name="_Toc134449167"/>
      <w:bookmarkStart w:id="60" w:name="_Toc134445402"/>
      <w:bookmarkStart w:id="61" w:name="_Toc134516805"/>
      <w:bookmarkStart w:id="62" w:name="_Toc134613221"/>
      <w:bookmarkStart w:id="63" w:name="_Toc134608827"/>
      <w:bookmarkStart w:id="64" w:name="_Toc134726978"/>
      <w:bookmarkStart w:id="65" w:name="_Toc134261469"/>
      <w:bookmarkStart w:id="66" w:name="_Toc134261654"/>
      <w:bookmarkStart w:id="67" w:name="_Toc134308105"/>
      <w:bookmarkStart w:id="68" w:name="_Toc134308229"/>
      <w:bookmarkStart w:id="69" w:name="_Toc134449168"/>
      <w:bookmarkStart w:id="70" w:name="_Toc134445403"/>
      <w:bookmarkStart w:id="71" w:name="_Toc134516806"/>
      <w:bookmarkStart w:id="72" w:name="_Toc134613222"/>
      <w:bookmarkStart w:id="73" w:name="_Toc134608828"/>
      <w:bookmarkStart w:id="74" w:name="_Toc134726979"/>
      <w:bookmarkStart w:id="75" w:name="_Toc134261470"/>
      <w:bookmarkStart w:id="76" w:name="_Toc134261655"/>
      <w:bookmarkStart w:id="77" w:name="_Toc134308106"/>
      <w:bookmarkStart w:id="78" w:name="_Toc134308230"/>
      <w:bookmarkStart w:id="79" w:name="_Toc134449169"/>
      <w:bookmarkStart w:id="80" w:name="_Toc134445404"/>
      <w:bookmarkStart w:id="81" w:name="_Toc134516807"/>
      <w:bookmarkStart w:id="82" w:name="_Toc134613223"/>
      <w:bookmarkStart w:id="83" w:name="_Toc134608829"/>
      <w:bookmarkStart w:id="84" w:name="_Toc134726980"/>
      <w:bookmarkStart w:id="85" w:name="_Toc134308232"/>
      <w:bookmarkStart w:id="86" w:name="_Toc134261495"/>
      <w:bookmarkStart w:id="87" w:name="_Toc134261680"/>
      <w:bookmarkStart w:id="88" w:name="_Toc134308113"/>
      <w:bookmarkStart w:id="89" w:name="_Toc134308239"/>
      <w:bookmarkStart w:id="90" w:name="_Toc134449176"/>
      <w:bookmarkStart w:id="91" w:name="_Toc134445411"/>
      <w:bookmarkStart w:id="92" w:name="_Toc134516868"/>
      <w:bookmarkStart w:id="93" w:name="_Toc134362786"/>
      <w:bookmarkStart w:id="94" w:name="_Toc134363496"/>
      <w:bookmarkStart w:id="95" w:name="_Toc134363895"/>
      <w:bookmarkStart w:id="96" w:name="_Toc134366242"/>
      <w:bookmarkStart w:id="97" w:name="_Toc134369243"/>
      <w:bookmarkStart w:id="98" w:name="_Toc134369783"/>
      <w:bookmarkStart w:id="99" w:name="_Toc134362791"/>
      <w:bookmarkStart w:id="100" w:name="_Toc134363501"/>
      <w:bookmarkStart w:id="101" w:name="_Toc134363900"/>
      <w:bookmarkStart w:id="102" w:name="_Toc134366247"/>
      <w:bookmarkStart w:id="103" w:name="_Toc134369248"/>
      <w:bookmarkStart w:id="104" w:name="_Toc134369788"/>
      <w:bookmarkStart w:id="105" w:name="_Toc134362792"/>
      <w:bookmarkStart w:id="106" w:name="_Toc134363502"/>
      <w:bookmarkStart w:id="107" w:name="_Toc134363901"/>
      <w:bookmarkStart w:id="108" w:name="_Toc134366248"/>
      <w:bookmarkStart w:id="109" w:name="_Toc134369249"/>
      <w:bookmarkStart w:id="110" w:name="_Toc134369789"/>
      <w:bookmarkStart w:id="111" w:name="_Toc134362793"/>
      <w:bookmarkStart w:id="112" w:name="_Toc134363503"/>
      <w:bookmarkStart w:id="113" w:name="_Toc134363902"/>
      <w:bookmarkStart w:id="114" w:name="_Toc134366249"/>
      <w:bookmarkStart w:id="115" w:name="_Toc134369250"/>
      <w:bookmarkStart w:id="116" w:name="_Toc134369790"/>
      <w:bookmarkStart w:id="117" w:name="_Toc134362821"/>
      <w:bookmarkStart w:id="118" w:name="_Toc134363531"/>
      <w:bookmarkStart w:id="119" w:name="_Toc134363930"/>
      <w:bookmarkStart w:id="120" w:name="_Toc134366277"/>
      <w:bookmarkStart w:id="121" w:name="_Toc134369278"/>
      <w:bookmarkStart w:id="122" w:name="_Toc134369818"/>
      <w:bookmarkStart w:id="123" w:name="_Toc134449179"/>
      <w:bookmarkStart w:id="124" w:name="_Toc134445414"/>
      <w:bookmarkStart w:id="125" w:name="_Toc134516871"/>
      <w:bookmarkStart w:id="126" w:name="_Toc134261513"/>
      <w:bookmarkStart w:id="127" w:name="_Toc134261698"/>
      <w:bookmarkStart w:id="128" w:name="_Toc134308131"/>
      <w:bookmarkStart w:id="129" w:name="_Toc134308257"/>
      <w:bookmarkStart w:id="130" w:name="_Toc134449197"/>
      <w:bookmarkStart w:id="131" w:name="_Toc134445432"/>
      <w:bookmarkStart w:id="132" w:name="_Toc134516884"/>
      <w:bookmarkStart w:id="133" w:name="_Toc134516888"/>
      <w:bookmarkStart w:id="134" w:name="_Toc134516889"/>
      <w:bookmarkStart w:id="135" w:name="_Toc134516897"/>
      <w:bookmarkStart w:id="136" w:name="_Toc134516898"/>
      <w:bookmarkStart w:id="137" w:name="_Toc134516899"/>
      <w:bookmarkStart w:id="138" w:name="_Toc134516900"/>
      <w:bookmarkStart w:id="139" w:name="_Toc134261521"/>
      <w:bookmarkStart w:id="140" w:name="_Toc134261706"/>
      <w:bookmarkStart w:id="141" w:name="_Toc134308139"/>
      <w:bookmarkStart w:id="142" w:name="_Toc134308265"/>
      <w:bookmarkStart w:id="143" w:name="_Toc134449205"/>
      <w:bookmarkStart w:id="144" w:name="_Toc134445440"/>
      <w:bookmarkStart w:id="145" w:name="_Toc134261522"/>
      <w:bookmarkStart w:id="146" w:name="_Toc134261707"/>
      <w:bookmarkStart w:id="147" w:name="_Toc134308140"/>
      <w:bookmarkStart w:id="148" w:name="_Toc134308266"/>
      <w:bookmarkStart w:id="149" w:name="_Toc134449206"/>
      <w:bookmarkStart w:id="150" w:name="_Toc134445441"/>
      <w:bookmarkStart w:id="151" w:name="_Toc134261523"/>
      <w:bookmarkStart w:id="152" w:name="_Toc134261708"/>
      <w:bookmarkStart w:id="153" w:name="_Toc134308141"/>
      <w:bookmarkStart w:id="154" w:name="_Toc134308267"/>
      <w:bookmarkStart w:id="155" w:name="_Toc134449207"/>
      <w:bookmarkStart w:id="156" w:name="_Toc134445442"/>
      <w:bookmarkStart w:id="157" w:name="_Toc134261524"/>
      <w:bookmarkStart w:id="158" w:name="_Toc134261709"/>
      <w:bookmarkStart w:id="159" w:name="_Toc134308142"/>
      <w:bookmarkStart w:id="160" w:name="_Toc134308268"/>
      <w:bookmarkStart w:id="161" w:name="_Toc134449208"/>
      <w:bookmarkStart w:id="162" w:name="_Toc134445443"/>
      <w:bookmarkStart w:id="163" w:name="_Toc134007664"/>
      <w:bookmarkStart w:id="164" w:name="_Toc136943482"/>
      <w:bookmarkStart w:id="165" w:name="_Toc136954634"/>
      <w:bookmarkStart w:id="166" w:name="_Toc136954903"/>
      <w:bookmarkStart w:id="167" w:name="_Toc136957547"/>
      <w:bookmarkStart w:id="168" w:name="_Toc136959050"/>
      <w:bookmarkStart w:id="169" w:name="_Toc134613282"/>
      <w:bookmarkStart w:id="170" w:name="_Toc134608888"/>
      <w:bookmarkStart w:id="171" w:name="_Toc134727037"/>
      <w:bookmarkStart w:id="172" w:name="_Toc134261534"/>
      <w:bookmarkStart w:id="173" w:name="_Toc134261719"/>
      <w:bookmarkStart w:id="174" w:name="_Toc134308144"/>
      <w:bookmarkStart w:id="175" w:name="_Toc134308270"/>
      <w:bookmarkStart w:id="176" w:name="_Toc134449210"/>
      <w:bookmarkStart w:id="177" w:name="_Toc134445445"/>
      <w:bookmarkStart w:id="178" w:name="_Toc134516902"/>
      <w:bookmarkStart w:id="179" w:name="_Toc135391555"/>
      <w:bookmarkStart w:id="180" w:name="_Toc134877769"/>
      <w:bookmarkStart w:id="181" w:name="_Toc134877770"/>
      <w:bookmarkStart w:id="182" w:name="_Toc134877775"/>
      <w:bookmarkStart w:id="183" w:name="_Toc134958566"/>
      <w:bookmarkStart w:id="184" w:name="_Toc134877788"/>
      <w:bookmarkStart w:id="185" w:name="_Toc134877790"/>
      <w:bookmarkStart w:id="186" w:name="_Toc134877791"/>
      <w:bookmarkStart w:id="187" w:name="_Toc134877792"/>
      <w:bookmarkStart w:id="188" w:name="_Toc134877793"/>
      <w:bookmarkStart w:id="189" w:name="_Toc134877794"/>
      <w:bookmarkStart w:id="190" w:name="_Toc134877795"/>
      <w:bookmarkStart w:id="191" w:name="_Toc134877796"/>
      <w:bookmarkStart w:id="192" w:name="_Toc134877797"/>
      <w:bookmarkStart w:id="193" w:name="_Toc134877798"/>
      <w:bookmarkStart w:id="194" w:name="_Toc134877799"/>
      <w:bookmarkStart w:id="195" w:name="_Toc134877804"/>
      <w:bookmarkStart w:id="196" w:name="_Toc134877806"/>
      <w:bookmarkStart w:id="197" w:name="_Toc134877807"/>
      <w:bookmarkStart w:id="198" w:name="_Toc134877809"/>
      <w:bookmarkStart w:id="199" w:name="_Toc134877810"/>
      <w:bookmarkStart w:id="200" w:name="_Toc134877811"/>
      <w:bookmarkStart w:id="201" w:name="_Toc134877812"/>
      <w:bookmarkStart w:id="202" w:name="_Toc134877818"/>
      <w:bookmarkStart w:id="203" w:name="_Toc134877819"/>
      <w:bookmarkStart w:id="204" w:name="_Toc134877820"/>
      <w:bookmarkStart w:id="205" w:name="_Toc134877821"/>
      <w:bookmarkStart w:id="206" w:name="_Toc134877822"/>
      <w:bookmarkStart w:id="207" w:name="_Toc134877823"/>
      <w:bookmarkStart w:id="208" w:name="_Toc134877824"/>
      <w:bookmarkStart w:id="209" w:name="_Toc134877825"/>
      <w:bookmarkStart w:id="210" w:name="_Toc134261590"/>
      <w:bookmarkStart w:id="211" w:name="_Toc134261773"/>
      <w:bookmarkStart w:id="212" w:name="_Toc134261591"/>
      <w:bookmarkStart w:id="213" w:name="_Toc134261774"/>
      <w:bookmarkStart w:id="214" w:name="_Toc134261592"/>
      <w:bookmarkStart w:id="215" w:name="_Toc134261775"/>
      <w:bookmarkStart w:id="216" w:name="_Toc134261593"/>
      <w:bookmarkStart w:id="217" w:name="_Toc134261776"/>
      <w:bookmarkStart w:id="218" w:name="_Toc134261594"/>
      <w:bookmarkStart w:id="219" w:name="_Toc134261777"/>
      <w:bookmarkStart w:id="220" w:name="_Toc134261595"/>
      <w:bookmarkStart w:id="221" w:name="_Toc134261778"/>
      <w:bookmarkStart w:id="222" w:name="_Toc134261596"/>
      <w:bookmarkStart w:id="223" w:name="_Toc134261779"/>
      <w:bookmarkStart w:id="224" w:name="_Toc134261597"/>
      <w:bookmarkStart w:id="225" w:name="_Toc134261780"/>
      <w:bookmarkStart w:id="226" w:name="_Toc134261598"/>
      <w:bookmarkStart w:id="227" w:name="_Toc134261781"/>
      <w:bookmarkStart w:id="228" w:name="_Toc134261599"/>
      <w:bookmarkStart w:id="229" w:name="_Toc134261782"/>
      <w:bookmarkStart w:id="230" w:name="_Toc134261600"/>
      <w:bookmarkStart w:id="231" w:name="_Toc134261783"/>
      <w:bookmarkStart w:id="232" w:name="_Toc134261601"/>
      <w:bookmarkStart w:id="233" w:name="_Toc134261784"/>
      <w:bookmarkStart w:id="234" w:name="_Toc134261602"/>
      <w:bookmarkStart w:id="235" w:name="_Toc134261785"/>
      <w:bookmarkStart w:id="236" w:name="_Toc134261603"/>
      <w:bookmarkStart w:id="237" w:name="_Toc134261786"/>
      <w:bookmarkStart w:id="238" w:name="_Toc134261604"/>
      <w:bookmarkStart w:id="239" w:name="_Toc134261787"/>
      <w:bookmarkStart w:id="240" w:name="_Toc134261605"/>
      <w:bookmarkStart w:id="241" w:name="_Toc134261788"/>
      <w:bookmarkStart w:id="242" w:name="_Toc134261606"/>
      <w:bookmarkStart w:id="243" w:name="_Toc134261789"/>
      <w:bookmarkStart w:id="244" w:name="_Toc134261607"/>
      <w:bookmarkStart w:id="245" w:name="_Toc134261790"/>
      <w:bookmarkStart w:id="246" w:name="_Toc134261608"/>
      <w:bookmarkStart w:id="247" w:name="_Toc134261791"/>
      <w:bookmarkStart w:id="248" w:name="_Toc134261609"/>
      <w:bookmarkStart w:id="249" w:name="_Toc134261792"/>
      <w:bookmarkStart w:id="250" w:name="_Toc134261610"/>
      <w:bookmarkStart w:id="251" w:name="_Toc134261793"/>
      <w:bookmarkStart w:id="252" w:name="_Toc134261611"/>
      <w:bookmarkStart w:id="253" w:name="_Toc134261794"/>
      <w:bookmarkStart w:id="254" w:name="_Toc134261612"/>
      <w:bookmarkStart w:id="255" w:name="_Toc134261795"/>
      <w:bookmarkStart w:id="256" w:name="_Toc134261613"/>
      <w:bookmarkStart w:id="257" w:name="_Toc134261796"/>
      <w:bookmarkStart w:id="258" w:name="_Toc134261614"/>
      <w:bookmarkStart w:id="259" w:name="_Toc134261797"/>
      <w:bookmarkStart w:id="260" w:name="_Toc134261615"/>
      <w:bookmarkStart w:id="261" w:name="_Toc134261798"/>
      <w:bookmarkStart w:id="262" w:name="_Toc134261616"/>
      <w:bookmarkStart w:id="263" w:name="_Toc134261799"/>
      <w:bookmarkStart w:id="264" w:name="_Toc134261617"/>
      <w:bookmarkStart w:id="265" w:name="_Toc134261800"/>
      <w:bookmarkStart w:id="266" w:name="_Toc134261618"/>
      <w:bookmarkStart w:id="267" w:name="_Toc134261801"/>
      <w:bookmarkStart w:id="268" w:name="_Toc134261619"/>
      <w:bookmarkStart w:id="269" w:name="_Toc134261802"/>
      <w:bookmarkStart w:id="270" w:name="_Toc134958748"/>
      <w:bookmarkStart w:id="271" w:name="_Toc134958749"/>
      <w:bookmarkStart w:id="272" w:name="_Toc136979112"/>
      <w:bookmarkStart w:id="273" w:name="_Toc134370153"/>
      <w:bookmarkStart w:id="274" w:name="_Toc134370154"/>
      <w:bookmarkStart w:id="275" w:name="_Toc133826044"/>
      <w:bookmarkStart w:id="276" w:name="_Toc133860361"/>
      <w:bookmarkStart w:id="277" w:name="_Toc133862129"/>
      <w:bookmarkStart w:id="278" w:name="_Toc133909947"/>
      <w:bookmarkStart w:id="279" w:name="_Toc134877779"/>
      <w:bookmarkStart w:id="280" w:name="_Toc134877780"/>
      <w:bookmarkStart w:id="281" w:name="_Toc134449222"/>
      <w:bookmarkStart w:id="282" w:name="_Toc134445457"/>
      <w:bookmarkStart w:id="283" w:name="_Toc134516914"/>
      <w:bookmarkStart w:id="284" w:name="_Toc134261564"/>
      <w:bookmarkStart w:id="285" w:name="_Toc134261749"/>
      <w:bookmarkStart w:id="286" w:name="_Toc134308156"/>
      <w:bookmarkStart w:id="287" w:name="_Toc134308282"/>
      <w:bookmarkStart w:id="288" w:name="_Toc134449223"/>
      <w:bookmarkStart w:id="289" w:name="_Toc134445458"/>
      <w:bookmarkStart w:id="290" w:name="_Toc134516915"/>
      <w:bookmarkStart w:id="291" w:name="_Toc134613294"/>
      <w:bookmarkStart w:id="292" w:name="_Toc134608900"/>
      <w:bookmarkStart w:id="293" w:name="_Toc134727044"/>
      <w:bookmarkStart w:id="294" w:name="_Toc134261565"/>
      <w:bookmarkStart w:id="295" w:name="_Toc134261750"/>
      <w:bookmarkStart w:id="296" w:name="_Toc134308157"/>
      <w:bookmarkStart w:id="297" w:name="_Toc134308283"/>
      <w:bookmarkStart w:id="298" w:name="_Toc134449224"/>
      <w:bookmarkStart w:id="299" w:name="_Toc134445459"/>
      <w:bookmarkStart w:id="300" w:name="_Toc134516916"/>
      <w:bookmarkStart w:id="301" w:name="_Toc134613295"/>
      <w:bookmarkStart w:id="302" w:name="_Toc134608901"/>
      <w:bookmarkStart w:id="303" w:name="_Toc134727045"/>
      <w:bookmarkStart w:id="304" w:name="_Toc134261566"/>
      <w:bookmarkStart w:id="305" w:name="_Toc134261751"/>
      <w:bookmarkStart w:id="306" w:name="_Toc134308158"/>
      <w:bookmarkStart w:id="307" w:name="_Toc134308284"/>
      <w:bookmarkStart w:id="308" w:name="_Toc134449225"/>
      <w:bookmarkStart w:id="309" w:name="_Toc134445460"/>
      <w:bookmarkStart w:id="310" w:name="_Toc134516917"/>
      <w:bookmarkStart w:id="311" w:name="_Toc134613296"/>
      <w:bookmarkStart w:id="312" w:name="_Toc134608902"/>
      <w:bookmarkStart w:id="313" w:name="_Toc134727046"/>
      <w:bookmarkStart w:id="314" w:name="_Toc134261568"/>
      <w:bookmarkStart w:id="315" w:name="_Toc134261753"/>
      <w:bookmarkStart w:id="316" w:name="_Toc134308160"/>
      <w:bookmarkStart w:id="317" w:name="_Toc134308286"/>
      <w:bookmarkStart w:id="318" w:name="_Toc134449227"/>
      <w:bookmarkStart w:id="319" w:name="_Toc134445462"/>
      <w:bookmarkStart w:id="320" w:name="_Toc134516919"/>
      <w:bookmarkStart w:id="321" w:name="_Toc134613298"/>
      <w:bookmarkStart w:id="322" w:name="_Toc134608904"/>
      <w:bookmarkStart w:id="323" w:name="_Toc134727048"/>
      <w:bookmarkStart w:id="324" w:name="_Toc134261569"/>
      <w:bookmarkStart w:id="325" w:name="_Toc134261754"/>
      <w:bookmarkStart w:id="326" w:name="_Toc134308161"/>
      <w:bookmarkStart w:id="327" w:name="_Toc134308287"/>
      <w:bookmarkStart w:id="328" w:name="_Toc134449228"/>
      <w:bookmarkStart w:id="329" w:name="_Toc134445463"/>
      <w:bookmarkStart w:id="330" w:name="_Toc134516920"/>
      <w:bookmarkStart w:id="331" w:name="_Toc134613299"/>
      <w:bookmarkStart w:id="332" w:name="_Toc134608905"/>
      <w:bookmarkStart w:id="333" w:name="_Toc134727049"/>
      <w:bookmarkStart w:id="334" w:name="_Toc134261570"/>
      <w:bookmarkStart w:id="335" w:name="_Toc134261755"/>
      <w:bookmarkStart w:id="336" w:name="_Toc134308162"/>
      <w:bookmarkStart w:id="337" w:name="_Toc134308288"/>
      <w:bookmarkStart w:id="338" w:name="_Toc134449229"/>
      <w:bookmarkStart w:id="339" w:name="_Toc134445464"/>
      <w:bookmarkStart w:id="340" w:name="_Toc134516921"/>
      <w:bookmarkStart w:id="341" w:name="_Toc134613300"/>
      <w:bookmarkStart w:id="342" w:name="_Toc134608906"/>
      <w:bookmarkStart w:id="343" w:name="_Toc134727050"/>
      <w:bookmarkStart w:id="344" w:name="_Toc134261571"/>
      <w:bookmarkStart w:id="345" w:name="_Toc134261756"/>
      <w:bookmarkStart w:id="346" w:name="_Toc134308163"/>
      <w:bookmarkStart w:id="347" w:name="_Toc134308289"/>
      <w:bookmarkStart w:id="348" w:name="_Toc134449230"/>
      <w:bookmarkStart w:id="349" w:name="_Toc134445465"/>
      <w:bookmarkStart w:id="350" w:name="_Toc134516922"/>
      <w:bookmarkStart w:id="351" w:name="_Toc134613301"/>
      <w:bookmarkStart w:id="352" w:name="_Toc134608907"/>
      <w:bookmarkStart w:id="353" w:name="_Toc134727051"/>
      <w:bookmarkStart w:id="354" w:name="_Toc134261572"/>
      <w:bookmarkStart w:id="355" w:name="_Toc134261757"/>
      <w:bookmarkStart w:id="356" w:name="_Toc134308164"/>
      <w:bookmarkStart w:id="357" w:name="_Toc134308290"/>
      <w:bookmarkStart w:id="358" w:name="_Toc134449231"/>
      <w:bookmarkStart w:id="359" w:name="_Toc134445466"/>
      <w:bookmarkStart w:id="360" w:name="_Toc134516923"/>
      <w:bookmarkStart w:id="361" w:name="_Toc134613302"/>
      <w:bookmarkStart w:id="362" w:name="_Toc134608908"/>
      <w:bookmarkStart w:id="363" w:name="_Toc134727052"/>
      <w:bookmarkStart w:id="364" w:name="_Toc134261573"/>
      <w:bookmarkStart w:id="365" w:name="_Toc134261758"/>
      <w:bookmarkStart w:id="366" w:name="_Toc134308165"/>
      <w:bookmarkStart w:id="367" w:name="_Toc134308291"/>
      <w:bookmarkStart w:id="368" w:name="_Toc134449232"/>
      <w:bookmarkStart w:id="369" w:name="_Toc134445467"/>
      <w:bookmarkStart w:id="370" w:name="_Toc134516924"/>
      <w:bookmarkStart w:id="371" w:name="_Toc134613303"/>
      <w:bookmarkStart w:id="372" w:name="_Toc134608909"/>
      <w:bookmarkStart w:id="373" w:name="_Toc134727053"/>
      <w:bookmarkStart w:id="374" w:name="_Toc134261574"/>
      <w:bookmarkStart w:id="375" w:name="_Toc134261759"/>
      <w:bookmarkStart w:id="376" w:name="_Toc134308166"/>
      <w:bookmarkStart w:id="377" w:name="_Toc134308292"/>
      <w:bookmarkStart w:id="378" w:name="_Toc134449233"/>
      <w:bookmarkStart w:id="379" w:name="_Toc134445468"/>
      <w:bookmarkStart w:id="380" w:name="_Toc134516925"/>
      <w:bookmarkStart w:id="381" w:name="_Toc134613304"/>
      <w:bookmarkStart w:id="382" w:name="_Toc134608910"/>
      <w:bookmarkStart w:id="383" w:name="_Toc134727054"/>
      <w:bookmarkStart w:id="384" w:name="_Toc134261575"/>
      <w:bookmarkStart w:id="385" w:name="_Toc134261760"/>
      <w:bookmarkStart w:id="386" w:name="_Toc134308167"/>
      <w:bookmarkStart w:id="387" w:name="_Toc134308293"/>
      <w:bookmarkStart w:id="388" w:name="_Toc134449234"/>
      <w:bookmarkStart w:id="389" w:name="_Toc134445469"/>
      <w:bookmarkStart w:id="390" w:name="_Toc134516926"/>
      <w:bookmarkStart w:id="391" w:name="_Toc134613305"/>
      <w:bookmarkStart w:id="392" w:name="_Toc134608911"/>
      <w:bookmarkStart w:id="393" w:name="_Toc134727055"/>
      <w:bookmarkStart w:id="394" w:name="_Toc134449237"/>
      <w:bookmarkStart w:id="395" w:name="_Toc134445472"/>
      <w:bookmarkStart w:id="396" w:name="_Toc134516929"/>
      <w:bookmarkStart w:id="397" w:name="_Toc134613308"/>
      <w:bookmarkStart w:id="398" w:name="_Toc134608914"/>
      <w:bookmarkStart w:id="399" w:name="_Toc134727058"/>
      <w:bookmarkStart w:id="400" w:name="_Toc134877845"/>
      <w:bookmarkStart w:id="401" w:name="_Toc134877848"/>
      <w:bookmarkStart w:id="402" w:name="_Toc134877849"/>
      <w:bookmarkStart w:id="403" w:name="_Toc134877850"/>
      <w:bookmarkStart w:id="404" w:name="_Toc134877851"/>
      <w:bookmarkStart w:id="405" w:name="_Toc134877852"/>
      <w:bookmarkStart w:id="406" w:name="_Toc134877853"/>
      <w:bookmarkStart w:id="407" w:name="_Toc134877854"/>
      <w:bookmarkStart w:id="408" w:name="_Toc134877855"/>
      <w:bookmarkStart w:id="409" w:name="_Toc134877856"/>
      <w:bookmarkStart w:id="410" w:name="_Toc134877857"/>
      <w:bookmarkStart w:id="411" w:name="_Toc134877858"/>
      <w:bookmarkStart w:id="412" w:name="_Toc134877859"/>
      <w:bookmarkStart w:id="413" w:name="_Toc134877860"/>
      <w:bookmarkStart w:id="414" w:name="_Toc134877861"/>
      <w:bookmarkStart w:id="415" w:name="_Toc134877867"/>
      <w:bookmarkStart w:id="416" w:name="_Toc134877868"/>
      <w:bookmarkStart w:id="417" w:name="_Toc134877877"/>
      <w:bookmarkStart w:id="418" w:name="_Toc134877878"/>
      <w:bookmarkStart w:id="419" w:name="_Toc134877883"/>
      <w:bookmarkStart w:id="420" w:name="_Toc134877887"/>
      <w:bookmarkStart w:id="421" w:name="_Toc134877889"/>
      <w:bookmarkStart w:id="422" w:name="_Toc134877890"/>
      <w:bookmarkStart w:id="423" w:name="_Toc134877903"/>
      <w:bookmarkStart w:id="424" w:name="_Toc134877908"/>
      <w:bookmarkStart w:id="425" w:name="_Toc134877909"/>
      <w:bookmarkStart w:id="426" w:name="_Toc134877913"/>
      <w:bookmarkStart w:id="427" w:name="_Toc134877914"/>
      <w:bookmarkStart w:id="428" w:name="_Toc134877933"/>
      <w:bookmarkStart w:id="429" w:name="_Toc134877942"/>
      <w:bookmarkStart w:id="430" w:name="_Toc134877949"/>
      <w:bookmarkStart w:id="431" w:name="_Toc134877953"/>
      <w:bookmarkStart w:id="432" w:name="_Toc134877954"/>
      <w:bookmarkStart w:id="433" w:name="_Toc134877955"/>
      <w:bookmarkStart w:id="434" w:name="_Toc134877977"/>
      <w:bookmarkStart w:id="435" w:name="_Toc134877978"/>
      <w:bookmarkStart w:id="436" w:name="Chapter63questions"/>
      <w:bookmarkStart w:id="437" w:name="Ch6300520231"/>
      <w:bookmarkStart w:id="438" w:name="_Toc135386776"/>
      <w:bookmarkStart w:id="439" w:name="_Toc135387225"/>
      <w:bookmarkStart w:id="440" w:name="_Toc135391579"/>
      <w:bookmarkStart w:id="441" w:name="_Toc136005941"/>
      <w:bookmarkStart w:id="442" w:name="_Toc136006103"/>
      <w:bookmarkStart w:id="443" w:name="_Toc136007657"/>
      <w:bookmarkStart w:id="444" w:name="_Toc136009555"/>
      <w:bookmarkStart w:id="445" w:name="_Toc136010079"/>
      <w:bookmarkStart w:id="446" w:name="_Toc135386780"/>
      <w:bookmarkStart w:id="447" w:name="_Toc135387229"/>
      <w:bookmarkStart w:id="448" w:name="_Toc135391583"/>
      <w:bookmarkStart w:id="449" w:name="_Toc136005945"/>
      <w:bookmarkStart w:id="450" w:name="_Toc136006107"/>
      <w:bookmarkStart w:id="451" w:name="_Toc136007661"/>
      <w:bookmarkStart w:id="452" w:name="_Toc136009559"/>
      <w:bookmarkStart w:id="453" w:name="_Toc136010083"/>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r>
        <w:t>We are</w:t>
      </w:r>
      <w:r w:rsidRPr="0066668B">
        <w:t xml:space="preserve"> investing in the domestic production of SAF and other low carbon liquid fuels</w:t>
      </w:r>
      <w:r>
        <w:t xml:space="preserve"> (LCLF) </w:t>
      </w:r>
      <w:r w:rsidRPr="00553E23">
        <w:t>through our plan for A Future Made in Australia. These fuels will make a significant contribution to decarbonise aviation and other hard to electrify sectors. They will also bring other benefits such as</w:t>
      </w:r>
      <w:r>
        <w:t xml:space="preserve"> </w:t>
      </w:r>
      <w:r w:rsidRPr="0066668B">
        <w:t xml:space="preserve">employment, regional development and </w:t>
      </w:r>
      <w:r>
        <w:t xml:space="preserve">domestic </w:t>
      </w:r>
      <w:r w:rsidRPr="0066668B">
        <w:t xml:space="preserve">fuel security. </w:t>
      </w:r>
    </w:p>
    <w:p w14:paraId="3E3CEC54" w14:textId="77777777" w:rsidR="00975331" w:rsidRDefault="00975331" w:rsidP="00975331">
      <w:pPr>
        <w:rPr>
          <w:caps/>
        </w:rPr>
      </w:pPr>
      <w:r>
        <w:t>We are</w:t>
      </w:r>
      <w:r w:rsidRPr="0066668B">
        <w:t xml:space="preserve"> also putting in place measures to establish a domestic LCLF market, including</w:t>
      </w:r>
      <w:r>
        <w:t>:</w:t>
      </w:r>
      <w:r w:rsidRPr="0066668B">
        <w:t xml:space="preserve"> </w:t>
      </w:r>
    </w:p>
    <w:p w14:paraId="2B4BB94D" w14:textId="77777777" w:rsidR="00975331" w:rsidRDefault="00975331" w:rsidP="00975331">
      <w:pPr>
        <w:pStyle w:val="Bullet1"/>
        <w:rPr>
          <w:caps/>
        </w:rPr>
      </w:pPr>
      <w:r w:rsidRPr="0066668B">
        <w:t xml:space="preserve">certification arrangements for SAF </w:t>
      </w:r>
      <w:r>
        <w:t>production</w:t>
      </w:r>
    </w:p>
    <w:p w14:paraId="131099F0" w14:textId="77777777" w:rsidR="00975331" w:rsidRDefault="00975331" w:rsidP="00975331">
      <w:pPr>
        <w:pStyle w:val="Bullet1"/>
        <w:rPr>
          <w:caps/>
        </w:rPr>
      </w:pPr>
      <w:r w:rsidRPr="0066668B">
        <w:t xml:space="preserve">expanding research and development into emerging LCLF production pathways </w:t>
      </w:r>
    </w:p>
    <w:p w14:paraId="7EEE534A" w14:textId="77777777" w:rsidR="00975331" w:rsidRDefault="00975331" w:rsidP="00975331">
      <w:pPr>
        <w:pStyle w:val="Bullet1"/>
        <w:rPr>
          <w:caps/>
        </w:rPr>
      </w:pPr>
      <w:r w:rsidRPr="0066668B">
        <w:t xml:space="preserve">undertaking consideration of a mandate or other measures to encourage </w:t>
      </w:r>
      <w:r>
        <w:t>LCLF</w:t>
      </w:r>
      <w:r w:rsidRPr="0066668B">
        <w:t xml:space="preserve"> demand</w:t>
      </w:r>
    </w:p>
    <w:p w14:paraId="17FE4C8D" w14:textId="77777777" w:rsidR="00975331" w:rsidRDefault="00975331" w:rsidP="00975331">
      <w:pPr>
        <w:pStyle w:val="Bullet1"/>
        <w:rPr>
          <w:caps/>
        </w:rPr>
      </w:pPr>
      <w:r>
        <w:lastRenderedPageBreak/>
        <w:t>identifying production incentive options to grow an Australian LCLF production industry</w:t>
      </w:r>
    </w:p>
    <w:p w14:paraId="11CB6AB5" w14:textId="77777777" w:rsidR="00975331" w:rsidRPr="0066668B" w:rsidRDefault="00975331" w:rsidP="00975331">
      <w:pPr>
        <w:pStyle w:val="Bullet1"/>
        <w:rPr>
          <w:caps/>
        </w:rPr>
      </w:pPr>
      <w:r>
        <w:t>considering</w:t>
      </w:r>
      <w:r w:rsidRPr="0066668B">
        <w:t xml:space="preserve"> </w:t>
      </w:r>
      <w:r>
        <w:t>arrangements</w:t>
      </w:r>
      <w:r w:rsidRPr="0066668B">
        <w:t xml:space="preserve"> to increase flexibility </w:t>
      </w:r>
      <w:r>
        <w:t>in the way</w:t>
      </w:r>
      <w:r w:rsidRPr="0066668B">
        <w:t xml:space="preserve"> SAF </w:t>
      </w:r>
      <w:r>
        <w:t>is</w:t>
      </w:r>
      <w:r w:rsidRPr="0066668B">
        <w:t xml:space="preserve"> accounted for under </w:t>
      </w:r>
      <w:r>
        <w:t>emissions inventories</w:t>
      </w:r>
    </w:p>
    <w:p w14:paraId="43C95F0C" w14:textId="77777777" w:rsidR="00975331" w:rsidRPr="0066668B" w:rsidRDefault="00975331" w:rsidP="00975331">
      <w:pPr>
        <w:rPr>
          <w:caps/>
        </w:rPr>
      </w:pPr>
      <w:r>
        <w:t>In addition to these measures, we are</w:t>
      </w:r>
      <w:r w:rsidRPr="0066668B">
        <w:t xml:space="preserve"> supporting emerging low and zero emission aviation technologies through grants to encourage research and development. </w:t>
      </w:r>
      <w:r>
        <w:t>We</w:t>
      </w:r>
      <w:r w:rsidRPr="0066668B">
        <w:t xml:space="preserve"> will continue to work with industry to implement policy and regulatory responses to support the commercial use of these technologies.</w:t>
      </w:r>
    </w:p>
    <w:p w14:paraId="1F50192B" w14:textId="704EB57B" w:rsidR="00975331" w:rsidRPr="0066668B" w:rsidRDefault="00975331" w:rsidP="00975331">
      <w:pPr>
        <w:pStyle w:val="AreaHeading"/>
        <w:spacing w:after="120"/>
        <w:ind w:left="0" w:firstLine="0"/>
        <w:rPr>
          <w:rFonts w:cstheme="minorHAnsi"/>
          <w:caps w:val="0"/>
          <w:color w:val="auto"/>
        </w:rPr>
      </w:pPr>
      <w:r w:rsidRPr="0066668B">
        <w:rPr>
          <w:rFonts w:cstheme="minorHAnsi"/>
          <w:caps w:val="0"/>
          <w:color w:val="auto"/>
        </w:rPr>
        <w:t xml:space="preserve">These measures complement existing Australian Government initiatives, including the </w:t>
      </w:r>
      <w:hyperlink r:id="rId18" w:history="1">
        <w:r w:rsidRPr="00DB0870">
          <w:rPr>
            <w:rStyle w:val="Hyperlink"/>
            <w:rFonts w:cstheme="minorHAnsi"/>
            <w:caps w:val="0"/>
          </w:rPr>
          <w:t>Safeguard Mechanism</w:t>
        </w:r>
      </w:hyperlink>
      <w:r w:rsidRPr="0066668B">
        <w:rPr>
          <w:rFonts w:cstheme="minorHAnsi"/>
          <w:caps w:val="0"/>
          <w:color w:val="auto"/>
        </w:rPr>
        <w:t xml:space="preserve">, the $15 billion </w:t>
      </w:r>
      <w:hyperlink r:id="rId19" w:history="1">
        <w:r w:rsidRPr="00DB0870">
          <w:rPr>
            <w:rStyle w:val="Hyperlink"/>
            <w:rFonts w:cstheme="minorHAnsi"/>
            <w:caps w:val="0"/>
          </w:rPr>
          <w:t>National Reconstruction Fund</w:t>
        </w:r>
      </w:hyperlink>
      <w:r w:rsidRPr="0066668B">
        <w:rPr>
          <w:rFonts w:cstheme="minorHAnsi"/>
          <w:caps w:val="0"/>
          <w:color w:val="auto"/>
        </w:rPr>
        <w:t xml:space="preserve">, funding available through the </w:t>
      </w:r>
      <w:hyperlink r:id="rId20" w:history="1">
        <w:r w:rsidRPr="00767AE0">
          <w:rPr>
            <w:rStyle w:val="Hyperlink"/>
            <w:rFonts w:cstheme="minorHAnsi"/>
            <w:caps w:val="0"/>
          </w:rPr>
          <w:t>Clean Energy Financing Corporation</w:t>
        </w:r>
      </w:hyperlink>
      <w:r>
        <w:rPr>
          <w:rStyle w:val="Hyperlink"/>
          <w:rFonts w:cstheme="minorHAnsi"/>
          <w:caps w:val="0"/>
        </w:rPr>
        <w:t>,</w:t>
      </w:r>
      <w:r w:rsidRPr="0066668B">
        <w:rPr>
          <w:rFonts w:cstheme="minorHAnsi"/>
          <w:caps w:val="0"/>
          <w:color w:val="auto"/>
        </w:rPr>
        <w:t xml:space="preserve"> and developing the </w:t>
      </w:r>
      <w:hyperlink r:id="rId21" w:history="1">
        <w:r w:rsidRPr="00DB0870">
          <w:rPr>
            <w:rStyle w:val="Hyperlink"/>
            <w:rFonts w:cstheme="minorHAnsi"/>
            <w:caps w:val="0"/>
          </w:rPr>
          <w:t>Transport and Infrastructure Net Zero Roadmap</w:t>
        </w:r>
      </w:hyperlink>
      <w:r w:rsidRPr="0066668B">
        <w:rPr>
          <w:rFonts w:cstheme="minorHAnsi"/>
          <w:caps w:val="0"/>
          <w:color w:val="auto"/>
        </w:rPr>
        <w:t xml:space="preserve">, the Australian Government’s sectoral plan to </w:t>
      </w:r>
      <w:r>
        <w:rPr>
          <w:rFonts w:cstheme="minorHAnsi"/>
          <w:caps w:val="0"/>
          <w:color w:val="auto"/>
        </w:rPr>
        <w:t>deliver emissions in</w:t>
      </w:r>
      <w:r w:rsidRPr="0066668B">
        <w:rPr>
          <w:rFonts w:cstheme="minorHAnsi"/>
          <w:caps w:val="0"/>
          <w:color w:val="auto"/>
        </w:rPr>
        <w:t xml:space="preserve"> the transport sector.</w:t>
      </w:r>
    </w:p>
    <w:p w14:paraId="5EE236E0" w14:textId="77777777" w:rsidR="00975331" w:rsidRPr="0066668B" w:rsidRDefault="00975331" w:rsidP="00975331">
      <w:pPr>
        <w:pStyle w:val="AreaHeading"/>
        <w:spacing w:after="120"/>
        <w:ind w:left="0" w:firstLine="0"/>
        <w:rPr>
          <w:rFonts w:cstheme="minorHAnsi"/>
          <w:caps w:val="0"/>
          <w:color w:val="auto"/>
        </w:rPr>
      </w:pPr>
      <w:r w:rsidRPr="0066668B">
        <w:rPr>
          <w:rFonts w:cstheme="minorHAnsi"/>
          <w:caps w:val="0"/>
          <w:color w:val="auto"/>
        </w:rPr>
        <w:t xml:space="preserve">The Australian Jet Zero Council will continue to coordinate across the aviation sector to provide advice to </w:t>
      </w:r>
      <w:r>
        <w:rPr>
          <w:rFonts w:cstheme="minorHAnsi"/>
          <w:caps w:val="0"/>
          <w:color w:val="auto"/>
        </w:rPr>
        <w:t>g</w:t>
      </w:r>
      <w:r w:rsidRPr="0066668B">
        <w:rPr>
          <w:rFonts w:cstheme="minorHAnsi"/>
          <w:caps w:val="0"/>
          <w:color w:val="auto"/>
        </w:rPr>
        <w:t>overnment on issues related to the aviation industry’s transition to net zero.</w:t>
      </w:r>
    </w:p>
    <w:p w14:paraId="347BF5A3" w14:textId="5CBCFBFA" w:rsidR="00975331" w:rsidRPr="005F794B" w:rsidRDefault="00975331" w:rsidP="00975331">
      <w:pPr>
        <w:pStyle w:val="Heading2"/>
      </w:pPr>
      <w:r>
        <w:t>Actions from now until 2050</w:t>
      </w:r>
    </w:p>
    <w:p w14:paraId="53C47783" w14:textId="77777777" w:rsidR="00975331" w:rsidRPr="00067304" w:rsidRDefault="00975331" w:rsidP="00067304">
      <w:pPr>
        <w:pStyle w:val="Introduction"/>
      </w:pPr>
      <w:bookmarkStart w:id="454" w:name="_Hlk172025188"/>
      <w:r w:rsidRPr="00067304">
        <w:t>Committing to SAF production and enabling an Australian SAF market through:</w:t>
      </w:r>
    </w:p>
    <w:bookmarkEnd w:id="454"/>
    <w:p w14:paraId="3CDE10F6" w14:textId="77777777" w:rsidR="00067304" w:rsidRPr="00067304" w:rsidRDefault="00975331" w:rsidP="00975331">
      <w:pPr>
        <w:pStyle w:val="Bullet1"/>
      </w:pPr>
      <w:r>
        <w:rPr>
          <w:b/>
        </w:rPr>
        <w:t>Developing</w:t>
      </w:r>
      <w:r w:rsidRPr="00A43757">
        <w:rPr>
          <w:b/>
        </w:rPr>
        <w:t xml:space="preserve"> a certification scheme for </w:t>
      </w:r>
      <w:r>
        <w:rPr>
          <w:b/>
        </w:rPr>
        <w:t xml:space="preserve">LCLF. </w:t>
      </w:r>
    </w:p>
    <w:p w14:paraId="3329B562" w14:textId="2641942C" w:rsidR="00975331" w:rsidRDefault="00975331" w:rsidP="00067304">
      <w:pPr>
        <w:pStyle w:val="Bullet1"/>
        <w:numPr>
          <w:ilvl w:val="0"/>
          <w:numId w:val="0"/>
        </w:numPr>
        <w:ind w:left="284"/>
      </w:pPr>
      <w:r>
        <w:t>We</w:t>
      </w:r>
      <w:r w:rsidRPr="00DB0870">
        <w:t xml:space="preserve"> will extend the </w:t>
      </w:r>
      <w:hyperlink r:id="rId22" w:history="1">
        <w:r w:rsidRPr="00DB0870">
          <w:rPr>
            <w:rStyle w:val="Hyperlink"/>
            <w:rFonts w:ascii="Calibri" w:hAnsi="Calibri" w:cs="Calibri"/>
          </w:rPr>
          <w:t>Guarantee of Origin scheme</w:t>
        </w:r>
      </w:hyperlink>
      <w:r w:rsidRPr="00DB0870">
        <w:t xml:space="preserve"> to LCLF to provide a robust, internationally aligned framework for tracking and verifying the emissions intensity and production methods of these fuels</w:t>
      </w:r>
      <w:r>
        <w:t>.</w:t>
      </w:r>
      <w:r w:rsidRPr="00DB0870">
        <w:t xml:space="preserve"> </w:t>
      </w:r>
      <w:r>
        <w:t>This will provide assurance to</w:t>
      </w:r>
      <w:r w:rsidRPr="00DB0870">
        <w:t xml:space="preserve"> fuel producers and consumers of the emissions and sustainability credentials of SAF</w:t>
      </w:r>
      <w:r>
        <w:t xml:space="preserve"> and renewable diesel.</w:t>
      </w:r>
    </w:p>
    <w:p w14:paraId="3CD7E085" w14:textId="77777777" w:rsidR="00067304" w:rsidRDefault="00975331" w:rsidP="00067304">
      <w:pPr>
        <w:pStyle w:val="Bullet1"/>
        <w:rPr>
          <w:b/>
        </w:rPr>
      </w:pPr>
      <w:r w:rsidRPr="00067304">
        <w:rPr>
          <w:b/>
        </w:rPr>
        <w:t xml:space="preserve">Identifying options for supply and demand-side measures to support a Future Made in Australia LCLF industry. </w:t>
      </w:r>
    </w:p>
    <w:p w14:paraId="077C34C7" w14:textId="6EDA03FD" w:rsidR="00975331" w:rsidRPr="00067304" w:rsidRDefault="00975331" w:rsidP="00067304">
      <w:pPr>
        <w:pStyle w:val="Bullet1"/>
        <w:numPr>
          <w:ilvl w:val="0"/>
          <w:numId w:val="0"/>
        </w:numPr>
        <w:ind w:left="284"/>
        <w:rPr>
          <w:b/>
        </w:rPr>
      </w:pPr>
      <w:r>
        <w:t>We have consulted</w:t>
      </w:r>
      <w:r w:rsidRPr="0071163A">
        <w:t xml:space="preserve"> on the optimal policy mix</w:t>
      </w:r>
      <w:r>
        <w:t xml:space="preserve"> on </w:t>
      </w:r>
      <w:r w:rsidRPr="0071163A">
        <w:t>the design of production incentives and demand-side options and the interaction of these measures</w:t>
      </w:r>
      <w:r>
        <w:t xml:space="preserve">. This will </w:t>
      </w:r>
      <w:r w:rsidRPr="0071163A">
        <w:t xml:space="preserve">ensure Australia has appropriate policy settings to encourage the growth of </w:t>
      </w:r>
      <w:r>
        <w:t>the LCLF</w:t>
      </w:r>
      <w:r w:rsidRPr="0071163A">
        <w:t xml:space="preserve"> industry in a way that delivers compelling public value while minimising price impacts and promoting competition.</w:t>
      </w:r>
      <w:r>
        <w:t xml:space="preserve"> </w:t>
      </w:r>
      <w:r>
        <w:tab/>
      </w:r>
    </w:p>
    <w:p w14:paraId="148750C0" w14:textId="77777777" w:rsidR="00067304" w:rsidRPr="00067304" w:rsidRDefault="00975331" w:rsidP="00975331">
      <w:pPr>
        <w:pStyle w:val="Bullet1"/>
      </w:pPr>
      <w:r>
        <w:rPr>
          <w:b/>
        </w:rPr>
        <w:t>Undertaking</w:t>
      </w:r>
      <w:r w:rsidRPr="00A43757">
        <w:rPr>
          <w:b/>
        </w:rPr>
        <w:t xml:space="preserve"> further assessment before deciding on a SAF mandate</w:t>
      </w:r>
      <w:r>
        <w:rPr>
          <w:b/>
        </w:rPr>
        <w:t>.</w:t>
      </w:r>
    </w:p>
    <w:p w14:paraId="430158E9" w14:textId="537D99EF" w:rsidR="00975331" w:rsidRDefault="00975331" w:rsidP="00067304">
      <w:pPr>
        <w:pStyle w:val="Bullet1"/>
        <w:numPr>
          <w:ilvl w:val="0"/>
          <w:numId w:val="0"/>
        </w:numPr>
        <w:ind w:left="284"/>
      </w:pPr>
      <w:r>
        <w:t>We</w:t>
      </w:r>
      <w:r w:rsidRPr="00A43757">
        <w:t xml:space="preserve"> </w:t>
      </w:r>
      <w:r>
        <w:t>are undertaking</w:t>
      </w:r>
      <w:r w:rsidRPr="00A43757">
        <w:t xml:space="preserve"> </w:t>
      </w:r>
      <w:r>
        <w:t xml:space="preserve">an </w:t>
      </w:r>
      <w:r w:rsidRPr="00A43757">
        <w:t xml:space="preserve">impact analysis </w:t>
      </w:r>
      <w:r>
        <w:t xml:space="preserve">process </w:t>
      </w:r>
      <w:r w:rsidRPr="00A43757">
        <w:t xml:space="preserve">to inform a decision on </w:t>
      </w:r>
      <w:r>
        <w:t xml:space="preserve">a </w:t>
      </w:r>
      <w:r w:rsidRPr="00A43757">
        <w:t xml:space="preserve">SAF or LCLF mandate. The </w:t>
      </w:r>
      <w:r>
        <w:t>impact analysis</w:t>
      </w:r>
      <w:r w:rsidRPr="00A43757">
        <w:t xml:space="preserve"> will seek feedback on </w:t>
      </w:r>
      <w:r>
        <w:t xml:space="preserve">potential </w:t>
      </w:r>
      <w:r w:rsidRPr="00A43757">
        <w:t xml:space="preserve">impacts of </w:t>
      </w:r>
      <w:r>
        <w:t xml:space="preserve">a </w:t>
      </w:r>
      <w:r w:rsidRPr="00A43757">
        <w:t xml:space="preserve">mandate, such as changes in LCLF demand, ticket price impacts, emissions reductions, aviation competition and specific impacts on regional operations and consumers. The </w:t>
      </w:r>
      <w:r>
        <w:t>impact analysis</w:t>
      </w:r>
      <w:r w:rsidRPr="00A43757">
        <w:t xml:space="preserve"> will also consider options of creating a target rather than a mandate. </w:t>
      </w:r>
    </w:p>
    <w:p w14:paraId="25BCB957" w14:textId="77777777" w:rsidR="00975331" w:rsidRDefault="00975331" w:rsidP="00975331">
      <w:pPr>
        <w:pStyle w:val="Bullet1"/>
      </w:pPr>
      <w:r w:rsidRPr="006C5804">
        <w:rPr>
          <w:b/>
        </w:rPr>
        <w:t>Supporting nascent net zero production technologies</w:t>
      </w:r>
      <w:r>
        <w:t>.</w:t>
      </w:r>
    </w:p>
    <w:p w14:paraId="541EF826" w14:textId="77777777" w:rsidR="00975331" w:rsidRDefault="00975331" w:rsidP="00067304">
      <w:pPr>
        <w:pStyle w:val="Bullet1"/>
        <w:numPr>
          <w:ilvl w:val="0"/>
          <w:numId w:val="0"/>
        </w:numPr>
        <w:ind w:left="284"/>
      </w:pPr>
      <w:r>
        <w:t xml:space="preserve">We will invest </w:t>
      </w:r>
      <w:r w:rsidRPr="0067171D">
        <w:t>$1.7 billion over the next decade in the Future Made in Australia Innovation Fund, to support the Australian Renewable Energy Agency to commercialise net zero innovations including low</w:t>
      </w:r>
      <w:r>
        <w:t xml:space="preserve"> </w:t>
      </w:r>
      <w:r w:rsidRPr="0067171D">
        <w:t>carbon liquid fuels</w:t>
      </w:r>
      <w:r>
        <w:t>.</w:t>
      </w:r>
    </w:p>
    <w:p w14:paraId="317E9007" w14:textId="77777777" w:rsidR="00067304" w:rsidRPr="00067304" w:rsidRDefault="00975331" w:rsidP="00975331">
      <w:pPr>
        <w:pStyle w:val="Bullet1"/>
      </w:pPr>
      <w:r>
        <w:rPr>
          <w:b/>
        </w:rPr>
        <w:t>C</w:t>
      </w:r>
      <w:r w:rsidRPr="00A43757">
        <w:rPr>
          <w:b/>
        </w:rPr>
        <w:t>onsidering amendments to emissions accounting arrangements</w:t>
      </w:r>
      <w:r>
        <w:rPr>
          <w:b/>
        </w:rPr>
        <w:t xml:space="preserve">. </w:t>
      </w:r>
    </w:p>
    <w:p w14:paraId="4322B6D3" w14:textId="4CCB6215" w:rsidR="00975331" w:rsidRPr="00A43757" w:rsidRDefault="00975331" w:rsidP="00067304">
      <w:pPr>
        <w:pStyle w:val="Bullet1"/>
        <w:numPr>
          <w:ilvl w:val="0"/>
          <w:numId w:val="0"/>
        </w:numPr>
        <w:ind w:left="284"/>
      </w:pPr>
      <w:r w:rsidRPr="00A43757">
        <w:t>The Department of Climate Change, Energy, the Environment and Water is considering new arrangements to provide more flexibility to account for SAF use in emissions inventories.</w:t>
      </w:r>
    </w:p>
    <w:p w14:paraId="25CCA182" w14:textId="77777777" w:rsidR="00975331" w:rsidRPr="00067304" w:rsidRDefault="00975331" w:rsidP="00067304">
      <w:pPr>
        <w:pStyle w:val="Introduction"/>
      </w:pPr>
      <w:r w:rsidRPr="00067304">
        <w:t>Supporting development of alternative low emissions technologies through:</w:t>
      </w:r>
    </w:p>
    <w:p w14:paraId="3E628378" w14:textId="77777777" w:rsidR="00067304" w:rsidRDefault="00975331" w:rsidP="00975331">
      <w:pPr>
        <w:pStyle w:val="Bullet1"/>
        <w:rPr>
          <w:b/>
        </w:rPr>
      </w:pPr>
      <w:r>
        <w:rPr>
          <w:b/>
        </w:rPr>
        <w:t>R</w:t>
      </w:r>
      <w:r w:rsidRPr="002D7683">
        <w:rPr>
          <w:b/>
        </w:rPr>
        <w:t>esearch and development of new low emissions technologies such as electric and hydrogen aircraft</w:t>
      </w:r>
      <w:r>
        <w:rPr>
          <w:b/>
        </w:rPr>
        <w:t xml:space="preserve"> through grant programs</w:t>
      </w:r>
      <w:r w:rsidRPr="002D7683">
        <w:rPr>
          <w:b/>
        </w:rPr>
        <w:t xml:space="preserve">. </w:t>
      </w:r>
    </w:p>
    <w:p w14:paraId="365CBE6F" w14:textId="36B0F98E" w:rsidR="00975331" w:rsidRPr="002D7683" w:rsidRDefault="00975331" w:rsidP="00067304">
      <w:pPr>
        <w:pStyle w:val="Bullet1"/>
        <w:numPr>
          <w:ilvl w:val="0"/>
          <w:numId w:val="0"/>
        </w:numPr>
        <w:ind w:left="284"/>
        <w:rPr>
          <w:b/>
        </w:rPr>
      </w:pPr>
      <w:r>
        <w:t>Our</w:t>
      </w:r>
      <w:r w:rsidRPr="002D7683">
        <w:t xml:space="preserve"> </w:t>
      </w:r>
      <w:hyperlink r:id="rId23" w:history="1">
        <w:r w:rsidRPr="001145BC">
          <w:rPr>
            <w:rStyle w:val="Hyperlink"/>
            <w:rFonts w:ascii="Calibri" w:hAnsi="Calibri" w:cs="Calibri"/>
          </w:rPr>
          <w:t>Emerging Aviation Technology Partnership Program</w:t>
        </w:r>
      </w:hyperlink>
      <w:r w:rsidRPr="002D7683">
        <w:t xml:space="preserve"> supports research into and development of low or zero emissions technologies with potential applications in conventional aviation. This includes trials of low </w:t>
      </w:r>
      <w:r w:rsidRPr="002D7683">
        <w:lastRenderedPageBreak/>
        <w:t xml:space="preserve">or zero emissions aircraft </w:t>
      </w:r>
      <w:r>
        <w:t>(</w:t>
      </w:r>
      <w:r w:rsidRPr="002D7683">
        <w:t>and supporting infrastructure</w:t>
      </w:r>
      <w:r>
        <w:t>),</w:t>
      </w:r>
      <w:r w:rsidRPr="002D7683">
        <w:t xml:space="preserve"> particularly those that use aviation propulsions other than jet fuel, such as batteries and hydrogen.</w:t>
      </w:r>
    </w:p>
    <w:p w14:paraId="7C95F46B" w14:textId="77777777" w:rsidR="00067304" w:rsidRDefault="00975331" w:rsidP="00975331">
      <w:pPr>
        <w:pStyle w:val="Bullet1"/>
        <w:rPr>
          <w:b/>
        </w:rPr>
      </w:pPr>
      <w:r>
        <w:rPr>
          <w:b/>
        </w:rPr>
        <w:t>Establishing t</w:t>
      </w:r>
      <w:r w:rsidRPr="002D7683">
        <w:rPr>
          <w:b/>
        </w:rPr>
        <w:t xml:space="preserve">he </w:t>
      </w:r>
      <w:hyperlink r:id="rId24" w:history="1">
        <w:r w:rsidRPr="001145BC">
          <w:rPr>
            <w:rStyle w:val="Hyperlink"/>
            <w:rFonts w:ascii="Calibri" w:hAnsi="Calibri" w:cs="Calibri"/>
            <w:b/>
          </w:rPr>
          <w:t>National Reconstruction Fund Corporation (NRFC)</w:t>
        </w:r>
      </w:hyperlink>
      <w:r w:rsidRPr="002D7683">
        <w:rPr>
          <w:b/>
        </w:rPr>
        <w:t xml:space="preserve"> </w:t>
      </w:r>
      <w:r>
        <w:rPr>
          <w:b/>
        </w:rPr>
        <w:t>to</w:t>
      </w:r>
      <w:r w:rsidRPr="002D7683">
        <w:rPr>
          <w:b/>
        </w:rPr>
        <w:t xml:space="preserve"> provide finance for projects that diversify and transform Australia’s industry and economy, including for renewables</w:t>
      </w:r>
      <w:r>
        <w:rPr>
          <w:b/>
        </w:rPr>
        <w:t xml:space="preserve">, </w:t>
      </w:r>
      <w:r w:rsidRPr="002D7683">
        <w:rPr>
          <w:b/>
        </w:rPr>
        <w:t>low emission technologies, and transport.</w:t>
      </w:r>
    </w:p>
    <w:p w14:paraId="1F0289BC" w14:textId="2A6B973E" w:rsidR="00975331" w:rsidRDefault="00975331" w:rsidP="00067304">
      <w:pPr>
        <w:pStyle w:val="Bullet1"/>
        <w:numPr>
          <w:ilvl w:val="0"/>
          <w:numId w:val="0"/>
        </w:numPr>
        <w:ind w:left="284"/>
        <w:rPr>
          <w:b/>
        </w:rPr>
      </w:pPr>
      <w:r w:rsidRPr="002D7683">
        <w:t>The NRF</w:t>
      </w:r>
      <w:r>
        <w:t>C</w:t>
      </w:r>
      <w:r w:rsidRPr="002D7683">
        <w:t xml:space="preserve"> will provide a range of finance options including debt and equity. The NRFC is an independent financier that operates commercially to deliver a positive rate of return. It is governed by a board which will make independent investment decisions guided by an investment mandate.</w:t>
      </w:r>
    </w:p>
    <w:p w14:paraId="3F6AA9DE" w14:textId="77777777" w:rsidR="00975331" w:rsidRPr="00DB0870" w:rsidRDefault="00975331" w:rsidP="00067304">
      <w:pPr>
        <w:pStyle w:val="Introduction"/>
      </w:pPr>
      <w:r w:rsidRPr="00DB0870">
        <w:t>Encouraging the broader aviation industry to decarbonise</w:t>
      </w:r>
      <w:r>
        <w:t xml:space="preserve"> through</w:t>
      </w:r>
      <w:r w:rsidRPr="00DB0870">
        <w:t>:</w:t>
      </w:r>
    </w:p>
    <w:p w14:paraId="32FB3E2D" w14:textId="77777777" w:rsidR="00067304" w:rsidRPr="00067304" w:rsidRDefault="00975331" w:rsidP="00975331">
      <w:pPr>
        <w:pStyle w:val="Bullet1"/>
      </w:pPr>
      <w:r>
        <w:rPr>
          <w:b/>
        </w:rPr>
        <w:t xml:space="preserve">Developing advice on </w:t>
      </w:r>
      <w:r w:rsidRPr="00625024">
        <w:rPr>
          <w:b/>
        </w:rPr>
        <w:t>measures airports can take to decarbonise</w:t>
      </w:r>
      <w:r>
        <w:rPr>
          <w:b/>
        </w:rPr>
        <w:t xml:space="preserve"> through t</w:t>
      </w:r>
      <w:r w:rsidRPr="00625024">
        <w:rPr>
          <w:b/>
        </w:rPr>
        <w:t>he Australian Jet Zero Council</w:t>
      </w:r>
      <w:r>
        <w:rPr>
          <w:b/>
        </w:rPr>
        <w:t>.</w:t>
      </w:r>
    </w:p>
    <w:p w14:paraId="7A0388CE" w14:textId="0FBF2501" w:rsidR="00975331" w:rsidRPr="00515DE4" w:rsidRDefault="00975331" w:rsidP="00067304">
      <w:pPr>
        <w:pStyle w:val="Bullet1"/>
        <w:numPr>
          <w:ilvl w:val="0"/>
          <w:numId w:val="0"/>
        </w:numPr>
        <w:ind w:left="284"/>
      </w:pPr>
      <w:r w:rsidRPr="00515DE4">
        <w:t xml:space="preserve">The </w:t>
      </w:r>
      <w:r>
        <w:t>c</w:t>
      </w:r>
      <w:r w:rsidRPr="00515DE4">
        <w:t xml:space="preserve">ouncil’s work will identify better practices, showcase and </w:t>
      </w:r>
      <w:r>
        <w:t>promote</w:t>
      </w:r>
      <w:r w:rsidRPr="00515DE4">
        <w:t xml:space="preserve"> those practices to encourage uptake across the industry.</w:t>
      </w:r>
    </w:p>
    <w:p w14:paraId="31FBBD15" w14:textId="77777777" w:rsidR="00067304" w:rsidRPr="00067304" w:rsidRDefault="00975331" w:rsidP="00975331">
      <w:pPr>
        <w:pStyle w:val="Bullet1"/>
      </w:pPr>
      <w:r>
        <w:rPr>
          <w:b/>
        </w:rPr>
        <w:t xml:space="preserve">Amending the </w:t>
      </w:r>
      <w:hyperlink r:id="rId25" w:history="1">
        <w:r w:rsidRPr="00436C31">
          <w:rPr>
            <w:rStyle w:val="Hyperlink"/>
            <w:b/>
          </w:rPr>
          <w:t xml:space="preserve">Airports Regulations </w:t>
        </w:r>
        <w:r>
          <w:rPr>
            <w:rStyle w:val="Hyperlink"/>
            <w:b/>
          </w:rPr>
          <w:t>2024</w:t>
        </w:r>
      </w:hyperlink>
      <w:r>
        <w:rPr>
          <w:b/>
        </w:rPr>
        <w:t xml:space="preserve"> to require airport master plans to include information on how long-term planning will address decarbonisation. </w:t>
      </w:r>
    </w:p>
    <w:p w14:paraId="74A43AE6" w14:textId="5659115B" w:rsidR="00975331" w:rsidRDefault="00975331" w:rsidP="00067304">
      <w:pPr>
        <w:pStyle w:val="Bullet1"/>
        <w:numPr>
          <w:ilvl w:val="0"/>
          <w:numId w:val="0"/>
        </w:numPr>
        <w:ind w:left="284"/>
      </w:pPr>
      <w:r>
        <w:t>The new rules will allow the</w:t>
      </w:r>
      <w:r w:rsidRPr="00625024">
        <w:t xml:space="preserve"> Minister for Infrastructure, Transport, Regional Development and Local Government </w:t>
      </w:r>
      <w:r>
        <w:t xml:space="preserve">to consider </w:t>
      </w:r>
      <w:r w:rsidRPr="00625024">
        <w:t>the suitability of the airport’s sustainability and decarbonisation initiatives</w:t>
      </w:r>
      <w:r>
        <w:t xml:space="preserve"> </w:t>
      </w:r>
      <w:r w:rsidRPr="00625024">
        <w:t xml:space="preserve">when making decisions about </w:t>
      </w:r>
      <w:r>
        <w:t>m</w:t>
      </w:r>
      <w:r w:rsidRPr="00625024">
        <w:t xml:space="preserve">aster </w:t>
      </w:r>
      <w:r>
        <w:t>p</w:t>
      </w:r>
      <w:r w:rsidRPr="00625024">
        <w:t xml:space="preserve">lans and </w:t>
      </w:r>
      <w:r>
        <w:t>m</w:t>
      </w:r>
      <w:r w:rsidRPr="00625024">
        <w:t xml:space="preserve">ajor </w:t>
      </w:r>
      <w:r>
        <w:t>d</w:t>
      </w:r>
      <w:r w:rsidRPr="00625024">
        <w:t xml:space="preserve">evelopment </w:t>
      </w:r>
      <w:r>
        <w:t>p</w:t>
      </w:r>
      <w:r w:rsidRPr="00625024">
        <w:t>lans</w:t>
      </w:r>
      <w:r>
        <w:t xml:space="preserve"> of leased federal airports.</w:t>
      </w:r>
      <w:r w:rsidRPr="00625024">
        <w:t xml:space="preserve"> </w:t>
      </w:r>
    </w:p>
    <w:p w14:paraId="3E248BF6" w14:textId="77777777" w:rsidR="00067304" w:rsidRPr="00067304" w:rsidRDefault="00975331" w:rsidP="00975331">
      <w:pPr>
        <w:pStyle w:val="Bullet1"/>
      </w:pPr>
      <w:r>
        <w:rPr>
          <w:b/>
        </w:rPr>
        <w:t xml:space="preserve">We will expand the </w:t>
      </w:r>
      <w:hyperlink r:id="rId26" w:history="1">
        <w:r w:rsidRPr="002F0BE0">
          <w:rPr>
            <w:rStyle w:val="Hyperlink"/>
            <w:b/>
          </w:rPr>
          <w:t>Regional Airports Program</w:t>
        </w:r>
      </w:hyperlink>
      <w:r>
        <w:rPr>
          <w:b/>
        </w:rPr>
        <w:t xml:space="preserve"> to enable funding for infrastructure programs that support aviation’s net zero transition. </w:t>
      </w:r>
    </w:p>
    <w:p w14:paraId="5B747154" w14:textId="21CC855A" w:rsidR="00975331" w:rsidRDefault="00975331" w:rsidP="00067304">
      <w:pPr>
        <w:pStyle w:val="Bullet1"/>
        <w:numPr>
          <w:ilvl w:val="0"/>
          <w:numId w:val="0"/>
        </w:numPr>
        <w:ind w:left="284"/>
      </w:pPr>
      <w:r>
        <w:t xml:space="preserve">We will provide an additional $40 million over the next 3 years to support activities such as the installation or upgrade of infrastructure to enable deployment of new low and zero emission aviation. </w:t>
      </w:r>
    </w:p>
    <w:p w14:paraId="1D2C9363" w14:textId="77777777" w:rsidR="00975331" w:rsidRPr="00DB0870" w:rsidRDefault="00975331" w:rsidP="00067304">
      <w:pPr>
        <w:pStyle w:val="Introduction"/>
      </w:pPr>
      <w:r w:rsidRPr="00DB0870">
        <w:t>Working with international partners to support decarbonisation of international aviation</w:t>
      </w:r>
      <w:r>
        <w:t xml:space="preserve"> through</w:t>
      </w:r>
      <w:r w:rsidRPr="00DB0870">
        <w:t>:</w:t>
      </w:r>
    </w:p>
    <w:p w14:paraId="2DA9890F" w14:textId="77777777" w:rsidR="00067304" w:rsidRDefault="00975331" w:rsidP="00975331">
      <w:pPr>
        <w:pStyle w:val="Bullet1"/>
        <w:rPr>
          <w:b/>
        </w:rPr>
      </w:pPr>
      <w:r>
        <w:rPr>
          <w:b/>
        </w:rPr>
        <w:t xml:space="preserve">Continued engagement with the International Civil Aviation Organization (ICAO) to support decarbonisation of aviation. </w:t>
      </w:r>
    </w:p>
    <w:p w14:paraId="521EF7B5" w14:textId="0A886579" w:rsidR="00975331" w:rsidRPr="00220299" w:rsidRDefault="00975331" w:rsidP="00067304">
      <w:pPr>
        <w:pStyle w:val="Bullet1"/>
        <w:numPr>
          <w:ilvl w:val="0"/>
          <w:numId w:val="0"/>
        </w:numPr>
        <w:ind w:left="284"/>
        <w:rPr>
          <w:b/>
        </w:rPr>
      </w:pPr>
      <w:r w:rsidRPr="00220299">
        <w:t xml:space="preserve">Australia strongly supports ICAO’s goal of carbon neutral growth for the international aviation industry </w:t>
      </w:r>
      <w:r>
        <w:t>(</w:t>
      </w:r>
      <w:r w:rsidRPr="00220299">
        <w:t>from a 2020 emissions baseline</w:t>
      </w:r>
      <w:r>
        <w:t>)</w:t>
      </w:r>
      <w:r w:rsidRPr="00220299">
        <w:t xml:space="preserve">. At ICAO’s Third Conference on Aviation Alternative Fuels CAAF/3, held in November 2023, </w:t>
      </w:r>
      <w:r>
        <w:t xml:space="preserve">Australia, along with the other </w:t>
      </w:r>
      <w:r w:rsidRPr="00220299">
        <w:t>member states, agreed a new Global Framework to facilitate the scaling up of SAF, lower carbon aviation fuels and other cleaner energies</w:t>
      </w:r>
      <w:r>
        <w:t>. This included agreeing to</w:t>
      </w:r>
      <w:r w:rsidRPr="00220299">
        <w:t xml:space="preserve"> reduce CO</w:t>
      </w:r>
      <w:r w:rsidRPr="001F0BBF">
        <w:rPr>
          <w:vertAlign w:val="subscript"/>
        </w:rPr>
        <w:t>2</w:t>
      </w:r>
      <w:r w:rsidRPr="00220299">
        <w:t xml:space="preserve"> emissions in international aviation by 5</w:t>
      </w:r>
      <w:r>
        <w:t>%</w:t>
      </w:r>
      <w:r w:rsidRPr="00220299">
        <w:t xml:space="preserve"> by 2030.</w:t>
      </w:r>
    </w:p>
    <w:p w14:paraId="58B88F5E" w14:textId="77777777" w:rsidR="00067304" w:rsidRPr="00067304" w:rsidRDefault="00975331" w:rsidP="00975331">
      <w:pPr>
        <w:pStyle w:val="Bullet1"/>
      </w:pPr>
      <w:r>
        <w:rPr>
          <w:b/>
        </w:rPr>
        <w:t>Supporting</w:t>
      </w:r>
      <w:r w:rsidRPr="001F0BBF">
        <w:rPr>
          <w:b/>
        </w:rPr>
        <w:t xml:space="preserve"> the Carbon Offsetting and Reduction Scheme for International Aviation (CORSIA)</w:t>
      </w:r>
      <w:r>
        <w:rPr>
          <w:b/>
        </w:rPr>
        <w:t>.</w:t>
      </w:r>
      <w:r w:rsidRPr="001F0BBF">
        <w:rPr>
          <w:b/>
        </w:rPr>
        <w:t xml:space="preserve"> </w:t>
      </w:r>
    </w:p>
    <w:p w14:paraId="0911C42F" w14:textId="5D9FDB9A" w:rsidR="00975331" w:rsidRDefault="00975331" w:rsidP="00067304">
      <w:pPr>
        <w:pStyle w:val="Bullet1"/>
        <w:numPr>
          <w:ilvl w:val="0"/>
          <w:numId w:val="0"/>
        </w:numPr>
        <w:ind w:left="284"/>
      </w:pPr>
      <w:r w:rsidRPr="00515DE4">
        <w:t xml:space="preserve">Australia </w:t>
      </w:r>
      <w:r>
        <w:t>has been supporting CORSIA since its commencement in 2019</w:t>
      </w:r>
      <w:r w:rsidRPr="00515DE4">
        <w:t xml:space="preserve"> as the market-based mechanism to address emissions</w:t>
      </w:r>
      <w:r>
        <w:t>.</w:t>
      </w:r>
      <w:r w:rsidRPr="00515DE4">
        <w:t xml:space="preserve"> Australian international airlines</w:t>
      </w:r>
      <w:r>
        <w:t xml:space="preserve"> have backed this and </w:t>
      </w:r>
      <w:r w:rsidRPr="00515DE4">
        <w:t xml:space="preserve">have been monitoring and reporting emissions under CORSIA since its </w:t>
      </w:r>
      <w:r>
        <w:t>inception.</w:t>
      </w:r>
    </w:p>
    <w:p w14:paraId="35A4A6B7" w14:textId="77777777" w:rsidR="00067304" w:rsidRPr="00067304" w:rsidRDefault="00975331" w:rsidP="00975331">
      <w:pPr>
        <w:pStyle w:val="Bullet1"/>
      </w:pPr>
      <w:r>
        <w:rPr>
          <w:b/>
        </w:rPr>
        <w:t>F</w:t>
      </w:r>
      <w:r w:rsidRPr="001F0BBF">
        <w:rPr>
          <w:b/>
        </w:rPr>
        <w:t>acilitat</w:t>
      </w:r>
      <w:r>
        <w:rPr>
          <w:b/>
        </w:rPr>
        <w:t>ing</w:t>
      </w:r>
      <w:r w:rsidRPr="001F0BBF">
        <w:rPr>
          <w:b/>
        </w:rPr>
        <w:t xml:space="preserve"> SAF uptake in the Asia Pacific region</w:t>
      </w:r>
      <w:r>
        <w:rPr>
          <w:b/>
        </w:rPr>
        <w:t xml:space="preserve"> with our international partners.</w:t>
      </w:r>
      <w:r w:rsidRPr="001F0BBF">
        <w:rPr>
          <w:b/>
        </w:rPr>
        <w:t xml:space="preserve"> </w:t>
      </w:r>
    </w:p>
    <w:p w14:paraId="099FE1FF" w14:textId="44E58ED0" w:rsidR="00975331" w:rsidRDefault="00975331" w:rsidP="00067304">
      <w:pPr>
        <w:pStyle w:val="Bullet1"/>
        <w:numPr>
          <w:ilvl w:val="0"/>
          <w:numId w:val="0"/>
        </w:numPr>
        <w:ind w:left="284"/>
      </w:pPr>
      <w:r w:rsidRPr="00515DE4">
        <w:t>In November 2023, Australia joined its Asia-Pacific Economic Cooperation (APEC) partners in committing to spur the transition to and investment in low and zero emissions transportation in the Asia-Pacific region, including pursuing efforts to accelerate</w:t>
      </w:r>
      <w:r>
        <w:t xml:space="preserve"> the </w:t>
      </w:r>
      <w:r w:rsidRPr="00515DE4">
        <w:t>transition towards SAF.</w:t>
      </w:r>
    </w:p>
    <w:p w14:paraId="163A8759" w14:textId="77777777" w:rsidR="00067304" w:rsidRPr="00067304" w:rsidRDefault="00975331" w:rsidP="00975331">
      <w:pPr>
        <w:pStyle w:val="Bullet1"/>
      </w:pPr>
      <w:r>
        <w:rPr>
          <w:b/>
        </w:rPr>
        <w:t xml:space="preserve">Committing to the </w:t>
      </w:r>
      <w:r>
        <w:rPr>
          <w:b/>
          <w:i/>
        </w:rPr>
        <w:t>Australia-United States Climate, Critical Minerals, and Clean Energy Transformation Compact</w:t>
      </w:r>
      <w:r>
        <w:rPr>
          <w:b/>
        </w:rPr>
        <w:t xml:space="preserve">. </w:t>
      </w:r>
    </w:p>
    <w:p w14:paraId="31466D80" w14:textId="740C4831" w:rsidR="00975331" w:rsidRDefault="00975331" w:rsidP="00067304">
      <w:pPr>
        <w:pStyle w:val="Bullet1"/>
        <w:numPr>
          <w:ilvl w:val="0"/>
          <w:numId w:val="0"/>
        </w:numPr>
        <w:ind w:left="284"/>
      </w:pPr>
      <w:r w:rsidRPr="00515DE4">
        <w:t>Under the Compact, Australia and the United States have committed to the sustainable development of high integrity SAF production to support emissions reductions in the aviation sector and intend to establish information-sharing exchanges on economy-wide emission accounting schemes for products like SAF and hydrogen.</w:t>
      </w:r>
    </w:p>
    <w:p w14:paraId="50FBF9FE" w14:textId="693855F4" w:rsidR="009015ED" w:rsidRPr="005F794B" w:rsidRDefault="009015ED" w:rsidP="009015ED">
      <w:pPr>
        <w:pStyle w:val="Heading2"/>
      </w:pPr>
      <w:r>
        <w:lastRenderedPageBreak/>
        <w:t>Find out more</w:t>
      </w:r>
    </w:p>
    <w:p w14:paraId="6DB2749D" w14:textId="663ADCD1" w:rsidR="009015ED" w:rsidRPr="00B679F4" w:rsidRDefault="009015ED" w:rsidP="009015ED">
      <w:pPr>
        <w:pStyle w:val="Bullet1"/>
      </w:pPr>
      <w:r w:rsidRPr="00A21AD5">
        <w:t xml:space="preserve">Visit our website to read the Aviation White Paper and find out more: </w:t>
      </w:r>
      <w:hyperlink r:id="rId27" w:history="1">
        <w:r w:rsidRPr="00A21AD5">
          <w:rPr>
            <w:rStyle w:val="Hyperlink"/>
          </w:rPr>
          <w:t>infrastructure.gov.au/AviationWhitePaper</w:t>
        </w:r>
      </w:hyperlink>
    </w:p>
    <w:p w14:paraId="36E4185E" w14:textId="2C4F623A" w:rsidR="00430511" w:rsidRDefault="009015ED" w:rsidP="009015ED">
      <w:pPr>
        <w:pStyle w:val="Bullet1"/>
      </w:pPr>
      <w:r w:rsidRPr="00B679F4">
        <w:t xml:space="preserve">Follow us on social media to </w:t>
      </w:r>
      <w:r>
        <w:t>stay</w:t>
      </w:r>
      <w:r w:rsidRPr="00B679F4">
        <w:t xml:space="preserve"> up to date</w:t>
      </w:r>
      <w:r>
        <w:t>:</w:t>
      </w:r>
      <w:r w:rsidRPr="00FB5318">
        <w:t xml:space="preserve"> </w:t>
      </w:r>
      <w:hyperlink r:id="rId28" w:history="1">
        <w:r w:rsidRPr="009015ED">
          <w:rPr>
            <w:rStyle w:val="Hyperlink"/>
          </w:rPr>
          <w:t>infrastructure.</w:t>
        </w:r>
        <w:r w:rsidRPr="009015ED">
          <w:rPr>
            <w:rStyle w:val="Hyperlink"/>
          </w:rPr>
          <w:t>g</w:t>
        </w:r>
        <w:r w:rsidRPr="009015ED">
          <w:rPr>
            <w:rStyle w:val="Hyperlink"/>
          </w:rPr>
          <w:t>ov.au</w:t>
        </w:r>
        <w:r w:rsidRPr="009015ED">
          <w:rPr>
            <w:rStyle w:val="Hyperlink"/>
            <w:lang w:val="en-AU"/>
          </w:rPr>
          <w:t>/department/social-media</w:t>
        </w:r>
      </w:hyperlink>
      <w:r>
        <w:rPr>
          <w:lang w:val="en-AU"/>
        </w:rPr>
        <w:t xml:space="preserve"> </w:t>
      </w:r>
    </w:p>
    <w:sectPr w:rsidR="00430511" w:rsidSect="00D2335F">
      <w:type w:val="continuous"/>
      <w:pgSz w:w="11906" w:h="16838" w:code="9"/>
      <w:pgMar w:top="1021" w:right="1021" w:bottom="1021" w:left="1021" w:header="340"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31759E" w14:textId="77777777" w:rsidR="007E5C86" w:rsidRDefault="007E5C86" w:rsidP="008456D5">
      <w:pPr>
        <w:spacing w:before="0" w:after="0"/>
      </w:pPr>
      <w:r>
        <w:separator/>
      </w:r>
    </w:p>
  </w:endnote>
  <w:endnote w:type="continuationSeparator" w:id="0">
    <w:p w14:paraId="1408446E" w14:textId="77777777" w:rsidR="007E5C86" w:rsidRDefault="007E5C86"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Roboto">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BEBEF" w14:textId="77777777" w:rsidR="00180B5B" w:rsidRDefault="00180B5B" w:rsidP="00180B5B">
    <w:pPr>
      <w:pStyle w:val="Footer"/>
      <w:spacing w:before="720"/>
      <w:jc w:val="right"/>
    </w:pPr>
    <w:r>
      <w:rPr>
        <w:noProof/>
        <w:lang w:eastAsia="en-AU"/>
      </w:rPr>
      <mc:AlternateContent>
        <mc:Choice Requires="wps">
          <w:drawing>
            <wp:inline distT="0" distB="0" distL="0" distR="0" wp14:anchorId="1AE2BFB5" wp14:editId="07E14A64">
              <wp:extent cx="1007280" cy="539280"/>
              <wp:effectExtent l="0" t="0" r="2540" b="0"/>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11568199" w14:textId="77777777" w:rsidR="00180B5B" w:rsidRPr="007A05BE" w:rsidRDefault="00180B5B" w:rsidP="00180B5B">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inline>
          </w:drawing>
        </mc:Choice>
        <mc:Fallback>
          <w:pict>
            <v:shapetype w14:anchorId="1AE2BFB5" id="_x0000_t202" coordsize="21600,21600" o:spt="202" path="m,l,21600r21600,l21600,xe">
              <v:stroke joinstyle="miter"/>
              <v:path gradientshapeok="t" o:connecttype="rect"/>
            </v:shapetype>
            <v:shape id="Text Box 16" o:spid="_x0000_s1026" type="#_x0000_t202" style="width:79.3pt;height:42.4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" filled="f" stroked="f" strokeweight=".5pt">
              <v:textbox inset="18mm,0,0,10mm">
                <w:txbxContent>
                  <w:p w14:paraId="11568199" w14:textId="77777777" w:rsidR="00180B5B" w:rsidRPr="007A05BE" w:rsidRDefault="00180B5B" w:rsidP="00180B5B">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v:textbox>
              <w10:anchorlock/>
            </v:shape>
          </w:pict>
        </mc:Fallback>
      </mc:AlternateContent>
    </w:r>
  </w:p>
  <w:p w14:paraId="41370FA8" w14:textId="77777777" w:rsidR="00C15F0D" w:rsidRDefault="00C15F0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4BC9B" w14:textId="160B39DA" w:rsidR="00AB3238" w:rsidRPr="003C67CE" w:rsidRDefault="007E5C86" w:rsidP="00AB3238">
    <w:pPr>
      <w:pStyle w:val="SecurityMarker"/>
    </w:pPr>
    <w:r>
      <w:fldChar w:fldCharType="begin"/>
    </w:r>
    <w:r>
      <w:instrText xml:space="preserve"> STYLEREF  "Security Marker"  \* MERGEFORMAT </w:instrText>
    </w:r>
    <w:r>
      <w:rPr>
        <w:noProof/>
      </w:rPr>
      <w:fldChar w:fldCharType="end"/>
    </w:r>
  </w:p>
  <w:p w14:paraId="12C44C38" w14:textId="77777777" w:rsidR="00AB3238" w:rsidRDefault="00AB3238" w:rsidP="00AB3238">
    <w:pPr>
      <w:framePr w:w="11907" w:h="284" w:hSpace="181" w:wrap="around" w:vAnchor="page" w:hAnchor="page" w:yAlign="bottom"/>
      <w:spacing w:before="0" w:after="0"/>
    </w:pPr>
    <w:r>
      <w:rPr>
        <w:noProof/>
      </w:rPr>
      <w:drawing>
        <wp:inline distT="0" distB="0" distL="0" distR="0" wp14:anchorId="68EF8451" wp14:editId="24BA0152">
          <wp:extent cx="7562850" cy="177949"/>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2850" cy="177949"/>
                  </a:xfrm>
                  <a:prstGeom prst="rect">
                    <a:avLst/>
                  </a:prstGeom>
                  <a:noFill/>
                  <a:ln>
                    <a:noFill/>
                  </a:ln>
                </pic:spPr>
              </pic:pic>
            </a:graphicData>
          </a:graphic>
        </wp:inline>
      </w:drawing>
    </w:r>
  </w:p>
  <w:p w14:paraId="0FACC5E1" w14:textId="499433D0" w:rsidR="006851B3" w:rsidRPr="00654E6E" w:rsidRDefault="006851B3" w:rsidP="00F83A1E">
    <w:pPr>
      <w:pStyle w:val="Footer"/>
      <w:tabs>
        <w:tab w:val="clear" w:pos="4513"/>
        <w:tab w:val="clear" w:pos="9026"/>
        <w:tab w:val="center" w:pos="4820"/>
        <w:tab w:val="right" w:pos="14742"/>
      </w:tabs>
      <w:spacing w:after="160"/>
      <w:jc w:val="right"/>
      <w:rPr>
        <w:color w:val="auto"/>
      </w:rPr>
    </w:pPr>
    <w:r w:rsidRPr="00654E6E">
      <w:rPr>
        <w:color w:val="auto"/>
        <w:sz w:val="18"/>
        <w:szCs w:val="18"/>
        <w:lang w:val="en-US"/>
      </w:rPr>
      <w:t xml:space="preserve">Page </w:t>
    </w:r>
    <w:r w:rsidRPr="00654E6E">
      <w:rPr>
        <w:color w:val="auto"/>
        <w:sz w:val="18"/>
        <w:szCs w:val="18"/>
        <w:lang w:val="en-US"/>
      </w:rPr>
      <w:fldChar w:fldCharType="begin"/>
    </w:r>
    <w:r w:rsidRPr="00654E6E">
      <w:rPr>
        <w:color w:val="auto"/>
        <w:sz w:val="18"/>
        <w:szCs w:val="18"/>
        <w:lang w:val="en-US"/>
      </w:rPr>
      <w:instrText xml:space="preserve"> PAGE   \* MERGEFORMAT </w:instrText>
    </w:r>
    <w:r w:rsidRPr="00654E6E">
      <w:rPr>
        <w:color w:val="auto"/>
        <w:sz w:val="18"/>
        <w:szCs w:val="18"/>
        <w:lang w:val="en-US"/>
      </w:rPr>
      <w:fldChar w:fldCharType="separate"/>
    </w:r>
    <w:r>
      <w:rPr>
        <w:color w:val="auto"/>
        <w:sz w:val="18"/>
        <w:szCs w:val="18"/>
        <w:lang w:val="en-US"/>
      </w:rPr>
      <w:t>3</w:t>
    </w:r>
    <w:r w:rsidRPr="00654E6E">
      <w:rPr>
        <w:noProof/>
        <w:color w:val="auto"/>
        <w:sz w:val="18"/>
        <w:szCs w:val="18"/>
        <w:lang w:val="en-US"/>
      </w:rPr>
      <w:fldChar w:fldCharType="end"/>
    </w:r>
    <w:r w:rsidRPr="00654E6E">
      <w:rPr>
        <w:noProof/>
        <w:color w:val="auto"/>
        <w:sz w:val="18"/>
        <w:szCs w:val="18"/>
        <w:lang w:val="en-US"/>
      </w:rPr>
      <w:t xml:space="preserve"> of </w:t>
    </w:r>
    <w:r w:rsidRPr="00654E6E">
      <w:rPr>
        <w:noProof/>
        <w:color w:val="auto"/>
        <w:sz w:val="18"/>
        <w:szCs w:val="18"/>
        <w:lang w:val="en-US"/>
      </w:rPr>
      <w:fldChar w:fldCharType="begin"/>
    </w:r>
    <w:r w:rsidRPr="00654E6E">
      <w:rPr>
        <w:noProof/>
        <w:color w:val="auto"/>
        <w:sz w:val="18"/>
        <w:szCs w:val="18"/>
        <w:lang w:val="en-US"/>
      </w:rPr>
      <w:instrText xml:space="preserve"> NUMPAGES   \* MERGEFORMAT </w:instrText>
    </w:r>
    <w:r w:rsidRPr="00654E6E">
      <w:rPr>
        <w:noProof/>
        <w:color w:val="auto"/>
        <w:sz w:val="18"/>
        <w:szCs w:val="18"/>
        <w:lang w:val="en-US"/>
      </w:rPr>
      <w:fldChar w:fldCharType="separate"/>
    </w:r>
    <w:r>
      <w:rPr>
        <w:noProof/>
        <w:color w:val="auto"/>
        <w:sz w:val="18"/>
        <w:szCs w:val="18"/>
        <w:lang w:val="en-US"/>
      </w:rPr>
      <w:t>9</w:t>
    </w:r>
    <w:r w:rsidRPr="00654E6E">
      <w:rPr>
        <w:noProof/>
        <w:color w:val="auto"/>
        <w:sz w:val="18"/>
        <w:szCs w:val="18"/>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6BD62" w14:textId="22A16803" w:rsidR="001D659E" w:rsidRPr="003C67CE" w:rsidRDefault="007E5C86" w:rsidP="001D659E">
    <w:pPr>
      <w:pStyle w:val="SecurityMarker"/>
    </w:pPr>
    <w:r>
      <w:fldChar w:fldCharType="begin"/>
    </w:r>
    <w:r>
      <w:instrText xml:space="preserve"> STYLEREF  "Security Marker"  \* MERGEFORMAT </w:instrText>
    </w:r>
    <w:r>
      <w:rPr>
        <w:noProof/>
      </w:rPr>
      <w:fldChar w:fldCharType="end"/>
    </w:r>
  </w:p>
  <w:p w14:paraId="309C34D7" w14:textId="77777777" w:rsidR="001D659E" w:rsidRDefault="009E7E52" w:rsidP="006B1647">
    <w:pPr>
      <w:framePr w:w="11907" w:h="284" w:hSpace="181" w:wrap="around" w:vAnchor="page" w:hAnchor="page" w:yAlign="bottom"/>
      <w:spacing w:before="0" w:after="0"/>
    </w:pPr>
    <w:r>
      <w:rPr>
        <w:noProof/>
      </w:rPr>
      <w:drawing>
        <wp:inline distT="0" distB="0" distL="0" distR="0" wp14:anchorId="6F1E89B5" wp14:editId="4544EA62">
          <wp:extent cx="7562850" cy="177949"/>
          <wp:effectExtent l="0" t="0" r="0" b="0"/>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2850" cy="177949"/>
                  </a:xfrm>
                  <a:prstGeom prst="rect">
                    <a:avLst/>
                  </a:prstGeom>
                  <a:noFill/>
                  <a:ln>
                    <a:noFill/>
                  </a:ln>
                </pic:spPr>
              </pic:pic>
            </a:graphicData>
          </a:graphic>
        </wp:inline>
      </w:drawing>
    </w:r>
  </w:p>
  <w:p w14:paraId="73A3E695" w14:textId="7F41563E" w:rsidR="006851B3" w:rsidRPr="00654E6E" w:rsidRDefault="006851B3" w:rsidP="00F83A1E">
    <w:pPr>
      <w:pStyle w:val="Footer"/>
      <w:tabs>
        <w:tab w:val="clear" w:pos="4513"/>
        <w:tab w:val="clear" w:pos="9026"/>
        <w:tab w:val="center" w:pos="4820"/>
        <w:tab w:val="right" w:pos="14742"/>
      </w:tabs>
      <w:spacing w:after="160"/>
      <w:jc w:val="right"/>
      <w:rPr>
        <w:color w:val="auto"/>
      </w:rPr>
    </w:pPr>
    <w:r w:rsidRPr="00654E6E">
      <w:rPr>
        <w:color w:val="auto"/>
        <w:sz w:val="18"/>
        <w:szCs w:val="18"/>
        <w:lang w:val="en-US"/>
      </w:rPr>
      <w:tab/>
      <w:t xml:space="preserve">Page </w:t>
    </w:r>
    <w:r w:rsidRPr="00654E6E">
      <w:rPr>
        <w:color w:val="auto"/>
        <w:sz w:val="18"/>
        <w:szCs w:val="18"/>
        <w:lang w:val="en-US"/>
      </w:rPr>
      <w:fldChar w:fldCharType="begin"/>
    </w:r>
    <w:r w:rsidRPr="00654E6E">
      <w:rPr>
        <w:color w:val="auto"/>
        <w:sz w:val="18"/>
        <w:szCs w:val="18"/>
        <w:lang w:val="en-US"/>
      </w:rPr>
      <w:instrText xml:space="preserve"> PAGE   \* MERGEFORMAT </w:instrText>
    </w:r>
    <w:r w:rsidRPr="00654E6E">
      <w:rPr>
        <w:color w:val="auto"/>
        <w:sz w:val="18"/>
        <w:szCs w:val="18"/>
        <w:lang w:val="en-US"/>
      </w:rPr>
      <w:fldChar w:fldCharType="separate"/>
    </w:r>
    <w:r>
      <w:rPr>
        <w:color w:val="auto"/>
        <w:sz w:val="18"/>
        <w:szCs w:val="18"/>
        <w:lang w:val="en-US"/>
      </w:rPr>
      <w:t>3</w:t>
    </w:r>
    <w:r w:rsidRPr="00654E6E">
      <w:rPr>
        <w:noProof/>
        <w:color w:val="auto"/>
        <w:sz w:val="18"/>
        <w:szCs w:val="18"/>
        <w:lang w:val="en-US"/>
      </w:rPr>
      <w:fldChar w:fldCharType="end"/>
    </w:r>
    <w:r w:rsidRPr="00654E6E">
      <w:rPr>
        <w:noProof/>
        <w:color w:val="auto"/>
        <w:sz w:val="18"/>
        <w:szCs w:val="18"/>
        <w:lang w:val="en-US"/>
      </w:rPr>
      <w:t xml:space="preserve"> of </w:t>
    </w:r>
    <w:r w:rsidRPr="00654E6E">
      <w:rPr>
        <w:noProof/>
        <w:color w:val="auto"/>
        <w:sz w:val="18"/>
        <w:szCs w:val="18"/>
        <w:lang w:val="en-US"/>
      </w:rPr>
      <w:fldChar w:fldCharType="begin"/>
    </w:r>
    <w:r w:rsidRPr="00654E6E">
      <w:rPr>
        <w:noProof/>
        <w:color w:val="auto"/>
        <w:sz w:val="18"/>
        <w:szCs w:val="18"/>
        <w:lang w:val="en-US"/>
      </w:rPr>
      <w:instrText xml:space="preserve"> NUMPAGES   \* MERGEFORMAT </w:instrText>
    </w:r>
    <w:r w:rsidRPr="00654E6E">
      <w:rPr>
        <w:noProof/>
        <w:color w:val="auto"/>
        <w:sz w:val="18"/>
        <w:szCs w:val="18"/>
        <w:lang w:val="en-US"/>
      </w:rPr>
      <w:fldChar w:fldCharType="separate"/>
    </w:r>
    <w:r>
      <w:rPr>
        <w:noProof/>
        <w:color w:val="auto"/>
        <w:sz w:val="18"/>
        <w:szCs w:val="18"/>
        <w:lang w:val="en-US"/>
      </w:rPr>
      <w:t>9</w:t>
    </w:r>
    <w:r w:rsidRPr="00654E6E">
      <w:rPr>
        <w:noProof/>
        <w:color w:val="auto"/>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C565B0" w14:textId="77777777" w:rsidR="007E5C86" w:rsidRPr="00EF7FF3" w:rsidRDefault="007E5C86" w:rsidP="005912BE">
      <w:pPr>
        <w:spacing w:before="300"/>
        <w:rPr>
          <w:color w:val="081E3E" w:themeColor="text2"/>
        </w:rPr>
      </w:pPr>
      <w:r w:rsidRPr="00EF7FF3">
        <w:rPr>
          <w:color w:val="081E3E" w:themeColor="text2"/>
        </w:rPr>
        <w:t>----------</w:t>
      </w:r>
    </w:p>
  </w:footnote>
  <w:footnote w:type="continuationSeparator" w:id="0">
    <w:p w14:paraId="19A9AC3B" w14:textId="77777777" w:rsidR="007E5C86" w:rsidRDefault="007E5C86" w:rsidP="008456D5">
      <w:pPr>
        <w:spacing w:before="0" w:after="0"/>
      </w:pPr>
      <w:r>
        <w:continuationSeparator/>
      </w:r>
    </w:p>
  </w:footnote>
  <w:footnote w:type="continuationNotice" w:id="1">
    <w:p w14:paraId="6636A1D6" w14:textId="77777777" w:rsidR="007E5C86" w:rsidRDefault="007E5C86">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A5655F" w14:textId="6923D9DF" w:rsidR="00180B5B" w:rsidRDefault="007E5C86" w:rsidP="00180B5B">
    <w:pPr>
      <w:pStyle w:val="Header"/>
      <w:spacing w:after="1320"/>
      <w:jc w:val="left"/>
    </w:pPr>
    <w:r>
      <w:fldChar w:fldCharType="begin"/>
    </w:r>
    <w:r>
      <w:instrText xml:space="preserve"> STYLEREF  "Heading 1" \l  \* MERGEFORMAT </w:instrText>
    </w:r>
    <w:r>
      <w:fldChar w:fldCharType="separate"/>
    </w:r>
    <w:r w:rsidR="002E45FD">
      <w:rPr>
        <w:noProof/>
      </w:rPr>
      <w:t>Heading 1</w:t>
    </w:r>
    <w:r>
      <w:rPr>
        <w:noProof/>
      </w:rPr>
      <w:fldChar w:fldCharType="end"/>
    </w:r>
  </w:p>
  <w:p w14:paraId="692ECA58" w14:textId="77777777" w:rsidR="00C15F0D" w:rsidRDefault="00C15F0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3102A" w14:textId="10241201" w:rsidR="002229F7" w:rsidRDefault="007E5C86" w:rsidP="001D659E">
    <w:pPr>
      <w:pStyle w:val="SecurityMarker"/>
    </w:pPr>
    <w:r>
      <w:fldChar w:fldCharType="begin"/>
    </w:r>
    <w:r>
      <w:instrText xml:space="preserve"> STYLEREF  "Security Marker"  \* MERGEFORMAT </w:instrTex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77668" w14:textId="77777777" w:rsidR="00D2335F" w:rsidRDefault="00D2335F" w:rsidP="00D2335F">
    <w:pPr>
      <w:framePr w:w="11907" w:h="3062" w:wrap="around" w:vAnchor="page" w:hAnchor="page" w:x="12" w:yAlign="top" w:anchorLock="1"/>
      <w:spacing w:before="0" w:after="400"/>
    </w:pPr>
    <w:bookmarkStart w:id="4" w:name="_Hlk148680551"/>
    <w:r>
      <w:rPr>
        <w:noProof/>
      </w:rPr>
      <w:drawing>
        <wp:inline distT="0" distB="0" distL="0" distR="0" wp14:anchorId="5DC2A94C" wp14:editId="2E4572EE">
          <wp:extent cx="7553115" cy="1916840"/>
          <wp:effectExtent l="0" t="0" r="3810" b="1270"/>
          <wp:docPr id="12" name="Picture 12" descr="Australian government logo with coast of Arms. Aviation White Paper - Towards 2050&#10;">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ustralian government logo with coast of Arms. Aviation White Paper - Towards 2050&#10;">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3115" cy="1916840"/>
                  </a:xfrm>
                  <a:prstGeom prst="rect">
                    <a:avLst/>
                  </a:prstGeom>
                  <a:noFill/>
                  <a:ln>
                    <a:noFill/>
                  </a:ln>
                </pic:spPr>
              </pic:pic>
            </a:graphicData>
          </a:graphic>
        </wp:inline>
      </w:drawing>
    </w:r>
  </w:p>
  <w:bookmarkEnd w:id="4"/>
  <w:p w14:paraId="39F64FB8" w14:textId="7E488C2B" w:rsidR="00D2335F" w:rsidRDefault="00D2335F" w:rsidP="00065852">
    <w:pPr>
      <w:framePr w:w="6237" w:h="1134" w:hSpace="181" w:wrap="around" w:vAnchor="page" w:hAnchor="page" w:x="1022" w:y="1135" w:anchorLock="1"/>
      <w:spacing w:after="0"/>
    </w:pPr>
  </w:p>
  <w:p w14:paraId="395D1AD0" w14:textId="77777777" w:rsidR="00D2335F" w:rsidRPr="0069753D" w:rsidRDefault="00D2335F" w:rsidP="00D2335F">
    <w:pPr>
      <w:pStyle w:val="Header"/>
      <w:ind w:left="-992"/>
      <w:jc w:val="left"/>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5F36A24"/>
    <w:multiLevelType w:val="hybridMultilevel"/>
    <w:tmpl w:val="5F26BC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621AED"/>
    <w:multiLevelType w:val="multilevel"/>
    <w:tmpl w:val="C2EED61A"/>
    <w:numStyleLink w:val="NumberedHeadings"/>
  </w:abstractNum>
  <w:abstractNum w:abstractNumId="13" w15:restartNumberingAfterBreak="0">
    <w:nsid w:val="0FDD3B94"/>
    <w:multiLevelType w:val="hybridMultilevel"/>
    <w:tmpl w:val="C4F6AF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8390B31"/>
    <w:multiLevelType w:val="hybridMultilevel"/>
    <w:tmpl w:val="B2063F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9D36418"/>
    <w:multiLevelType w:val="hybridMultilevel"/>
    <w:tmpl w:val="5F3C0520"/>
    <w:lvl w:ilvl="0" w:tplc="0C09000D">
      <w:start w:val="1"/>
      <w:numFmt w:val="bullet"/>
      <w:lvlText w:val=""/>
      <w:lvlJc w:val="left"/>
      <w:pPr>
        <w:ind w:left="862" w:hanging="360"/>
      </w:pPr>
      <w:rPr>
        <w:rFonts w:ascii="Wingdings" w:hAnsi="Wingdings"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16"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4491885"/>
    <w:multiLevelType w:val="hybridMultilevel"/>
    <w:tmpl w:val="9970CCCC"/>
    <w:lvl w:ilvl="0" w:tplc="E0D01AF6">
      <w:start w:val="1"/>
      <w:numFmt w:val="bullet"/>
      <w:lvlText w:val="-"/>
      <w:lvlJc w:val="left"/>
      <w:rPr>
        <w:rFonts w:ascii="Courier New" w:hAnsi="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35750303"/>
    <w:multiLevelType w:val="hybridMultilevel"/>
    <w:tmpl w:val="8CA654F0"/>
    <w:lvl w:ilvl="0" w:tplc="0C09000D">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3AA51938"/>
    <w:multiLevelType w:val="multilevel"/>
    <w:tmpl w:val="298C34E4"/>
    <w:numStyleLink w:val="AppendixNumbers"/>
  </w:abstractNum>
  <w:abstractNum w:abstractNumId="20"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173295E"/>
    <w:multiLevelType w:val="multilevel"/>
    <w:tmpl w:val="D6E48DD2"/>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2" w15:restartNumberingAfterBreak="0">
    <w:nsid w:val="50B749B6"/>
    <w:multiLevelType w:val="hybridMultilevel"/>
    <w:tmpl w:val="2C9E142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3" w15:restartNumberingAfterBreak="0">
    <w:nsid w:val="53DD146F"/>
    <w:multiLevelType w:val="hybridMultilevel"/>
    <w:tmpl w:val="407408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545B01A1"/>
    <w:multiLevelType w:val="hybridMultilevel"/>
    <w:tmpl w:val="4AEEF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D8D2C00"/>
    <w:multiLevelType w:val="hybridMultilevel"/>
    <w:tmpl w:val="8B328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0E7485E"/>
    <w:multiLevelType w:val="multilevel"/>
    <w:tmpl w:val="D69832D4"/>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bullet"/>
      <w:pStyle w:val="Box2Checklist"/>
      <w:lvlText w:val="□"/>
      <w:lvlJc w:val="left"/>
      <w:pPr>
        <w:ind w:left="567" w:hanging="283"/>
      </w:pPr>
      <w:rPr>
        <w:rFonts w:ascii="Calibri" w:hAnsi="Calibri"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0DE51DD"/>
    <w:multiLevelType w:val="hybridMultilevel"/>
    <w:tmpl w:val="B5C8602A"/>
    <w:lvl w:ilvl="0" w:tplc="0C09000D">
      <w:start w:val="1"/>
      <w:numFmt w:val="bullet"/>
      <w:lvlText w:val=""/>
      <w:lvlJc w:val="left"/>
      <w:pPr>
        <w:ind w:left="862" w:hanging="360"/>
      </w:pPr>
      <w:rPr>
        <w:rFonts w:ascii="Wingdings" w:hAnsi="Wingdings"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9" w15:restartNumberingAfterBreak="0">
    <w:nsid w:val="744C4D61"/>
    <w:multiLevelType w:val="multilevel"/>
    <w:tmpl w:val="5B2C35CE"/>
    <w:lvl w:ilvl="0">
      <w:start w:val="1"/>
      <w:numFmt w:val="bullet"/>
      <w:pStyle w:val="Header"/>
      <w:lvlText w:val="•"/>
      <w:lvlJc w:val="left"/>
      <w:pPr>
        <w:ind w:left="284" w:hanging="284"/>
      </w:pPr>
      <w:rPr>
        <w:rFonts w:ascii="Calibri" w:hAnsi="Calibri" w:cs="Times New Roman" w:hint="default"/>
        <w:color w:val="auto"/>
      </w:rPr>
    </w:lvl>
    <w:lvl w:ilvl="1">
      <w:start w:val="1"/>
      <w:numFmt w:val="bullet"/>
      <w:pStyle w:val="HeaderChar"/>
      <w:lvlText w:val="–"/>
      <w:lvlJc w:val="left"/>
      <w:pPr>
        <w:ind w:left="568" w:hanging="284"/>
      </w:pPr>
      <w:rPr>
        <w:rFonts w:ascii="Calibri" w:hAnsi="Calibri" w:cs="Times New Roman" w:hint="default"/>
        <w:color w:val="auto"/>
      </w:rPr>
    </w:lvl>
    <w:lvl w:ilvl="2">
      <w:start w:val="1"/>
      <w:numFmt w:val="bullet"/>
      <w:pStyle w:val="Footer"/>
      <w:lvlText w:val="›"/>
      <w:lvlJc w:val="left"/>
      <w:pPr>
        <w:ind w:left="852" w:hanging="284"/>
      </w:pPr>
      <w:rPr>
        <w:rFonts w:ascii="Calibri" w:hAnsi="Calibri" w:cs="Times New Roman" w:hint="default"/>
        <w:color w:val="auto"/>
      </w:rPr>
    </w:lvl>
    <w:lvl w:ilvl="3">
      <w:start w:val="1"/>
      <w:numFmt w:val="bullet"/>
      <w:lvlText w:val="▫"/>
      <w:lvlJc w:val="left"/>
      <w:pPr>
        <w:ind w:left="1136" w:hanging="284"/>
      </w:pPr>
      <w:rPr>
        <w:rFonts w:ascii="Calibri" w:hAnsi="Calibri" w:cs="Times New Roman" w:hint="default"/>
        <w:color w:val="auto"/>
      </w:rPr>
    </w:lvl>
    <w:lvl w:ilvl="4">
      <w:start w:val="1"/>
      <w:numFmt w:val="bullet"/>
      <w:lvlText w:val="—"/>
      <w:lvlJc w:val="left"/>
      <w:pPr>
        <w:ind w:left="1420" w:hanging="284"/>
      </w:pPr>
      <w:rPr>
        <w:rFonts w:ascii="Calibri" w:hAnsi="Calibri" w:cs="Times New Roman" w:hint="default"/>
        <w:color w:val="auto"/>
      </w:rPr>
    </w:lvl>
    <w:lvl w:ilvl="5">
      <w:start w:val="1"/>
      <w:numFmt w:val="bullet"/>
      <w:lvlText w:val="»"/>
      <w:lvlJc w:val="left"/>
      <w:pPr>
        <w:ind w:left="1704" w:hanging="284"/>
      </w:pPr>
      <w:rPr>
        <w:rFonts w:ascii="Calibri" w:hAnsi="Calibri" w:cs="Times New Roman" w:hint="default"/>
        <w:color w:val="auto"/>
      </w:rPr>
    </w:lvl>
    <w:lvl w:ilvl="6">
      <w:start w:val="1"/>
      <w:numFmt w:val="decimal"/>
      <w:lvlText w:val="%7."/>
      <w:lvlJc w:val="left"/>
      <w:pPr>
        <w:ind w:left="1988" w:hanging="284"/>
      </w:pPr>
    </w:lvl>
    <w:lvl w:ilvl="7">
      <w:start w:val="1"/>
      <w:numFmt w:val="lowerLetter"/>
      <w:lvlText w:val="%8."/>
      <w:lvlJc w:val="left"/>
      <w:pPr>
        <w:ind w:left="2272" w:hanging="284"/>
      </w:pPr>
    </w:lvl>
    <w:lvl w:ilvl="8">
      <w:start w:val="1"/>
      <w:numFmt w:val="lowerRoman"/>
      <w:lvlText w:val="%9."/>
      <w:lvlJc w:val="left"/>
      <w:pPr>
        <w:ind w:left="2556" w:hanging="284"/>
      </w:pPr>
    </w:lvl>
  </w:abstractNum>
  <w:abstractNum w:abstractNumId="30" w15:restartNumberingAfterBreak="0">
    <w:nsid w:val="7D3E132D"/>
    <w:multiLevelType w:val="hybridMultilevel"/>
    <w:tmpl w:val="BF34C62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lvlOverride w:ilvl="0">
      <w:lvl w:ilvl="0">
        <w:start w:val="1"/>
        <w:numFmt w:val="bullet"/>
        <w:pStyle w:val="Bullet1"/>
        <w:lvlText w:val="•"/>
        <w:lvlJc w:val="left"/>
        <w:pPr>
          <w:ind w:left="284" w:hanging="284"/>
        </w:pPr>
        <w:rPr>
          <w:rFonts w:ascii="Calibri" w:hAnsi="Calibri" w:hint="default"/>
          <w:color w:val="auto"/>
        </w:rPr>
      </w:lvl>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1"/>
  </w:num>
  <w:num w:numId="1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2"/>
  </w:num>
  <w:num w:numId="19">
    <w:abstractNumId w:val="16"/>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25"/>
  </w:num>
  <w:num w:numId="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27"/>
  </w:num>
  <w:num w:numId="26">
    <w:abstractNumId w:val="27"/>
  </w:num>
  <w:num w:numId="27">
    <w:abstractNumId w:val="27"/>
  </w:num>
  <w:num w:numId="28">
    <w:abstractNumId w:val="2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23"/>
  </w:num>
  <w:num w:numId="31">
    <w:abstractNumId w:val="22"/>
  </w:num>
  <w:num w:numId="32">
    <w:abstractNumId w:val="14"/>
  </w:num>
  <w:num w:numId="33">
    <w:abstractNumId w:val="17"/>
  </w:num>
  <w:num w:numId="34">
    <w:abstractNumId w:val="29"/>
  </w:num>
  <w:num w:numId="35">
    <w:abstractNumId w:val="11"/>
  </w:num>
  <w:num w:numId="36">
    <w:abstractNumId w:val="26"/>
  </w:num>
  <w:num w:numId="37">
    <w:abstractNumId w:val="13"/>
  </w:num>
  <w:num w:numId="38">
    <w:abstractNumId w:val="15"/>
  </w:num>
  <w:num w:numId="39">
    <w:abstractNumId w:val="28"/>
  </w:num>
  <w:num w:numId="40">
    <w:abstractNumId w:val="18"/>
  </w:num>
  <w:num w:numId="4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45FD"/>
    <w:rsid w:val="0001430B"/>
    <w:rsid w:val="00024E97"/>
    <w:rsid w:val="000341E0"/>
    <w:rsid w:val="00060354"/>
    <w:rsid w:val="00062740"/>
    <w:rsid w:val="00067304"/>
    <w:rsid w:val="00067445"/>
    <w:rsid w:val="00072740"/>
    <w:rsid w:val="0009564F"/>
    <w:rsid w:val="000B08D1"/>
    <w:rsid w:val="000E24BA"/>
    <w:rsid w:val="000E5674"/>
    <w:rsid w:val="000E7E9F"/>
    <w:rsid w:val="001109C3"/>
    <w:rsid w:val="001349C6"/>
    <w:rsid w:val="00140888"/>
    <w:rsid w:val="00141F71"/>
    <w:rsid w:val="001606C9"/>
    <w:rsid w:val="001653B4"/>
    <w:rsid w:val="00180B5B"/>
    <w:rsid w:val="001D659E"/>
    <w:rsid w:val="001E1D59"/>
    <w:rsid w:val="00203702"/>
    <w:rsid w:val="002179CC"/>
    <w:rsid w:val="00222611"/>
    <w:rsid w:val="002229F7"/>
    <w:rsid w:val="00224BE3"/>
    <w:rsid w:val="002254D5"/>
    <w:rsid w:val="0022611D"/>
    <w:rsid w:val="00234E65"/>
    <w:rsid w:val="0026422D"/>
    <w:rsid w:val="00266955"/>
    <w:rsid w:val="002773D1"/>
    <w:rsid w:val="00284164"/>
    <w:rsid w:val="002959FB"/>
    <w:rsid w:val="002B3569"/>
    <w:rsid w:val="002B7197"/>
    <w:rsid w:val="002D233D"/>
    <w:rsid w:val="002D2DD8"/>
    <w:rsid w:val="002E1ADA"/>
    <w:rsid w:val="002E45FD"/>
    <w:rsid w:val="002F7111"/>
    <w:rsid w:val="003155B9"/>
    <w:rsid w:val="003720E9"/>
    <w:rsid w:val="00372DCC"/>
    <w:rsid w:val="0038444F"/>
    <w:rsid w:val="003C625A"/>
    <w:rsid w:val="003E16B6"/>
    <w:rsid w:val="003F1371"/>
    <w:rsid w:val="003F775D"/>
    <w:rsid w:val="00420F04"/>
    <w:rsid w:val="00427326"/>
    <w:rsid w:val="00430511"/>
    <w:rsid w:val="00436294"/>
    <w:rsid w:val="00450D0E"/>
    <w:rsid w:val="00454FED"/>
    <w:rsid w:val="00477E77"/>
    <w:rsid w:val="0048292A"/>
    <w:rsid w:val="00483596"/>
    <w:rsid w:val="0049153B"/>
    <w:rsid w:val="004A4EB9"/>
    <w:rsid w:val="004C3600"/>
    <w:rsid w:val="004E1EB0"/>
    <w:rsid w:val="004F77AA"/>
    <w:rsid w:val="00526674"/>
    <w:rsid w:val="00526CD7"/>
    <w:rsid w:val="00541213"/>
    <w:rsid w:val="00546218"/>
    <w:rsid w:val="005653A9"/>
    <w:rsid w:val="0057419C"/>
    <w:rsid w:val="00580E6C"/>
    <w:rsid w:val="00582A04"/>
    <w:rsid w:val="005912BE"/>
    <w:rsid w:val="005D50BC"/>
    <w:rsid w:val="005F794B"/>
    <w:rsid w:val="00611CC1"/>
    <w:rsid w:val="006335BA"/>
    <w:rsid w:val="006851B3"/>
    <w:rsid w:val="00686A7B"/>
    <w:rsid w:val="006A0F8A"/>
    <w:rsid w:val="006A266A"/>
    <w:rsid w:val="006B1647"/>
    <w:rsid w:val="006E1ECA"/>
    <w:rsid w:val="006E2A0E"/>
    <w:rsid w:val="006F42E5"/>
    <w:rsid w:val="007A05BE"/>
    <w:rsid w:val="007A0CD1"/>
    <w:rsid w:val="007D7CD4"/>
    <w:rsid w:val="007E40AE"/>
    <w:rsid w:val="007E5C86"/>
    <w:rsid w:val="0080482C"/>
    <w:rsid w:val="008067A1"/>
    <w:rsid w:val="00823E03"/>
    <w:rsid w:val="00833543"/>
    <w:rsid w:val="00835773"/>
    <w:rsid w:val="00840953"/>
    <w:rsid w:val="008456D5"/>
    <w:rsid w:val="0084634B"/>
    <w:rsid w:val="008500E4"/>
    <w:rsid w:val="008538C1"/>
    <w:rsid w:val="00884E68"/>
    <w:rsid w:val="008A1887"/>
    <w:rsid w:val="008A3E38"/>
    <w:rsid w:val="008B3901"/>
    <w:rsid w:val="008B6A81"/>
    <w:rsid w:val="008E2A0D"/>
    <w:rsid w:val="009015ED"/>
    <w:rsid w:val="0091256A"/>
    <w:rsid w:val="00924CF8"/>
    <w:rsid w:val="00946BCD"/>
    <w:rsid w:val="0096475A"/>
    <w:rsid w:val="00975331"/>
    <w:rsid w:val="00981F9A"/>
    <w:rsid w:val="009909EC"/>
    <w:rsid w:val="0099647D"/>
    <w:rsid w:val="00996B8C"/>
    <w:rsid w:val="009B00F2"/>
    <w:rsid w:val="009B0B3A"/>
    <w:rsid w:val="009D6C76"/>
    <w:rsid w:val="009E7E52"/>
    <w:rsid w:val="00A070A2"/>
    <w:rsid w:val="00A103B6"/>
    <w:rsid w:val="00A146EE"/>
    <w:rsid w:val="00A55479"/>
    <w:rsid w:val="00A70111"/>
    <w:rsid w:val="00A84ADF"/>
    <w:rsid w:val="00A95970"/>
    <w:rsid w:val="00AB3238"/>
    <w:rsid w:val="00AC4537"/>
    <w:rsid w:val="00AD4EF7"/>
    <w:rsid w:val="00AD7703"/>
    <w:rsid w:val="00AE1A3E"/>
    <w:rsid w:val="00AE4F99"/>
    <w:rsid w:val="00B0484D"/>
    <w:rsid w:val="00B42AC2"/>
    <w:rsid w:val="00B666D4"/>
    <w:rsid w:val="00B800E2"/>
    <w:rsid w:val="00B9430D"/>
    <w:rsid w:val="00BA4260"/>
    <w:rsid w:val="00BB3AAC"/>
    <w:rsid w:val="00BB68A9"/>
    <w:rsid w:val="00BE198C"/>
    <w:rsid w:val="00BE3AD8"/>
    <w:rsid w:val="00BE5DEC"/>
    <w:rsid w:val="00BF19D6"/>
    <w:rsid w:val="00C0455C"/>
    <w:rsid w:val="00C10346"/>
    <w:rsid w:val="00C15F0D"/>
    <w:rsid w:val="00C27C02"/>
    <w:rsid w:val="00C5653D"/>
    <w:rsid w:val="00C57766"/>
    <w:rsid w:val="00C60146"/>
    <w:rsid w:val="00C76D5B"/>
    <w:rsid w:val="00CD233E"/>
    <w:rsid w:val="00CD52D3"/>
    <w:rsid w:val="00CD6739"/>
    <w:rsid w:val="00CF6CFD"/>
    <w:rsid w:val="00CF763F"/>
    <w:rsid w:val="00CF78A5"/>
    <w:rsid w:val="00D02062"/>
    <w:rsid w:val="00D06DFD"/>
    <w:rsid w:val="00D23311"/>
    <w:rsid w:val="00D2335F"/>
    <w:rsid w:val="00D26896"/>
    <w:rsid w:val="00D3125C"/>
    <w:rsid w:val="00D56075"/>
    <w:rsid w:val="00D5655E"/>
    <w:rsid w:val="00D62C1B"/>
    <w:rsid w:val="00D67DEB"/>
    <w:rsid w:val="00D71E3A"/>
    <w:rsid w:val="00D93AEC"/>
    <w:rsid w:val="00D96BC0"/>
    <w:rsid w:val="00DA6576"/>
    <w:rsid w:val="00DD09C2"/>
    <w:rsid w:val="00DD73BD"/>
    <w:rsid w:val="00DE4362"/>
    <w:rsid w:val="00DE4FE2"/>
    <w:rsid w:val="00E00CD9"/>
    <w:rsid w:val="00E04908"/>
    <w:rsid w:val="00E16D1E"/>
    <w:rsid w:val="00E2218A"/>
    <w:rsid w:val="00E26A00"/>
    <w:rsid w:val="00E30EB4"/>
    <w:rsid w:val="00E51F03"/>
    <w:rsid w:val="00E5444D"/>
    <w:rsid w:val="00E55BB2"/>
    <w:rsid w:val="00E70F26"/>
    <w:rsid w:val="00E800D9"/>
    <w:rsid w:val="00E94FDD"/>
    <w:rsid w:val="00E95BA5"/>
    <w:rsid w:val="00ED580C"/>
    <w:rsid w:val="00EF7FF3"/>
    <w:rsid w:val="00F11869"/>
    <w:rsid w:val="00F1428D"/>
    <w:rsid w:val="00F472C5"/>
    <w:rsid w:val="00F639CE"/>
    <w:rsid w:val="00F67CDB"/>
    <w:rsid w:val="00F83A1E"/>
    <w:rsid w:val="00FB5D36"/>
    <w:rsid w:val="00FC32B2"/>
    <w:rsid w:val="00FC34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53D5A2"/>
  <w15:chartTrackingRefBased/>
  <w15:docId w15:val="{F8AF792B-43F6-9746-BC81-90F6FE1EB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000000" w:themeColor="text1"/>
        <w:sz w:val="22"/>
        <w:szCs w:val="22"/>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06C9"/>
    <w:pPr>
      <w:suppressAutoHyphens/>
    </w:pPr>
  </w:style>
  <w:style w:type="paragraph" w:styleId="Heading1">
    <w:name w:val="heading 1"/>
    <w:basedOn w:val="Normal"/>
    <w:next w:val="Normal"/>
    <w:link w:val="Heading1Char"/>
    <w:uiPriority w:val="9"/>
    <w:qFormat/>
    <w:rsid w:val="00D06DFD"/>
    <w:pPr>
      <w:keepNext/>
      <w:keepLines/>
      <w:spacing w:before="480" w:after="160"/>
      <w:contextualSpacing/>
      <w:outlineLvl w:val="0"/>
    </w:pPr>
    <w:rPr>
      <w:rFonts w:asciiTheme="majorHAnsi" w:eastAsiaTheme="majorEastAsia" w:hAnsiTheme="majorHAnsi" w:cstheme="majorBidi"/>
      <w:color w:val="235378"/>
      <w:sz w:val="44"/>
      <w:szCs w:val="32"/>
    </w:rPr>
  </w:style>
  <w:style w:type="paragraph" w:styleId="Heading2">
    <w:name w:val="heading 2"/>
    <w:basedOn w:val="Normal"/>
    <w:next w:val="Normal"/>
    <w:link w:val="Heading2Char"/>
    <w:uiPriority w:val="9"/>
    <w:unhideWhenUsed/>
    <w:qFormat/>
    <w:rsid w:val="00D06DFD"/>
    <w:pPr>
      <w:keepNext/>
      <w:keepLines/>
      <w:spacing w:before="320" w:after="160"/>
      <w:outlineLvl w:val="1"/>
    </w:pPr>
    <w:rPr>
      <w:rFonts w:asciiTheme="majorHAnsi" w:eastAsiaTheme="majorEastAsia" w:hAnsiTheme="majorHAnsi" w:cstheme="majorBidi"/>
      <w:color w:val="235378"/>
      <w:sz w:val="36"/>
      <w:szCs w:val="26"/>
    </w:rPr>
  </w:style>
  <w:style w:type="paragraph" w:styleId="Heading3">
    <w:name w:val="heading 3"/>
    <w:basedOn w:val="Normal"/>
    <w:next w:val="Normal"/>
    <w:link w:val="Heading3Char"/>
    <w:uiPriority w:val="9"/>
    <w:unhideWhenUsed/>
    <w:qFormat/>
    <w:rsid w:val="002773D1"/>
    <w:pPr>
      <w:keepNext/>
      <w:keepLines/>
      <w:tabs>
        <w:tab w:val="center" w:pos="4932"/>
      </w:tabs>
      <w:spacing w:before="240" w:after="160"/>
      <w:outlineLvl w:val="2"/>
    </w:pPr>
    <w:rPr>
      <w:rFonts w:asciiTheme="majorHAnsi" w:eastAsiaTheme="majorEastAsia" w:hAnsiTheme="majorHAnsi" w:cstheme="majorBidi"/>
      <w:b/>
      <w:color w:val="49515C"/>
      <w:sz w:val="30"/>
      <w:szCs w:val="30"/>
    </w:rPr>
  </w:style>
  <w:style w:type="paragraph" w:styleId="Heading4">
    <w:name w:val="heading 4"/>
    <w:basedOn w:val="Normal"/>
    <w:next w:val="Normal"/>
    <w:link w:val="Heading4Char"/>
    <w:uiPriority w:val="9"/>
    <w:unhideWhenUsed/>
    <w:rsid w:val="001606C9"/>
    <w:pPr>
      <w:keepNext/>
      <w:keepLines/>
      <w:spacing w:before="240" w:after="160"/>
      <w:outlineLvl w:val="3"/>
    </w:pPr>
    <w:rPr>
      <w:rFonts w:asciiTheme="majorHAnsi" w:eastAsiaTheme="majorEastAsia" w:hAnsiTheme="majorHAnsi" w:cstheme="majorBidi"/>
      <w:b/>
      <w:iCs/>
      <w:color w:val="49515C" w:themeColor="accent4" w:themeShade="80"/>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D06DFD"/>
    <w:pPr>
      <w:spacing w:before="1680" w:after="240"/>
    </w:pPr>
    <w:rPr>
      <w:rFonts w:asciiTheme="majorHAnsi" w:eastAsiaTheme="majorEastAsia" w:hAnsiTheme="majorHAnsi" w:cstheme="majorBidi"/>
      <w:b/>
      <w:color w:val="235378"/>
      <w:sz w:val="60"/>
      <w:szCs w:val="56"/>
    </w:rPr>
  </w:style>
  <w:style w:type="character" w:customStyle="1" w:styleId="TitleChar">
    <w:name w:val="Title Char"/>
    <w:basedOn w:val="DefaultParagraphFont"/>
    <w:link w:val="Title"/>
    <w:uiPriority w:val="17"/>
    <w:rsid w:val="00D06DFD"/>
    <w:rPr>
      <w:rFonts w:asciiTheme="majorHAnsi" w:eastAsiaTheme="majorEastAsia" w:hAnsiTheme="majorHAnsi" w:cstheme="majorBidi"/>
      <w:b/>
      <w:color w:val="235378"/>
      <w:sz w:val="60"/>
      <w:szCs w:val="56"/>
    </w:rPr>
  </w:style>
  <w:style w:type="paragraph" w:styleId="Subtitle">
    <w:name w:val="Subtitle"/>
    <w:basedOn w:val="Normal"/>
    <w:next w:val="Normal"/>
    <w:link w:val="SubtitleChar"/>
    <w:uiPriority w:val="18"/>
    <w:qFormat/>
    <w:rsid w:val="002773D1"/>
    <w:pPr>
      <w:numPr>
        <w:ilvl w:val="1"/>
      </w:numPr>
      <w:tabs>
        <w:tab w:val="left" w:pos="6045"/>
      </w:tabs>
      <w:spacing w:before="240" w:after="160"/>
    </w:pPr>
    <w:rPr>
      <w:rFonts w:asciiTheme="majorHAnsi" w:eastAsiaTheme="minorEastAsia" w:hAnsiTheme="majorHAnsi"/>
      <w:color w:val="337B7E"/>
      <w:sz w:val="44"/>
    </w:rPr>
  </w:style>
  <w:style w:type="character" w:customStyle="1" w:styleId="SubtitleChar">
    <w:name w:val="Subtitle Char"/>
    <w:basedOn w:val="DefaultParagraphFont"/>
    <w:link w:val="Subtitle"/>
    <w:uiPriority w:val="18"/>
    <w:rsid w:val="002773D1"/>
    <w:rPr>
      <w:rFonts w:asciiTheme="majorHAnsi" w:eastAsiaTheme="minorEastAsia" w:hAnsiTheme="majorHAnsi"/>
      <w:color w:val="337B7E"/>
      <w:sz w:val="44"/>
    </w:rPr>
  </w:style>
  <w:style w:type="paragraph" w:customStyle="1" w:styleId="CoverDate">
    <w:name w:val="Cover Date"/>
    <w:basedOn w:val="Normal"/>
    <w:uiPriority w:val="19"/>
    <w:qFormat/>
    <w:rsid w:val="002773D1"/>
    <w:rPr>
      <w:b/>
      <w:color w:val="081E3F"/>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lang w:val="x-none"/>
    </w:rPr>
  </w:style>
  <w:style w:type="character" w:styleId="Hyperlink">
    <w:name w:val="Hyperlink"/>
    <w:aliases w:val="Hyperlink Cab"/>
    <w:basedOn w:val="DefaultParagraphFont"/>
    <w:uiPriority w:val="99"/>
    <w:unhideWhenUsed/>
    <w:qFormat/>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06DFD"/>
    <w:rPr>
      <w:rFonts w:asciiTheme="majorHAnsi" w:eastAsiaTheme="majorEastAsia" w:hAnsiTheme="majorHAnsi" w:cstheme="majorBidi"/>
      <w:color w:val="235378"/>
      <w:sz w:val="44"/>
      <w:szCs w:val="32"/>
    </w:rPr>
  </w:style>
  <w:style w:type="character" w:customStyle="1" w:styleId="Heading2Char">
    <w:name w:val="Heading 2 Char"/>
    <w:basedOn w:val="DefaultParagraphFont"/>
    <w:link w:val="Heading2"/>
    <w:uiPriority w:val="9"/>
    <w:rsid w:val="00D06DFD"/>
    <w:rPr>
      <w:rFonts w:asciiTheme="majorHAnsi" w:eastAsiaTheme="majorEastAsia" w:hAnsiTheme="majorHAnsi" w:cstheme="majorBidi"/>
      <w:color w:val="235378"/>
      <w:sz w:val="36"/>
      <w:szCs w:val="26"/>
    </w:rPr>
  </w:style>
  <w:style w:type="paragraph" w:customStyle="1" w:styleId="Introduction">
    <w:name w:val="Introduction"/>
    <w:basedOn w:val="Normal"/>
    <w:uiPriority w:val="2"/>
    <w:qFormat/>
    <w:rsid w:val="00D06DFD"/>
    <w:pPr>
      <w:spacing w:before="240" w:after="240"/>
    </w:pPr>
    <w:rPr>
      <w:color w:val="235378"/>
      <w:sz w:val="26"/>
      <w:lang w:val="x-none"/>
    </w:rPr>
  </w:style>
  <w:style w:type="character" w:customStyle="1" w:styleId="Heading3Char">
    <w:name w:val="Heading 3 Char"/>
    <w:basedOn w:val="DefaultParagraphFont"/>
    <w:link w:val="Heading3"/>
    <w:uiPriority w:val="9"/>
    <w:rsid w:val="002773D1"/>
    <w:rPr>
      <w:rFonts w:asciiTheme="majorHAnsi" w:eastAsiaTheme="majorEastAsia" w:hAnsiTheme="majorHAnsi" w:cstheme="majorBidi"/>
      <w:b/>
      <w:color w:val="49515C"/>
      <w:sz w:val="30"/>
      <w:szCs w:val="30"/>
    </w:rPr>
  </w:style>
  <w:style w:type="character" w:customStyle="1" w:styleId="Heading4Char">
    <w:name w:val="Heading 4 Char"/>
    <w:basedOn w:val="DefaultParagraphFont"/>
    <w:link w:val="Heading4"/>
    <w:uiPriority w:val="9"/>
    <w:rsid w:val="001606C9"/>
    <w:rPr>
      <w:rFonts w:asciiTheme="majorHAnsi" w:eastAsiaTheme="majorEastAsia" w:hAnsiTheme="majorHAnsi" w:cstheme="majorBidi"/>
      <w:b/>
      <w:iCs/>
      <w:color w:val="49515C" w:themeColor="accent4" w:themeShade="80"/>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06DFD"/>
    <w:pPr>
      <w:spacing w:before="80"/>
    </w:pPr>
    <w:tblPr>
      <w:tblStyleRowBandSize w:val="1"/>
      <w:tblStyleColBandSize w:val="1"/>
      <w:tblBorders>
        <w:top w:val="single" w:sz="4" w:space="0" w:color="235378"/>
        <w:bottom w:val="single" w:sz="4" w:space="0" w:color="235378"/>
        <w:insideH w:val="single" w:sz="4" w:space="0" w:color="235378"/>
      </w:tblBorders>
    </w:tblPr>
    <w:tblStylePr w:type="firstRow">
      <w:rPr>
        <w:b/>
        <w:color w:val="FFFFFF" w:themeColor="background1"/>
      </w:rPr>
      <w:tblPr/>
      <w:tcPr>
        <w:shd w:val="clear" w:color="auto" w:fill="235378"/>
      </w:tcPr>
    </w:tblStylePr>
    <w:tblStylePr w:type="lastRow">
      <w:rPr>
        <w:b/>
      </w:rPr>
      <w:tblPr/>
      <w:tcPr>
        <w:shd w:val="clear" w:color="auto" w:fill="E3F5FC" w:themeFill="accent3"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pacing w:before="80"/>
    </w:pPr>
    <w:rPr>
      <w:lang w:val="x-none"/>
    </w:rPr>
  </w:style>
  <w:style w:type="paragraph" w:customStyle="1" w:styleId="Bullet2">
    <w:name w:val="Bullet 2"/>
    <w:basedOn w:val="Bullet1"/>
    <w:uiPriority w:val="3"/>
    <w:qFormat/>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D06DFD"/>
    <w:pPr>
      <w:pBdr>
        <w:top w:val="single" w:sz="4" w:space="14" w:color="235378"/>
        <w:left w:val="single" w:sz="4" w:space="14" w:color="235378"/>
        <w:bottom w:val="single" w:sz="4" w:space="14" w:color="235378"/>
        <w:right w:val="single" w:sz="4" w:space="14" w:color="235378"/>
      </w:pBdr>
      <w:ind w:left="284" w:right="284"/>
    </w:pPr>
    <w:rPr>
      <w:lang w:val="x-none"/>
    </w:rPr>
  </w:style>
  <w:style w:type="paragraph" w:customStyle="1" w:styleId="Box1Heading">
    <w:name w:val="Box 1 Heading"/>
    <w:basedOn w:val="Box1Text"/>
    <w:uiPriority w:val="23"/>
    <w:qFormat/>
    <w:rsid w:val="00D06DFD"/>
    <w:rPr>
      <w:b/>
    </w:rPr>
  </w:style>
  <w:style w:type="paragraph" w:customStyle="1" w:styleId="Box1Bullet1">
    <w:name w:val="Box 1 Bullet 1"/>
    <w:basedOn w:val="Box1Text"/>
    <w:uiPriority w:val="24"/>
    <w:qFormat/>
    <w:rsid w:val="00430511"/>
    <w:pPr>
      <w:numPr>
        <w:numId w:val="27"/>
      </w:numPr>
      <w:spacing w:before="80"/>
    </w:pPr>
    <w:rPr>
      <w:kern w:val="12"/>
      <w:sz w:val="20"/>
      <w:szCs w:val="20"/>
    </w:rPr>
  </w:style>
  <w:style w:type="paragraph" w:customStyle="1" w:styleId="Box2Text">
    <w:name w:val="Box 2 Text"/>
    <w:basedOn w:val="Normal"/>
    <w:uiPriority w:val="24"/>
    <w:qFormat/>
    <w:rsid w:val="00D06DFD"/>
    <w:pPr>
      <w:pBdr>
        <w:top w:val="single" w:sz="4" w:space="14" w:color="E3F5FC" w:themeColor="accent3" w:themeTint="33"/>
        <w:left w:val="single" w:sz="4" w:space="14" w:color="E3F5FC" w:themeColor="accent3" w:themeTint="33"/>
        <w:bottom w:val="single" w:sz="4" w:space="14" w:color="E3F5FC" w:themeColor="accent3" w:themeTint="33"/>
        <w:right w:val="single" w:sz="4" w:space="14" w:color="E3F5FC" w:themeColor="accent3" w:themeTint="33"/>
      </w:pBdr>
      <w:shd w:val="clear" w:color="auto" w:fill="E3F5FC" w:themeFill="accent3" w:themeFillTint="33"/>
      <w:ind w:left="284" w:right="284"/>
    </w:pPr>
    <w:rPr>
      <w:lang w:val="x-none"/>
    </w:rPr>
  </w:style>
  <w:style w:type="paragraph" w:customStyle="1" w:styleId="Box2Heading">
    <w:name w:val="Box 2 Heading"/>
    <w:basedOn w:val="Box2Text"/>
    <w:uiPriority w:val="24"/>
    <w:qFormat/>
    <w:rsid w:val="00D06DFD"/>
    <w:rPr>
      <w:b/>
    </w:rPr>
  </w:style>
  <w:style w:type="paragraph" w:customStyle="1" w:styleId="Box2Bullet1">
    <w:name w:val="Box 2 Bullet 1"/>
    <w:basedOn w:val="Box2Text"/>
    <w:uiPriority w:val="25"/>
    <w:qFormat/>
    <w:rsid w:val="00430511"/>
    <w:pPr>
      <w:numPr>
        <w:ilvl w:val="1"/>
        <w:numId w:val="27"/>
      </w:numPr>
      <w:spacing w:before="80"/>
    </w:pPr>
    <w:rPr>
      <w:kern w:val="12"/>
      <w:sz w:val="20"/>
      <w:szCs w:val="20"/>
    </w:r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D62C1B"/>
    <w:pPr>
      <w:pBdr>
        <w:left w:val="single" w:sz="48" w:space="22" w:color="4BB3B5"/>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D62C1B"/>
    <w:rPr>
      <w:b/>
      <w:iCs/>
      <w:color w:val="404040" w:themeColor="text1" w:themeTint="BF"/>
    </w:rPr>
  </w:style>
  <w:style w:type="paragraph" w:styleId="TOC1">
    <w:name w:val="toc 1"/>
    <w:basedOn w:val="Normal"/>
    <w:next w:val="Normal"/>
    <w:autoRedefine/>
    <w:uiPriority w:val="39"/>
    <w:rsid w:val="00A95970"/>
    <w:pPr>
      <w:keepLines/>
      <w:tabs>
        <w:tab w:val="right" w:pos="9854"/>
      </w:tabs>
      <w:ind w:left="567" w:hanging="567"/>
    </w:pPr>
    <w:rPr>
      <w:b/>
      <w:sz w:val="24"/>
      <w:u w:val="single" w:color="347C7E"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AreaHeading">
    <w:name w:val="Area Heading"/>
    <w:basedOn w:val="Normal"/>
    <w:qFormat/>
    <w:rsid w:val="00D26896"/>
    <w:pPr>
      <w:spacing w:before="0" w:after="240"/>
      <w:ind w:left="-1021" w:firstLine="1021"/>
    </w:pPr>
    <w:rPr>
      <w:rFonts w:cs="Times New Roman (Body CS)"/>
      <w:caps/>
      <w:color w:val="49515C" w:themeColor="accent4" w:themeShade="80"/>
    </w:rPr>
  </w:style>
  <w:style w:type="paragraph" w:customStyle="1" w:styleId="Box2Checklist">
    <w:name w:val="Box 2 Checklist"/>
    <w:basedOn w:val="Box2Text"/>
    <w:uiPriority w:val="26"/>
    <w:qFormat/>
    <w:rsid w:val="00430511"/>
    <w:pPr>
      <w:numPr>
        <w:ilvl w:val="2"/>
        <w:numId w:val="27"/>
      </w:numPr>
    </w:pPr>
    <w:rPr>
      <w:kern w:val="12"/>
      <w:sz w:val="20"/>
      <w:szCs w:val="20"/>
    </w:rPr>
  </w:style>
  <w:style w:type="numbering" w:customStyle="1" w:styleId="BoxedBullets">
    <w:name w:val="Boxed Bullets"/>
    <w:uiPriority w:val="99"/>
    <w:rsid w:val="00430511"/>
    <w:pPr>
      <w:numPr>
        <w:numId w:val="24"/>
      </w:numPr>
    </w:pPr>
  </w:style>
  <w:style w:type="paragraph" w:customStyle="1" w:styleId="SecurityMarker">
    <w:name w:val="Security Marker"/>
    <w:basedOn w:val="Normal"/>
    <w:qFormat/>
    <w:rsid w:val="001D659E"/>
    <w:pPr>
      <w:spacing w:before="60" w:after="60"/>
      <w:jc w:val="center"/>
    </w:pPr>
    <w:rPr>
      <w:b/>
      <w:bCs/>
      <w:caps/>
      <w:color w:val="E10000"/>
      <w:sz w:val="28"/>
      <w:szCs w:val="28"/>
      <w:shd w:val="clear" w:color="auto" w:fill="FFFFFF" w:themeFill="background1"/>
    </w:rPr>
  </w:style>
  <w:style w:type="paragraph" w:customStyle="1" w:styleId="Tagline">
    <w:name w:val="Tagline"/>
    <w:basedOn w:val="Normal"/>
    <w:qFormat/>
    <w:rsid w:val="0099647D"/>
    <w:pPr>
      <w:framePr w:wrap="notBeside" w:vAnchor="text" w:hAnchor="text" w:y="1"/>
      <w:spacing w:before="500" w:after="120"/>
    </w:pPr>
    <w:rPr>
      <w:color w:val="49515C"/>
    </w:rPr>
  </w:style>
  <w:style w:type="character" w:styleId="UnresolvedMention">
    <w:name w:val="Unresolved Mention"/>
    <w:basedOn w:val="DefaultParagraphFont"/>
    <w:uiPriority w:val="99"/>
    <w:semiHidden/>
    <w:unhideWhenUsed/>
    <w:rsid w:val="001D659E"/>
    <w:rPr>
      <w:color w:val="605E5C"/>
      <w:shd w:val="clear" w:color="auto" w:fill="E1DFDD"/>
    </w:rPr>
  </w:style>
  <w:style w:type="character" w:styleId="CommentReference">
    <w:name w:val="annotation reference"/>
    <w:basedOn w:val="DefaultParagraphFont"/>
    <w:uiPriority w:val="99"/>
    <w:semiHidden/>
    <w:unhideWhenUsed/>
    <w:rsid w:val="00140888"/>
    <w:rPr>
      <w:sz w:val="16"/>
      <w:szCs w:val="16"/>
    </w:rPr>
  </w:style>
  <w:style w:type="paragraph" w:styleId="CommentText">
    <w:name w:val="annotation text"/>
    <w:basedOn w:val="Normal"/>
    <w:link w:val="CommentTextChar"/>
    <w:uiPriority w:val="99"/>
    <w:semiHidden/>
    <w:unhideWhenUsed/>
    <w:rsid w:val="00140888"/>
    <w:rPr>
      <w:sz w:val="20"/>
      <w:szCs w:val="20"/>
    </w:rPr>
  </w:style>
  <w:style w:type="character" w:customStyle="1" w:styleId="CommentTextChar">
    <w:name w:val="Comment Text Char"/>
    <w:basedOn w:val="DefaultParagraphFont"/>
    <w:link w:val="CommentText"/>
    <w:uiPriority w:val="99"/>
    <w:semiHidden/>
    <w:rsid w:val="00140888"/>
    <w:rPr>
      <w:sz w:val="20"/>
      <w:szCs w:val="20"/>
    </w:rPr>
  </w:style>
  <w:style w:type="paragraph" w:styleId="CommentSubject">
    <w:name w:val="annotation subject"/>
    <w:basedOn w:val="CommentText"/>
    <w:next w:val="CommentText"/>
    <w:link w:val="CommentSubjectChar"/>
    <w:uiPriority w:val="99"/>
    <w:semiHidden/>
    <w:unhideWhenUsed/>
    <w:rsid w:val="00140888"/>
    <w:rPr>
      <w:b/>
      <w:bCs/>
    </w:rPr>
  </w:style>
  <w:style w:type="character" w:customStyle="1" w:styleId="CommentSubjectChar">
    <w:name w:val="Comment Subject Char"/>
    <w:basedOn w:val="CommentTextChar"/>
    <w:link w:val="CommentSubject"/>
    <w:uiPriority w:val="99"/>
    <w:semiHidden/>
    <w:rsid w:val="00140888"/>
    <w:rPr>
      <w:b/>
      <w:bCs/>
      <w:sz w:val="20"/>
      <w:szCs w:val="20"/>
    </w:rPr>
  </w:style>
  <w:style w:type="paragraph" w:styleId="BalloonText">
    <w:name w:val="Balloon Text"/>
    <w:basedOn w:val="Normal"/>
    <w:link w:val="BalloonTextChar"/>
    <w:uiPriority w:val="99"/>
    <w:semiHidden/>
    <w:unhideWhenUsed/>
    <w:rsid w:val="0014088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0888"/>
    <w:rPr>
      <w:rFonts w:ascii="Segoe UI" w:hAnsi="Segoe UI" w:cs="Segoe UI"/>
      <w:sz w:val="18"/>
      <w:szCs w:val="18"/>
    </w:rPr>
  </w:style>
  <w:style w:type="paragraph" w:styleId="ListParagraph">
    <w:name w:val="List Paragraph"/>
    <w:aliases w:val="Bulleted Para,CV text,Dot pt,F5 List Paragraph,FooterText,L,List Paragraph1,List Paragraph11,List Paragraph111,List Paragraph2,Medium Grid 1 - Accent 21,NAST Quote,NFP GP Bulleted List,Numbered Paragraph,Recommendation,Table text,列出段,lp1"/>
    <w:basedOn w:val="Normal"/>
    <w:link w:val="ListParagraphChar"/>
    <w:uiPriority w:val="34"/>
    <w:unhideWhenUsed/>
    <w:qFormat/>
    <w:rsid w:val="0048292A"/>
    <w:pPr>
      <w:ind w:left="720"/>
      <w:contextualSpacing/>
    </w:pPr>
  </w:style>
  <w:style w:type="paragraph" w:customStyle="1" w:styleId="DocHeading">
    <w:name w:val="DocHeading"/>
    <w:basedOn w:val="Heading1"/>
    <w:qFormat/>
    <w:rsid w:val="00D06DFD"/>
    <w:pPr>
      <w:spacing w:before="160" w:after="220"/>
    </w:pPr>
    <w:rPr>
      <w:rFonts w:asciiTheme="minorHAnsi" w:hAnsiTheme="minorHAnsi" w:cstheme="minorHAnsi"/>
      <w:b/>
    </w:rPr>
  </w:style>
  <w:style w:type="character" w:customStyle="1" w:styleId="ListParagraphChar">
    <w:name w:val="List Paragraph Char"/>
    <w:aliases w:val="Bulleted Para Char,CV text Char,Dot pt Char,F5 List Paragraph Char,FooterText Char,L Char,List Paragraph1 Char,List Paragraph11 Char,List Paragraph111 Char,List Paragraph2 Char,Medium Grid 1 - Accent 21 Char,NAST Quote Char,列出段 Char"/>
    <w:basedOn w:val="DefaultParagraphFont"/>
    <w:link w:val="ListParagraph"/>
    <w:uiPriority w:val="34"/>
    <w:qFormat/>
    <w:locked/>
    <w:rsid w:val="0091256A"/>
  </w:style>
  <w:style w:type="character" w:styleId="FollowedHyperlink">
    <w:name w:val="FollowedHyperlink"/>
    <w:basedOn w:val="DefaultParagraphFont"/>
    <w:uiPriority w:val="99"/>
    <w:semiHidden/>
    <w:unhideWhenUsed/>
    <w:rsid w:val="009015ED"/>
    <w:rPr>
      <w:color w:val="0046FF" w:themeColor="followedHyperlink"/>
      <w:u w:val="single"/>
    </w:rPr>
  </w:style>
  <w:style w:type="paragraph" w:customStyle="1" w:styleId="Pa1">
    <w:name w:val="Pa1"/>
    <w:basedOn w:val="Normal"/>
    <w:next w:val="Normal"/>
    <w:uiPriority w:val="99"/>
    <w:rsid w:val="003155B9"/>
    <w:pPr>
      <w:suppressAutoHyphens w:val="0"/>
      <w:autoSpaceDE w:val="0"/>
      <w:autoSpaceDN w:val="0"/>
      <w:adjustRightInd w:val="0"/>
      <w:spacing w:before="0" w:after="0" w:line="181" w:lineRule="atLeast"/>
    </w:pPr>
    <w:rPr>
      <w:rFonts w:ascii="Roboto" w:hAnsi="Roboto"/>
      <w:color w:val="auto"/>
      <w:sz w:val="24"/>
      <w:szCs w:val="24"/>
    </w:rPr>
  </w:style>
  <w:style w:type="paragraph" w:customStyle="1" w:styleId="Default">
    <w:name w:val="Default"/>
    <w:rsid w:val="003155B9"/>
    <w:pPr>
      <w:autoSpaceDE w:val="0"/>
      <w:autoSpaceDN w:val="0"/>
      <w:adjustRightInd w:val="0"/>
      <w:spacing w:before="0" w:after="0"/>
    </w:pPr>
    <w:rPr>
      <w:rFonts w:ascii="Roboto" w:hAnsi="Roboto" w:cs="Roboto"/>
      <w:color w:val="000000"/>
      <w:sz w:val="24"/>
      <w:szCs w:val="24"/>
    </w:rPr>
  </w:style>
  <w:style w:type="paragraph" w:customStyle="1" w:styleId="Pa6">
    <w:name w:val="Pa6"/>
    <w:basedOn w:val="Default"/>
    <w:next w:val="Default"/>
    <w:uiPriority w:val="99"/>
    <w:rsid w:val="003155B9"/>
    <w:pPr>
      <w:spacing w:line="18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file:///C:\MEDIA%20RELEASES\Aviation%20White%20Paper%20August%202024\Safeguard%20Mechanism%20|%20Clean%20Energy%20Regulator%20(cer.gov.au)" TargetMode="External"/><Relationship Id="rId26" Type="http://schemas.openxmlformats.org/officeDocument/2006/relationships/hyperlink" Target="https://www.infrastructure.gov.au/infrastructure-transport-vehicles/aviation/regional-remote-aviation/regional-airports-program" TargetMode="External"/><Relationship Id="rId3" Type="http://schemas.openxmlformats.org/officeDocument/2006/relationships/customXml" Target="../customXml/item3.xml"/><Relationship Id="rId21" Type="http://schemas.openxmlformats.org/officeDocument/2006/relationships/hyperlink" Target="file:///C:\MEDIA%20RELEASES\Aviation%20White%20Paper%20August%202024\Towards%20net%20zero%20for%20transport%20and%20infrastructure%20|%20Department%20of%20Infrastructure,%20Transport,%20Regional%20Development,%20Communications%20and%20the%20Arts"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hyperlink" Target="https://www.legislation.gov.au/F1997B02289/2014-07-01/text"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file:///C:\MEDIA%20RELEASES\Aviation%20White%20Paper%20August%202024\Home%20-%20Clean%20Energy%20Finance%20Corporation%20(cefc.com.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nrf.gov.au/"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drones.gov.au/policies-and-programs/emerging-aviation-technology-partnerships-program" TargetMode="External"/><Relationship Id="rId28" Type="http://schemas.openxmlformats.org/officeDocument/2006/relationships/hyperlink" Target="http://www.infrastructure.gov.au/department/social-media" TargetMode="External"/><Relationship Id="rId10" Type="http://schemas.openxmlformats.org/officeDocument/2006/relationships/endnotes" Target="endnotes.xml"/><Relationship Id="rId19" Type="http://schemas.openxmlformats.org/officeDocument/2006/relationships/hyperlink" Target="file:///C:\MEDIA%20RELEASES\Aviation%20White%20Paper%20August%202024\Home%20page%20|%20National%20Reconstruction%20Fund%20Corporation%20(nrf.gov.au)"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cer.gov.au/schemes/guarantee-origin" TargetMode="External"/><Relationship Id="rId27" Type="http://schemas.openxmlformats.org/officeDocument/2006/relationships/hyperlink" Target="https://infrastructure.gov.au/AviationWhitePaper" TargetMode="External"/><Relationship Id="rId30"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2364C772649F744A928071F7EB058D7"/>
        <w:category>
          <w:name w:val="General"/>
          <w:gallery w:val="placeholder"/>
        </w:category>
        <w:types>
          <w:type w:val="bbPlcHdr"/>
        </w:types>
        <w:behaviors>
          <w:behavior w:val="content"/>
        </w:behaviors>
        <w:guid w:val="{4502F889-EC68-DB4A-BAB5-2C882F4D3244}"/>
      </w:docPartPr>
      <w:docPartBody>
        <w:p w:rsidR="004F10EB" w:rsidRDefault="001407A1">
          <w:pPr>
            <w:pStyle w:val="C2364C772649F744A928071F7EB058D7"/>
          </w:pPr>
          <w:r w:rsidRPr="00EC51D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Roboto">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AA4"/>
    <w:rsid w:val="001407A1"/>
    <w:rsid w:val="004F10EB"/>
    <w:rsid w:val="00E23AA4"/>
    <w:rsid w:val="00FC04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AU" w:eastAsia="en-GB"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2E8AE58674A1DF4A971AE4CDF8CADD20">
    <w:name w:val="2E8AE58674A1DF4A971AE4CDF8CADD20"/>
  </w:style>
  <w:style w:type="paragraph" w:customStyle="1" w:styleId="C2364C772649F744A928071F7EB058D7">
    <w:name w:val="C2364C772649F744A928071F7EB058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Custom 1">
      <a:dk1>
        <a:srgbClr val="000000"/>
      </a:dk1>
      <a:lt1>
        <a:srgbClr val="FFFFFF"/>
      </a:lt1>
      <a:dk2>
        <a:srgbClr val="081E3E"/>
      </a:dk2>
      <a:lt2>
        <a:srgbClr val="E7E7E7"/>
      </a:lt2>
      <a:accent1>
        <a:srgbClr val="081E3E"/>
      </a:accent1>
      <a:accent2>
        <a:srgbClr val="347C7E"/>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2024-03-04T00:00:00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04C2ED6474624087625D5BC8BDA46B" ma:contentTypeVersion="9" ma:contentTypeDescription="Create a new document." ma:contentTypeScope="" ma:versionID="9b55e86ec32ddf62e867b6ff51eb1982">
  <xsd:schema xmlns:xsd="http://www.w3.org/2001/XMLSchema" xmlns:xs="http://www.w3.org/2001/XMLSchema" xmlns:p="http://schemas.microsoft.com/office/2006/metadata/properties" xmlns:ns2="b3b9b181-06e0-4268-af22-c6840c33967c" xmlns:ns3="40b89a2c-dbe8-4aa4-bd74-be5189addec4" targetNamespace="http://schemas.microsoft.com/office/2006/metadata/properties" ma:root="true" ma:fieldsID="59add822de70a2ee165fa5d5abf4bd24" ns2:_="" ns3:_="">
    <xsd:import namespace="b3b9b181-06e0-4268-af22-c6840c33967c"/>
    <xsd:import namespace="40b89a2c-dbe8-4aa4-bd74-be5189addec4"/>
    <xsd:element name="properties">
      <xsd:complexType>
        <xsd:sequence>
          <xsd:element name="documentManagement">
            <xsd:complexType>
              <xsd:all>
                <xsd:element ref="ns2:RecordNumber" minOccurs="0"/>
                <xsd:element ref="ns2:g7a2f445ab5e4aa2ad49ebf38fd81cc6" minOccurs="0"/>
                <xsd:element ref="ns2:TaxCatchAll" minOccurs="0"/>
                <xsd:element ref="ns2:TaxCatchAllLabel" minOccurs="0"/>
                <xsd:element ref="ns2:ne6d73d4a8b14472a6a14c195f235605" minOccurs="0"/>
                <xsd:element ref="ns2:Destroy Item46" minOccurs="0"/>
                <xsd:element ref="ns2:Justification for Destruction47" minOccurs="0"/>
                <xsd:element ref="ns2:Document_x0020_SP_x0020_Type" minOccurs="0"/>
                <xsd:element ref="ns2:SharedWithUsers" minOccurs="0"/>
                <xsd:element ref="ns2:SharedWithDetails" minOccurs="0"/>
                <xsd:element ref="ns3:Project_x0020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b9b181-06e0-4268-af22-c6840c33967c" elementFormDefault="qualified">
    <xsd:import namespace="http://schemas.microsoft.com/office/2006/documentManagement/types"/>
    <xsd:import namespace="http://schemas.microsoft.com/office/infopath/2007/PartnerControls"/>
    <xsd:element name="RecordNumber" ma:index="8" nillable="true" ma:displayName="Record Number" ma:internalName="RecordNumber">
      <xsd:simpleType>
        <xsd:restriction base="dms:Text"/>
      </xsd:simpleType>
    </xsd:element>
    <xsd:element name="g7a2f445ab5e4aa2ad49ebf38fd81cc6" ma:index="9" ma:taxonomy="true" ma:internalName="g7a2f445ab5e4aa2ad49ebf38fd81cc6" ma:taxonomyFieldName="Security_x0020_Classification" ma:displayName="Security Classification" ma:readOnly="false" ma:default="1;#OFFICIAL|66ee57a8-59d0-46bc-a5fc-78440ee0cf81" ma:fieldId="{07a2f445-ab5e-4aa2-ad49-ebf38fd81cc6}" ma:sspId="0483e4a5-f0f6-4ded-b0bb-00a90fd4cf8b" ma:termSetId="d697d180-c653-44a1-a6e2-69709aabde2a"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4b652d38-8c68-4034-afbd-1c7523511a25}" ma:internalName="TaxCatchAll" ma:showField="CatchAllData" ma:web="b3b9b181-06e0-4268-af22-c6840c33967c">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4b652d38-8c68-4034-afbd-1c7523511a25}" ma:internalName="TaxCatchAllLabel" ma:readOnly="true" ma:showField="CatchAllDataLabel" ma:web="b3b9b181-06e0-4268-af22-c6840c33967c">
      <xsd:complexType>
        <xsd:complexContent>
          <xsd:extension base="dms:MultiChoiceLookup">
            <xsd:sequence>
              <xsd:element name="Value" type="dms:Lookup" maxOccurs="unbounded" minOccurs="0" nillable="true"/>
            </xsd:sequence>
          </xsd:extension>
        </xsd:complexContent>
      </xsd:complexType>
    </xsd:element>
    <xsd:element name="ne6d73d4a8b14472a6a14c195f235605" ma:index="13" nillable="true" ma:taxonomy="true" ma:internalName="ne6d73d4a8b14472a6a14c195f235605" ma:taxonomyFieldName="Information_x0020_Management_x0020_Marker" ma:displayName="Information Management Marker" ma:default="" ma:fieldId="{7e6d73d4-a8b1-4472-a6a1-4c195f235605}" ma:sspId="0483e4a5-f0f6-4ded-b0bb-00a90fd4cf8b" ma:termSetId="44e0cffd-acf4-44de-87a1-d4e578541bbf" ma:anchorId="00000000-0000-0000-0000-000000000000" ma:open="false" ma:isKeyword="false">
      <xsd:complexType>
        <xsd:sequence>
          <xsd:element ref="pc:Terms" minOccurs="0" maxOccurs="1"/>
        </xsd:sequence>
      </xsd:complexType>
    </xsd:element>
    <xsd:element name="Destroy Item46" ma:index="15" nillable="true" ma:displayName="Destroy Item" ma:internalName="Destroy_x0020_Item46">
      <xsd:simpleType>
        <xsd:restriction base="dms:Boolean"/>
      </xsd:simpleType>
    </xsd:element>
    <xsd:element name="Justification for Destruction47" ma:index="16" nillable="true" ma:displayName="Justification for Destruction" ma:internalName="Justification_x0020_for_x0020_Destruction47">
      <xsd:simpleType>
        <xsd:restriction base="dms:Text"/>
      </xsd:simpleType>
    </xsd:element>
    <xsd:element name="Document_x0020_SP_x0020_Type" ma:index="17" nillable="true" ma:displayName="Document SP Type" ma:default="Document" ma:internalName="Document_x0020_SP_x0020_Type">
      <xsd:simpleType>
        <xsd:restriction base="dms:Text">
          <xsd:maxLength value="255"/>
        </xsd:restriction>
      </xsd:simple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b89a2c-dbe8-4aa4-bd74-be5189addec4" elementFormDefault="qualified">
    <xsd:import namespace="http://schemas.microsoft.com/office/2006/documentManagement/types"/>
    <xsd:import namespace="http://schemas.microsoft.com/office/infopath/2007/PartnerControls"/>
    <xsd:element name="Project_x0020_activity" ma:index="21" nillable="true" ma:displayName="Project activity" ma:default="None" ma:description="Document types/phases of the project" ma:internalName="Project_x0020_activit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EE72961-E5FF-4F43-9532-FD7B95D4870F}">
  <ds:schemaRefs>
    <ds:schemaRef ds:uri="http://schemas.microsoft.com/sharepoint/v3/contenttype/forms"/>
  </ds:schemaRefs>
</ds:datastoreItem>
</file>

<file path=customXml/itemProps3.xml><?xml version="1.0" encoding="utf-8"?>
<ds:datastoreItem xmlns:ds="http://schemas.openxmlformats.org/officeDocument/2006/customXml" ds:itemID="{9CD7BF70-5496-4570-8665-E2B3EA49EE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b9b181-06e0-4268-af22-c6840c33967c"/>
    <ds:schemaRef ds:uri="40b89a2c-dbe8-4aa4-bd74-be5189adde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7DD3DE4-1885-4922-8B9E-51474E4C2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1537</Words>
  <Characters>8765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Regenerating General Aviation</vt:lpstr>
    </vt:vector>
  </TitlesOfParts>
  <Company>Department of Infrastructure &amp; Regional Development</Company>
  <LinksUpToDate>false</LinksUpToDate>
  <CharactersWithSpaces>10282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Maximising aviation’s contribution to net zero</dc:title>
  <dc:subject/>
  <dc:creator>Leah Harris</dc:creator>
  <cp:keywords/>
  <dc:description/>
  <cp:lastModifiedBy>JEFFERY, Belinda</cp:lastModifiedBy>
  <cp:revision>2</cp:revision>
  <dcterms:created xsi:type="dcterms:W3CDTF">2024-08-21T09:26:00Z</dcterms:created>
  <dcterms:modified xsi:type="dcterms:W3CDTF">2024-08-21T09:26:00Z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0x0101005204C2ED6474624087625D5BC8BDA46B</vt:lpwstr>
  </property>
</Properties>
</file>