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7335A" w14:textId="30C1C0CE" w:rsidR="00133A45" w:rsidRDefault="00373C37" w:rsidP="00C817A5">
      <w:pPr>
        <w:spacing w:after="480"/>
      </w:pPr>
      <w:r>
        <w:rPr>
          <w:noProof/>
        </w:rPr>
        <w:drawing>
          <wp:inline distT="0" distB="0" distL="0" distR="0" wp14:anchorId="140E61E6" wp14:editId="06CE7DD7">
            <wp:extent cx="2855559" cy="980949"/>
            <wp:effectExtent l="0" t="0" r="0" b="0"/>
            <wp:docPr id="784273510" name="Picture 1"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73510" name="Picture 1" descr="Australian Government crest"/>
                    <pic:cNvPicPr/>
                  </pic:nvPicPr>
                  <pic:blipFill>
                    <a:blip r:embed="rId8">
                      <a:extLst>
                        <a:ext uri="{28A0092B-C50C-407E-A947-70E740481C1C}">
                          <a14:useLocalDpi xmlns:a14="http://schemas.microsoft.com/office/drawing/2010/main" val="0"/>
                        </a:ext>
                      </a:extLst>
                    </a:blip>
                    <a:stretch>
                      <a:fillRect/>
                    </a:stretch>
                  </pic:blipFill>
                  <pic:spPr>
                    <a:xfrm>
                      <a:off x="0" y="0"/>
                      <a:ext cx="2855559" cy="980949"/>
                    </a:xfrm>
                    <a:prstGeom prst="rect">
                      <a:avLst/>
                    </a:prstGeom>
                  </pic:spPr>
                </pic:pic>
              </a:graphicData>
            </a:graphic>
          </wp:inline>
        </w:drawing>
      </w:r>
    </w:p>
    <w:p w14:paraId="3147335B" w14:textId="77777777" w:rsidR="00C817A5" w:rsidRDefault="00C817A5" w:rsidP="000E29BE">
      <w:pPr>
        <w:spacing w:after="720"/>
        <w:sectPr w:rsidR="00C817A5" w:rsidSect="00135C09">
          <w:headerReference w:type="even" r:id="rId9"/>
          <w:headerReference w:type="default" r:id="rId10"/>
          <w:footerReference w:type="even" r:id="rId11"/>
          <w:footerReference w:type="default" r:id="rId12"/>
          <w:footerReference w:type="first" r:id="rId13"/>
          <w:pgSz w:w="11906" w:h="16838"/>
          <w:pgMar w:top="567" w:right="991" w:bottom="1276" w:left="1440" w:header="0" w:footer="113" w:gutter="0"/>
          <w:cols w:space="708"/>
          <w:titlePg/>
          <w:docGrid w:linePitch="360"/>
        </w:sectPr>
      </w:pPr>
    </w:p>
    <w:p w14:paraId="45D94AB2" w14:textId="77777777" w:rsidR="00D05FEE" w:rsidRDefault="00D05FEE" w:rsidP="00D05FEE">
      <w:pPr>
        <w:pStyle w:val="Heading1"/>
        <w:rPr>
          <w:rFonts w:eastAsia="Calibri"/>
          <w:b w:val="0"/>
          <w:sz w:val="20"/>
          <w:szCs w:val="20"/>
        </w:rPr>
      </w:pPr>
      <w:r>
        <w:t>Australian National Aviation Safety Plan Annual Report—Financial Year 2024–2025</w:t>
      </w:r>
    </w:p>
    <w:p w14:paraId="3C136116" w14:textId="77777777" w:rsidR="00D05FEE" w:rsidRDefault="00D05FEE" w:rsidP="00D05FEE">
      <w:pPr>
        <w:ind w:left="1134"/>
        <w:rPr>
          <w:rFonts w:eastAsia="Calibri" w:cs="Times New Roman"/>
          <w:b/>
          <w:color w:val="081E3E"/>
          <w:kern w:val="12"/>
          <w:sz w:val="20"/>
          <w:szCs w:val="20"/>
        </w:rPr>
      </w:pPr>
      <w:r>
        <w:rPr>
          <w:rFonts w:eastAsia="Calibri" w:cs="Times New Roman"/>
          <w:b/>
          <w:color w:val="081E3E"/>
          <w:kern w:val="12"/>
          <w:sz w:val="20"/>
          <w:szCs w:val="20"/>
        </w:rPr>
        <w:t>April</w:t>
      </w:r>
      <w:r w:rsidRPr="00B041CB">
        <w:rPr>
          <w:rFonts w:eastAsia="Calibri" w:cs="Times New Roman"/>
          <w:b/>
          <w:color w:val="081E3E"/>
          <w:kern w:val="12"/>
          <w:sz w:val="20"/>
          <w:szCs w:val="20"/>
        </w:rPr>
        <w:t xml:space="preserve"> </w:t>
      </w:r>
      <w:r>
        <w:rPr>
          <w:rFonts w:eastAsia="Calibri" w:cs="Times New Roman"/>
          <w:b/>
          <w:color w:val="081E3E"/>
          <w:kern w:val="12"/>
          <w:sz w:val="20"/>
          <w:szCs w:val="20"/>
        </w:rPr>
        <w:t>2026</w:t>
      </w:r>
    </w:p>
    <w:p w14:paraId="2899CA21" w14:textId="7A82D52F" w:rsidR="00564756" w:rsidRPr="00564756" w:rsidRDefault="008F1C18" w:rsidP="008F1C18">
      <w:pPr>
        <w:ind w:right="-991"/>
        <w:jc w:val="right"/>
      </w:pPr>
      <w:r>
        <w:rPr>
          <w:noProof/>
        </w:rPr>
        <w:drawing>
          <wp:inline distT="0" distB="0" distL="0" distR="0" wp14:anchorId="08395A26" wp14:editId="06FAB8B0">
            <wp:extent cx="6016625" cy="4109897"/>
            <wp:effectExtent l="0" t="0" r="3175" b="5080"/>
            <wp:docPr id="80583640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3640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8997" b="8997"/>
                    <a:stretch>
                      <a:fillRect/>
                    </a:stretch>
                  </pic:blipFill>
                  <pic:spPr bwMode="auto">
                    <a:xfrm>
                      <a:off x="0" y="0"/>
                      <a:ext cx="6016625" cy="4109897"/>
                    </a:xfrm>
                    <a:prstGeom prst="rect">
                      <a:avLst/>
                    </a:prstGeom>
                    <a:ln>
                      <a:noFill/>
                    </a:ln>
                    <a:extLst>
                      <a:ext uri="{53640926-AAD7-44D8-BBD7-CCE9431645EC}">
                        <a14:shadowObscured xmlns:a14="http://schemas.microsoft.com/office/drawing/2010/main"/>
                      </a:ext>
                    </a:extLst>
                  </pic:spPr>
                </pic:pic>
              </a:graphicData>
            </a:graphic>
          </wp:inline>
        </w:drawing>
      </w:r>
    </w:p>
    <w:p w14:paraId="31473360" w14:textId="042FC67B" w:rsidR="009C1ECD" w:rsidRDefault="009C1ECD" w:rsidP="007851B4">
      <w:pPr>
        <w:ind w:right="-991"/>
        <w:jc w:val="right"/>
        <w:rPr>
          <w:rFonts w:eastAsia="Calibri" w:cs="Times New Roman"/>
          <w:color w:val="000000"/>
          <w:kern w:val="12"/>
          <w:sz w:val="20"/>
          <w:szCs w:val="20"/>
        </w:rPr>
      </w:pPr>
    </w:p>
    <w:p w14:paraId="31473361" w14:textId="77777777" w:rsidR="009C1ECD" w:rsidRDefault="009C1ECD">
      <w:pPr>
        <w:spacing w:line="259" w:lineRule="auto"/>
        <w:rPr>
          <w:rFonts w:eastAsia="Calibri" w:cs="Times New Roman"/>
          <w:color w:val="000000"/>
          <w:kern w:val="12"/>
          <w:sz w:val="20"/>
          <w:szCs w:val="20"/>
        </w:rPr>
      </w:pPr>
      <w:r>
        <w:rPr>
          <w:rFonts w:eastAsia="Calibri" w:cs="Times New Roman"/>
          <w:color w:val="000000"/>
          <w:kern w:val="12"/>
          <w:sz w:val="20"/>
          <w:szCs w:val="20"/>
        </w:rPr>
        <w:br w:type="page"/>
      </w:r>
    </w:p>
    <w:p w14:paraId="1E555002" w14:textId="77777777" w:rsidR="0043549B" w:rsidRPr="000E5674" w:rsidRDefault="0043549B" w:rsidP="0043549B">
      <w:pPr>
        <w:pStyle w:val="NoSpacing"/>
        <w:spacing w:before="80"/>
      </w:pPr>
      <w:r w:rsidRPr="000E5674">
        <w:lastRenderedPageBreak/>
        <w:t>© Commonwealth of Australia 202</w:t>
      </w:r>
      <w:r>
        <w:t>6</w:t>
      </w:r>
    </w:p>
    <w:sdt>
      <w:sdtPr>
        <w:id w:val="252944584"/>
        <w:placeholder>
          <w:docPart w:val="9A577F939A7B4915BC80D1A296B2E5F5"/>
        </w:placeholder>
      </w:sdtPr>
      <w:sdtContent>
        <w:p w14:paraId="49EB2A34" w14:textId="77777777" w:rsidR="0043549B" w:rsidRDefault="0043549B" w:rsidP="0043549B">
          <w:pPr>
            <w:pStyle w:val="NoSpacing"/>
            <w:spacing w:before="80"/>
          </w:pPr>
          <w:r>
            <w:t xml:space="preserve">ISBN </w:t>
          </w:r>
          <w:r w:rsidRPr="00445DE5">
            <w:t>978-1-923111-14-1</w:t>
          </w:r>
        </w:p>
        <w:p w14:paraId="5DBEDFAF" w14:textId="77777777" w:rsidR="0043549B" w:rsidRPr="000E5674" w:rsidRDefault="0043549B" w:rsidP="0043549B">
          <w:pPr>
            <w:pStyle w:val="NoSpacing"/>
            <w:spacing w:before="80"/>
          </w:pPr>
          <w:r>
            <w:t xml:space="preserve">April 2026 | </w:t>
          </w:r>
          <w:r w:rsidRPr="00445DE5">
            <w:t>INFRA7259</w:t>
          </w:r>
        </w:p>
      </w:sdtContent>
    </w:sdt>
    <w:p w14:paraId="7E9831C2" w14:textId="77777777" w:rsidR="0043549B" w:rsidRPr="00B7141A" w:rsidRDefault="0043549B" w:rsidP="0043549B">
      <w:pPr>
        <w:pStyle w:val="Heading2notshowing"/>
      </w:pPr>
      <w:r w:rsidRPr="00B7141A">
        <w:t>Ownership of intellectual property rights in this publication</w:t>
      </w:r>
    </w:p>
    <w:p w14:paraId="2FB9E2FA" w14:textId="77777777" w:rsidR="0043549B" w:rsidRDefault="0043549B" w:rsidP="0043549B">
      <w:pPr>
        <w:spacing w:before="120"/>
        <w:ind w:right="-447"/>
        <w:rPr>
          <w:lang w:val="x-none"/>
        </w:rPr>
      </w:pPr>
      <w:r>
        <w:rPr>
          <w:lang w:val="x-none"/>
        </w:rPr>
        <w:t>Unless otherwise noted, copyright (and any other intellectual property rights, if any) in this publication is owned by the</w:t>
      </w:r>
      <w:r>
        <w:rPr>
          <w:lang w:val="en-US"/>
        </w:rPr>
        <w:t xml:space="preserve"> </w:t>
      </w:r>
      <w:r>
        <w:rPr>
          <w:lang w:val="x-none"/>
        </w:rPr>
        <w:t>Commonwealth of Australia (referred to below as the Commonwealth).</w:t>
      </w:r>
    </w:p>
    <w:p w14:paraId="09456245" w14:textId="77777777" w:rsidR="0043549B" w:rsidRPr="00B7141A" w:rsidRDefault="0043549B" w:rsidP="0043549B">
      <w:pPr>
        <w:pStyle w:val="Heading2notshowing"/>
      </w:pPr>
      <w:bookmarkStart w:id="0" w:name="_Toc178080020"/>
      <w:r w:rsidRPr="00B7141A">
        <w:t>Disclaimer</w:t>
      </w:r>
      <w:bookmarkEnd w:id="0"/>
    </w:p>
    <w:p w14:paraId="45D7B58D" w14:textId="77777777" w:rsidR="0043549B" w:rsidRDefault="0043549B" w:rsidP="0043549B">
      <w:pPr>
        <w:spacing w:before="120"/>
        <w:ind w:right="-447"/>
        <w:rPr>
          <w:lang w:val="x-none"/>
        </w:rPr>
      </w:pPr>
      <w:r>
        <w:rPr>
          <w:lang w:val="x-none"/>
        </w:rPr>
        <w:t>The material contained in this publication is made available on the understanding that the Commonwealth is not</w:t>
      </w:r>
      <w:r>
        <w:rPr>
          <w:lang w:val="en-US"/>
        </w:rPr>
        <w:t xml:space="preserve"> </w:t>
      </w:r>
      <w:r>
        <w:rPr>
          <w:lang w:val="x-none"/>
        </w:rPr>
        <w:t>providing professional advice, and that users exercise their own skill and care with respect to its use, and seek</w:t>
      </w:r>
      <w:r>
        <w:rPr>
          <w:lang w:val="en-US"/>
        </w:rPr>
        <w:t xml:space="preserve"> </w:t>
      </w:r>
      <w:r>
        <w:rPr>
          <w:lang w:val="x-none"/>
        </w:rPr>
        <w:t>independent advice if necessary.</w:t>
      </w:r>
    </w:p>
    <w:p w14:paraId="7F5CBCCF" w14:textId="77777777" w:rsidR="0043549B" w:rsidRDefault="0043549B" w:rsidP="0043549B">
      <w:pPr>
        <w:spacing w:before="120"/>
        <w:ind w:right="-447"/>
        <w:rPr>
          <w:lang w:val="x-none"/>
        </w:rPr>
      </w:pPr>
      <w:r>
        <w:rPr>
          <w:lang w:val="x-none"/>
        </w:rPr>
        <w:t>The Commonwealth makes no representations or warranties as to the contents or accuracy of the information contained</w:t>
      </w:r>
      <w:r w:rsidRPr="00A91CD9">
        <w:rPr>
          <w:lang w:val="x-none"/>
        </w:rPr>
        <w:t xml:space="preserve"> </w:t>
      </w:r>
      <w:r>
        <w:rPr>
          <w:lang w:val="x-none"/>
        </w:rPr>
        <w:t>in this publication. To the extent permitted by law, the Commonwealth disclaims liability to any person or organisation in</w:t>
      </w:r>
      <w:r w:rsidRPr="00A91CD9">
        <w:rPr>
          <w:lang w:val="x-none"/>
        </w:rPr>
        <w:t xml:space="preserve"> </w:t>
      </w:r>
      <w:r>
        <w:rPr>
          <w:lang w:val="x-none"/>
        </w:rPr>
        <w:t>respect of anything done, or omitted to be done, in reliance upon information contained in this publication.</w:t>
      </w:r>
    </w:p>
    <w:p w14:paraId="23C44231" w14:textId="77777777" w:rsidR="0043549B" w:rsidRPr="00A91CD9" w:rsidRDefault="0043549B" w:rsidP="0043549B">
      <w:pPr>
        <w:spacing w:before="120"/>
        <w:ind w:right="-447"/>
        <w:rPr>
          <w:lang w:val="x-none"/>
        </w:rPr>
      </w:pPr>
      <w:r w:rsidRPr="00A91CD9">
        <w:rPr>
          <w:lang w:val="x-none"/>
        </w:rPr>
        <w:t>This document was edited with the assistance of Microsoft Copilot, a generative artificial intelligence tool, to improve clarity and readability. The final content has been reviewed and approved by the Department of Infrastructure, Transport, Regional Development, Communications, Sport and the Arts who remain responsible for its accuracy and completeness.</w:t>
      </w:r>
    </w:p>
    <w:p w14:paraId="3B2C2858" w14:textId="77777777" w:rsidR="0043549B" w:rsidRPr="007512B3" w:rsidRDefault="0043549B" w:rsidP="00000441">
      <w:pPr>
        <w:pStyle w:val="Heading2notshowing"/>
      </w:pPr>
      <w:bookmarkStart w:id="1" w:name="_Toc178080021"/>
      <w:r w:rsidRPr="007512B3">
        <w:t>Creative Commons licence</w:t>
      </w:r>
    </w:p>
    <w:p w14:paraId="281489F1" w14:textId="77777777" w:rsidR="0043549B" w:rsidRDefault="0043549B" w:rsidP="0043549B">
      <w:r>
        <w:rPr>
          <w:noProof/>
        </w:rPr>
        <w:drawing>
          <wp:inline distT="0" distB="0" distL="0" distR="0" wp14:anchorId="7B06E108" wp14:editId="1C5076BC">
            <wp:extent cx="1009650" cy="352425"/>
            <wp:effectExtent l="0" t="0" r="0" b="9525"/>
            <wp:docPr id="1319683113" name="Picture 131968311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352425"/>
                    </a:xfrm>
                    <a:prstGeom prst="rect">
                      <a:avLst/>
                    </a:prstGeom>
                    <a:noFill/>
                    <a:ln>
                      <a:noFill/>
                    </a:ln>
                  </pic:spPr>
                </pic:pic>
              </a:graphicData>
            </a:graphic>
          </wp:inline>
        </w:drawing>
      </w:r>
    </w:p>
    <w:p w14:paraId="36FCB173" w14:textId="77777777" w:rsidR="0043549B" w:rsidRPr="00A07CDF" w:rsidRDefault="0043549B" w:rsidP="0043549B">
      <w:pPr>
        <w:spacing w:before="120"/>
        <w:ind w:right="-447"/>
        <w:rPr>
          <w:lang w:val="x-none"/>
        </w:rPr>
      </w:pPr>
      <w:r w:rsidRPr="00A07CDF">
        <w:rPr>
          <w:lang w:val="x-none"/>
        </w:rPr>
        <w:t>The material in this publication is licensed under a Creative Commons Attribution 4.0 International licence, with the exception of (a) the Coat of Arms; (b) logos, photos and graphics; (c) content supplied by third parties; and (d) content otherwise labelled.</w:t>
      </w:r>
    </w:p>
    <w:p w14:paraId="17306CE2" w14:textId="56FD6246" w:rsidR="0043549B" w:rsidRPr="00A07CDF" w:rsidRDefault="0043549B" w:rsidP="0043549B">
      <w:pPr>
        <w:spacing w:before="120"/>
        <w:ind w:right="-447"/>
        <w:rPr>
          <w:lang w:val="x-none"/>
        </w:rPr>
      </w:pPr>
      <w:bookmarkStart w:id="2" w:name="_Hlk178863403"/>
      <w:r w:rsidRPr="001C473F">
        <w:rPr>
          <w:lang w:val="x-none"/>
        </w:rPr>
        <w:t xml:space="preserve">This publication (and any material sourced from it) should be attributed in the following way: </w:t>
      </w:r>
      <w:r w:rsidRPr="001C473F">
        <w:rPr>
          <w:lang w:val="x-none"/>
        </w:rPr>
        <w:br/>
        <w:t>Australian National Aviation Safety Plan Annual Report</w:t>
      </w:r>
      <w:r w:rsidR="006D2C5C">
        <w:rPr>
          <w:lang w:val="x-none"/>
        </w:rPr>
        <w:t>—</w:t>
      </w:r>
      <w:r w:rsidRPr="001C473F">
        <w:rPr>
          <w:lang w:val="x-none"/>
        </w:rPr>
        <w:t xml:space="preserve">Financial Year 2024-2025 © Commonwealth of Australia 2026 licensed under CC BY 4.0. To view a copy of this licence, visit </w:t>
      </w:r>
      <w:hyperlink r:id="rId16" w:history="1">
        <w:r w:rsidRPr="001C473F">
          <w:rPr>
            <w:rStyle w:val="Hyperlink"/>
            <w:lang w:val="x-none"/>
          </w:rPr>
          <w:t>https://creativecommons.org/licenses/by/4.0/</w:t>
        </w:r>
      </w:hyperlink>
      <w:r w:rsidRPr="001C473F">
        <w:rPr>
          <w:rStyle w:val="Hyperlink"/>
          <w:lang w:val="x-none"/>
        </w:rPr>
        <w:t>.</w:t>
      </w:r>
      <w:bookmarkEnd w:id="2"/>
    </w:p>
    <w:p w14:paraId="37CDE75A" w14:textId="77777777" w:rsidR="0043549B" w:rsidRPr="00B7141A" w:rsidRDefault="0043549B" w:rsidP="00000441">
      <w:pPr>
        <w:pStyle w:val="Heading2notshowing"/>
      </w:pPr>
      <w:r w:rsidRPr="00B7141A">
        <w:t>Use of the Coat of Arms</w:t>
      </w:r>
      <w:bookmarkEnd w:id="1"/>
    </w:p>
    <w:p w14:paraId="71314BF2" w14:textId="635AA574" w:rsidR="0043549B" w:rsidRDefault="0043549B" w:rsidP="0043549B">
      <w:pPr>
        <w:spacing w:before="120"/>
        <w:ind w:right="-447"/>
        <w:rPr>
          <w:lang w:val="x-none"/>
        </w:rPr>
      </w:pPr>
      <w:r>
        <w:rPr>
          <w:lang w:val="x-none"/>
        </w:rPr>
        <w:t>The Department of the Prime Minister and Cabinet sets the terms under which the Coat of Arms is used. Please refer to</w:t>
      </w:r>
      <w:r>
        <w:rPr>
          <w:lang w:val="en-US"/>
        </w:rPr>
        <w:t xml:space="preserve"> </w:t>
      </w:r>
      <w:r>
        <w:rPr>
          <w:lang w:val="x-none"/>
        </w:rPr>
        <w:t>the Commonwealth Coat of Arms</w:t>
      </w:r>
      <w:r w:rsidR="006D2C5C">
        <w:rPr>
          <w:lang w:val="x-none"/>
        </w:rPr>
        <w:t>—</w:t>
      </w:r>
      <w:r>
        <w:rPr>
          <w:lang w:val="x-none"/>
        </w:rPr>
        <w:t xml:space="preserve">Information and Guidelines publication available at </w:t>
      </w:r>
      <w:hyperlink r:id="rId17" w:tooltip="Department of Prime Minister and Cabinet website" w:history="1">
        <w:r>
          <w:rPr>
            <w:rStyle w:val="Hyperlink"/>
            <w:lang w:val="x-none"/>
          </w:rPr>
          <w:t>www.pmc.gov.au</w:t>
        </w:r>
      </w:hyperlink>
      <w:r>
        <w:rPr>
          <w:lang w:val="x-none"/>
        </w:rPr>
        <w:t>.</w:t>
      </w:r>
    </w:p>
    <w:p w14:paraId="0B3B8478" w14:textId="77777777" w:rsidR="0043549B" w:rsidRPr="00AB54C5" w:rsidRDefault="0043549B" w:rsidP="0043549B">
      <w:pPr>
        <w:pStyle w:val="Heading2-Copyright"/>
      </w:pPr>
      <w:bookmarkStart w:id="3" w:name="_Toc178080022"/>
      <w:r w:rsidRPr="00AB54C5">
        <w:t>Contact us</w:t>
      </w:r>
      <w:bookmarkEnd w:id="3"/>
    </w:p>
    <w:p w14:paraId="0555A552" w14:textId="77777777" w:rsidR="0043549B" w:rsidRDefault="0043549B" w:rsidP="0043549B">
      <w:pPr>
        <w:spacing w:before="120"/>
        <w:ind w:right="-447"/>
        <w:rPr>
          <w:lang w:val="x-none"/>
        </w:rPr>
      </w:pPr>
      <w:r>
        <w:rPr>
          <w:lang w:val="x-none"/>
        </w:rPr>
        <w:t xml:space="preserve">This publication is available in </w:t>
      </w:r>
      <w:r>
        <w:rPr>
          <w:lang w:val="en-US"/>
        </w:rPr>
        <w:t xml:space="preserve">PDF and Word formats. </w:t>
      </w:r>
      <w:r>
        <w:rPr>
          <w:lang w:val="x-none"/>
        </w:rPr>
        <w:t>All other rights are reserved, including in relation to any</w:t>
      </w:r>
      <w:r>
        <w:rPr>
          <w:lang w:val="en-US"/>
        </w:rPr>
        <w:t xml:space="preserve"> departmental</w:t>
      </w:r>
      <w:r>
        <w:rPr>
          <w:lang w:val="x-none"/>
        </w:rPr>
        <w:t xml:space="preserve"> logos or trademarks which may exist. For enquiries regarding the licence and any use of this publication,</w:t>
      </w:r>
      <w:r>
        <w:rPr>
          <w:lang w:val="en-US"/>
        </w:rPr>
        <w:t xml:space="preserve"> </w:t>
      </w:r>
      <w:r>
        <w:rPr>
          <w:lang w:val="x-none"/>
        </w:rPr>
        <w:t>please contact:</w:t>
      </w:r>
    </w:p>
    <w:p w14:paraId="41B3F755" w14:textId="77777777" w:rsidR="0043549B" w:rsidRDefault="0043549B" w:rsidP="0043549B">
      <w:pPr>
        <w:spacing w:before="120"/>
        <w:ind w:right="-447"/>
        <w:rPr>
          <w:lang w:val="en-US"/>
        </w:rPr>
      </w:pPr>
      <w:r>
        <w:rPr>
          <w:lang w:val="x-none"/>
        </w:rPr>
        <w:t xml:space="preserve">Email: </w:t>
      </w:r>
      <w:hyperlink r:id="rId18" w:history="1">
        <w:r>
          <w:rPr>
            <w:rStyle w:val="Hyperlink"/>
            <w:lang w:val="en-US"/>
          </w:rPr>
          <w:t>InternationalICAO@infrastructure.gov.au</w:t>
        </w:r>
      </w:hyperlink>
      <w:r>
        <w:rPr>
          <w:lang w:val="en-US"/>
        </w:rPr>
        <w:t xml:space="preserve"> </w:t>
      </w:r>
    </w:p>
    <w:p w14:paraId="699DA74B" w14:textId="302448BA" w:rsidR="0043549B" w:rsidRDefault="0043549B" w:rsidP="0043549B">
      <w:r>
        <w:rPr>
          <w:lang w:val="x-none"/>
        </w:rPr>
        <w:t>Website:</w:t>
      </w:r>
      <w:r>
        <w:rPr>
          <w:lang w:val="en-US"/>
        </w:rPr>
        <w:t xml:space="preserve"> </w:t>
      </w:r>
      <w:hyperlink r:id="rId19" w:history="1">
        <w:r>
          <w:rPr>
            <w:rStyle w:val="Hyperlink"/>
            <w:lang w:val="en-US"/>
          </w:rPr>
          <w:t>www.infrastructure.gov.au</w:t>
        </w:r>
      </w:hyperlink>
    </w:p>
    <w:p w14:paraId="600E386C" w14:textId="77777777" w:rsidR="001243CA" w:rsidRPr="007E7A8F" w:rsidRDefault="001243CA" w:rsidP="001243CA">
      <w:pPr>
        <w:pStyle w:val="Heading2notshowing"/>
      </w:pPr>
      <w:r w:rsidRPr="007E7A8F">
        <w:lastRenderedPageBreak/>
        <w:t>Contributing Agencies</w:t>
      </w:r>
    </w:p>
    <w:p w14:paraId="1C976CEA" w14:textId="7CEF8575" w:rsidR="001243CA" w:rsidRPr="00096077" w:rsidRDefault="001243CA" w:rsidP="001243CA">
      <w:pPr>
        <w:keepNext/>
        <w:rPr>
          <w:rFonts w:cstheme="minorHAnsi"/>
          <w:bCs/>
        </w:rPr>
      </w:pPr>
      <w:r w:rsidRPr="00096077">
        <w:rPr>
          <w:rFonts w:cstheme="minorHAnsi"/>
          <w:bCs/>
        </w:rPr>
        <w:t xml:space="preserve">The </w:t>
      </w:r>
      <w:r>
        <w:rPr>
          <w:rFonts w:cstheme="minorHAnsi"/>
          <w:bCs/>
        </w:rPr>
        <w:t>National Aviation Safety Plan</w:t>
      </w:r>
      <w:r w:rsidRPr="00096077">
        <w:rPr>
          <w:rFonts w:cstheme="minorHAnsi"/>
          <w:bCs/>
        </w:rPr>
        <w:t xml:space="preserve"> annual report is prepared by </w:t>
      </w:r>
      <w:r>
        <w:rPr>
          <w:rFonts w:cstheme="minorHAnsi"/>
          <w:bCs/>
        </w:rPr>
        <w:t xml:space="preserve">the Joint Aviation Agency Safety Analysis Coordination Group on behalf of </w:t>
      </w:r>
      <w:r w:rsidRPr="00096077">
        <w:rPr>
          <w:rFonts w:cstheme="minorHAnsi"/>
          <w:bCs/>
        </w:rPr>
        <w:t>the State Safety Programme</w:t>
      </w:r>
      <w:r w:rsidR="00340487">
        <w:rPr>
          <w:rFonts w:cstheme="minorHAnsi"/>
          <w:bCs/>
        </w:rPr>
        <w:t>—</w:t>
      </w:r>
      <w:r w:rsidRPr="00096077">
        <w:rPr>
          <w:rFonts w:cstheme="minorHAnsi"/>
          <w:bCs/>
        </w:rPr>
        <w:t>Cross</w:t>
      </w:r>
      <w:r>
        <w:rPr>
          <w:rFonts w:cstheme="minorHAnsi"/>
          <w:bCs/>
        </w:rPr>
        <w:t>-</w:t>
      </w:r>
      <w:r w:rsidRPr="00096077">
        <w:rPr>
          <w:rFonts w:cstheme="minorHAnsi"/>
          <w:bCs/>
        </w:rPr>
        <w:t>Agency Team (SSP-CAT)</w:t>
      </w:r>
      <w:r>
        <w:rPr>
          <w:rFonts w:cstheme="minorHAnsi"/>
          <w:bCs/>
        </w:rPr>
        <w:t>, w</w:t>
      </w:r>
      <w:r w:rsidRPr="00096077">
        <w:rPr>
          <w:rFonts w:cstheme="minorHAnsi"/>
          <w:bCs/>
        </w:rPr>
        <w:t xml:space="preserve">ith </w:t>
      </w:r>
      <w:r>
        <w:rPr>
          <w:rFonts w:cstheme="minorHAnsi"/>
          <w:bCs/>
        </w:rPr>
        <w:t xml:space="preserve">performance </w:t>
      </w:r>
      <w:r w:rsidRPr="00096077">
        <w:rPr>
          <w:rFonts w:cstheme="minorHAnsi"/>
          <w:bCs/>
        </w:rPr>
        <w:t xml:space="preserve">data </w:t>
      </w:r>
      <w:r>
        <w:rPr>
          <w:rFonts w:cstheme="minorHAnsi"/>
          <w:bCs/>
        </w:rPr>
        <w:t xml:space="preserve">and information </w:t>
      </w:r>
      <w:r w:rsidRPr="00096077">
        <w:rPr>
          <w:rFonts w:cstheme="minorHAnsi"/>
          <w:bCs/>
        </w:rPr>
        <w:t>provided by:</w:t>
      </w:r>
    </w:p>
    <w:p w14:paraId="783A1323" w14:textId="77777777" w:rsidR="001243CA" w:rsidRPr="006646AF" w:rsidRDefault="001243CA" w:rsidP="001243CA">
      <w:pPr>
        <w:pStyle w:val="Listparagraphbullets"/>
      </w:pPr>
      <w:r w:rsidRPr="006646AF">
        <w:t>Department of Infrastructure, Transport, Regional Development, Communications, Sport and the Arts</w:t>
      </w:r>
    </w:p>
    <w:p w14:paraId="66FD2684" w14:textId="77777777" w:rsidR="001243CA" w:rsidRPr="006646AF" w:rsidRDefault="001243CA" w:rsidP="001243CA">
      <w:pPr>
        <w:pStyle w:val="Listparagraphbullets"/>
      </w:pPr>
      <w:r w:rsidRPr="006646AF">
        <w:t>Civil Aviation Safety Authority</w:t>
      </w:r>
    </w:p>
    <w:p w14:paraId="18BB7916" w14:textId="77777777" w:rsidR="001243CA" w:rsidRPr="006646AF" w:rsidRDefault="001243CA" w:rsidP="001243CA">
      <w:pPr>
        <w:pStyle w:val="Listparagraphbullets"/>
      </w:pPr>
      <w:r w:rsidRPr="006646AF">
        <w:t>Airservices Australia</w:t>
      </w:r>
    </w:p>
    <w:p w14:paraId="6B210061" w14:textId="77777777" w:rsidR="001243CA" w:rsidRPr="006646AF" w:rsidRDefault="001243CA" w:rsidP="001243CA">
      <w:pPr>
        <w:pStyle w:val="Listparagraphbullets"/>
      </w:pPr>
      <w:r w:rsidRPr="006646AF">
        <w:t>Australian Transport Safety Bureau</w:t>
      </w:r>
    </w:p>
    <w:p w14:paraId="6C187CB3" w14:textId="77777777" w:rsidR="001243CA" w:rsidRPr="006646AF" w:rsidRDefault="001243CA" w:rsidP="001243CA">
      <w:pPr>
        <w:pStyle w:val="Listparagraphbullets"/>
      </w:pPr>
      <w:r w:rsidRPr="006646AF">
        <w:t>Australian Maritime Safety Authority</w:t>
      </w:r>
    </w:p>
    <w:p w14:paraId="0274DBC9" w14:textId="77777777" w:rsidR="001243CA" w:rsidRPr="006646AF" w:rsidRDefault="001243CA" w:rsidP="001243CA">
      <w:pPr>
        <w:pStyle w:val="Listparagraphbullets"/>
      </w:pPr>
      <w:r w:rsidRPr="006646AF">
        <w:t>Bureau of Meteorology</w:t>
      </w:r>
    </w:p>
    <w:p w14:paraId="58207221" w14:textId="77777777" w:rsidR="001243CA" w:rsidRPr="006646AF" w:rsidRDefault="001243CA" w:rsidP="001243CA">
      <w:pPr>
        <w:pStyle w:val="Listparagraphbullets"/>
      </w:pPr>
      <w:r w:rsidRPr="006646AF">
        <w:t>Department of Defence</w:t>
      </w:r>
    </w:p>
    <w:p w14:paraId="6FC73A19" w14:textId="035135F3" w:rsidR="001243CA" w:rsidRPr="006646AF" w:rsidRDefault="001243CA" w:rsidP="001243CA">
      <w:pPr>
        <w:pStyle w:val="Listparagraphbullets"/>
      </w:pPr>
      <w:r w:rsidRPr="006646AF">
        <w:t>Department of Home Affairs</w:t>
      </w:r>
      <w:r w:rsidR="00062908">
        <w:t>.</w:t>
      </w:r>
    </w:p>
    <w:p w14:paraId="3A73B76B" w14:textId="77777777" w:rsidR="0043549B" w:rsidRDefault="0043549B" w:rsidP="009C1ECD"/>
    <w:p w14:paraId="31473374" w14:textId="00BF001B" w:rsidR="009C1ECD" w:rsidRDefault="009C1ECD" w:rsidP="009C1ECD">
      <w:r>
        <w:br w:type="page"/>
      </w:r>
    </w:p>
    <w:p w14:paraId="31473375" w14:textId="77777777" w:rsidR="00670726" w:rsidRPr="00FC7DDF" w:rsidRDefault="00670726" w:rsidP="00C30A4B">
      <w:pPr>
        <w:pStyle w:val="Heading2notshowing"/>
        <w:rPr>
          <w:sz w:val="28"/>
          <w:szCs w:val="28"/>
        </w:rPr>
      </w:pPr>
      <w:r w:rsidRPr="00FC7DDF">
        <w:rPr>
          <w:sz w:val="28"/>
          <w:szCs w:val="28"/>
        </w:rPr>
        <w:lastRenderedPageBreak/>
        <w:t>Table of contents</w:t>
      </w:r>
    </w:p>
    <w:p w14:paraId="3C78ABF0" w14:textId="74A68025" w:rsidR="00EB2FEC" w:rsidRDefault="006E5952">
      <w:pPr>
        <w:pStyle w:val="TOC1"/>
        <w:rPr>
          <w:rFonts w:asciiTheme="minorHAnsi" w:eastAsiaTheme="minorEastAsia" w:hAnsiTheme="minorHAnsi"/>
          <w:b w:val="0"/>
          <w:noProof/>
          <w:color w:val="auto"/>
          <w:kern w:val="2"/>
          <w:sz w:val="24"/>
          <w:szCs w:val="24"/>
          <w:u w:val="none"/>
          <w:lang w:eastAsia="en-AU"/>
          <w14:ligatures w14:val="standardContextual"/>
        </w:rPr>
      </w:pPr>
      <w:r>
        <w:rPr>
          <w:b w:val="0"/>
        </w:rPr>
        <w:fldChar w:fldCharType="begin"/>
      </w:r>
      <w:r>
        <w:rPr>
          <w:b w:val="0"/>
        </w:rPr>
        <w:instrText xml:space="preserve"> TOC \h \z \t "Heading 2,1,Heading 3,2,Heading 4,3" </w:instrText>
      </w:r>
      <w:r>
        <w:rPr>
          <w:b w:val="0"/>
        </w:rPr>
        <w:fldChar w:fldCharType="separate"/>
      </w:r>
      <w:hyperlink w:anchor="_Toc230270013" w:history="1">
        <w:r w:rsidR="00EB2FEC" w:rsidRPr="008E1165">
          <w:rPr>
            <w:rStyle w:val="Hyperlink"/>
            <w:noProof/>
          </w:rPr>
          <w:t>Executive summary</w:t>
        </w:r>
        <w:r w:rsidR="00EB2FEC">
          <w:rPr>
            <w:noProof/>
            <w:webHidden/>
          </w:rPr>
          <w:tab/>
        </w:r>
        <w:r w:rsidR="00EB2FEC">
          <w:rPr>
            <w:noProof/>
            <w:webHidden/>
          </w:rPr>
          <w:fldChar w:fldCharType="begin"/>
        </w:r>
        <w:r w:rsidR="00EB2FEC">
          <w:rPr>
            <w:noProof/>
            <w:webHidden/>
          </w:rPr>
          <w:instrText xml:space="preserve"> PAGEREF _Toc230270013 \h </w:instrText>
        </w:r>
        <w:r w:rsidR="00EB2FEC">
          <w:rPr>
            <w:noProof/>
            <w:webHidden/>
          </w:rPr>
        </w:r>
        <w:r w:rsidR="00EB2FEC">
          <w:rPr>
            <w:noProof/>
            <w:webHidden/>
          </w:rPr>
          <w:fldChar w:fldCharType="separate"/>
        </w:r>
        <w:r w:rsidR="00EB2FEC">
          <w:rPr>
            <w:noProof/>
            <w:webHidden/>
          </w:rPr>
          <w:t>6</w:t>
        </w:r>
        <w:r w:rsidR="00EB2FEC">
          <w:rPr>
            <w:noProof/>
            <w:webHidden/>
          </w:rPr>
          <w:fldChar w:fldCharType="end"/>
        </w:r>
      </w:hyperlink>
    </w:p>
    <w:p w14:paraId="7C68D7E5" w14:textId="3182AFEF" w:rsidR="00EB2FEC" w:rsidRDefault="00EB2FEC">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230270014" w:history="1">
        <w:r w:rsidRPr="008E1165">
          <w:rPr>
            <w:rStyle w:val="Hyperlink"/>
            <w:noProof/>
          </w:rPr>
          <w:t>1. Introduction</w:t>
        </w:r>
        <w:r>
          <w:rPr>
            <w:noProof/>
            <w:webHidden/>
          </w:rPr>
          <w:tab/>
        </w:r>
        <w:r>
          <w:rPr>
            <w:noProof/>
            <w:webHidden/>
          </w:rPr>
          <w:fldChar w:fldCharType="begin"/>
        </w:r>
        <w:r>
          <w:rPr>
            <w:noProof/>
            <w:webHidden/>
          </w:rPr>
          <w:instrText xml:space="preserve"> PAGEREF _Toc230270014 \h </w:instrText>
        </w:r>
        <w:r>
          <w:rPr>
            <w:noProof/>
            <w:webHidden/>
          </w:rPr>
        </w:r>
        <w:r>
          <w:rPr>
            <w:noProof/>
            <w:webHidden/>
          </w:rPr>
          <w:fldChar w:fldCharType="separate"/>
        </w:r>
        <w:r>
          <w:rPr>
            <w:noProof/>
            <w:webHidden/>
          </w:rPr>
          <w:t>7</w:t>
        </w:r>
        <w:r>
          <w:rPr>
            <w:noProof/>
            <w:webHidden/>
          </w:rPr>
          <w:fldChar w:fldCharType="end"/>
        </w:r>
      </w:hyperlink>
    </w:p>
    <w:p w14:paraId="5D2F77DB" w14:textId="217C8D52"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15" w:history="1">
        <w:r w:rsidRPr="008E1165">
          <w:rPr>
            <w:rStyle w:val="Hyperlink"/>
            <w:noProof/>
          </w:rPr>
          <w:t>1.1 Australia’s safety goals and objectives</w:t>
        </w:r>
        <w:r>
          <w:rPr>
            <w:noProof/>
            <w:webHidden/>
          </w:rPr>
          <w:tab/>
        </w:r>
        <w:r>
          <w:rPr>
            <w:noProof/>
            <w:webHidden/>
          </w:rPr>
          <w:fldChar w:fldCharType="begin"/>
        </w:r>
        <w:r>
          <w:rPr>
            <w:noProof/>
            <w:webHidden/>
          </w:rPr>
          <w:instrText xml:space="preserve"> PAGEREF _Toc230270015 \h </w:instrText>
        </w:r>
        <w:r>
          <w:rPr>
            <w:noProof/>
            <w:webHidden/>
          </w:rPr>
        </w:r>
        <w:r>
          <w:rPr>
            <w:noProof/>
            <w:webHidden/>
          </w:rPr>
          <w:fldChar w:fldCharType="separate"/>
        </w:r>
        <w:r>
          <w:rPr>
            <w:noProof/>
            <w:webHidden/>
          </w:rPr>
          <w:t>7</w:t>
        </w:r>
        <w:r>
          <w:rPr>
            <w:noProof/>
            <w:webHidden/>
          </w:rPr>
          <w:fldChar w:fldCharType="end"/>
        </w:r>
      </w:hyperlink>
    </w:p>
    <w:p w14:paraId="0115FC95" w14:textId="1B155AF2" w:rsidR="00EB2FEC" w:rsidRDefault="00EB2FEC">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230270016" w:history="1">
        <w:r w:rsidRPr="008E1165">
          <w:rPr>
            <w:rStyle w:val="Hyperlink"/>
            <w:noProof/>
          </w:rPr>
          <w:t>1.2 Analysis approach</w:t>
        </w:r>
        <w:r>
          <w:rPr>
            <w:noProof/>
            <w:webHidden/>
          </w:rPr>
          <w:tab/>
        </w:r>
        <w:r>
          <w:rPr>
            <w:noProof/>
            <w:webHidden/>
          </w:rPr>
          <w:fldChar w:fldCharType="begin"/>
        </w:r>
        <w:r>
          <w:rPr>
            <w:noProof/>
            <w:webHidden/>
          </w:rPr>
          <w:instrText xml:space="preserve"> PAGEREF _Toc230270016 \h </w:instrText>
        </w:r>
        <w:r>
          <w:rPr>
            <w:noProof/>
            <w:webHidden/>
          </w:rPr>
        </w:r>
        <w:r>
          <w:rPr>
            <w:noProof/>
            <w:webHidden/>
          </w:rPr>
          <w:fldChar w:fldCharType="separate"/>
        </w:r>
        <w:r>
          <w:rPr>
            <w:noProof/>
            <w:webHidden/>
          </w:rPr>
          <w:t>10</w:t>
        </w:r>
        <w:r>
          <w:rPr>
            <w:noProof/>
            <w:webHidden/>
          </w:rPr>
          <w:fldChar w:fldCharType="end"/>
        </w:r>
      </w:hyperlink>
    </w:p>
    <w:p w14:paraId="43878272" w14:textId="70829371"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17" w:history="1">
        <w:r w:rsidRPr="008E1165">
          <w:rPr>
            <w:rStyle w:val="Hyperlink"/>
            <w:noProof/>
          </w:rPr>
          <w:t>Timeframes and limitations:</w:t>
        </w:r>
        <w:r>
          <w:rPr>
            <w:noProof/>
            <w:webHidden/>
          </w:rPr>
          <w:tab/>
        </w:r>
        <w:r>
          <w:rPr>
            <w:noProof/>
            <w:webHidden/>
          </w:rPr>
          <w:fldChar w:fldCharType="begin"/>
        </w:r>
        <w:r>
          <w:rPr>
            <w:noProof/>
            <w:webHidden/>
          </w:rPr>
          <w:instrText xml:space="preserve"> PAGEREF _Toc230270017 \h </w:instrText>
        </w:r>
        <w:r>
          <w:rPr>
            <w:noProof/>
            <w:webHidden/>
          </w:rPr>
        </w:r>
        <w:r>
          <w:rPr>
            <w:noProof/>
            <w:webHidden/>
          </w:rPr>
          <w:fldChar w:fldCharType="separate"/>
        </w:r>
        <w:r>
          <w:rPr>
            <w:noProof/>
            <w:webHidden/>
          </w:rPr>
          <w:t>10</w:t>
        </w:r>
        <w:r>
          <w:rPr>
            <w:noProof/>
            <w:webHidden/>
          </w:rPr>
          <w:fldChar w:fldCharType="end"/>
        </w:r>
      </w:hyperlink>
    </w:p>
    <w:p w14:paraId="40A43099" w14:textId="4F351C1A"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18" w:history="1">
        <w:r w:rsidRPr="008E1165">
          <w:rPr>
            <w:rStyle w:val="Hyperlink"/>
            <w:noProof/>
          </w:rPr>
          <w:t>Remotely piloted aircraft (RPA):</w:t>
        </w:r>
        <w:r>
          <w:rPr>
            <w:noProof/>
            <w:webHidden/>
          </w:rPr>
          <w:tab/>
        </w:r>
        <w:r>
          <w:rPr>
            <w:noProof/>
            <w:webHidden/>
          </w:rPr>
          <w:fldChar w:fldCharType="begin"/>
        </w:r>
        <w:r>
          <w:rPr>
            <w:noProof/>
            <w:webHidden/>
          </w:rPr>
          <w:instrText xml:space="preserve"> PAGEREF _Toc230270018 \h </w:instrText>
        </w:r>
        <w:r>
          <w:rPr>
            <w:noProof/>
            <w:webHidden/>
          </w:rPr>
        </w:r>
        <w:r>
          <w:rPr>
            <w:noProof/>
            <w:webHidden/>
          </w:rPr>
          <w:fldChar w:fldCharType="separate"/>
        </w:r>
        <w:r>
          <w:rPr>
            <w:noProof/>
            <w:webHidden/>
          </w:rPr>
          <w:t>11</w:t>
        </w:r>
        <w:r>
          <w:rPr>
            <w:noProof/>
            <w:webHidden/>
          </w:rPr>
          <w:fldChar w:fldCharType="end"/>
        </w:r>
      </w:hyperlink>
    </w:p>
    <w:p w14:paraId="75E93312" w14:textId="394A65A5" w:rsidR="00EB2FEC" w:rsidRDefault="00EB2FEC">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230270019" w:history="1">
        <w:r w:rsidRPr="008E1165">
          <w:rPr>
            <w:rStyle w:val="Hyperlink"/>
            <w:noProof/>
          </w:rPr>
          <w:t>2. Operational safety objectives</w:t>
        </w:r>
        <w:r>
          <w:rPr>
            <w:noProof/>
            <w:webHidden/>
          </w:rPr>
          <w:tab/>
        </w:r>
        <w:r>
          <w:rPr>
            <w:noProof/>
            <w:webHidden/>
          </w:rPr>
          <w:fldChar w:fldCharType="begin"/>
        </w:r>
        <w:r>
          <w:rPr>
            <w:noProof/>
            <w:webHidden/>
          </w:rPr>
          <w:instrText xml:space="preserve"> PAGEREF _Toc230270019 \h </w:instrText>
        </w:r>
        <w:r>
          <w:rPr>
            <w:noProof/>
            <w:webHidden/>
          </w:rPr>
        </w:r>
        <w:r>
          <w:rPr>
            <w:noProof/>
            <w:webHidden/>
          </w:rPr>
          <w:fldChar w:fldCharType="separate"/>
        </w:r>
        <w:r>
          <w:rPr>
            <w:noProof/>
            <w:webHidden/>
          </w:rPr>
          <w:t>12</w:t>
        </w:r>
        <w:r>
          <w:rPr>
            <w:noProof/>
            <w:webHidden/>
          </w:rPr>
          <w:fldChar w:fldCharType="end"/>
        </w:r>
      </w:hyperlink>
    </w:p>
    <w:p w14:paraId="0E594369" w14:textId="4F3B9737"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20" w:history="1">
        <w:r w:rsidRPr="008E1165">
          <w:rPr>
            <w:rStyle w:val="Hyperlink"/>
            <w:noProof/>
          </w:rPr>
          <w:t>Goal 1: Improve the safety of Australian aviation operations across all sectors</w:t>
        </w:r>
        <w:r>
          <w:rPr>
            <w:noProof/>
            <w:webHidden/>
          </w:rPr>
          <w:tab/>
        </w:r>
        <w:r>
          <w:rPr>
            <w:noProof/>
            <w:webHidden/>
          </w:rPr>
          <w:fldChar w:fldCharType="begin"/>
        </w:r>
        <w:r>
          <w:rPr>
            <w:noProof/>
            <w:webHidden/>
          </w:rPr>
          <w:instrText xml:space="preserve"> PAGEREF _Toc230270020 \h </w:instrText>
        </w:r>
        <w:r>
          <w:rPr>
            <w:noProof/>
            <w:webHidden/>
          </w:rPr>
        </w:r>
        <w:r>
          <w:rPr>
            <w:noProof/>
            <w:webHidden/>
          </w:rPr>
          <w:fldChar w:fldCharType="separate"/>
        </w:r>
        <w:r>
          <w:rPr>
            <w:noProof/>
            <w:webHidden/>
          </w:rPr>
          <w:t>12</w:t>
        </w:r>
        <w:r>
          <w:rPr>
            <w:noProof/>
            <w:webHidden/>
          </w:rPr>
          <w:fldChar w:fldCharType="end"/>
        </w:r>
      </w:hyperlink>
    </w:p>
    <w:p w14:paraId="117BCF04" w14:textId="70FCEE87" w:rsidR="00EB2FEC" w:rsidRDefault="00EB2FEC">
      <w:pPr>
        <w:pStyle w:val="TOC3"/>
        <w:rPr>
          <w:rFonts w:asciiTheme="minorHAnsi" w:eastAsiaTheme="minorEastAsia" w:hAnsiTheme="minorHAnsi"/>
          <w:noProof/>
          <w:kern w:val="2"/>
          <w:sz w:val="24"/>
          <w:szCs w:val="24"/>
          <w:lang w:eastAsia="en-AU"/>
          <w14:ligatures w14:val="standardContextual"/>
        </w:rPr>
      </w:pPr>
      <w:hyperlink w:anchor="_Toc230270021" w:history="1">
        <w:r w:rsidRPr="008E1165">
          <w:rPr>
            <w:rStyle w:val="Hyperlink"/>
            <w:noProof/>
          </w:rPr>
          <w:t>Safety objective 1.1: Maintain a 3-year moving average decreasing trend of accidents</w:t>
        </w:r>
        <w:r>
          <w:rPr>
            <w:noProof/>
            <w:webHidden/>
          </w:rPr>
          <w:tab/>
        </w:r>
        <w:r>
          <w:rPr>
            <w:noProof/>
            <w:webHidden/>
          </w:rPr>
          <w:fldChar w:fldCharType="begin"/>
        </w:r>
        <w:r>
          <w:rPr>
            <w:noProof/>
            <w:webHidden/>
          </w:rPr>
          <w:instrText xml:space="preserve"> PAGEREF _Toc230270021 \h </w:instrText>
        </w:r>
        <w:r>
          <w:rPr>
            <w:noProof/>
            <w:webHidden/>
          </w:rPr>
        </w:r>
        <w:r>
          <w:rPr>
            <w:noProof/>
            <w:webHidden/>
          </w:rPr>
          <w:fldChar w:fldCharType="separate"/>
        </w:r>
        <w:r>
          <w:rPr>
            <w:noProof/>
            <w:webHidden/>
          </w:rPr>
          <w:t>13</w:t>
        </w:r>
        <w:r>
          <w:rPr>
            <w:noProof/>
            <w:webHidden/>
          </w:rPr>
          <w:fldChar w:fldCharType="end"/>
        </w:r>
      </w:hyperlink>
    </w:p>
    <w:p w14:paraId="55C184F3" w14:textId="6635324A" w:rsidR="00EB2FEC" w:rsidRDefault="00EB2FEC">
      <w:pPr>
        <w:pStyle w:val="TOC3"/>
        <w:rPr>
          <w:rFonts w:asciiTheme="minorHAnsi" w:eastAsiaTheme="minorEastAsia" w:hAnsiTheme="minorHAnsi"/>
          <w:noProof/>
          <w:kern w:val="2"/>
          <w:sz w:val="24"/>
          <w:szCs w:val="24"/>
          <w:lang w:eastAsia="en-AU"/>
          <w14:ligatures w14:val="standardContextual"/>
        </w:rPr>
      </w:pPr>
      <w:hyperlink w:anchor="_Toc230270022" w:history="1">
        <w:r w:rsidRPr="008E1165">
          <w:rPr>
            <w:rStyle w:val="Hyperlink"/>
            <w:noProof/>
          </w:rPr>
          <w:t>Safety objective 1.2: Maintain a 3-year moving average decreasing trend of serious incidents</w:t>
        </w:r>
        <w:r>
          <w:rPr>
            <w:noProof/>
            <w:webHidden/>
          </w:rPr>
          <w:tab/>
        </w:r>
        <w:r>
          <w:rPr>
            <w:noProof/>
            <w:webHidden/>
          </w:rPr>
          <w:fldChar w:fldCharType="begin"/>
        </w:r>
        <w:r>
          <w:rPr>
            <w:noProof/>
            <w:webHidden/>
          </w:rPr>
          <w:instrText xml:space="preserve"> PAGEREF _Toc230270022 \h </w:instrText>
        </w:r>
        <w:r>
          <w:rPr>
            <w:noProof/>
            <w:webHidden/>
          </w:rPr>
        </w:r>
        <w:r>
          <w:rPr>
            <w:noProof/>
            <w:webHidden/>
          </w:rPr>
          <w:fldChar w:fldCharType="separate"/>
        </w:r>
        <w:r>
          <w:rPr>
            <w:noProof/>
            <w:webHidden/>
          </w:rPr>
          <w:t>13</w:t>
        </w:r>
        <w:r>
          <w:rPr>
            <w:noProof/>
            <w:webHidden/>
          </w:rPr>
          <w:fldChar w:fldCharType="end"/>
        </w:r>
      </w:hyperlink>
    </w:p>
    <w:p w14:paraId="7C163677" w14:textId="59AC5D61" w:rsidR="00EB2FEC" w:rsidRDefault="00EB2FEC">
      <w:pPr>
        <w:pStyle w:val="TOC3"/>
        <w:rPr>
          <w:rFonts w:asciiTheme="minorHAnsi" w:eastAsiaTheme="minorEastAsia" w:hAnsiTheme="minorHAnsi"/>
          <w:noProof/>
          <w:kern w:val="2"/>
          <w:sz w:val="24"/>
          <w:szCs w:val="24"/>
          <w:lang w:eastAsia="en-AU"/>
          <w14:ligatures w14:val="standardContextual"/>
        </w:rPr>
      </w:pPr>
      <w:hyperlink w:anchor="_Toc230270023" w:history="1">
        <w:r w:rsidRPr="008E1165">
          <w:rPr>
            <w:rStyle w:val="Hyperlink"/>
            <w:noProof/>
          </w:rPr>
          <w:t>Safety objective 1.3: Maintain a 3-year moving average decreasing trend of runway safety-related events</w:t>
        </w:r>
        <w:r>
          <w:rPr>
            <w:noProof/>
            <w:webHidden/>
          </w:rPr>
          <w:tab/>
        </w:r>
        <w:r>
          <w:rPr>
            <w:noProof/>
            <w:webHidden/>
          </w:rPr>
          <w:fldChar w:fldCharType="begin"/>
        </w:r>
        <w:r>
          <w:rPr>
            <w:noProof/>
            <w:webHidden/>
          </w:rPr>
          <w:instrText xml:space="preserve"> PAGEREF _Toc230270023 \h </w:instrText>
        </w:r>
        <w:r>
          <w:rPr>
            <w:noProof/>
            <w:webHidden/>
          </w:rPr>
        </w:r>
        <w:r>
          <w:rPr>
            <w:noProof/>
            <w:webHidden/>
          </w:rPr>
          <w:fldChar w:fldCharType="separate"/>
        </w:r>
        <w:r>
          <w:rPr>
            <w:noProof/>
            <w:webHidden/>
          </w:rPr>
          <w:t>14</w:t>
        </w:r>
        <w:r>
          <w:rPr>
            <w:noProof/>
            <w:webHidden/>
          </w:rPr>
          <w:fldChar w:fldCharType="end"/>
        </w:r>
      </w:hyperlink>
    </w:p>
    <w:p w14:paraId="7B346B6A" w14:textId="121A1CC6" w:rsidR="00EB2FEC" w:rsidRDefault="00EB2FEC">
      <w:pPr>
        <w:pStyle w:val="TOC3"/>
        <w:rPr>
          <w:rFonts w:asciiTheme="minorHAnsi" w:eastAsiaTheme="minorEastAsia" w:hAnsiTheme="minorHAnsi"/>
          <w:noProof/>
          <w:kern w:val="2"/>
          <w:sz w:val="24"/>
          <w:szCs w:val="24"/>
          <w:lang w:eastAsia="en-AU"/>
          <w14:ligatures w14:val="standardContextual"/>
        </w:rPr>
      </w:pPr>
      <w:hyperlink w:anchor="_Toc230270024" w:history="1">
        <w:r w:rsidRPr="008E1165">
          <w:rPr>
            <w:rStyle w:val="Hyperlink"/>
            <w:noProof/>
          </w:rPr>
          <w:t>Safety objective 1.4: Maintain a 3-year moving average decreasing trend of mid-air collisions and airspace separation events</w:t>
        </w:r>
        <w:r>
          <w:rPr>
            <w:noProof/>
            <w:webHidden/>
          </w:rPr>
          <w:tab/>
        </w:r>
        <w:r>
          <w:rPr>
            <w:noProof/>
            <w:webHidden/>
          </w:rPr>
          <w:fldChar w:fldCharType="begin"/>
        </w:r>
        <w:r>
          <w:rPr>
            <w:noProof/>
            <w:webHidden/>
          </w:rPr>
          <w:instrText xml:space="preserve"> PAGEREF _Toc230270024 \h </w:instrText>
        </w:r>
        <w:r>
          <w:rPr>
            <w:noProof/>
            <w:webHidden/>
          </w:rPr>
        </w:r>
        <w:r>
          <w:rPr>
            <w:noProof/>
            <w:webHidden/>
          </w:rPr>
          <w:fldChar w:fldCharType="separate"/>
        </w:r>
        <w:r>
          <w:rPr>
            <w:noProof/>
            <w:webHidden/>
          </w:rPr>
          <w:t>15</w:t>
        </w:r>
        <w:r>
          <w:rPr>
            <w:noProof/>
            <w:webHidden/>
          </w:rPr>
          <w:fldChar w:fldCharType="end"/>
        </w:r>
      </w:hyperlink>
    </w:p>
    <w:p w14:paraId="2509A8D6" w14:textId="27FFE157" w:rsidR="00EB2FEC" w:rsidRDefault="00EB2FEC">
      <w:pPr>
        <w:pStyle w:val="TOC3"/>
        <w:rPr>
          <w:rFonts w:asciiTheme="minorHAnsi" w:eastAsiaTheme="minorEastAsia" w:hAnsiTheme="minorHAnsi"/>
          <w:noProof/>
          <w:kern w:val="2"/>
          <w:sz w:val="24"/>
          <w:szCs w:val="24"/>
          <w:lang w:eastAsia="en-AU"/>
          <w14:ligatures w14:val="standardContextual"/>
        </w:rPr>
      </w:pPr>
      <w:hyperlink w:anchor="_Toc230270025" w:history="1">
        <w:r w:rsidRPr="008E1165">
          <w:rPr>
            <w:rStyle w:val="Hyperlink"/>
            <w:noProof/>
          </w:rPr>
          <w:t>Safety objective 1.5: Maintain or increase Australia’s air navigation safety performance</w:t>
        </w:r>
        <w:r>
          <w:rPr>
            <w:noProof/>
            <w:webHidden/>
          </w:rPr>
          <w:tab/>
        </w:r>
        <w:r>
          <w:rPr>
            <w:noProof/>
            <w:webHidden/>
          </w:rPr>
          <w:fldChar w:fldCharType="begin"/>
        </w:r>
        <w:r>
          <w:rPr>
            <w:noProof/>
            <w:webHidden/>
          </w:rPr>
          <w:instrText xml:space="preserve"> PAGEREF _Toc230270025 \h </w:instrText>
        </w:r>
        <w:r>
          <w:rPr>
            <w:noProof/>
            <w:webHidden/>
          </w:rPr>
        </w:r>
        <w:r>
          <w:rPr>
            <w:noProof/>
            <w:webHidden/>
          </w:rPr>
          <w:fldChar w:fldCharType="separate"/>
        </w:r>
        <w:r>
          <w:rPr>
            <w:noProof/>
            <w:webHidden/>
          </w:rPr>
          <w:t>15</w:t>
        </w:r>
        <w:r>
          <w:rPr>
            <w:noProof/>
            <w:webHidden/>
          </w:rPr>
          <w:fldChar w:fldCharType="end"/>
        </w:r>
      </w:hyperlink>
    </w:p>
    <w:p w14:paraId="7E9EDFCC" w14:textId="76651ED3" w:rsidR="00EB2FEC" w:rsidRDefault="00EB2FEC">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230270026" w:history="1">
        <w:r w:rsidRPr="008E1165">
          <w:rPr>
            <w:rStyle w:val="Hyperlink"/>
            <w:noProof/>
          </w:rPr>
          <w:t>3. Organisational safety objectives</w:t>
        </w:r>
        <w:r>
          <w:rPr>
            <w:noProof/>
            <w:webHidden/>
          </w:rPr>
          <w:tab/>
        </w:r>
        <w:r>
          <w:rPr>
            <w:noProof/>
            <w:webHidden/>
          </w:rPr>
          <w:fldChar w:fldCharType="begin"/>
        </w:r>
        <w:r>
          <w:rPr>
            <w:noProof/>
            <w:webHidden/>
          </w:rPr>
          <w:instrText xml:space="preserve"> PAGEREF _Toc230270026 \h </w:instrText>
        </w:r>
        <w:r>
          <w:rPr>
            <w:noProof/>
            <w:webHidden/>
          </w:rPr>
        </w:r>
        <w:r>
          <w:rPr>
            <w:noProof/>
            <w:webHidden/>
          </w:rPr>
          <w:fldChar w:fldCharType="separate"/>
        </w:r>
        <w:r>
          <w:rPr>
            <w:noProof/>
            <w:webHidden/>
          </w:rPr>
          <w:t>17</w:t>
        </w:r>
        <w:r>
          <w:rPr>
            <w:noProof/>
            <w:webHidden/>
          </w:rPr>
          <w:fldChar w:fldCharType="end"/>
        </w:r>
      </w:hyperlink>
    </w:p>
    <w:p w14:paraId="2FFC8EF2" w14:textId="14486696"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27" w:history="1">
        <w:r w:rsidRPr="008E1165">
          <w:rPr>
            <w:rStyle w:val="Hyperlink"/>
            <w:noProof/>
          </w:rPr>
          <w:t>Goal 2: Strengthen Australia’s safety oversight and investigation capabilities</w:t>
        </w:r>
        <w:r>
          <w:rPr>
            <w:noProof/>
            <w:webHidden/>
          </w:rPr>
          <w:tab/>
        </w:r>
        <w:r>
          <w:rPr>
            <w:noProof/>
            <w:webHidden/>
          </w:rPr>
          <w:fldChar w:fldCharType="begin"/>
        </w:r>
        <w:r>
          <w:rPr>
            <w:noProof/>
            <w:webHidden/>
          </w:rPr>
          <w:instrText xml:space="preserve"> PAGEREF _Toc230270027 \h </w:instrText>
        </w:r>
        <w:r>
          <w:rPr>
            <w:noProof/>
            <w:webHidden/>
          </w:rPr>
        </w:r>
        <w:r>
          <w:rPr>
            <w:noProof/>
            <w:webHidden/>
          </w:rPr>
          <w:fldChar w:fldCharType="separate"/>
        </w:r>
        <w:r>
          <w:rPr>
            <w:noProof/>
            <w:webHidden/>
          </w:rPr>
          <w:t>17</w:t>
        </w:r>
        <w:r>
          <w:rPr>
            <w:noProof/>
            <w:webHidden/>
          </w:rPr>
          <w:fldChar w:fldCharType="end"/>
        </w:r>
      </w:hyperlink>
    </w:p>
    <w:p w14:paraId="07049AE1" w14:textId="2D0665A7"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28" w:history="1">
        <w:r w:rsidRPr="008E1165">
          <w:rPr>
            <w:rStyle w:val="Hyperlink"/>
            <w:noProof/>
          </w:rPr>
          <w:t>Goal 3: Enhance the effectiveness of Australia’s State Safety Programme through safety intelligence.</w:t>
        </w:r>
        <w:r>
          <w:rPr>
            <w:noProof/>
            <w:webHidden/>
          </w:rPr>
          <w:tab/>
        </w:r>
        <w:r>
          <w:rPr>
            <w:noProof/>
            <w:webHidden/>
          </w:rPr>
          <w:fldChar w:fldCharType="begin"/>
        </w:r>
        <w:r>
          <w:rPr>
            <w:noProof/>
            <w:webHidden/>
          </w:rPr>
          <w:instrText xml:space="preserve"> PAGEREF _Toc230270028 \h </w:instrText>
        </w:r>
        <w:r>
          <w:rPr>
            <w:noProof/>
            <w:webHidden/>
          </w:rPr>
        </w:r>
        <w:r>
          <w:rPr>
            <w:noProof/>
            <w:webHidden/>
          </w:rPr>
          <w:fldChar w:fldCharType="separate"/>
        </w:r>
        <w:r>
          <w:rPr>
            <w:noProof/>
            <w:webHidden/>
          </w:rPr>
          <w:t>20</w:t>
        </w:r>
        <w:r>
          <w:rPr>
            <w:noProof/>
            <w:webHidden/>
          </w:rPr>
          <w:fldChar w:fldCharType="end"/>
        </w:r>
      </w:hyperlink>
    </w:p>
    <w:p w14:paraId="56B66FB8" w14:textId="7FE211A2"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29" w:history="1">
        <w:r w:rsidRPr="008E1165">
          <w:rPr>
            <w:rStyle w:val="Hyperlink"/>
            <w:noProof/>
          </w:rPr>
          <w:t>Goal 4: Increase collaboration at global and regional levels to enhance aviation safety.</w:t>
        </w:r>
        <w:r>
          <w:rPr>
            <w:noProof/>
            <w:webHidden/>
          </w:rPr>
          <w:tab/>
        </w:r>
        <w:r>
          <w:rPr>
            <w:noProof/>
            <w:webHidden/>
          </w:rPr>
          <w:fldChar w:fldCharType="begin"/>
        </w:r>
        <w:r>
          <w:rPr>
            <w:noProof/>
            <w:webHidden/>
          </w:rPr>
          <w:instrText xml:space="preserve"> PAGEREF _Toc230270029 \h </w:instrText>
        </w:r>
        <w:r>
          <w:rPr>
            <w:noProof/>
            <w:webHidden/>
          </w:rPr>
        </w:r>
        <w:r>
          <w:rPr>
            <w:noProof/>
            <w:webHidden/>
          </w:rPr>
          <w:fldChar w:fldCharType="separate"/>
        </w:r>
        <w:r>
          <w:rPr>
            <w:noProof/>
            <w:webHidden/>
          </w:rPr>
          <w:t>21</w:t>
        </w:r>
        <w:r>
          <w:rPr>
            <w:noProof/>
            <w:webHidden/>
          </w:rPr>
          <w:fldChar w:fldCharType="end"/>
        </w:r>
      </w:hyperlink>
    </w:p>
    <w:p w14:paraId="2FE8D8B6" w14:textId="7FD69BE5"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30" w:history="1">
        <w:r w:rsidRPr="008E1165">
          <w:rPr>
            <w:rStyle w:val="Hyperlink"/>
            <w:noProof/>
          </w:rPr>
          <w:t>Goal 5: Enhance greater safety programme collaboration between Australian industry, industry associations and State agencies.</w:t>
        </w:r>
        <w:r>
          <w:rPr>
            <w:noProof/>
            <w:webHidden/>
          </w:rPr>
          <w:tab/>
        </w:r>
        <w:r>
          <w:rPr>
            <w:noProof/>
            <w:webHidden/>
          </w:rPr>
          <w:fldChar w:fldCharType="begin"/>
        </w:r>
        <w:r>
          <w:rPr>
            <w:noProof/>
            <w:webHidden/>
          </w:rPr>
          <w:instrText xml:space="preserve"> PAGEREF _Toc230270030 \h </w:instrText>
        </w:r>
        <w:r>
          <w:rPr>
            <w:noProof/>
            <w:webHidden/>
          </w:rPr>
        </w:r>
        <w:r>
          <w:rPr>
            <w:noProof/>
            <w:webHidden/>
          </w:rPr>
          <w:fldChar w:fldCharType="separate"/>
        </w:r>
        <w:r>
          <w:rPr>
            <w:noProof/>
            <w:webHidden/>
          </w:rPr>
          <w:t>22</w:t>
        </w:r>
        <w:r>
          <w:rPr>
            <w:noProof/>
            <w:webHidden/>
          </w:rPr>
          <w:fldChar w:fldCharType="end"/>
        </w:r>
      </w:hyperlink>
    </w:p>
    <w:p w14:paraId="12CE830E" w14:textId="73BA519C"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31" w:history="1">
        <w:r w:rsidRPr="008E1165">
          <w:rPr>
            <w:rStyle w:val="Hyperlink"/>
            <w:noProof/>
          </w:rPr>
          <w:t>Goal 6: Ensure Australia has the appropriate aviation infrastructure to support safe operations</w:t>
        </w:r>
        <w:r>
          <w:rPr>
            <w:noProof/>
            <w:webHidden/>
          </w:rPr>
          <w:tab/>
        </w:r>
        <w:r>
          <w:rPr>
            <w:noProof/>
            <w:webHidden/>
          </w:rPr>
          <w:fldChar w:fldCharType="begin"/>
        </w:r>
        <w:r>
          <w:rPr>
            <w:noProof/>
            <w:webHidden/>
          </w:rPr>
          <w:instrText xml:space="preserve"> PAGEREF _Toc230270031 \h </w:instrText>
        </w:r>
        <w:r>
          <w:rPr>
            <w:noProof/>
            <w:webHidden/>
          </w:rPr>
        </w:r>
        <w:r>
          <w:rPr>
            <w:noProof/>
            <w:webHidden/>
          </w:rPr>
          <w:fldChar w:fldCharType="separate"/>
        </w:r>
        <w:r>
          <w:rPr>
            <w:noProof/>
            <w:webHidden/>
          </w:rPr>
          <w:t>24</w:t>
        </w:r>
        <w:r>
          <w:rPr>
            <w:noProof/>
            <w:webHidden/>
          </w:rPr>
          <w:fldChar w:fldCharType="end"/>
        </w:r>
      </w:hyperlink>
    </w:p>
    <w:p w14:paraId="178667C3" w14:textId="34FB9BE2" w:rsidR="00EB2FEC" w:rsidRDefault="00EB2FEC">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230270032" w:history="1">
        <w:r w:rsidRPr="008E1165">
          <w:rPr>
            <w:rStyle w:val="Hyperlink"/>
            <w:noProof/>
          </w:rPr>
          <w:t>4. Conclusion</w:t>
        </w:r>
        <w:r>
          <w:rPr>
            <w:noProof/>
            <w:webHidden/>
          </w:rPr>
          <w:tab/>
        </w:r>
        <w:r>
          <w:rPr>
            <w:noProof/>
            <w:webHidden/>
          </w:rPr>
          <w:fldChar w:fldCharType="begin"/>
        </w:r>
        <w:r>
          <w:rPr>
            <w:noProof/>
            <w:webHidden/>
          </w:rPr>
          <w:instrText xml:space="preserve"> PAGEREF _Toc230270032 \h </w:instrText>
        </w:r>
        <w:r>
          <w:rPr>
            <w:noProof/>
            <w:webHidden/>
          </w:rPr>
        </w:r>
        <w:r>
          <w:rPr>
            <w:noProof/>
            <w:webHidden/>
          </w:rPr>
          <w:fldChar w:fldCharType="separate"/>
        </w:r>
        <w:r>
          <w:rPr>
            <w:noProof/>
            <w:webHidden/>
          </w:rPr>
          <w:t>25</w:t>
        </w:r>
        <w:r>
          <w:rPr>
            <w:noProof/>
            <w:webHidden/>
          </w:rPr>
          <w:fldChar w:fldCharType="end"/>
        </w:r>
      </w:hyperlink>
    </w:p>
    <w:p w14:paraId="1A4755BF" w14:textId="68695314" w:rsidR="00EB2FEC" w:rsidRDefault="00EB2FEC">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230270033" w:history="1">
        <w:r w:rsidRPr="008E1165">
          <w:rPr>
            <w:rStyle w:val="Hyperlink"/>
            <w:noProof/>
          </w:rPr>
          <w:t>Appendix A—Operational Safety Performance Indicators</w:t>
        </w:r>
        <w:r>
          <w:rPr>
            <w:noProof/>
            <w:webHidden/>
          </w:rPr>
          <w:tab/>
        </w:r>
        <w:r>
          <w:rPr>
            <w:noProof/>
            <w:webHidden/>
          </w:rPr>
          <w:fldChar w:fldCharType="begin"/>
        </w:r>
        <w:r>
          <w:rPr>
            <w:noProof/>
            <w:webHidden/>
          </w:rPr>
          <w:instrText xml:space="preserve"> PAGEREF _Toc230270033 \h </w:instrText>
        </w:r>
        <w:r>
          <w:rPr>
            <w:noProof/>
            <w:webHidden/>
          </w:rPr>
        </w:r>
        <w:r>
          <w:rPr>
            <w:noProof/>
            <w:webHidden/>
          </w:rPr>
          <w:fldChar w:fldCharType="separate"/>
        </w:r>
        <w:r>
          <w:rPr>
            <w:noProof/>
            <w:webHidden/>
          </w:rPr>
          <w:t>26</w:t>
        </w:r>
        <w:r>
          <w:rPr>
            <w:noProof/>
            <w:webHidden/>
          </w:rPr>
          <w:fldChar w:fldCharType="end"/>
        </w:r>
      </w:hyperlink>
    </w:p>
    <w:p w14:paraId="3DB132D0" w14:textId="74D3B409"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34" w:history="1">
        <w:r w:rsidRPr="008E1165">
          <w:rPr>
            <w:rStyle w:val="Hyperlink"/>
            <w:noProof/>
          </w:rPr>
          <w:t>A.1—Safety Objective 1.1—Maintain a 3-year moving average decreasing trend of accidents</w:t>
        </w:r>
        <w:r>
          <w:rPr>
            <w:noProof/>
            <w:webHidden/>
          </w:rPr>
          <w:tab/>
        </w:r>
        <w:r>
          <w:rPr>
            <w:noProof/>
            <w:webHidden/>
          </w:rPr>
          <w:fldChar w:fldCharType="begin"/>
        </w:r>
        <w:r>
          <w:rPr>
            <w:noProof/>
            <w:webHidden/>
          </w:rPr>
          <w:instrText xml:space="preserve"> PAGEREF _Toc230270034 \h </w:instrText>
        </w:r>
        <w:r>
          <w:rPr>
            <w:noProof/>
            <w:webHidden/>
          </w:rPr>
        </w:r>
        <w:r>
          <w:rPr>
            <w:noProof/>
            <w:webHidden/>
          </w:rPr>
          <w:fldChar w:fldCharType="separate"/>
        </w:r>
        <w:r>
          <w:rPr>
            <w:noProof/>
            <w:webHidden/>
          </w:rPr>
          <w:t>26</w:t>
        </w:r>
        <w:r>
          <w:rPr>
            <w:noProof/>
            <w:webHidden/>
          </w:rPr>
          <w:fldChar w:fldCharType="end"/>
        </w:r>
      </w:hyperlink>
    </w:p>
    <w:p w14:paraId="51F738C4" w14:textId="637F3314"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35" w:history="1">
        <w:r w:rsidRPr="008E1165">
          <w:rPr>
            <w:rStyle w:val="Hyperlink"/>
            <w:noProof/>
          </w:rPr>
          <w:t>A.2—Safety Objective 1.2—Maintain a 3-year moving average decreasing trend of serious incidents</w:t>
        </w:r>
        <w:r>
          <w:rPr>
            <w:noProof/>
            <w:webHidden/>
          </w:rPr>
          <w:tab/>
        </w:r>
        <w:r>
          <w:rPr>
            <w:noProof/>
            <w:webHidden/>
          </w:rPr>
          <w:fldChar w:fldCharType="begin"/>
        </w:r>
        <w:r>
          <w:rPr>
            <w:noProof/>
            <w:webHidden/>
          </w:rPr>
          <w:instrText xml:space="preserve"> PAGEREF _Toc230270035 \h </w:instrText>
        </w:r>
        <w:r>
          <w:rPr>
            <w:noProof/>
            <w:webHidden/>
          </w:rPr>
        </w:r>
        <w:r>
          <w:rPr>
            <w:noProof/>
            <w:webHidden/>
          </w:rPr>
          <w:fldChar w:fldCharType="separate"/>
        </w:r>
        <w:r>
          <w:rPr>
            <w:noProof/>
            <w:webHidden/>
          </w:rPr>
          <w:t>28</w:t>
        </w:r>
        <w:r>
          <w:rPr>
            <w:noProof/>
            <w:webHidden/>
          </w:rPr>
          <w:fldChar w:fldCharType="end"/>
        </w:r>
      </w:hyperlink>
    </w:p>
    <w:p w14:paraId="1449A3ED" w14:textId="6043A9D2"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36" w:history="1">
        <w:r w:rsidRPr="008E1165">
          <w:rPr>
            <w:rStyle w:val="Hyperlink"/>
            <w:noProof/>
          </w:rPr>
          <w:t>A.3—Safety Objective 1.3—Maintain a 3-year moving average decreasing trend of runway safety-related events</w:t>
        </w:r>
        <w:r>
          <w:rPr>
            <w:noProof/>
            <w:webHidden/>
          </w:rPr>
          <w:tab/>
        </w:r>
        <w:r>
          <w:rPr>
            <w:noProof/>
            <w:webHidden/>
          </w:rPr>
          <w:fldChar w:fldCharType="begin"/>
        </w:r>
        <w:r>
          <w:rPr>
            <w:noProof/>
            <w:webHidden/>
          </w:rPr>
          <w:instrText xml:space="preserve"> PAGEREF _Toc230270036 \h </w:instrText>
        </w:r>
        <w:r>
          <w:rPr>
            <w:noProof/>
            <w:webHidden/>
          </w:rPr>
        </w:r>
        <w:r>
          <w:rPr>
            <w:noProof/>
            <w:webHidden/>
          </w:rPr>
          <w:fldChar w:fldCharType="separate"/>
        </w:r>
        <w:r>
          <w:rPr>
            <w:noProof/>
            <w:webHidden/>
          </w:rPr>
          <w:t>29</w:t>
        </w:r>
        <w:r>
          <w:rPr>
            <w:noProof/>
            <w:webHidden/>
          </w:rPr>
          <w:fldChar w:fldCharType="end"/>
        </w:r>
      </w:hyperlink>
    </w:p>
    <w:p w14:paraId="68228413" w14:textId="3207D2F3"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37" w:history="1">
        <w:r w:rsidRPr="008E1165">
          <w:rPr>
            <w:rStyle w:val="Hyperlink"/>
            <w:noProof/>
          </w:rPr>
          <w:t>A.4—Safety Objective 1.4—Maintain a 3-year moving average decreasing trend of mid-air collisions (MAC) and airspace separation events</w:t>
        </w:r>
        <w:r>
          <w:rPr>
            <w:noProof/>
            <w:webHidden/>
          </w:rPr>
          <w:tab/>
        </w:r>
        <w:r>
          <w:rPr>
            <w:noProof/>
            <w:webHidden/>
          </w:rPr>
          <w:fldChar w:fldCharType="begin"/>
        </w:r>
        <w:r>
          <w:rPr>
            <w:noProof/>
            <w:webHidden/>
          </w:rPr>
          <w:instrText xml:space="preserve"> PAGEREF _Toc230270037 \h </w:instrText>
        </w:r>
        <w:r>
          <w:rPr>
            <w:noProof/>
            <w:webHidden/>
          </w:rPr>
        </w:r>
        <w:r>
          <w:rPr>
            <w:noProof/>
            <w:webHidden/>
          </w:rPr>
          <w:fldChar w:fldCharType="separate"/>
        </w:r>
        <w:r>
          <w:rPr>
            <w:noProof/>
            <w:webHidden/>
          </w:rPr>
          <w:t>30</w:t>
        </w:r>
        <w:r>
          <w:rPr>
            <w:noProof/>
            <w:webHidden/>
          </w:rPr>
          <w:fldChar w:fldCharType="end"/>
        </w:r>
      </w:hyperlink>
    </w:p>
    <w:p w14:paraId="0F31C9F6" w14:textId="06657BC9"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38" w:history="1">
        <w:r w:rsidRPr="008E1165">
          <w:rPr>
            <w:rStyle w:val="Hyperlink"/>
            <w:noProof/>
          </w:rPr>
          <w:t>A.5—Safety Objective 1.5—Maintain or increase Australia’s air navigation safety performance</w:t>
        </w:r>
        <w:r>
          <w:rPr>
            <w:noProof/>
            <w:webHidden/>
          </w:rPr>
          <w:tab/>
        </w:r>
        <w:r>
          <w:rPr>
            <w:noProof/>
            <w:webHidden/>
          </w:rPr>
          <w:fldChar w:fldCharType="begin"/>
        </w:r>
        <w:r>
          <w:rPr>
            <w:noProof/>
            <w:webHidden/>
          </w:rPr>
          <w:instrText xml:space="preserve"> PAGEREF _Toc230270038 \h </w:instrText>
        </w:r>
        <w:r>
          <w:rPr>
            <w:noProof/>
            <w:webHidden/>
          </w:rPr>
        </w:r>
        <w:r>
          <w:rPr>
            <w:noProof/>
            <w:webHidden/>
          </w:rPr>
          <w:fldChar w:fldCharType="separate"/>
        </w:r>
        <w:r>
          <w:rPr>
            <w:noProof/>
            <w:webHidden/>
          </w:rPr>
          <w:t>32</w:t>
        </w:r>
        <w:r>
          <w:rPr>
            <w:noProof/>
            <w:webHidden/>
          </w:rPr>
          <w:fldChar w:fldCharType="end"/>
        </w:r>
      </w:hyperlink>
    </w:p>
    <w:p w14:paraId="041D9BEB" w14:textId="0917D0AD" w:rsidR="00EB2FEC" w:rsidRDefault="00EB2FEC">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230270039" w:history="1">
        <w:r w:rsidRPr="008E1165">
          <w:rPr>
            <w:rStyle w:val="Hyperlink"/>
            <w:noProof/>
          </w:rPr>
          <w:t>Appendix B—Accident analysis</w:t>
        </w:r>
        <w:r>
          <w:rPr>
            <w:noProof/>
            <w:webHidden/>
          </w:rPr>
          <w:tab/>
        </w:r>
        <w:r>
          <w:rPr>
            <w:noProof/>
            <w:webHidden/>
          </w:rPr>
          <w:fldChar w:fldCharType="begin"/>
        </w:r>
        <w:r>
          <w:rPr>
            <w:noProof/>
            <w:webHidden/>
          </w:rPr>
          <w:instrText xml:space="preserve"> PAGEREF _Toc230270039 \h </w:instrText>
        </w:r>
        <w:r>
          <w:rPr>
            <w:noProof/>
            <w:webHidden/>
          </w:rPr>
        </w:r>
        <w:r>
          <w:rPr>
            <w:noProof/>
            <w:webHidden/>
          </w:rPr>
          <w:fldChar w:fldCharType="separate"/>
        </w:r>
        <w:r>
          <w:rPr>
            <w:noProof/>
            <w:webHidden/>
          </w:rPr>
          <w:t>34</w:t>
        </w:r>
        <w:r>
          <w:rPr>
            <w:noProof/>
            <w:webHidden/>
          </w:rPr>
          <w:fldChar w:fldCharType="end"/>
        </w:r>
      </w:hyperlink>
    </w:p>
    <w:p w14:paraId="7EF326A9" w14:textId="1EE11245" w:rsidR="00EB2FEC" w:rsidRDefault="00EB2FEC">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230270040" w:history="1">
        <w:r w:rsidRPr="008E1165">
          <w:rPr>
            <w:rStyle w:val="Hyperlink"/>
            <w:noProof/>
          </w:rPr>
          <w:t>Appendix C—Definitions and Abbreviations</w:t>
        </w:r>
        <w:r>
          <w:rPr>
            <w:noProof/>
            <w:webHidden/>
          </w:rPr>
          <w:tab/>
        </w:r>
        <w:r>
          <w:rPr>
            <w:noProof/>
            <w:webHidden/>
          </w:rPr>
          <w:fldChar w:fldCharType="begin"/>
        </w:r>
        <w:r>
          <w:rPr>
            <w:noProof/>
            <w:webHidden/>
          </w:rPr>
          <w:instrText xml:space="preserve"> PAGEREF _Toc230270040 \h </w:instrText>
        </w:r>
        <w:r>
          <w:rPr>
            <w:noProof/>
            <w:webHidden/>
          </w:rPr>
        </w:r>
        <w:r>
          <w:rPr>
            <w:noProof/>
            <w:webHidden/>
          </w:rPr>
          <w:fldChar w:fldCharType="separate"/>
        </w:r>
        <w:r>
          <w:rPr>
            <w:noProof/>
            <w:webHidden/>
          </w:rPr>
          <w:t>37</w:t>
        </w:r>
        <w:r>
          <w:rPr>
            <w:noProof/>
            <w:webHidden/>
          </w:rPr>
          <w:fldChar w:fldCharType="end"/>
        </w:r>
      </w:hyperlink>
    </w:p>
    <w:p w14:paraId="511F2C9C" w14:textId="397B3670"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41" w:history="1">
        <w:r w:rsidRPr="008E1165">
          <w:rPr>
            <w:rStyle w:val="Hyperlink"/>
            <w:noProof/>
          </w:rPr>
          <w:t>C.1—Definitions</w:t>
        </w:r>
        <w:r>
          <w:rPr>
            <w:noProof/>
            <w:webHidden/>
          </w:rPr>
          <w:tab/>
        </w:r>
        <w:r>
          <w:rPr>
            <w:noProof/>
            <w:webHidden/>
          </w:rPr>
          <w:fldChar w:fldCharType="begin"/>
        </w:r>
        <w:r>
          <w:rPr>
            <w:noProof/>
            <w:webHidden/>
          </w:rPr>
          <w:instrText xml:space="preserve"> PAGEREF _Toc230270041 \h </w:instrText>
        </w:r>
        <w:r>
          <w:rPr>
            <w:noProof/>
            <w:webHidden/>
          </w:rPr>
        </w:r>
        <w:r>
          <w:rPr>
            <w:noProof/>
            <w:webHidden/>
          </w:rPr>
          <w:fldChar w:fldCharType="separate"/>
        </w:r>
        <w:r>
          <w:rPr>
            <w:noProof/>
            <w:webHidden/>
          </w:rPr>
          <w:t>37</w:t>
        </w:r>
        <w:r>
          <w:rPr>
            <w:noProof/>
            <w:webHidden/>
          </w:rPr>
          <w:fldChar w:fldCharType="end"/>
        </w:r>
      </w:hyperlink>
    </w:p>
    <w:p w14:paraId="33FF4965" w14:textId="3DA90B6C" w:rsidR="00EB2FEC" w:rsidRDefault="00EB2FEC">
      <w:pPr>
        <w:pStyle w:val="TOC2"/>
        <w:rPr>
          <w:rFonts w:asciiTheme="minorHAnsi" w:eastAsiaTheme="minorEastAsia" w:hAnsiTheme="minorHAnsi"/>
          <w:noProof/>
          <w:kern w:val="2"/>
          <w:sz w:val="24"/>
          <w:szCs w:val="24"/>
          <w:lang w:eastAsia="en-AU"/>
          <w14:ligatures w14:val="standardContextual"/>
        </w:rPr>
      </w:pPr>
      <w:hyperlink w:anchor="_Toc230270042" w:history="1">
        <w:r w:rsidRPr="008E1165">
          <w:rPr>
            <w:rStyle w:val="Hyperlink"/>
            <w:noProof/>
          </w:rPr>
          <w:t>C.2—Abbreviations and Acronyms</w:t>
        </w:r>
        <w:r>
          <w:rPr>
            <w:noProof/>
            <w:webHidden/>
          </w:rPr>
          <w:tab/>
        </w:r>
        <w:r>
          <w:rPr>
            <w:noProof/>
            <w:webHidden/>
          </w:rPr>
          <w:fldChar w:fldCharType="begin"/>
        </w:r>
        <w:r>
          <w:rPr>
            <w:noProof/>
            <w:webHidden/>
          </w:rPr>
          <w:instrText xml:space="preserve"> PAGEREF _Toc230270042 \h </w:instrText>
        </w:r>
        <w:r>
          <w:rPr>
            <w:noProof/>
            <w:webHidden/>
          </w:rPr>
        </w:r>
        <w:r>
          <w:rPr>
            <w:noProof/>
            <w:webHidden/>
          </w:rPr>
          <w:fldChar w:fldCharType="separate"/>
        </w:r>
        <w:r>
          <w:rPr>
            <w:noProof/>
            <w:webHidden/>
          </w:rPr>
          <w:t>39</w:t>
        </w:r>
        <w:r>
          <w:rPr>
            <w:noProof/>
            <w:webHidden/>
          </w:rPr>
          <w:fldChar w:fldCharType="end"/>
        </w:r>
      </w:hyperlink>
    </w:p>
    <w:p w14:paraId="31473388" w14:textId="63AF70AB" w:rsidR="00670726" w:rsidRPr="00670726" w:rsidRDefault="006E5952" w:rsidP="00670726">
      <w:pPr>
        <w:suppressAutoHyphens/>
        <w:rPr>
          <w:rFonts w:eastAsia="Calibri" w:cs="Times New Roman"/>
          <w:color w:val="000000"/>
          <w:kern w:val="12"/>
          <w:szCs w:val="20"/>
        </w:rPr>
      </w:pPr>
      <w:r>
        <w:rPr>
          <w:b/>
          <w:color w:val="000000" w:themeColor="text1"/>
          <w:u w:val="single" w:color="4BB3B5"/>
        </w:rPr>
        <w:fldChar w:fldCharType="end"/>
      </w:r>
    </w:p>
    <w:p w14:paraId="31473389" w14:textId="77777777" w:rsidR="00670726" w:rsidRPr="00FC7DDF" w:rsidRDefault="00670726" w:rsidP="00EB2FEC">
      <w:pPr>
        <w:pStyle w:val="Heading2notshowing"/>
        <w:pageBreakBefore/>
        <w:rPr>
          <w:sz w:val="28"/>
          <w:szCs w:val="28"/>
        </w:rPr>
      </w:pPr>
      <w:r w:rsidRPr="00FC7DDF">
        <w:rPr>
          <w:sz w:val="28"/>
          <w:szCs w:val="28"/>
        </w:rPr>
        <w:lastRenderedPageBreak/>
        <w:t>List of figures and tables</w:t>
      </w:r>
    </w:p>
    <w:p w14:paraId="1041BEDE" w14:textId="4EF5226E" w:rsidR="00CA24E0" w:rsidRDefault="009E5B72"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r>
        <w:fldChar w:fldCharType="begin"/>
      </w:r>
      <w:r>
        <w:instrText xml:space="preserve"> TOC \h \z \t "Table/figure heading" \c </w:instrText>
      </w:r>
      <w:r>
        <w:fldChar w:fldCharType="separate"/>
      </w:r>
      <w:hyperlink w:anchor="_Toc230269797" w:history="1">
        <w:r w:rsidR="00CA24E0" w:rsidRPr="004616E6">
          <w:rPr>
            <w:rStyle w:val="Hyperlink"/>
            <w:noProof/>
          </w:rPr>
          <w:t>Table 1—Australia’s safety goals and objectives</w:t>
        </w:r>
        <w:r w:rsidR="00CA24E0">
          <w:rPr>
            <w:noProof/>
            <w:webHidden/>
          </w:rPr>
          <w:tab/>
        </w:r>
        <w:r w:rsidR="00CA24E0">
          <w:rPr>
            <w:noProof/>
            <w:webHidden/>
          </w:rPr>
          <w:fldChar w:fldCharType="begin"/>
        </w:r>
        <w:r w:rsidR="00CA24E0">
          <w:rPr>
            <w:noProof/>
            <w:webHidden/>
          </w:rPr>
          <w:instrText xml:space="preserve"> PAGEREF _Toc230269797 \h </w:instrText>
        </w:r>
        <w:r w:rsidR="00CA24E0">
          <w:rPr>
            <w:noProof/>
            <w:webHidden/>
          </w:rPr>
        </w:r>
        <w:r w:rsidR="00CA24E0">
          <w:rPr>
            <w:noProof/>
            <w:webHidden/>
          </w:rPr>
          <w:fldChar w:fldCharType="separate"/>
        </w:r>
        <w:r w:rsidR="00CA24E0">
          <w:rPr>
            <w:noProof/>
            <w:webHidden/>
          </w:rPr>
          <w:t>7</w:t>
        </w:r>
        <w:r w:rsidR="00CA24E0">
          <w:rPr>
            <w:noProof/>
            <w:webHidden/>
          </w:rPr>
          <w:fldChar w:fldCharType="end"/>
        </w:r>
      </w:hyperlink>
    </w:p>
    <w:p w14:paraId="45440D42" w14:textId="293C1808"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798" w:history="1">
        <w:r w:rsidRPr="004616E6">
          <w:rPr>
            <w:rStyle w:val="Hyperlink"/>
            <w:noProof/>
          </w:rPr>
          <w:t>Table 2—Goal 1 performance outcomes for FY 2024–25</w:t>
        </w:r>
        <w:r>
          <w:rPr>
            <w:noProof/>
            <w:webHidden/>
          </w:rPr>
          <w:tab/>
        </w:r>
        <w:r>
          <w:rPr>
            <w:noProof/>
            <w:webHidden/>
          </w:rPr>
          <w:fldChar w:fldCharType="begin"/>
        </w:r>
        <w:r>
          <w:rPr>
            <w:noProof/>
            <w:webHidden/>
          </w:rPr>
          <w:instrText xml:space="preserve"> PAGEREF _Toc230269798 \h </w:instrText>
        </w:r>
        <w:r>
          <w:rPr>
            <w:noProof/>
            <w:webHidden/>
          </w:rPr>
        </w:r>
        <w:r>
          <w:rPr>
            <w:noProof/>
            <w:webHidden/>
          </w:rPr>
          <w:fldChar w:fldCharType="separate"/>
        </w:r>
        <w:r>
          <w:rPr>
            <w:noProof/>
            <w:webHidden/>
          </w:rPr>
          <w:t>12</w:t>
        </w:r>
        <w:r>
          <w:rPr>
            <w:noProof/>
            <w:webHidden/>
          </w:rPr>
          <w:fldChar w:fldCharType="end"/>
        </w:r>
      </w:hyperlink>
    </w:p>
    <w:p w14:paraId="5EBD892C" w14:textId="261BBCCD"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799" w:history="1">
        <w:r w:rsidRPr="004616E6">
          <w:rPr>
            <w:rStyle w:val="Hyperlink"/>
            <w:noProof/>
          </w:rPr>
          <w:t>Figure 1—Number of accidents</w:t>
        </w:r>
        <w:r>
          <w:rPr>
            <w:noProof/>
            <w:webHidden/>
          </w:rPr>
          <w:tab/>
        </w:r>
        <w:r>
          <w:rPr>
            <w:noProof/>
            <w:webHidden/>
          </w:rPr>
          <w:fldChar w:fldCharType="begin"/>
        </w:r>
        <w:r>
          <w:rPr>
            <w:noProof/>
            <w:webHidden/>
          </w:rPr>
          <w:instrText xml:space="preserve"> PAGEREF _Toc230269799 \h </w:instrText>
        </w:r>
        <w:r>
          <w:rPr>
            <w:noProof/>
            <w:webHidden/>
          </w:rPr>
        </w:r>
        <w:r>
          <w:rPr>
            <w:noProof/>
            <w:webHidden/>
          </w:rPr>
          <w:fldChar w:fldCharType="separate"/>
        </w:r>
        <w:r>
          <w:rPr>
            <w:noProof/>
            <w:webHidden/>
          </w:rPr>
          <w:t>13</w:t>
        </w:r>
        <w:r>
          <w:rPr>
            <w:noProof/>
            <w:webHidden/>
          </w:rPr>
          <w:fldChar w:fldCharType="end"/>
        </w:r>
      </w:hyperlink>
    </w:p>
    <w:p w14:paraId="284441EA" w14:textId="17124F71"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0" w:history="1">
        <w:r w:rsidRPr="004616E6">
          <w:rPr>
            <w:rStyle w:val="Hyperlink"/>
            <w:noProof/>
          </w:rPr>
          <w:t>Figure 2—Number of Serious Incidents</w:t>
        </w:r>
        <w:r>
          <w:rPr>
            <w:noProof/>
            <w:webHidden/>
          </w:rPr>
          <w:tab/>
        </w:r>
        <w:r>
          <w:rPr>
            <w:noProof/>
            <w:webHidden/>
          </w:rPr>
          <w:fldChar w:fldCharType="begin"/>
        </w:r>
        <w:r>
          <w:rPr>
            <w:noProof/>
            <w:webHidden/>
          </w:rPr>
          <w:instrText xml:space="preserve"> PAGEREF _Toc230269800 \h </w:instrText>
        </w:r>
        <w:r>
          <w:rPr>
            <w:noProof/>
            <w:webHidden/>
          </w:rPr>
        </w:r>
        <w:r>
          <w:rPr>
            <w:noProof/>
            <w:webHidden/>
          </w:rPr>
          <w:fldChar w:fldCharType="separate"/>
        </w:r>
        <w:r>
          <w:rPr>
            <w:noProof/>
            <w:webHidden/>
          </w:rPr>
          <w:t>14</w:t>
        </w:r>
        <w:r>
          <w:rPr>
            <w:noProof/>
            <w:webHidden/>
          </w:rPr>
          <w:fldChar w:fldCharType="end"/>
        </w:r>
      </w:hyperlink>
    </w:p>
    <w:p w14:paraId="5DA17B2F" w14:textId="70F8375E"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1" w:history="1">
        <w:r w:rsidRPr="004616E6">
          <w:rPr>
            <w:rStyle w:val="Hyperlink"/>
            <w:noProof/>
          </w:rPr>
          <w:t>Figure 3—Runway safety-related events</w:t>
        </w:r>
        <w:r>
          <w:rPr>
            <w:noProof/>
            <w:webHidden/>
          </w:rPr>
          <w:tab/>
        </w:r>
        <w:r>
          <w:rPr>
            <w:noProof/>
            <w:webHidden/>
          </w:rPr>
          <w:fldChar w:fldCharType="begin"/>
        </w:r>
        <w:r>
          <w:rPr>
            <w:noProof/>
            <w:webHidden/>
          </w:rPr>
          <w:instrText xml:space="preserve"> PAGEREF _Toc230269801 \h </w:instrText>
        </w:r>
        <w:r>
          <w:rPr>
            <w:noProof/>
            <w:webHidden/>
          </w:rPr>
        </w:r>
        <w:r>
          <w:rPr>
            <w:noProof/>
            <w:webHidden/>
          </w:rPr>
          <w:fldChar w:fldCharType="separate"/>
        </w:r>
        <w:r>
          <w:rPr>
            <w:noProof/>
            <w:webHidden/>
          </w:rPr>
          <w:t>14</w:t>
        </w:r>
        <w:r>
          <w:rPr>
            <w:noProof/>
            <w:webHidden/>
          </w:rPr>
          <w:fldChar w:fldCharType="end"/>
        </w:r>
      </w:hyperlink>
    </w:p>
    <w:p w14:paraId="16FF975D" w14:textId="739E4364"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2" w:history="1">
        <w:r w:rsidRPr="004616E6">
          <w:rPr>
            <w:rStyle w:val="Hyperlink"/>
            <w:noProof/>
          </w:rPr>
          <w:t>Figure 4—Mid-air collisions and airspace separation accidents and serious incidents</w:t>
        </w:r>
        <w:r>
          <w:rPr>
            <w:noProof/>
            <w:webHidden/>
          </w:rPr>
          <w:tab/>
        </w:r>
        <w:r>
          <w:rPr>
            <w:noProof/>
            <w:webHidden/>
          </w:rPr>
          <w:fldChar w:fldCharType="begin"/>
        </w:r>
        <w:r>
          <w:rPr>
            <w:noProof/>
            <w:webHidden/>
          </w:rPr>
          <w:instrText xml:space="preserve"> PAGEREF _Toc230269802 \h </w:instrText>
        </w:r>
        <w:r>
          <w:rPr>
            <w:noProof/>
            <w:webHidden/>
          </w:rPr>
        </w:r>
        <w:r>
          <w:rPr>
            <w:noProof/>
            <w:webHidden/>
          </w:rPr>
          <w:fldChar w:fldCharType="separate"/>
        </w:r>
        <w:r>
          <w:rPr>
            <w:noProof/>
            <w:webHidden/>
          </w:rPr>
          <w:t>15</w:t>
        </w:r>
        <w:r>
          <w:rPr>
            <w:noProof/>
            <w:webHidden/>
          </w:rPr>
          <w:fldChar w:fldCharType="end"/>
        </w:r>
      </w:hyperlink>
    </w:p>
    <w:p w14:paraId="665E83BB" w14:textId="3778D9A3"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3" w:history="1">
        <w:r w:rsidRPr="004616E6">
          <w:rPr>
            <w:rStyle w:val="Hyperlink"/>
            <w:noProof/>
          </w:rPr>
          <w:t>Figure 5—Air navigation safety performance—Loss of Separation</w:t>
        </w:r>
        <w:r>
          <w:rPr>
            <w:noProof/>
            <w:webHidden/>
          </w:rPr>
          <w:tab/>
        </w:r>
        <w:r>
          <w:rPr>
            <w:noProof/>
            <w:webHidden/>
          </w:rPr>
          <w:fldChar w:fldCharType="begin"/>
        </w:r>
        <w:r>
          <w:rPr>
            <w:noProof/>
            <w:webHidden/>
          </w:rPr>
          <w:instrText xml:space="preserve"> PAGEREF _Toc230269803 \h </w:instrText>
        </w:r>
        <w:r>
          <w:rPr>
            <w:noProof/>
            <w:webHidden/>
          </w:rPr>
        </w:r>
        <w:r>
          <w:rPr>
            <w:noProof/>
            <w:webHidden/>
          </w:rPr>
          <w:fldChar w:fldCharType="separate"/>
        </w:r>
        <w:r>
          <w:rPr>
            <w:noProof/>
            <w:webHidden/>
          </w:rPr>
          <w:t>16</w:t>
        </w:r>
        <w:r>
          <w:rPr>
            <w:noProof/>
            <w:webHidden/>
          </w:rPr>
          <w:fldChar w:fldCharType="end"/>
        </w:r>
      </w:hyperlink>
    </w:p>
    <w:p w14:paraId="52F07892" w14:textId="2BBCC7F6"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4" w:history="1">
        <w:r w:rsidRPr="004616E6">
          <w:rPr>
            <w:rStyle w:val="Hyperlink"/>
            <w:noProof/>
          </w:rPr>
          <w:t>Figure 6—Air navigation safety performance—Runway Incursions</w:t>
        </w:r>
        <w:r>
          <w:rPr>
            <w:noProof/>
            <w:webHidden/>
          </w:rPr>
          <w:tab/>
        </w:r>
        <w:r>
          <w:rPr>
            <w:noProof/>
            <w:webHidden/>
          </w:rPr>
          <w:fldChar w:fldCharType="begin"/>
        </w:r>
        <w:r>
          <w:rPr>
            <w:noProof/>
            <w:webHidden/>
          </w:rPr>
          <w:instrText xml:space="preserve"> PAGEREF _Toc230269804 \h </w:instrText>
        </w:r>
        <w:r>
          <w:rPr>
            <w:noProof/>
            <w:webHidden/>
          </w:rPr>
        </w:r>
        <w:r>
          <w:rPr>
            <w:noProof/>
            <w:webHidden/>
          </w:rPr>
          <w:fldChar w:fldCharType="separate"/>
        </w:r>
        <w:r>
          <w:rPr>
            <w:noProof/>
            <w:webHidden/>
          </w:rPr>
          <w:t>16</w:t>
        </w:r>
        <w:r>
          <w:rPr>
            <w:noProof/>
            <w:webHidden/>
          </w:rPr>
          <w:fldChar w:fldCharType="end"/>
        </w:r>
      </w:hyperlink>
    </w:p>
    <w:p w14:paraId="6E4E587F" w14:textId="08470CE9"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5" w:history="1">
        <w:r w:rsidRPr="004616E6">
          <w:rPr>
            <w:rStyle w:val="Hyperlink"/>
            <w:noProof/>
          </w:rPr>
          <w:t>Table 3—Goal 2 performance outcomes for FY 2024–25</w:t>
        </w:r>
        <w:r>
          <w:rPr>
            <w:noProof/>
            <w:webHidden/>
          </w:rPr>
          <w:tab/>
        </w:r>
        <w:r>
          <w:rPr>
            <w:noProof/>
            <w:webHidden/>
          </w:rPr>
          <w:fldChar w:fldCharType="begin"/>
        </w:r>
        <w:r>
          <w:rPr>
            <w:noProof/>
            <w:webHidden/>
          </w:rPr>
          <w:instrText xml:space="preserve"> PAGEREF _Toc230269805 \h </w:instrText>
        </w:r>
        <w:r>
          <w:rPr>
            <w:noProof/>
            <w:webHidden/>
          </w:rPr>
        </w:r>
        <w:r>
          <w:rPr>
            <w:noProof/>
            <w:webHidden/>
          </w:rPr>
          <w:fldChar w:fldCharType="separate"/>
        </w:r>
        <w:r>
          <w:rPr>
            <w:noProof/>
            <w:webHidden/>
          </w:rPr>
          <w:t>17</w:t>
        </w:r>
        <w:r>
          <w:rPr>
            <w:noProof/>
            <w:webHidden/>
          </w:rPr>
          <w:fldChar w:fldCharType="end"/>
        </w:r>
      </w:hyperlink>
    </w:p>
    <w:p w14:paraId="4EA5E9B6" w14:textId="738D7368"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6" w:history="1">
        <w:r w:rsidRPr="004616E6">
          <w:rPr>
            <w:rStyle w:val="Hyperlink"/>
            <w:noProof/>
          </w:rPr>
          <w:t>Table 4—Goal 3 performance outcomes for FY 2024–25</w:t>
        </w:r>
        <w:r>
          <w:rPr>
            <w:noProof/>
            <w:webHidden/>
          </w:rPr>
          <w:tab/>
        </w:r>
        <w:r>
          <w:rPr>
            <w:noProof/>
            <w:webHidden/>
          </w:rPr>
          <w:fldChar w:fldCharType="begin"/>
        </w:r>
        <w:r>
          <w:rPr>
            <w:noProof/>
            <w:webHidden/>
          </w:rPr>
          <w:instrText xml:space="preserve"> PAGEREF _Toc230269806 \h </w:instrText>
        </w:r>
        <w:r>
          <w:rPr>
            <w:noProof/>
            <w:webHidden/>
          </w:rPr>
        </w:r>
        <w:r>
          <w:rPr>
            <w:noProof/>
            <w:webHidden/>
          </w:rPr>
          <w:fldChar w:fldCharType="separate"/>
        </w:r>
        <w:r>
          <w:rPr>
            <w:noProof/>
            <w:webHidden/>
          </w:rPr>
          <w:t>20</w:t>
        </w:r>
        <w:r>
          <w:rPr>
            <w:noProof/>
            <w:webHidden/>
          </w:rPr>
          <w:fldChar w:fldCharType="end"/>
        </w:r>
      </w:hyperlink>
    </w:p>
    <w:p w14:paraId="4E03C268" w14:textId="25DFF5C9"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7" w:history="1">
        <w:r w:rsidRPr="004616E6">
          <w:rPr>
            <w:rStyle w:val="Hyperlink"/>
            <w:noProof/>
          </w:rPr>
          <w:t>Table 5—Goal 4 performance outcomes for FY 2024–25</w:t>
        </w:r>
        <w:r>
          <w:rPr>
            <w:noProof/>
            <w:webHidden/>
          </w:rPr>
          <w:tab/>
        </w:r>
        <w:r>
          <w:rPr>
            <w:noProof/>
            <w:webHidden/>
          </w:rPr>
          <w:fldChar w:fldCharType="begin"/>
        </w:r>
        <w:r>
          <w:rPr>
            <w:noProof/>
            <w:webHidden/>
          </w:rPr>
          <w:instrText xml:space="preserve"> PAGEREF _Toc230269807 \h </w:instrText>
        </w:r>
        <w:r>
          <w:rPr>
            <w:noProof/>
            <w:webHidden/>
          </w:rPr>
        </w:r>
        <w:r>
          <w:rPr>
            <w:noProof/>
            <w:webHidden/>
          </w:rPr>
          <w:fldChar w:fldCharType="separate"/>
        </w:r>
        <w:r>
          <w:rPr>
            <w:noProof/>
            <w:webHidden/>
          </w:rPr>
          <w:t>21</w:t>
        </w:r>
        <w:r>
          <w:rPr>
            <w:noProof/>
            <w:webHidden/>
          </w:rPr>
          <w:fldChar w:fldCharType="end"/>
        </w:r>
      </w:hyperlink>
    </w:p>
    <w:p w14:paraId="01460114" w14:textId="34F71C48"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8" w:history="1">
        <w:r w:rsidRPr="004616E6">
          <w:rPr>
            <w:rStyle w:val="Hyperlink"/>
            <w:noProof/>
          </w:rPr>
          <w:t>Table 6—Goal 5 performance outcomes for FY 2024–25</w:t>
        </w:r>
        <w:r>
          <w:rPr>
            <w:noProof/>
            <w:webHidden/>
          </w:rPr>
          <w:tab/>
        </w:r>
        <w:r>
          <w:rPr>
            <w:noProof/>
            <w:webHidden/>
          </w:rPr>
          <w:fldChar w:fldCharType="begin"/>
        </w:r>
        <w:r>
          <w:rPr>
            <w:noProof/>
            <w:webHidden/>
          </w:rPr>
          <w:instrText xml:space="preserve"> PAGEREF _Toc230269808 \h </w:instrText>
        </w:r>
        <w:r>
          <w:rPr>
            <w:noProof/>
            <w:webHidden/>
          </w:rPr>
        </w:r>
        <w:r>
          <w:rPr>
            <w:noProof/>
            <w:webHidden/>
          </w:rPr>
          <w:fldChar w:fldCharType="separate"/>
        </w:r>
        <w:r>
          <w:rPr>
            <w:noProof/>
            <w:webHidden/>
          </w:rPr>
          <w:t>22</w:t>
        </w:r>
        <w:r>
          <w:rPr>
            <w:noProof/>
            <w:webHidden/>
          </w:rPr>
          <w:fldChar w:fldCharType="end"/>
        </w:r>
      </w:hyperlink>
    </w:p>
    <w:p w14:paraId="75A401F4" w14:textId="5FFC8C2D"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09" w:history="1">
        <w:r w:rsidRPr="004616E6">
          <w:rPr>
            <w:rStyle w:val="Hyperlink"/>
            <w:noProof/>
          </w:rPr>
          <w:t>Table 7—Goal 6 performance outcomes for FY 2024–25</w:t>
        </w:r>
        <w:r>
          <w:rPr>
            <w:noProof/>
            <w:webHidden/>
          </w:rPr>
          <w:tab/>
        </w:r>
        <w:r>
          <w:rPr>
            <w:noProof/>
            <w:webHidden/>
          </w:rPr>
          <w:fldChar w:fldCharType="begin"/>
        </w:r>
        <w:r>
          <w:rPr>
            <w:noProof/>
            <w:webHidden/>
          </w:rPr>
          <w:instrText xml:space="preserve"> PAGEREF _Toc230269809 \h </w:instrText>
        </w:r>
        <w:r>
          <w:rPr>
            <w:noProof/>
            <w:webHidden/>
          </w:rPr>
        </w:r>
        <w:r>
          <w:rPr>
            <w:noProof/>
            <w:webHidden/>
          </w:rPr>
          <w:fldChar w:fldCharType="separate"/>
        </w:r>
        <w:r>
          <w:rPr>
            <w:noProof/>
            <w:webHidden/>
          </w:rPr>
          <w:t>24</w:t>
        </w:r>
        <w:r>
          <w:rPr>
            <w:noProof/>
            <w:webHidden/>
          </w:rPr>
          <w:fldChar w:fldCharType="end"/>
        </w:r>
      </w:hyperlink>
    </w:p>
    <w:p w14:paraId="2FEBD57E" w14:textId="20D22B4E"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10" w:history="1">
        <w:r w:rsidRPr="004616E6">
          <w:rPr>
            <w:rStyle w:val="Hyperlink"/>
            <w:noProof/>
          </w:rPr>
          <w:t>Figure 7—Number of fatal accident and accident rates by sector</w:t>
        </w:r>
        <w:r>
          <w:rPr>
            <w:noProof/>
            <w:webHidden/>
          </w:rPr>
          <w:tab/>
        </w:r>
        <w:r>
          <w:rPr>
            <w:noProof/>
            <w:webHidden/>
          </w:rPr>
          <w:fldChar w:fldCharType="begin"/>
        </w:r>
        <w:r>
          <w:rPr>
            <w:noProof/>
            <w:webHidden/>
          </w:rPr>
          <w:instrText xml:space="preserve"> PAGEREF _Toc230269810 \h </w:instrText>
        </w:r>
        <w:r>
          <w:rPr>
            <w:noProof/>
            <w:webHidden/>
          </w:rPr>
        </w:r>
        <w:r>
          <w:rPr>
            <w:noProof/>
            <w:webHidden/>
          </w:rPr>
          <w:fldChar w:fldCharType="separate"/>
        </w:r>
        <w:r>
          <w:rPr>
            <w:noProof/>
            <w:webHidden/>
          </w:rPr>
          <w:t>26</w:t>
        </w:r>
        <w:r>
          <w:rPr>
            <w:noProof/>
            <w:webHidden/>
          </w:rPr>
          <w:fldChar w:fldCharType="end"/>
        </w:r>
      </w:hyperlink>
    </w:p>
    <w:p w14:paraId="056A1EB7" w14:textId="1AA13C01"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11" w:history="1">
        <w:r w:rsidRPr="004616E6">
          <w:rPr>
            <w:rStyle w:val="Hyperlink"/>
            <w:noProof/>
          </w:rPr>
          <w:t>Figure 8—Number of serious incidents by sector</w:t>
        </w:r>
        <w:r>
          <w:rPr>
            <w:noProof/>
            <w:webHidden/>
          </w:rPr>
          <w:tab/>
        </w:r>
        <w:r>
          <w:rPr>
            <w:noProof/>
            <w:webHidden/>
          </w:rPr>
          <w:fldChar w:fldCharType="begin"/>
        </w:r>
        <w:r>
          <w:rPr>
            <w:noProof/>
            <w:webHidden/>
          </w:rPr>
          <w:instrText xml:space="preserve"> PAGEREF _Toc230269811 \h </w:instrText>
        </w:r>
        <w:r>
          <w:rPr>
            <w:noProof/>
            <w:webHidden/>
          </w:rPr>
        </w:r>
        <w:r>
          <w:rPr>
            <w:noProof/>
            <w:webHidden/>
          </w:rPr>
          <w:fldChar w:fldCharType="separate"/>
        </w:r>
        <w:r>
          <w:rPr>
            <w:noProof/>
            <w:webHidden/>
          </w:rPr>
          <w:t>28</w:t>
        </w:r>
        <w:r>
          <w:rPr>
            <w:noProof/>
            <w:webHidden/>
          </w:rPr>
          <w:fldChar w:fldCharType="end"/>
        </w:r>
      </w:hyperlink>
    </w:p>
    <w:p w14:paraId="53290116" w14:textId="117B4688"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12" w:history="1">
        <w:r w:rsidRPr="004616E6">
          <w:rPr>
            <w:rStyle w:val="Hyperlink"/>
            <w:noProof/>
          </w:rPr>
          <w:t>Figure 9—Number of runway safety-related events by aerodrome status</w:t>
        </w:r>
        <w:r>
          <w:rPr>
            <w:noProof/>
            <w:webHidden/>
          </w:rPr>
          <w:tab/>
        </w:r>
        <w:r>
          <w:rPr>
            <w:noProof/>
            <w:webHidden/>
          </w:rPr>
          <w:fldChar w:fldCharType="begin"/>
        </w:r>
        <w:r>
          <w:rPr>
            <w:noProof/>
            <w:webHidden/>
          </w:rPr>
          <w:instrText xml:space="preserve"> PAGEREF _Toc230269812 \h </w:instrText>
        </w:r>
        <w:r>
          <w:rPr>
            <w:noProof/>
            <w:webHidden/>
          </w:rPr>
        </w:r>
        <w:r>
          <w:rPr>
            <w:noProof/>
            <w:webHidden/>
          </w:rPr>
          <w:fldChar w:fldCharType="separate"/>
        </w:r>
        <w:r>
          <w:rPr>
            <w:noProof/>
            <w:webHidden/>
          </w:rPr>
          <w:t>30</w:t>
        </w:r>
        <w:r>
          <w:rPr>
            <w:noProof/>
            <w:webHidden/>
          </w:rPr>
          <w:fldChar w:fldCharType="end"/>
        </w:r>
      </w:hyperlink>
    </w:p>
    <w:p w14:paraId="671B8214" w14:textId="590702B7"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13" w:history="1">
        <w:r w:rsidRPr="004616E6">
          <w:rPr>
            <w:rStyle w:val="Hyperlink"/>
            <w:noProof/>
          </w:rPr>
          <w:t>Figure 10—Mid-air collision and airspace separation events by sector</w:t>
        </w:r>
        <w:r>
          <w:rPr>
            <w:noProof/>
            <w:webHidden/>
          </w:rPr>
          <w:tab/>
        </w:r>
        <w:r>
          <w:rPr>
            <w:noProof/>
            <w:webHidden/>
          </w:rPr>
          <w:fldChar w:fldCharType="begin"/>
        </w:r>
        <w:r>
          <w:rPr>
            <w:noProof/>
            <w:webHidden/>
          </w:rPr>
          <w:instrText xml:space="preserve"> PAGEREF _Toc230269813 \h </w:instrText>
        </w:r>
        <w:r>
          <w:rPr>
            <w:noProof/>
            <w:webHidden/>
          </w:rPr>
        </w:r>
        <w:r>
          <w:rPr>
            <w:noProof/>
            <w:webHidden/>
          </w:rPr>
          <w:fldChar w:fldCharType="separate"/>
        </w:r>
        <w:r>
          <w:rPr>
            <w:noProof/>
            <w:webHidden/>
          </w:rPr>
          <w:t>31</w:t>
        </w:r>
        <w:r>
          <w:rPr>
            <w:noProof/>
            <w:webHidden/>
          </w:rPr>
          <w:fldChar w:fldCharType="end"/>
        </w:r>
      </w:hyperlink>
    </w:p>
    <w:p w14:paraId="255A3859" w14:textId="073DF741"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14" w:history="1">
        <w:r w:rsidRPr="004616E6">
          <w:rPr>
            <w:rStyle w:val="Hyperlink"/>
            <w:noProof/>
          </w:rPr>
          <w:t>Figure 11— Air navigation safety performance—Loss of Separation</w:t>
        </w:r>
        <w:r>
          <w:rPr>
            <w:noProof/>
            <w:webHidden/>
          </w:rPr>
          <w:tab/>
        </w:r>
        <w:r>
          <w:rPr>
            <w:noProof/>
            <w:webHidden/>
          </w:rPr>
          <w:fldChar w:fldCharType="begin"/>
        </w:r>
        <w:r>
          <w:rPr>
            <w:noProof/>
            <w:webHidden/>
          </w:rPr>
          <w:instrText xml:space="preserve"> PAGEREF _Toc230269814 \h </w:instrText>
        </w:r>
        <w:r>
          <w:rPr>
            <w:noProof/>
            <w:webHidden/>
          </w:rPr>
        </w:r>
        <w:r>
          <w:rPr>
            <w:noProof/>
            <w:webHidden/>
          </w:rPr>
          <w:fldChar w:fldCharType="separate"/>
        </w:r>
        <w:r>
          <w:rPr>
            <w:noProof/>
            <w:webHidden/>
          </w:rPr>
          <w:t>33</w:t>
        </w:r>
        <w:r>
          <w:rPr>
            <w:noProof/>
            <w:webHidden/>
          </w:rPr>
          <w:fldChar w:fldCharType="end"/>
        </w:r>
      </w:hyperlink>
    </w:p>
    <w:p w14:paraId="11306435" w14:textId="7E80C5B7"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15" w:history="1">
        <w:r w:rsidRPr="004616E6">
          <w:rPr>
            <w:rStyle w:val="Hyperlink"/>
            <w:noProof/>
          </w:rPr>
          <w:t>Figure 12—ATSB Accident occurrence category and sector (FY 2024–25)</w:t>
        </w:r>
        <w:r>
          <w:rPr>
            <w:noProof/>
            <w:webHidden/>
          </w:rPr>
          <w:tab/>
        </w:r>
        <w:r>
          <w:rPr>
            <w:noProof/>
            <w:webHidden/>
          </w:rPr>
          <w:fldChar w:fldCharType="begin"/>
        </w:r>
        <w:r>
          <w:rPr>
            <w:noProof/>
            <w:webHidden/>
          </w:rPr>
          <w:instrText xml:space="preserve"> PAGEREF _Toc230269815 \h </w:instrText>
        </w:r>
        <w:r>
          <w:rPr>
            <w:noProof/>
            <w:webHidden/>
          </w:rPr>
        </w:r>
        <w:r>
          <w:rPr>
            <w:noProof/>
            <w:webHidden/>
          </w:rPr>
          <w:fldChar w:fldCharType="separate"/>
        </w:r>
        <w:r>
          <w:rPr>
            <w:noProof/>
            <w:webHidden/>
          </w:rPr>
          <w:t>34</w:t>
        </w:r>
        <w:r>
          <w:rPr>
            <w:noProof/>
            <w:webHidden/>
          </w:rPr>
          <w:fldChar w:fldCharType="end"/>
        </w:r>
      </w:hyperlink>
    </w:p>
    <w:p w14:paraId="08810FBD" w14:textId="56CC06F1"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16" w:history="1">
        <w:r w:rsidRPr="004616E6">
          <w:rPr>
            <w:rStyle w:val="Hyperlink"/>
            <w:noProof/>
          </w:rPr>
          <w:t>Table 8—Commercial Air Transport accidents</w:t>
        </w:r>
        <w:r>
          <w:rPr>
            <w:noProof/>
            <w:webHidden/>
          </w:rPr>
          <w:tab/>
        </w:r>
        <w:r>
          <w:rPr>
            <w:noProof/>
            <w:webHidden/>
          </w:rPr>
          <w:fldChar w:fldCharType="begin"/>
        </w:r>
        <w:r>
          <w:rPr>
            <w:noProof/>
            <w:webHidden/>
          </w:rPr>
          <w:instrText xml:space="preserve"> PAGEREF _Toc230269816 \h </w:instrText>
        </w:r>
        <w:r>
          <w:rPr>
            <w:noProof/>
            <w:webHidden/>
          </w:rPr>
        </w:r>
        <w:r>
          <w:rPr>
            <w:noProof/>
            <w:webHidden/>
          </w:rPr>
          <w:fldChar w:fldCharType="separate"/>
        </w:r>
        <w:r>
          <w:rPr>
            <w:noProof/>
            <w:webHidden/>
          </w:rPr>
          <w:t>34</w:t>
        </w:r>
        <w:r>
          <w:rPr>
            <w:noProof/>
            <w:webHidden/>
          </w:rPr>
          <w:fldChar w:fldCharType="end"/>
        </w:r>
      </w:hyperlink>
    </w:p>
    <w:p w14:paraId="5A4567E7" w14:textId="04DA34B7"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17" w:history="1">
        <w:r w:rsidRPr="004616E6">
          <w:rPr>
            <w:rStyle w:val="Hyperlink"/>
            <w:noProof/>
          </w:rPr>
          <w:t>Table 9—Commercial Aviation accidents</w:t>
        </w:r>
        <w:r>
          <w:rPr>
            <w:noProof/>
            <w:webHidden/>
          </w:rPr>
          <w:tab/>
        </w:r>
        <w:r>
          <w:rPr>
            <w:noProof/>
            <w:webHidden/>
          </w:rPr>
          <w:fldChar w:fldCharType="begin"/>
        </w:r>
        <w:r>
          <w:rPr>
            <w:noProof/>
            <w:webHidden/>
          </w:rPr>
          <w:instrText xml:space="preserve"> PAGEREF _Toc230269817 \h </w:instrText>
        </w:r>
        <w:r>
          <w:rPr>
            <w:noProof/>
            <w:webHidden/>
          </w:rPr>
        </w:r>
        <w:r>
          <w:rPr>
            <w:noProof/>
            <w:webHidden/>
          </w:rPr>
          <w:fldChar w:fldCharType="separate"/>
        </w:r>
        <w:r>
          <w:rPr>
            <w:noProof/>
            <w:webHidden/>
          </w:rPr>
          <w:t>35</w:t>
        </w:r>
        <w:r>
          <w:rPr>
            <w:noProof/>
            <w:webHidden/>
          </w:rPr>
          <w:fldChar w:fldCharType="end"/>
        </w:r>
      </w:hyperlink>
    </w:p>
    <w:p w14:paraId="33AFE322" w14:textId="204C68BB" w:rsidR="00CA24E0" w:rsidRDefault="00CA24E0" w:rsidP="00CA24E0">
      <w:pPr>
        <w:pStyle w:val="TableofFigures"/>
        <w:tabs>
          <w:tab w:val="right" w:leader="dot" w:pos="9072"/>
        </w:tabs>
        <w:spacing w:after="0"/>
        <w:rPr>
          <w:rFonts w:eastAsiaTheme="minorEastAsia"/>
          <w:noProof/>
          <w:color w:val="auto"/>
          <w:kern w:val="2"/>
          <w:sz w:val="24"/>
          <w:szCs w:val="24"/>
          <w:lang w:eastAsia="en-AU"/>
          <w14:ligatures w14:val="standardContextual"/>
        </w:rPr>
      </w:pPr>
      <w:hyperlink w:anchor="_Toc230269818" w:history="1">
        <w:r w:rsidRPr="004616E6">
          <w:rPr>
            <w:rStyle w:val="Hyperlink"/>
            <w:noProof/>
          </w:rPr>
          <w:t>Table 10—Non-Commercial Aviation accidents</w:t>
        </w:r>
        <w:r>
          <w:rPr>
            <w:noProof/>
            <w:webHidden/>
          </w:rPr>
          <w:tab/>
        </w:r>
        <w:r>
          <w:rPr>
            <w:noProof/>
            <w:webHidden/>
          </w:rPr>
          <w:fldChar w:fldCharType="begin"/>
        </w:r>
        <w:r>
          <w:rPr>
            <w:noProof/>
            <w:webHidden/>
          </w:rPr>
          <w:instrText xml:space="preserve"> PAGEREF _Toc230269818 \h </w:instrText>
        </w:r>
        <w:r>
          <w:rPr>
            <w:noProof/>
            <w:webHidden/>
          </w:rPr>
        </w:r>
        <w:r>
          <w:rPr>
            <w:noProof/>
            <w:webHidden/>
          </w:rPr>
          <w:fldChar w:fldCharType="separate"/>
        </w:r>
        <w:r>
          <w:rPr>
            <w:noProof/>
            <w:webHidden/>
          </w:rPr>
          <w:t>36</w:t>
        </w:r>
        <w:r>
          <w:rPr>
            <w:noProof/>
            <w:webHidden/>
          </w:rPr>
          <w:fldChar w:fldCharType="end"/>
        </w:r>
      </w:hyperlink>
    </w:p>
    <w:p w14:paraId="31473392" w14:textId="7DA95D80" w:rsidR="00BF5FA4" w:rsidRPr="005F794B" w:rsidRDefault="009E5B72" w:rsidP="00CA24E0">
      <w:pPr>
        <w:tabs>
          <w:tab w:val="right" w:leader="dot" w:pos="9072"/>
        </w:tabs>
        <w:spacing w:after="0"/>
        <w:rPr>
          <w:lang w:val="x-none"/>
        </w:rPr>
      </w:pPr>
      <w:r>
        <w:fldChar w:fldCharType="end"/>
      </w:r>
    </w:p>
    <w:p w14:paraId="31473393" w14:textId="77777777" w:rsidR="00796AB4" w:rsidRDefault="00796AB4">
      <w:pPr>
        <w:spacing w:line="259" w:lineRule="auto"/>
        <w:sectPr w:rsidR="00796AB4" w:rsidSect="000E29BE">
          <w:footerReference w:type="default" r:id="rId20"/>
          <w:type w:val="continuous"/>
          <w:pgSz w:w="11906" w:h="16838"/>
          <w:pgMar w:top="1276" w:right="991" w:bottom="1276" w:left="1440" w:header="567" w:footer="0" w:gutter="0"/>
          <w:cols w:space="708"/>
          <w:titlePg/>
          <w:docGrid w:linePitch="360"/>
        </w:sectPr>
      </w:pPr>
    </w:p>
    <w:p w14:paraId="7C4C3D61" w14:textId="77777777" w:rsidR="005C2ADE" w:rsidRPr="00D752D0" w:rsidRDefault="005C2ADE" w:rsidP="00D752D0">
      <w:pPr>
        <w:pStyle w:val="Heading2"/>
      </w:pPr>
      <w:bookmarkStart w:id="4" w:name="_Toc227229286"/>
      <w:bookmarkStart w:id="5" w:name="_Toc230270013"/>
      <w:r w:rsidRPr="00D752D0">
        <w:lastRenderedPageBreak/>
        <w:t>Executive summary</w:t>
      </w:r>
      <w:bookmarkEnd w:id="4"/>
      <w:bookmarkEnd w:id="5"/>
    </w:p>
    <w:p w14:paraId="13DB9F0A" w14:textId="0AF1FA5D" w:rsidR="005C2ADE" w:rsidRDefault="005C2ADE" w:rsidP="005C2ADE">
      <w:r w:rsidRPr="00F61A05">
        <w:t xml:space="preserve">The National Aviation Safety Plan (NASP) </w:t>
      </w:r>
      <w:r>
        <w:t xml:space="preserve">annual report for </w:t>
      </w:r>
      <w:r w:rsidR="003276FE">
        <w:t>2024–25</w:t>
      </w:r>
      <w:r>
        <w:t xml:space="preserve"> outlines progress </w:t>
      </w:r>
      <w:r w:rsidRPr="00F61A05">
        <w:t>of aviation safety performance</w:t>
      </w:r>
      <w:r>
        <w:t xml:space="preserve"> in the </w:t>
      </w:r>
      <w:r w:rsidRPr="00F61A05">
        <w:t>financial year towards improvement</w:t>
      </w:r>
      <w:r>
        <w:t>s</w:t>
      </w:r>
      <w:r w:rsidRPr="00F61A05">
        <w:t xml:space="preserve"> in safety management and risk reduction. The report supports </w:t>
      </w:r>
      <w:r>
        <w:t xml:space="preserve">the </w:t>
      </w:r>
      <w:r w:rsidRPr="00F61A05">
        <w:t>continuous monitoring and advancement of national safety objectives as outlined in the NASP.</w:t>
      </w:r>
    </w:p>
    <w:p w14:paraId="6B70EC37" w14:textId="77777777" w:rsidR="005C2ADE" w:rsidRDefault="005C2ADE" w:rsidP="005C2ADE">
      <w:r w:rsidRPr="00F61A05">
        <w:t xml:space="preserve">Australia </w:t>
      </w:r>
      <w:r>
        <w:t>achieved</w:t>
      </w:r>
      <w:r w:rsidRPr="00F61A05">
        <w:t xml:space="preserve"> a reduction in the three-year moving average of aviation accidents</w:t>
      </w:r>
      <w:r>
        <w:t xml:space="preserve"> for commercial air transport</w:t>
      </w:r>
      <w:r w:rsidRPr="00F61A05">
        <w:t>. Regulatory oversight remains robust, with all relevant safety performance indicators (SPIs) meeting targets. Industry engagement and safety promotion initiatives have proven effective, supporting collaborative safety management. Air navigation and aerodrome infrastructure consistently comply with ICAO standards, and search and rescue systems provide full regional coverage for aircraft distress incidents.</w:t>
      </w:r>
      <w:r>
        <w:t xml:space="preserve"> </w:t>
      </w:r>
      <w:r w:rsidRPr="00F61A05">
        <w:t>Global and regional collaboration has been strengthened, boosting Australia’s ability to identify and address aviation safety risks.</w:t>
      </w:r>
    </w:p>
    <w:p w14:paraId="6622F2EA" w14:textId="77777777" w:rsidR="005C2ADE" w:rsidRDefault="005C2ADE" w:rsidP="005C2ADE">
      <w:bookmarkStart w:id="6" w:name="_Hlk221699119"/>
      <w:r w:rsidRPr="00F61A05">
        <w:t>Operational safety objectives under</w:t>
      </w:r>
      <w:r>
        <w:t xml:space="preserve"> the</w:t>
      </w:r>
      <w:r w:rsidRPr="00F61A05">
        <w:t xml:space="preserve"> NASP target a downward three-year moving average, with performance targets for aviation accidents and air navigation safety met (accident rates declining, navigation safety stable). However, </w:t>
      </w:r>
      <w:r>
        <w:t>there has been no consistent downward trend</w:t>
      </w:r>
      <w:r w:rsidRPr="00F61A05">
        <w:t xml:space="preserve"> for serious incidents, runway safety events, </w:t>
      </w:r>
      <w:r>
        <w:t>mid-air</w:t>
      </w:r>
      <w:r w:rsidRPr="00F61A05">
        <w:t xml:space="preserve"> collisions, and separation occurrences. Commercial aviation—particularly aerial work and instructional flying—is contributing to the rise in </w:t>
      </w:r>
      <w:r>
        <w:t>mid-air</w:t>
      </w:r>
      <w:r w:rsidRPr="00F61A05">
        <w:t xml:space="preserve"> collision trends. S</w:t>
      </w:r>
      <w:r>
        <w:t>tate Safety Programme (SSP)</w:t>
      </w:r>
      <w:r w:rsidRPr="00F61A05">
        <w:t xml:space="preserve"> </w:t>
      </w:r>
      <w:r>
        <w:t xml:space="preserve">aviation </w:t>
      </w:r>
      <w:r w:rsidRPr="00F61A05">
        <w:t>agencies have responded with targeted surveillance, sector risk profiling, cross-agency and industry collaborative working groups, and expert reference groups to actively review risks and identify potential mitigations.</w:t>
      </w:r>
    </w:p>
    <w:bookmarkEnd w:id="6"/>
    <w:p w14:paraId="65CDDB70" w14:textId="77777777" w:rsidR="005C2ADE" w:rsidRDefault="005C2ADE" w:rsidP="005C2ADE">
      <w:r w:rsidRPr="00F61A05">
        <w:t xml:space="preserve">Against </w:t>
      </w:r>
      <w:r>
        <w:t xml:space="preserve">the </w:t>
      </w:r>
      <w:r w:rsidRPr="00F61A05">
        <w:t>NASP organisational safety objectives, 70% of SPIs have met targets, with all regulatory oversight SPIs on track. Safety promotion and industry engagement SPIs are achieving targets, supporting a solid framework for safety promotion activities. Despite ongoing challenges with unnecessary false alert activations, Australia's search and rescue system remains fully available, ensuring rapid detection and rescue in distress situations. Efforts to improve SSP effectiveness via safety intelligence remain below expectations, with only 37.5% of targets reached.</w:t>
      </w:r>
    </w:p>
    <w:p w14:paraId="25684F20" w14:textId="77777777" w:rsidR="005C2ADE" w:rsidRDefault="005C2ADE" w:rsidP="005C2ADE">
      <w:pPr>
        <w:rPr>
          <w:rFonts w:cstheme="minorHAnsi"/>
          <w:bCs/>
        </w:rPr>
      </w:pPr>
      <w:r>
        <w:rPr>
          <w:rFonts w:cstheme="minorHAnsi"/>
          <w:bCs/>
        </w:rPr>
        <w:t>Several safety enhancement initiatives planned under the NASP are already underway to improve our organisational safety objectives over the three-year NASP period. T</w:t>
      </w:r>
      <w:r w:rsidRPr="007E51E5">
        <w:rPr>
          <w:rFonts w:cstheme="minorHAnsi"/>
          <w:bCs/>
        </w:rPr>
        <w:t xml:space="preserve">he SSP governance structure </w:t>
      </w:r>
      <w:r>
        <w:rPr>
          <w:rFonts w:cstheme="minorHAnsi"/>
          <w:bCs/>
        </w:rPr>
        <w:t xml:space="preserve">is being reviewed </w:t>
      </w:r>
      <w:r w:rsidRPr="007E51E5">
        <w:rPr>
          <w:rFonts w:cstheme="minorHAnsi"/>
          <w:bCs/>
        </w:rPr>
        <w:t>to enhance cross</w:t>
      </w:r>
      <w:r>
        <w:rPr>
          <w:rFonts w:cstheme="minorHAnsi"/>
          <w:bCs/>
        </w:rPr>
        <w:t>-</w:t>
      </w:r>
      <w:r w:rsidRPr="007E51E5">
        <w:rPr>
          <w:rFonts w:cstheme="minorHAnsi"/>
          <w:bCs/>
        </w:rPr>
        <w:t xml:space="preserve">agency collaboration </w:t>
      </w:r>
      <w:r>
        <w:rPr>
          <w:rFonts w:cstheme="minorHAnsi"/>
          <w:bCs/>
        </w:rPr>
        <w:t>and raise</w:t>
      </w:r>
      <w:r w:rsidRPr="007E51E5">
        <w:rPr>
          <w:rFonts w:cstheme="minorHAnsi"/>
          <w:bCs/>
        </w:rPr>
        <w:t xml:space="preserve"> awareness of the SSP and </w:t>
      </w:r>
      <w:r>
        <w:rPr>
          <w:rFonts w:cstheme="minorHAnsi"/>
          <w:bCs/>
        </w:rPr>
        <w:t xml:space="preserve">the </w:t>
      </w:r>
      <w:r w:rsidRPr="007E51E5">
        <w:rPr>
          <w:rFonts w:cstheme="minorHAnsi"/>
          <w:bCs/>
        </w:rPr>
        <w:t xml:space="preserve">NASP </w:t>
      </w:r>
      <w:r>
        <w:rPr>
          <w:rFonts w:cstheme="minorHAnsi"/>
          <w:bCs/>
        </w:rPr>
        <w:t>among</w:t>
      </w:r>
      <w:r w:rsidRPr="007E51E5">
        <w:rPr>
          <w:rFonts w:cstheme="minorHAnsi"/>
          <w:bCs/>
        </w:rPr>
        <w:t xml:space="preserve"> all SSP agencies.</w:t>
      </w:r>
    </w:p>
    <w:p w14:paraId="2DB046A2" w14:textId="66A987EE" w:rsidR="005C2ADE" w:rsidRDefault="005C2ADE" w:rsidP="005C2ADE">
      <w:pPr>
        <w:rPr>
          <w:rFonts w:cstheme="minorHAnsi"/>
          <w:bCs/>
        </w:rPr>
      </w:pPr>
      <w:r w:rsidRPr="00F61A05">
        <w:t xml:space="preserve">Results from the first year of </w:t>
      </w:r>
      <w:r>
        <w:t xml:space="preserve">the </w:t>
      </w:r>
      <w:r w:rsidRPr="00F61A05">
        <w:t>NASP confirm Australia’s strong dedication to improving aviation safety management and reducing operational risks, with SSP agencies at a mature stage in meeting safety objectives. Insights from this report will inform fu</w:t>
      </w:r>
      <w:r>
        <w:t>ture</w:t>
      </w:r>
      <w:r w:rsidRPr="00F61A05">
        <w:t xml:space="preserve"> NASP safety initiatives and </w:t>
      </w:r>
      <w:r>
        <w:t xml:space="preserve">will </w:t>
      </w:r>
      <w:r w:rsidRPr="00F61A05">
        <w:t>be shared with industry to ensure ongoing safety collaboration and learning.</w:t>
      </w:r>
    </w:p>
    <w:p w14:paraId="5E927DAE" w14:textId="77777777" w:rsidR="005C2ADE" w:rsidRPr="00237CEF" w:rsidRDefault="005C2ADE" w:rsidP="005C2ADE">
      <w:pPr>
        <w:rPr>
          <w:rFonts w:cstheme="minorHAnsi"/>
        </w:rPr>
      </w:pPr>
      <w:r>
        <w:rPr>
          <w:rFonts w:cstheme="minorHAnsi"/>
          <w:bCs/>
        </w:rPr>
        <w:t>A further indication of how safety initiatives in the NASP are impacting overall safety performance will become available in subsequent annual reports and in trend data over the three-year period of the NASP.</w:t>
      </w:r>
      <w:r>
        <w:rPr>
          <w:rFonts w:cstheme="minorHAnsi"/>
          <w:b/>
        </w:rPr>
        <w:br w:type="page"/>
      </w:r>
    </w:p>
    <w:p w14:paraId="34EC6B55" w14:textId="77777777" w:rsidR="005C2ADE" w:rsidRPr="00B368C7" w:rsidRDefault="005C2ADE" w:rsidP="00D752D0">
      <w:pPr>
        <w:pStyle w:val="Heading2"/>
      </w:pPr>
      <w:bookmarkStart w:id="7" w:name="_Toc163740123"/>
      <w:bookmarkStart w:id="8" w:name="_Toc178080029"/>
      <w:bookmarkStart w:id="9" w:name="_Toc180664859"/>
      <w:bookmarkStart w:id="10" w:name="_Toc222141595"/>
      <w:bookmarkStart w:id="11" w:name="_Toc227229287"/>
      <w:bookmarkStart w:id="12" w:name="_Toc230270014"/>
      <w:r w:rsidRPr="00B368C7">
        <w:lastRenderedPageBreak/>
        <w:t>1. Introduction</w:t>
      </w:r>
      <w:bookmarkEnd w:id="7"/>
      <w:bookmarkEnd w:id="8"/>
      <w:bookmarkEnd w:id="9"/>
      <w:bookmarkEnd w:id="10"/>
      <w:bookmarkEnd w:id="11"/>
      <w:bookmarkEnd w:id="12"/>
    </w:p>
    <w:p w14:paraId="6CDE5DAA" w14:textId="77777777" w:rsidR="005C2ADE" w:rsidRDefault="005C2ADE" w:rsidP="005C2ADE">
      <w:pPr>
        <w:rPr>
          <w:rFonts w:cstheme="minorHAnsi"/>
        </w:rPr>
      </w:pPr>
      <w:r w:rsidRPr="005B3CF2">
        <w:rPr>
          <w:rFonts w:cstheme="minorHAnsi"/>
        </w:rPr>
        <w:t xml:space="preserve">Safety is </w:t>
      </w:r>
      <w:r>
        <w:rPr>
          <w:rFonts w:cstheme="minorHAnsi"/>
        </w:rPr>
        <w:t xml:space="preserve">always </w:t>
      </w:r>
      <w:r w:rsidRPr="005B3CF2">
        <w:rPr>
          <w:rFonts w:cstheme="minorHAnsi"/>
        </w:rPr>
        <w:t>the primary consideration of Australia</w:t>
      </w:r>
      <w:r>
        <w:rPr>
          <w:rFonts w:cstheme="minorHAnsi"/>
        </w:rPr>
        <w:t>n Government</w:t>
      </w:r>
      <w:r w:rsidRPr="005B3CF2">
        <w:rPr>
          <w:rFonts w:cstheme="minorHAnsi"/>
        </w:rPr>
        <w:t xml:space="preserve"> aviation agencies.</w:t>
      </w:r>
      <w:r>
        <w:rPr>
          <w:rFonts w:cstheme="minorHAnsi"/>
        </w:rPr>
        <w:t xml:space="preserve"> The </w:t>
      </w:r>
      <w:hyperlink r:id="rId21" w:history="1">
        <w:r w:rsidRPr="0026045F">
          <w:rPr>
            <w:rStyle w:val="Hyperlink"/>
          </w:rPr>
          <w:t>National Aviation Safety Plan</w:t>
        </w:r>
      </w:hyperlink>
      <w:r w:rsidRPr="007F23D6">
        <w:rPr>
          <w:rFonts w:cstheme="minorHAnsi"/>
          <w:bCs/>
        </w:rPr>
        <w:t xml:space="preserve"> (NASP) </w:t>
      </w:r>
      <w:r w:rsidRPr="000367DB">
        <w:rPr>
          <w:rFonts w:cstheme="minorHAnsi"/>
        </w:rPr>
        <w:t>address</w:t>
      </w:r>
      <w:r>
        <w:rPr>
          <w:rFonts w:cstheme="minorHAnsi"/>
        </w:rPr>
        <w:t>es</w:t>
      </w:r>
      <w:r w:rsidRPr="000367DB">
        <w:rPr>
          <w:rFonts w:cstheme="minorHAnsi"/>
        </w:rPr>
        <w:t xml:space="preserve"> key </w:t>
      </w:r>
      <w:r>
        <w:rPr>
          <w:rFonts w:cstheme="minorHAnsi"/>
        </w:rPr>
        <w:t xml:space="preserve">national safety </w:t>
      </w:r>
      <w:r w:rsidRPr="000367DB">
        <w:rPr>
          <w:rFonts w:cstheme="minorHAnsi"/>
        </w:rPr>
        <w:t>risks</w:t>
      </w:r>
      <w:r>
        <w:rPr>
          <w:rFonts w:cstheme="minorHAnsi"/>
        </w:rPr>
        <w:t xml:space="preserve"> </w:t>
      </w:r>
      <w:r w:rsidRPr="000367DB">
        <w:rPr>
          <w:rFonts w:cstheme="minorHAnsi"/>
        </w:rPr>
        <w:t xml:space="preserve">and challenges and complements the </w:t>
      </w:r>
      <w:hyperlink r:id="rId22" w:history="1">
        <w:r w:rsidRPr="00B902F2">
          <w:rPr>
            <w:rStyle w:val="Hyperlink"/>
            <w:rFonts w:cstheme="minorHAnsi"/>
          </w:rPr>
          <w:t>Australian State Safety Programme</w:t>
        </w:r>
      </w:hyperlink>
      <w:r w:rsidRPr="000367DB">
        <w:rPr>
          <w:rFonts w:cstheme="minorHAnsi"/>
        </w:rPr>
        <w:t xml:space="preserve"> (SSP)</w:t>
      </w:r>
      <w:r>
        <w:rPr>
          <w:rFonts w:cstheme="minorHAnsi"/>
        </w:rPr>
        <w:t>.</w:t>
      </w:r>
    </w:p>
    <w:p w14:paraId="29BC2F08" w14:textId="77777777" w:rsidR="005C2ADE" w:rsidRDefault="005C2ADE" w:rsidP="005C2ADE">
      <w:pPr>
        <w:rPr>
          <w:rFonts w:cstheme="minorHAnsi"/>
        </w:rPr>
      </w:pPr>
      <w:r w:rsidRPr="001F7F63">
        <w:rPr>
          <w:rFonts w:cstheme="minorHAnsi"/>
        </w:rPr>
        <w:t>Th</w:t>
      </w:r>
      <w:r>
        <w:rPr>
          <w:rFonts w:cstheme="minorHAnsi"/>
        </w:rPr>
        <w:t>e</w:t>
      </w:r>
      <w:r w:rsidRPr="001F7F63">
        <w:rPr>
          <w:rFonts w:cstheme="minorHAnsi"/>
        </w:rPr>
        <w:t xml:space="preserve"> </w:t>
      </w:r>
      <w:r>
        <w:rPr>
          <w:rFonts w:cstheme="minorHAnsi"/>
        </w:rPr>
        <w:t>second</w:t>
      </w:r>
      <w:r w:rsidRPr="001F7F63">
        <w:rPr>
          <w:rFonts w:cstheme="minorHAnsi"/>
        </w:rPr>
        <w:t xml:space="preserve"> </w:t>
      </w:r>
      <w:r>
        <w:rPr>
          <w:rFonts w:cstheme="minorHAnsi"/>
        </w:rPr>
        <w:t>e</w:t>
      </w:r>
      <w:r w:rsidRPr="001F7F63">
        <w:rPr>
          <w:rFonts w:cstheme="minorHAnsi"/>
        </w:rPr>
        <w:t xml:space="preserve">dition of the </w:t>
      </w:r>
      <w:r>
        <w:rPr>
          <w:rFonts w:cstheme="minorHAnsi"/>
        </w:rPr>
        <w:t xml:space="preserve">NASP </w:t>
      </w:r>
      <w:r w:rsidRPr="001F7F63">
        <w:rPr>
          <w:rFonts w:cstheme="minorHAnsi"/>
        </w:rPr>
        <w:t xml:space="preserve">presents </w:t>
      </w:r>
      <w:r>
        <w:rPr>
          <w:rFonts w:cstheme="minorHAnsi"/>
        </w:rPr>
        <w:t>our ongoing</w:t>
      </w:r>
      <w:r w:rsidRPr="001F7F63">
        <w:rPr>
          <w:rFonts w:cstheme="minorHAnsi"/>
        </w:rPr>
        <w:t xml:space="preserve"> </w:t>
      </w:r>
      <w:r>
        <w:rPr>
          <w:rFonts w:cstheme="minorHAnsi"/>
        </w:rPr>
        <w:t>national</w:t>
      </w:r>
      <w:r w:rsidRPr="001F7F63">
        <w:rPr>
          <w:rFonts w:cstheme="minorHAnsi"/>
        </w:rPr>
        <w:t xml:space="preserve"> strategy and roadmap for </w:t>
      </w:r>
      <w:r>
        <w:rPr>
          <w:rFonts w:cstheme="minorHAnsi"/>
        </w:rPr>
        <w:t xml:space="preserve">continually </w:t>
      </w:r>
      <w:r w:rsidRPr="001F7F63">
        <w:rPr>
          <w:rFonts w:cstheme="minorHAnsi"/>
        </w:rPr>
        <w:t>enhancing aviation safety.</w:t>
      </w:r>
      <w:r>
        <w:rPr>
          <w:rFonts w:cstheme="minorHAnsi"/>
        </w:rPr>
        <w:t xml:space="preserve"> While t</w:t>
      </w:r>
      <w:r w:rsidRPr="005B3CF2">
        <w:rPr>
          <w:rFonts w:cstheme="minorHAnsi"/>
        </w:rPr>
        <w:t xml:space="preserve">he NASP is based on </w:t>
      </w:r>
      <w:r>
        <w:rPr>
          <w:rFonts w:cstheme="minorHAnsi"/>
        </w:rPr>
        <w:t>Australia’s</w:t>
      </w:r>
      <w:r w:rsidRPr="005B3CF2">
        <w:rPr>
          <w:rFonts w:cstheme="minorHAnsi"/>
        </w:rPr>
        <w:t xml:space="preserve"> </w:t>
      </w:r>
      <w:r>
        <w:rPr>
          <w:rFonts w:cstheme="minorHAnsi"/>
        </w:rPr>
        <w:t xml:space="preserve">operating environment </w:t>
      </w:r>
      <w:r w:rsidRPr="005B3CF2">
        <w:rPr>
          <w:rFonts w:cstheme="minorHAnsi"/>
        </w:rPr>
        <w:t xml:space="preserve">and </w:t>
      </w:r>
      <w:r>
        <w:rPr>
          <w:rFonts w:cstheme="minorHAnsi"/>
        </w:rPr>
        <w:t xml:space="preserve">safety </w:t>
      </w:r>
      <w:r w:rsidRPr="005B3CF2">
        <w:rPr>
          <w:rFonts w:cstheme="minorHAnsi"/>
        </w:rPr>
        <w:t>risks</w:t>
      </w:r>
      <w:r>
        <w:rPr>
          <w:rFonts w:cstheme="minorHAnsi"/>
        </w:rPr>
        <w:t xml:space="preserve">, it is strategically </w:t>
      </w:r>
      <w:r w:rsidRPr="001A7B26">
        <w:rPr>
          <w:rFonts w:cstheme="minorHAnsi"/>
        </w:rPr>
        <w:t>align</w:t>
      </w:r>
      <w:r>
        <w:rPr>
          <w:rFonts w:cstheme="minorHAnsi"/>
        </w:rPr>
        <w:t>ed</w:t>
      </w:r>
      <w:r w:rsidRPr="001A7B26">
        <w:rPr>
          <w:rFonts w:cstheme="minorHAnsi"/>
        </w:rPr>
        <w:t xml:space="preserve"> with </w:t>
      </w:r>
      <w:r>
        <w:rPr>
          <w:rFonts w:cstheme="minorHAnsi"/>
        </w:rPr>
        <w:t xml:space="preserve">the International Civil Aviation Organization’s (ICAO’s) Global Aviation Safety Plan (GASP) and the Asia Pacific Regional Aviation Safety Plan (AP-RASP), in recognition </w:t>
      </w:r>
      <w:r w:rsidRPr="001A7B26">
        <w:rPr>
          <w:rFonts w:cstheme="minorHAnsi"/>
        </w:rPr>
        <w:t xml:space="preserve">that aviation activities are </w:t>
      </w:r>
      <w:r>
        <w:rPr>
          <w:rFonts w:cstheme="minorHAnsi"/>
        </w:rPr>
        <w:t xml:space="preserve">interconnected and </w:t>
      </w:r>
      <w:r w:rsidRPr="001A7B26">
        <w:rPr>
          <w:rFonts w:cstheme="minorHAnsi"/>
        </w:rPr>
        <w:t>global in nature.</w:t>
      </w:r>
    </w:p>
    <w:p w14:paraId="33650B84" w14:textId="076C488E" w:rsidR="005C2ADE" w:rsidRDefault="005C2ADE" w:rsidP="005C2ADE">
      <w:pPr>
        <w:rPr>
          <w:rFonts w:cs="Calibri"/>
          <w:color w:val="000000"/>
        </w:rPr>
      </w:pPr>
      <w:r w:rsidRPr="00B86F6D">
        <w:rPr>
          <w:rFonts w:cs="Calibri"/>
          <w:color w:val="000000"/>
        </w:rPr>
        <w:t xml:space="preserve">Accurately measuring and reporting on Australia’s safety performance is essential for evaluating the effectiveness of NASP strategies. </w:t>
      </w:r>
      <w:r w:rsidRPr="34175130">
        <w:t xml:space="preserve">The NASP annual report was developed </w:t>
      </w:r>
      <w:r>
        <w:t xml:space="preserve">in response to </w:t>
      </w:r>
      <w:r w:rsidRPr="34175130">
        <w:t xml:space="preserve">a safety enhancement initiative </w:t>
      </w:r>
      <w:r>
        <w:t xml:space="preserve">action </w:t>
      </w:r>
      <w:r w:rsidRPr="34175130">
        <w:t>to assist in cross</w:t>
      </w:r>
      <w:r>
        <w:t>-</w:t>
      </w:r>
      <w:r w:rsidRPr="34175130">
        <w:t>agency safety information sharing and performance monitoring</w:t>
      </w:r>
      <w:r>
        <w:rPr>
          <w:rFonts w:cstheme="minorHAnsi"/>
        </w:rPr>
        <w:t>.</w:t>
      </w:r>
    </w:p>
    <w:p w14:paraId="467796FA" w14:textId="77777777" w:rsidR="005C2ADE" w:rsidRDefault="005C2ADE" w:rsidP="005C2ADE">
      <w:r w:rsidRPr="00B86F6D">
        <w:rPr>
          <w:rFonts w:cs="Calibri"/>
          <w:color w:val="000000"/>
        </w:rPr>
        <w:t xml:space="preserve">This </w:t>
      </w:r>
      <w:r>
        <w:rPr>
          <w:rFonts w:cs="Calibri"/>
          <w:color w:val="000000"/>
        </w:rPr>
        <w:t xml:space="preserve">first </w:t>
      </w:r>
      <w:r w:rsidRPr="00B86F6D">
        <w:rPr>
          <w:rFonts w:cs="Calibri"/>
          <w:color w:val="000000"/>
        </w:rPr>
        <w:t xml:space="preserve">annual report serves as a valuable source of SSP safety intelligence, guiding the planning of future safety promotion campaigns and </w:t>
      </w:r>
      <w:r>
        <w:rPr>
          <w:rFonts w:cs="Calibri"/>
          <w:color w:val="000000"/>
        </w:rPr>
        <w:t>identify</w:t>
      </w:r>
      <w:r w:rsidRPr="00B86F6D">
        <w:rPr>
          <w:rFonts w:cs="Calibri"/>
          <w:color w:val="000000"/>
        </w:rPr>
        <w:t xml:space="preserve">ing areas that may require further action, mitigation, or new safety initiatives. Additionally, the NASP annual report enables Australia to benchmark its commercial air transport operational safety performance against both regional and global trends </w:t>
      </w:r>
      <w:r>
        <w:rPr>
          <w:rFonts w:cs="Calibri"/>
          <w:color w:val="000000"/>
        </w:rPr>
        <w:t>through</w:t>
      </w:r>
      <w:r w:rsidRPr="00B86F6D">
        <w:rPr>
          <w:rFonts w:cs="Calibri"/>
          <w:color w:val="000000"/>
        </w:rPr>
        <w:t xml:space="preserve"> comparisons with ICAO's global and Asia Pacific regional annual safety report</w:t>
      </w:r>
      <w:r>
        <w:rPr>
          <w:rFonts w:cs="Calibri"/>
          <w:color w:val="000000"/>
        </w:rPr>
        <w:t>ing</w:t>
      </w:r>
      <w:r w:rsidRPr="00B86F6D">
        <w:rPr>
          <w:rFonts w:cs="Calibri"/>
          <w:color w:val="000000"/>
        </w:rPr>
        <w:t>.</w:t>
      </w:r>
    </w:p>
    <w:p w14:paraId="74E7CE5B" w14:textId="77777777" w:rsidR="005C2ADE" w:rsidRPr="00A91CD9" w:rsidRDefault="005C2ADE" w:rsidP="00D752D0">
      <w:pPr>
        <w:pStyle w:val="Heading3"/>
      </w:pPr>
      <w:bookmarkStart w:id="13" w:name="_Toc227229288"/>
      <w:bookmarkStart w:id="14" w:name="_Toc230270015"/>
      <w:r>
        <w:t>1.1 A</w:t>
      </w:r>
      <w:r w:rsidRPr="00A91CD9">
        <w:t>ustralia’s safety goals and objectives</w:t>
      </w:r>
      <w:bookmarkEnd w:id="13"/>
      <w:bookmarkEnd w:id="14"/>
    </w:p>
    <w:p w14:paraId="7BE47B95" w14:textId="77777777" w:rsidR="005C2ADE" w:rsidRDefault="005C2ADE" w:rsidP="005C2ADE">
      <w:pPr>
        <w:rPr>
          <w:rFonts w:cstheme="minorHAnsi"/>
          <w:bCs/>
        </w:rPr>
      </w:pPr>
      <w:r>
        <w:rPr>
          <w:rFonts w:cstheme="minorHAnsi"/>
          <w:bCs/>
        </w:rPr>
        <w:t>The NASP</w:t>
      </w:r>
      <w:r w:rsidRPr="00270429">
        <w:rPr>
          <w:rFonts w:cstheme="minorHAnsi"/>
          <w:bCs/>
        </w:rPr>
        <w:t xml:space="preserve"> </w:t>
      </w:r>
      <w:r>
        <w:rPr>
          <w:rFonts w:cstheme="minorHAnsi"/>
          <w:bCs/>
        </w:rPr>
        <w:t xml:space="preserve">sets </w:t>
      </w:r>
      <w:r w:rsidRPr="00270429">
        <w:rPr>
          <w:rFonts w:cstheme="minorHAnsi"/>
          <w:bCs/>
        </w:rPr>
        <w:t>Australia</w:t>
      </w:r>
      <w:r>
        <w:rPr>
          <w:rFonts w:cstheme="minorHAnsi"/>
          <w:bCs/>
        </w:rPr>
        <w:t>’s overarching</w:t>
      </w:r>
      <w:r w:rsidRPr="00270429">
        <w:rPr>
          <w:rFonts w:cstheme="minorHAnsi"/>
          <w:bCs/>
        </w:rPr>
        <w:t xml:space="preserve"> </w:t>
      </w:r>
      <w:r>
        <w:rPr>
          <w:rFonts w:cstheme="minorHAnsi"/>
          <w:bCs/>
        </w:rPr>
        <w:t>desired</w:t>
      </w:r>
      <w:r w:rsidRPr="00270429">
        <w:rPr>
          <w:rFonts w:cstheme="minorHAnsi"/>
          <w:bCs/>
        </w:rPr>
        <w:t xml:space="preserve"> level of safety performance for </w:t>
      </w:r>
      <w:r>
        <w:rPr>
          <w:rFonts w:cstheme="minorHAnsi"/>
          <w:bCs/>
        </w:rPr>
        <w:t>civil aviation, being:</w:t>
      </w:r>
    </w:p>
    <w:p w14:paraId="0765ED28" w14:textId="77777777" w:rsidR="005C2ADE" w:rsidRPr="00CA207F" w:rsidRDefault="005C2ADE" w:rsidP="005C2ADE">
      <w:pPr>
        <w:pStyle w:val="Box2Text"/>
      </w:pPr>
      <w:r w:rsidRPr="00CA207F">
        <w:t xml:space="preserve">To continually improve aviation safety towards </w:t>
      </w:r>
      <w:r w:rsidRPr="006646AF">
        <w:t>reducing aviation accidents and serious incidents across all aviation sectors, with no fatal accidents involving commerci</w:t>
      </w:r>
      <w:r w:rsidRPr="00CA207F">
        <w:t>al air transport operations.</w:t>
      </w:r>
    </w:p>
    <w:p w14:paraId="6C47CBE7" w14:textId="77777777" w:rsidR="005C2ADE" w:rsidRDefault="005C2ADE" w:rsidP="005C2ADE">
      <w:pPr>
        <w:rPr>
          <w:b/>
        </w:rPr>
      </w:pPr>
      <w:r>
        <w:rPr>
          <w:rFonts w:cs="Calibri"/>
          <w:color w:val="000000"/>
        </w:rPr>
        <w:t xml:space="preserve">The </w:t>
      </w:r>
      <w:r w:rsidRPr="00B86F6D">
        <w:rPr>
          <w:rFonts w:cs="Calibri"/>
          <w:color w:val="000000"/>
        </w:rPr>
        <w:t xml:space="preserve">NASP </w:t>
      </w:r>
      <w:r>
        <w:rPr>
          <w:rFonts w:cstheme="minorHAnsi"/>
        </w:rPr>
        <w:t>(2024-2027)</w:t>
      </w:r>
      <w:r w:rsidRPr="001F7F63">
        <w:rPr>
          <w:rFonts w:cstheme="minorHAnsi"/>
        </w:rPr>
        <w:t xml:space="preserve"> </w:t>
      </w:r>
      <w:r w:rsidRPr="00B86F6D">
        <w:rPr>
          <w:rFonts w:cs="Calibri"/>
          <w:color w:val="000000"/>
        </w:rPr>
        <w:t>includes six safety goals, each with supporting safety objectives that outline strategic outcomes. These objectives offer measurable ways to address safety risks and improve performance. Australia’s NASP 2024 goals and objectives are listed in Table 1.</w:t>
      </w:r>
    </w:p>
    <w:p w14:paraId="19665BD9" w14:textId="6E83EF4E" w:rsidR="005C2ADE" w:rsidRDefault="005C2ADE" w:rsidP="002C6061">
      <w:pPr>
        <w:pStyle w:val="Tablefigureheading"/>
      </w:pPr>
      <w:bookmarkStart w:id="15" w:name="_Toc230269797"/>
      <w:r w:rsidRPr="006646AF">
        <w:t>Table 1</w:t>
      </w:r>
      <w:r w:rsidR="00C205EE">
        <w:t>—</w:t>
      </w:r>
      <w:r w:rsidRPr="00C205EE">
        <w:t>Australia’s</w:t>
      </w:r>
      <w:r w:rsidRPr="006646AF">
        <w:t xml:space="preserve"> safety goals and objectives</w:t>
      </w:r>
      <w:bookmarkEnd w:id="15"/>
    </w:p>
    <w:tbl>
      <w:tblPr>
        <w:tblStyle w:val="DefaultTable11"/>
        <w:tblW w:w="0" w:type="auto"/>
        <w:tblCellSpacing w:w="14" w:type="dxa"/>
        <w:tblBorders>
          <w:top w:val="single" w:sz="4" w:space="0" w:color="ED662F"/>
          <w:bottom w:val="single" w:sz="12" w:space="0" w:color="ED662F"/>
          <w:insideH w:val="single" w:sz="4" w:space="0" w:color="ED662F"/>
        </w:tblBorders>
        <w:tblLook w:val="04A0" w:firstRow="1" w:lastRow="0" w:firstColumn="1" w:lastColumn="0" w:noHBand="0" w:noVBand="1"/>
        <w:tblCaption w:val="Table 1—Australia’s safety goals and objectives"/>
        <w:tblDescription w:val="Table 1—Australia’s safety goals and objectives"/>
      </w:tblPr>
      <w:tblGrid>
        <w:gridCol w:w="3742"/>
        <w:gridCol w:w="5733"/>
      </w:tblGrid>
      <w:tr w:rsidR="00595EF8" w:rsidRPr="00654F9E" w14:paraId="0A551540" w14:textId="77777777" w:rsidTr="006C11A2">
        <w:trPr>
          <w:cnfStyle w:val="100000000000" w:firstRow="1" w:lastRow="0" w:firstColumn="0" w:lastColumn="0" w:oddVBand="0" w:evenVBand="0" w:oddHBand="0" w:evenHBand="0"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shd w:val="clear" w:color="auto" w:fill="4D148C"/>
          </w:tcPr>
          <w:p w14:paraId="1EF7E1C9" w14:textId="77777777" w:rsidR="00595EF8" w:rsidRPr="008E534F" w:rsidRDefault="00595EF8" w:rsidP="00ED1700">
            <w:pPr>
              <w:pStyle w:val="Tablerowcolumnheading"/>
              <w:keepNext/>
              <w:rPr>
                <w:b/>
                <w:sz w:val="22"/>
                <w:szCs w:val="22"/>
              </w:rPr>
            </w:pPr>
            <w:r w:rsidRPr="008E534F">
              <w:rPr>
                <w:b/>
                <w:sz w:val="22"/>
                <w:szCs w:val="22"/>
              </w:rPr>
              <w:t>Table row/column heading</w:t>
            </w:r>
          </w:p>
        </w:tc>
        <w:tc>
          <w:tcPr>
            <w:tcW w:w="3030" w:type="pct"/>
            <w:shd w:val="clear" w:color="auto" w:fill="4D148C"/>
          </w:tcPr>
          <w:p w14:paraId="0A7374D0" w14:textId="77777777" w:rsidR="00595EF8" w:rsidRPr="008E534F" w:rsidRDefault="00595EF8" w:rsidP="00ED1700">
            <w:pPr>
              <w:pStyle w:val="Tablerowcolumnheadingcentred"/>
              <w:keepNext/>
              <w:cnfStyle w:val="100000000000" w:firstRow="1" w:lastRow="0" w:firstColumn="0" w:lastColumn="0" w:oddVBand="0" w:evenVBand="0" w:oddHBand="0" w:evenHBand="0" w:firstRowFirstColumn="0" w:firstRowLastColumn="0" w:lastRowFirstColumn="0" w:lastRowLastColumn="0"/>
              <w:rPr>
                <w:b/>
                <w:sz w:val="22"/>
                <w:szCs w:val="22"/>
              </w:rPr>
            </w:pPr>
            <w:r w:rsidRPr="008E534F">
              <w:rPr>
                <w:b/>
                <w:sz w:val="22"/>
                <w:szCs w:val="22"/>
              </w:rPr>
              <w:t>Table row/column heading</w:t>
            </w:r>
            <w:r w:rsidRPr="008E534F">
              <w:rPr>
                <w:sz w:val="22"/>
                <w:szCs w:val="22"/>
              </w:rPr>
              <w:t>—</w:t>
            </w:r>
            <w:r w:rsidRPr="008E534F">
              <w:rPr>
                <w:b/>
                <w:sz w:val="22"/>
                <w:szCs w:val="22"/>
              </w:rPr>
              <w:t>centred</w:t>
            </w:r>
          </w:p>
        </w:tc>
      </w:tr>
      <w:tr w:rsidR="00E14DE3" w:rsidRPr="00654F9E" w14:paraId="64E13E87"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7D1CE8E0" w14:textId="06667E16" w:rsidR="00E14DE3" w:rsidRPr="00BE5B5F" w:rsidRDefault="00E14DE3" w:rsidP="00E14DE3">
            <w:pPr>
              <w:rPr>
                <w:rFonts w:asciiTheme="minorHAnsi" w:hAnsiTheme="minorHAnsi" w:cstheme="minorHAnsi"/>
                <w:sz w:val="22"/>
                <w:szCs w:val="22"/>
              </w:rPr>
            </w:pPr>
            <w:r w:rsidRPr="00BE5B5F">
              <w:rPr>
                <w:rFonts w:asciiTheme="minorHAnsi" w:hAnsiTheme="minorHAnsi" w:cstheme="minorHAnsi"/>
                <w:sz w:val="22"/>
                <w:szCs w:val="22"/>
              </w:rPr>
              <w:t>Improve the safety of Australian aviation operations across all sectors</w:t>
            </w:r>
            <w:r w:rsidR="00B00397">
              <w:rPr>
                <w:rFonts w:asciiTheme="minorHAnsi" w:hAnsiTheme="minorHAnsi" w:cstheme="minorHAnsi"/>
                <w:kern w:val="2"/>
                <w:sz w:val="22"/>
                <w:szCs w:val="22"/>
                <w14:ligatures w14:val="standardContextual"/>
              </w:rPr>
              <w:t>.</w:t>
            </w:r>
          </w:p>
        </w:tc>
        <w:tc>
          <w:tcPr>
            <w:tcW w:w="3030" w:type="pct"/>
          </w:tcPr>
          <w:p w14:paraId="0EE43C12" w14:textId="33019946" w:rsidR="00E14DE3" w:rsidRPr="00BE5B5F" w:rsidRDefault="00E14DE3" w:rsidP="00E14D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 a 3-year moving average decreasing trend of accidents</w:t>
            </w:r>
          </w:p>
        </w:tc>
      </w:tr>
      <w:tr w:rsidR="00E14DE3" w:rsidRPr="00654F9E" w14:paraId="0CBA3E97"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30289F87" w14:textId="5F421A60" w:rsidR="00E14DE3" w:rsidRPr="00BE5B5F" w:rsidRDefault="00E14DE3" w:rsidP="00E14DE3">
            <w:pPr>
              <w:rPr>
                <w:rFonts w:asciiTheme="minorHAnsi" w:hAnsiTheme="minorHAnsi" w:cstheme="minorHAnsi"/>
                <w:sz w:val="22"/>
                <w:szCs w:val="22"/>
              </w:rPr>
            </w:pPr>
            <w:r w:rsidRPr="00BE5B5F">
              <w:rPr>
                <w:rFonts w:asciiTheme="minorHAnsi" w:hAnsiTheme="minorHAnsi" w:cstheme="minorHAnsi"/>
                <w:sz w:val="22"/>
                <w:szCs w:val="22"/>
              </w:rPr>
              <w:t>Improve the safety of Australian aviation operations across all sectors</w:t>
            </w:r>
            <w:r w:rsidR="00B00397">
              <w:rPr>
                <w:rFonts w:asciiTheme="minorHAnsi" w:hAnsiTheme="minorHAnsi" w:cstheme="minorHAnsi"/>
                <w:kern w:val="2"/>
                <w:sz w:val="22"/>
                <w:szCs w:val="22"/>
                <w14:ligatures w14:val="standardContextual"/>
              </w:rPr>
              <w:t>.</w:t>
            </w:r>
          </w:p>
        </w:tc>
        <w:tc>
          <w:tcPr>
            <w:tcW w:w="3030" w:type="pct"/>
          </w:tcPr>
          <w:p w14:paraId="4DBAA78A" w14:textId="5F61F329" w:rsidR="00E14DE3" w:rsidRPr="00BE5B5F" w:rsidRDefault="00E14DE3" w:rsidP="00E14DE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 a 3-year moving average decreasing trend of serious incidents</w:t>
            </w:r>
          </w:p>
        </w:tc>
      </w:tr>
      <w:tr w:rsidR="00E14DE3" w:rsidRPr="00654F9E" w14:paraId="25DC8141"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5FFFD815" w14:textId="09AE2B34" w:rsidR="00E14DE3" w:rsidRPr="00BE5B5F" w:rsidRDefault="00E14DE3" w:rsidP="00E14DE3">
            <w:pPr>
              <w:rPr>
                <w:rFonts w:asciiTheme="minorHAnsi" w:hAnsiTheme="minorHAnsi" w:cstheme="minorHAnsi"/>
                <w:sz w:val="22"/>
                <w:szCs w:val="22"/>
              </w:rPr>
            </w:pPr>
            <w:r w:rsidRPr="00BE5B5F">
              <w:rPr>
                <w:rFonts w:asciiTheme="minorHAnsi" w:hAnsiTheme="minorHAnsi" w:cstheme="minorHAnsi"/>
                <w:sz w:val="22"/>
                <w:szCs w:val="22"/>
              </w:rPr>
              <w:t>Improve the safety of Australian aviation operations across all sectors</w:t>
            </w:r>
            <w:r w:rsidR="00B00397">
              <w:rPr>
                <w:rFonts w:asciiTheme="minorHAnsi" w:hAnsiTheme="minorHAnsi" w:cstheme="minorHAnsi"/>
                <w:kern w:val="2"/>
                <w:sz w:val="22"/>
                <w:szCs w:val="22"/>
                <w14:ligatures w14:val="standardContextual"/>
              </w:rPr>
              <w:t>.</w:t>
            </w:r>
          </w:p>
        </w:tc>
        <w:tc>
          <w:tcPr>
            <w:tcW w:w="3030" w:type="pct"/>
          </w:tcPr>
          <w:p w14:paraId="3C1251E5" w14:textId="4BBA58D7" w:rsidR="00E14DE3" w:rsidRPr="00BE5B5F" w:rsidRDefault="00E14DE3" w:rsidP="00E14D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 a 3-year moving average decreasing trend of runway safety-related events.</w:t>
            </w:r>
          </w:p>
        </w:tc>
      </w:tr>
      <w:tr w:rsidR="00E14DE3" w:rsidRPr="00654F9E" w14:paraId="3097E50E"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175763E5" w14:textId="75C550FB" w:rsidR="00E14DE3" w:rsidRPr="00BE5B5F" w:rsidRDefault="00E14DE3" w:rsidP="00E14DE3">
            <w:pPr>
              <w:rPr>
                <w:rFonts w:asciiTheme="minorHAnsi" w:hAnsiTheme="minorHAnsi" w:cstheme="minorHAnsi"/>
                <w:sz w:val="22"/>
                <w:szCs w:val="22"/>
              </w:rPr>
            </w:pPr>
            <w:r w:rsidRPr="00BE5B5F">
              <w:rPr>
                <w:rFonts w:asciiTheme="minorHAnsi" w:hAnsiTheme="minorHAnsi" w:cstheme="minorHAnsi"/>
                <w:sz w:val="22"/>
                <w:szCs w:val="22"/>
              </w:rPr>
              <w:t>Improve the safety of Australian aviation operations across all sectors</w:t>
            </w:r>
            <w:r w:rsidR="00B00397">
              <w:rPr>
                <w:rFonts w:asciiTheme="minorHAnsi" w:hAnsiTheme="minorHAnsi" w:cstheme="minorHAnsi"/>
                <w:kern w:val="2"/>
                <w:sz w:val="22"/>
                <w:szCs w:val="22"/>
                <w14:ligatures w14:val="standardContextual"/>
              </w:rPr>
              <w:t>.</w:t>
            </w:r>
          </w:p>
        </w:tc>
        <w:tc>
          <w:tcPr>
            <w:tcW w:w="3030" w:type="pct"/>
          </w:tcPr>
          <w:p w14:paraId="2E3B361E" w14:textId="46EF0DFE" w:rsidR="00E14DE3" w:rsidRPr="00BE5B5F" w:rsidRDefault="00E14DE3" w:rsidP="00E14DE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 a 3-year moving average decreasing trend of mid-air collisions (MAC) and airspace separation events</w:t>
            </w:r>
          </w:p>
        </w:tc>
      </w:tr>
      <w:tr w:rsidR="00E14DE3" w:rsidRPr="00654F9E" w14:paraId="666E800E"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4E3B20DA" w14:textId="758BE439" w:rsidR="00E14DE3" w:rsidRPr="00BE5B5F" w:rsidRDefault="00E14DE3" w:rsidP="00E14DE3">
            <w:pPr>
              <w:rPr>
                <w:rFonts w:asciiTheme="minorHAnsi" w:hAnsiTheme="minorHAnsi" w:cstheme="minorHAnsi"/>
                <w:sz w:val="22"/>
                <w:szCs w:val="22"/>
              </w:rPr>
            </w:pPr>
            <w:r w:rsidRPr="00BE5B5F">
              <w:rPr>
                <w:rFonts w:asciiTheme="minorHAnsi" w:hAnsiTheme="minorHAnsi" w:cstheme="minorHAnsi"/>
                <w:sz w:val="22"/>
                <w:szCs w:val="22"/>
              </w:rPr>
              <w:t>Improve the safety of Australian aviation operations across all sectors</w:t>
            </w:r>
            <w:r w:rsidR="00B00397">
              <w:rPr>
                <w:rFonts w:asciiTheme="minorHAnsi" w:hAnsiTheme="minorHAnsi" w:cstheme="minorHAnsi"/>
                <w:kern w:val="2"/>
                <w:sz w:val="22"/>
                <w:szCs w:val="22"/>
                <w14:ligatures w14:val="standardContextual"/>
              </w:rPr>
              <w:t>.</w:t>
            </w:r>
          </w:p>
        </w:tc>
        <w:tc>
          <w:tcPr>
            <w:tcW w:w="3030" w:type="pct"/>
          </w:tcPr>
          <w:p w14:paraId="42843EEA" w14:textId="5BF8939A" w:rsidR="00E14DE3" w:rsidRPr="00BE5B5F" w:rsidRDefault="00E14DE3" w:rsidP="00E14D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 or increase Australia’s air navigation safety performance.</w:t>
            </w:r>
          </w:p>
        </w:tc>
      </w:tr>
      <w:tr w:rsidR="00C04990" w:rsidRPr="00654F9E" w14:paraId="09FA1D61"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435ACC46" w14:textId="384C7833" w:rsidR="00C04990" w:rsidRPr="00BE5B5F" w:rsidRDefault="00C04990" w:rsidP="00C04990">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lastRenderedPageBreak/>
              <w:t>Strengthen Australia’s safety oversight and investigation capabilities</w:t>
            </w:r>
            <w:r w:rsidR="00B00397">
              <w:rPr>
                <w:rFonts w:asciiTheme="minorHAnsi" w:hAnsiTheme="minorHAnsi" w:cstheme="minorHAnsi"/>
                <w:kern w:val="2"/>
                <w:sz w:val="22"/>
                <w:szCs w:val="22"/>
                <w14:ligatures w14:val="standardContextual"/>
              </w:rPr>
              <w:t>.</w:t>
            </w:r>
          </w:p>
        </w:tc>
        <w:tc>
          <w:tcPr>
            <w:tcW w:w="3030" w:type="pct"/>
          </w:tcPr>
          <w:p w14:paraId="0D5B7DE9" w14:textId="4DC80D39" w:rsidR="00C04990" w:rsidRPr="00BE5B5F" w:rsidRDefault="00C04990" w:rsidP="00C0499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Enhance Australia’s safety management oversight capabilities of Service Providers Safety Management Systems (SMS).</w:t>
            </w:r>
          </w:p>
        </w:tc>
      </w:tr>
      <w:tr w:rsidR="00C04990" w:rsidRPr="00654F9E" w14:paraId="0E705673"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2172C6C9" w14:textId="647B9214" w:rsidR="00C04990" w:rsidRPr="00BE5B5F" w:rsidRDefault="00C04990" w:rsidP="00C04990">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Strengthen Australia’s safety oversight and investigation capabilities</w:t>
            </w:r>
            <w:r w:rsidR="00B00397">
              <w:rPr>
                <w:rFonts w:asciiTheme="minorHAnsi" w:hAnsiTheme="minorHAnsi" w:cstheme="minorHAnsi"/>
                <w:kern w:val="2"/>
                <w:sz w:val="22"/>
                <w:szCs w:val="22"/>
                <w14:ligatures w14:val="standardContextual"/>
              </w:rPr>
              <w:t>.</w:t>
            </w:r>
          </w:p>
        </w:tc>
        <w:tc>
          <w:tcPr>
            <w:tcW w:w="3030" w:type="pct"/>
          </w:tcPr>
          <w:p w14:paraId="4B40C271" w14:textId="0EB0136F" w:rsidR="00C04990" w:rsidRPr="00BE5B5F" w:rsidRDefault="00C04990" w:rsidP="00C049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Enhance and continue to maintain Australia’s regulatory oversight technical inspectors’ capabilities.</w:t>
            </w:r>
          </w:p>
        </w:tc>
      </w:tr>
      <w:tr w:rsidR="00C04990" w:rsidRPr="00654F9E" w14:paraId="6D185859"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7C8E5AE0" w14:textId="46630462" w:rsidR="00C04990" w:rsidRPr="00BE5B5F" w:rsidRDefault="00C04990" w:rsidP="00C04990">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Strengthen Australia’s safety oversight and investigation capabilities</w:t>
            </w:r>
            <w:r w:rsidR="00B00397">
              <w:rPr>
                <w:rFonts w:asciiTheme="minorHAnsi" w:hAnsiTheme="minorHAnsi" w:cstheme="minorHAnsi"/>
                <w:kern w:val="2"/>
                <w:sz w:val="22"/>
                <w:szCs w:val="22"/>
                <w14:ligatures w14:val="standardContextual"/>
              </w:rPr>
              <w:t>.</w:t>
            </w:r>
          </w:p>
        </w:tc>
        <w:tc>
          <w:tcPr>
            <w:tcW w:w="3030" w:type="pct"/>
          </w:tcPr>
          <w:p w14:paraId="7C413843" w14:textId="13E646FE" w:rsidR="00C04990" w:rsidRPr="00BE5B5F" w:rsidRDefault="00C04990" w:rsidP="00C0499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Enhance and continue to maintain Australia’s aviation safety investigators technical capabilities.</w:t>
            </w:r>
          </w:p>
        </w:tc>
      </w:tr>
      <w:tr w:rsidR="00C04990" w:rsidRPr="00654F9E" w14:paraId="7F8F905B"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234F0180" w14:textId="58717C06" w:rsidR="00C04990" w:rsidRPr="00BE5B5F" w:rsidRDefault="00C04990" w:rsidP="00C04990">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Strengthen Australia’s safety oversight and investigation capabilities</w:t>
            </w:r>
            <w:r w:rsidR="00B00397">
              <w:rPr>
                <w:rFonts w:asciiTheme="minorHAnsi" w:hAnsiTheme="minorHAnsi" w:cstheme="minorHAnsi"/>
                <w:kern w:val="2"/>
                <w:sz w:val="22"/>
                <w:szCs w:val="22"/>
                <w14:ligatures w14:val="standardContextual"/>
              </w:rPr>
              <w:t>.</w:t>
            </w:r>
          </w:p>
        </w:tc>
        <w:tc>
          <w:tcPr>
            <w:tcW w:w="3030" w:type="pct"/>
          </w:tcPr>
          <w:p w14:paraId="28F95070" w14:textId="043E448F" w:rsidR="00C04990" w:rsidRPr="00BE5B5F" w:rsidRDefault="00C04990" w:rsidP="00C049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Improve the completion of ATSB investigations in a timely manner</w:t>
            </w:r>
          </w:p>
        </w:tc>
      </w:tr>
      <w:tr w:rsidR="00C04990" w:rsidRPr="00654F9E" w14:paraId="75CED895"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24075B2D" w14:textId="73D9B9DB" w:rsidR="00C04990" w:rsidRPr="00BE5B5F" w:rsidRDefault="00C04990" w:rsidP="00C04990">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Strengthen Australia’s safety oversight and investigation capabilities</w:t>
            </w:r>
            <w:r w:rsidR="00B00397">
              <w:rPr>
                <w:rFonts w:asciiTheme="minorHAnsi" w:hAnsiTheme="minorHAnsi" w:cstheme="minorHAnsi"/>
                <w:kern w:val="2"/>
                <w:sz w:val="22"/>
                <w:szCs w:val="22"/>
                <w14:ligatures w14:val="standardContextual"/>
              </w:rPr>
              <w:t>.</w:t>
            </w:r>
          </w:p>
        </w:tc>
        <w:tc>
          <w:tcPr>
            <w:tcW w:w="3030" w:type="pct"/>
          </w:tcPr>
          <w:p w14:paraId="4941A11E" w14:textId="63D8E3F6" w:rsidR="00C04990" w:rsidRPr="00BE5B5F" w:rsidRDefault="00C04990" w:rsidP="00C0499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Improving CASAs oversight activities to monitor compliance and performance of Service Providers SMS.</w:t>
            </w:r>
          </w:p>
        </w:tc>
      </w:tr>
      <w:tr w:rsidR="00C04990" w:rsidRPr="00654F9E" w14:paraId="755E7A92"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531C8BB6" w14:textId="6673E579" w:rsidR="00C04990" w:rsidRPr="00BE5B5F" w:rsidRDefault="00C04990" w:rsidP="00C04990">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Strengthen Australia’s safety oversight and investigation capabilities</w:t>
            </w:r>
            <w:r w:rsidR="00B00397">
              <w:rPr>
                <w:rFonts w:asciiTheme="minorHAnsi" w:hAnsiTheme="minorHAnsi" w:cstheme="minorHAnsi"/>
                <w:kern w:val="2"/>
                <w:sz w:val="22"/>
                <w:szCs w:val="22"/>
                <w14:ligatures w14:val="standardContextual"/>
              </w:rPr>
              <w:t>.</w:t>
            </w:r>
          </w:p>
        </w:tc>
        <w:tc>
          <w:tcPr>
            <w:tcW w:w="3030" w:type="pct"/>
          </w:tcPr>
          <w:p w14:paraId="09289811" w14:textId="12AE2F2F" w:rsidR="00C04990" w:rsidRPr="00BE5B5F" w:rsidRDefault="00C04990" w:rsidP="00C049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 or improve the effectiveness of Australia’s aviation safety regime in accordance with ICAO SARPS</w:t>
            </w:r>
          </w:p>
        </w:tc>
      </w:tr>
      <w:tr w:rsidR="00C04990" w:rsidRPr="00654F9E" w14:paraId="14992ABC"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355BCBE4" w14:textId="78E9FC40" w:rsidR="00C04990" w:rsidRPr="00BE5B5F" w:rsidRDefault="00C04990" w:rsidP="00C04990">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Strengthen Australia’s safety oversight and investigation capabilities</w:t>
            </w:r>
            <w:r w:rsidR="00B00397">
              <w:rPr>
                <w:rFonts w:asciiTheme="minorHAnsi" w:hAnsiTheme="minorHAnsi" w:cstheme="minorHAnsi"/>
                <w:kern w:val="2"/>
                <w:sz w:val="22"/>
                <w:szCs w:val="22"/>
                <w14:ligatures w14:val="standardContextual"/>
              </w:rPr>
              <w:t>.</w:t>
            </w:r>
          </w:p>
        </w:tc>
        <w:tc>
          <w:tcPr>
            <w:tcW w:w="3030" w:type="pct"/>
          </w:tcPr>
          <w:p w14:paraId="1DA9C28C" w14:textId="3F54D73F" w:rsidR="00C04990" w:rsidRPr="00BE5B5F" w:rsidRDefault="00C04990" w:rsidP="00C0499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Monitoring aviation service providers compliance with regulations.</w:t>
            </w:r>
          </w:p>
        </w:tc>
      </w:tr>
      <w:tr w:rsidR="00303819" w:rsidRPr="00654F9E" w14:paraId="7A53020D"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52E92767" w14:textId="2DBAB55B" w:rsidR="00303819" w:rsidRPr="00BE5B5F" w:rsidRDefault="00303819" w:rsidP="00303819">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the effectiveness of Australia’s State Safety Programme through safety intelligence.</w:t>
            </w:r>
          </w:p>
        </w:tc>
        <w:tc>
          <w:tcPr>
            <w:tcW w:w="3030" w:type="pct"/>
          </w:tcPr>
          <w:p w14:paraId="55996F63" w14:textId="7EE791AE" w:rsidR="00303819" w:rsidRPr="00BE5B5F" w:rsidRDefault="00303819" w:rsidP="003038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Enhancing SSP performance through SEI actions being accomplished and implemented.</w:t>
            </w:r>
          </w:p>
        </w:tc>
      </w:tr>
      <w:tr w:rsidR="00303819" w:rsidRPr="00654F9E" w14:paraId="22ED535A"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7CE8DF97" w14:textId="19B2F2C8" w:rsidR="00303819" w:rsidRPr="00BE5B5F" w:rsidRDefault="00303819" w:rsidP="00303819">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the effectiveness of Australia’s State Safety Programme through safety intelligence.</w:t>
            </w:r>
          </w:p>
        </w:tc>
        <w:tc>
          <w:tcPr>
            <w:tcW w:w="3030" w:type="pct"/>
          </w:tcPr>
          <w:p w14:paraId="0CD6AE67" w14:textId="14CCB33B" w:rsidR="00303819" w:rsidRPr="00BE5B5F" w:rsidRDefault="00303819" w:rsidP="0030381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Enhancing ongoing state agency SSP collaboration through SSP governance meeting attendance.</w:t>
            </w:r>
          </w:p>
        </w:tc>
      </w:tr>
      <w:tr w:rsidR="00303819" w:rsidRPr="00654F9E" w14:paraId="3FE35443"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6B11DE00" w14:textId="3774B2C6" w:rsidR="00303819" w:rsidRPr="00BE5B5F" w:rsidRDefault="00303819" w:rsidP="00303819">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the effectiveness of Australia’s State Safety Programme through safety intelligence.</w:t>
            </w:r>
          </w:p>
        </w:tc>
        <w:tc>
          <w:tcPr>
            <w:tcW w:w="3030" w:type="pct"/>
          </w:tcPr>
          <w:p w14:paraId="277EA096" w14:textId="0C048B05" w:rsidR="00303819" w:rsidRPr="00BE5B5F" w:rsidRDefault="00303819" w:rsidP="003038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Safety issues identified in ATSB investigations are addressed</w:t>
            </w:r>
          </w:p>
        </w:tc>
      </w:tr>
      <w:tr w:rsidR="00303819" w:rsidRPr="00654F9E" w14:paraId="30803771"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21E1B389" w14:textId="594409C8" w:rsidR="00303819" w:rsidRPr="00BE5B5F" w:rsidRDefault="00303819" w:rsidP="00303819">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the effectiveness of Australia’s State Safety Programme through safety intelligence.</w:t>
            </w:r>
          </w:p>
        </w:tc>
        <w:tc>
          <w:tcPr>
            <w:tcW w:w="3030" w:type="pct"/>
          </w:tcPr>
          <w:p w14:paraId="6AB157BF" w14:textId="2555F537" w:rsidR="00303819" w:rsidRPr="00BE5B5F" w:rsidRDefault="00303819" w:rsidP="0030381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Maintaining risk identification and analysis activities to inform the State risk intelligence and decision making.</w:t>
            </w:r>
          </w:p>
        </w:tc>
      </w:tr>
      <w:tr w:rsidR="00303819" w:rsidRPr="00654F9E" w14:paraId="6FB0ACC5"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7EB48C68" w14:textId="214AD248" w:rsidR="00303819" w:rsidRPr="00BE5B5F" w:rsidRDefault="00303819" w:rsidP="00303819">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the effectiveness of Australia’s State Safety Programme through safety intelligence.</w:t>
            </w:r>
          </w:p>
        </w:tc>
        <w:tc>
          <w:tcPr>
            <w:tcW w:w="3030" w:type="pct"/>
          </w:tcPr>
          <w:p w14:paraId="6F7B7E7E" w14:textId="6DAD13DF" w:rsidR="00303819" w:rsidRPr="00BE5B5F" w:rsidRDefault="00303819" w:rsidP="003038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Enhance and continue to maintain knowledge and awareness of the SSP and NASP across all SSP agencies.</w:t>
            </w:r>
          </w:p>
        </w:tc>
      </w:tr>
      <w:tr w:rsidR="00303819" w:rsidRPr="00654F9E" w14:paraId="7CBB5CE0"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7C667586" w14:textId="4A020D19" w:rsidR="00303819" w:rsidRPr="00BE5B5F" w:rsidRDefault="00303819" w:rsidP="00303819">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Increase collaboration at global and regional levels to enhance aviation safety.</w:t>
            </w:r>
          </w:p>
        </w:tc>
        <w:tc>
          <w:tcPr>
            <w:tcW w:w="3030" w:type="pct"/>
          </w:tcPr>
          <w:p w14:paraId="01B7A180" w14:textId="5E863F38" w:rsidR="00303819" w:rsidRPr="00BE5B5F" w:rsidRDefault="00303819" w:rsidP="0030381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Improve the sharing of best practices in safety management, safety data and analyses, safety investigations, and search and rescue among global and regional platforms.</w:t>
            </w:r>
          </w:p>
        </w:tc>
      </w:tr>
      <w:tr w:rsidR="00303819" w:rsidRPr="00654F9E" w14:paraId="2D3ACBC6"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5AB69906" w14:textId="716BBA69" w:rsidR="00303819" w:rsidRPr="00BE5B5F" w:rsidRDefault="00303819" w:rsidP="00303819">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lastRenderedPageBreak/>
              <w:t>Increase collaboration at global and regional levels to enhance aviation safety.</w:t>
            </w:r>
          </w:p>
        </w:tc>
        <w:tc>
          <w:tcPr>
            <w:tcW w:w="3030" w:type="pct"/>
          </w:tcPr>
          <w:p w14:paraId="2A197218" w14:textId="5F342BD2" w:rsidR="00303819" w:rsidRPr="00BE5B5F" w:rsidRDefault="00303819" w:rsidP="003038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Maintaining effective oversight activities of Foreign Aircraft operating into Australia.</w:t>
            </w:r>
          </w:p>
        </w:tc>
      </w:tr>
      <w:tr w:rsidR="00373171" w:rsidRPr="00654F9E" w14:paraId="318CD3E9"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2C8ECDDF" w14:textId="70E54DC6" w:rsidR="00373171" w:rsidRPr="00BE5B5F" w:rsidRDefault="00373171" w:rsidP="00373171">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greater safety programme collaboration between Australian industry, industry associations and State agencies.</w:t>
            </w:r>
          </w:p>
        </w:tc>
        <w:tc>
          <w:tcPr>
            <w:tcW w:w="3030" w:type="pct"/>
          </w:tcPr>
          <w:p w14:paraId="7D7CA32C" w14:textId="52E03C02" w:rsidR="00373171" w:rsidRPr="00BE5B5F" w:rsidRDefault="00373171" w:rsidP="0037317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Improve engagement with industry to support the continuous improvement of an efficient and effective aviation safety regulatory framework</w:t>
            </w:r>
          </w:p>
        </w:tc>
      </w:tr>
      <w:tr w:rsidR="00373171" w:rsidRPr="00654F9E" w14:paraId="19257954"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2774619C" w14:textId="29AB1F0B" w:rsidR="00373171" w:rsidRPr="00BE5B5F" w:rsidRDefault="00373171" w:rsidP="00373171">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greater safety programme collaboration between Australian industry, industry associations and State agencies.</w:t>
            </w:r>
          </w:p>
        </w:tc>
        <w:tc>
          <w:tcPr>
            <w:tcW w:w="3030" w:type="pct"/>
          </w:tcPr>
          <w:p w14:paraId="36D15E90" w14:textId="7F6AEDFE" w:rsidR="00373171" w:rsidRPr="00BE5B5F" w:rsidRDefault="00373171" w:rsidP="003731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Improving industry engagement with SSRPs to support the continuous identification and monitoring of sector related risks</w:t>
            </w:r>
          </w:p>
        </w:tc>
      </w:tr>
      <w:tr w:rsidR="00373171" w:rsidRPr="00654F9E" w14:paraId="128C719B"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148CB6B0" w14:textId="5EEE7C29" w:rsidR="00373171" w:rsidRPr="00BE5B5F" w:rsidRDefault="00373171" w:rsidP="00373171">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greater safety programme collaboration between Australian industry, industry associations and State agencies.</w:t>
            </w:r>
          </w:p>
        </w:tc>
        <w:tc>
          <w:tcPr>
            <w:tcW w:w="3030" w:type="pct"/>
          </w:tcPr>
          <w:p w14:paraId="754927E5" w14:textId="44391E3D" w:rsidR="00373171" w:rsidRPr="00BE5B5F" w:rsidRDefault="00373171" w:rsidP="0037317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Maintaining and ensuring industry engagement with SSP working groups</w:t>
            </w:r>
          </w:p>
        </w:tc>
      </w:tr>
      <w:tr w:rsidR="00373171" w:rsidRPr="00654F9E" w14:paraId="6FC6360F"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3B02ED4F" w14:textId="30054895" w:rsidR="00373171" w:rsidRPr="00BE5B5F" w:rsidRDefault="00373171" w:rsidP="00373171">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greater safety programme collaboration between Australian industry, industry associations and State agencies.</w:t>
            </w:r>
          </w:p>
        </w:tc>
        <w:tc>
          <w:tcPr>
            <w:tcW w:w="3030" w:type="pct"/>
          </w:tcPr>
          <w:p w14:paraId="7A56D214" w14:textId="5E49D277" w:rsidR="00373171" w:rsidRPr="00BE5B5F" w:rsidRDefault="00373171" w:rsidP="003731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Promotion of safety education through improved collaboration between SSP agencies via the Interagency Aviation Safety Promotions Working Group (IASPWG).</w:t>
            </w:r>
          </w:p>
        </w:tc>
      </w:tr>
      <w:tr w:rsidR="00373171" w:rsidRPr="00654F9E" w14:paraId="570CBEB1"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3FD19F70" w14:textId="01F8DCAE" w:rsidR="00373171" w:rsidRPr="00BE5B5F" w:rsidRDefault="00373171" w:rsidP="00373171">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greater safety programme collaboration between Australian industry, industry associations and State agencies.</w:t>
            </w:r>
          </w:p>
        </w:tc>
        <w:tc>
          <w:tcPr>
            <w:tcW w:w="3030" w:type="pct"/>
          </w:tcPr>
          <w:p w14:paraId="67DE526B" w14:textId="511C03EF" w:rsidR="00373171" w:rsidRPr="00BE5B5F" w:rsidRDefault="00373171" w:rsidP="0037317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 or improve Airservices safety program maturity evaluation</w:t>
            </w:r>
          </w:p>
        </w:tc>
      </w:tr>
      <w:tr w:rsidR="00373171" w:rsidRPr="00654F9E" w14:paraId="7976A03D"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1A8FE9E8" w14:textId="273977EE" w:rsidR="00373171" w:rsidRPr="00BE5B5F" w:rsidRDefault="00373171" w:rsidP="00373171">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Enhance greater safety programme collaboration between Australian industry, industry associations and State agencies.</w:t>
            </w:r>
          </w:p>
        </w:tc>
        <w:tc>
          <w:tcPr>
            <w:tcW w:w="3030" w:type="pct"/>
          </w:tcPr>
          <w:p w14:paraId="1E0D25FA" w14:textId="3ACFC676" w:rsidR="00373171" w:rsidRPr="00BE5B5F" w:rsidRDefault="00373171" w:rsidP="003731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Improving industry awareness, engagement and collaboration with key safety initiatives, campaigns, and outcomes</w:t>
            </w:r>
          </w:p>
        </w:tc>
      </w:tr>
      <w:tr w:rsidR="00373171" w:rsidRPr="00654F9E" w14:paraId="5C89614B"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273687A8" w14:textId="3DBF8426" w:rsidR="00373171" w:rsidRPr="00BE5B5F" w:rsidRDefault="00373171" w:rsidP="00373171">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Ensure Australia has the appropriate aviation infrastructure to support safe operations</w:t>
            </w:r>
            <w:r w:rsidR="00BF75F1">
              <w:rPr>
                <w:rFonts w:asciiTheme="minorHAnsi" w:hAnsiTheme="minorHAnsi" w:cstheme="minorHAnsi"/>
                <w:kern w:val="2"/>
                <w:sz w:val="22"/>
                <w:szCs w:val="22"/>
                <w14:ligatures w14:val="standardContextual"/>
              </w:rPr>
              <w:t>.</w:t>
            </w:r>
          </w:p>
        </w:tc>
        <w:tc>
          <w:tcPr>
            <w:tcW w:w="3030" w:type="pct"/>
          </w:tcPr>
          <w:p w14:paraId="71FEF1A6" w14:textId="76498A7D" w:rsidR="00373171" w:rsidRPr="00BE5B5F" w:rsidRDefault="00373171" w:rsidP="0037317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 or enhance SAR system effectiveness for the timely location and rescue of survivors of aircraft distress incidents.</w:t>
            </w:r>
          </w:p>
        </w:tc>
      </w:tr>
      <w:tr w:rsidR="00373171" w:rsidRPr="00654F9E" w14:paraId="46E0F789" w14:textId="77777777" w:rsidTr="006C11A2">
        <w:trPr>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178610F8" w14:textId="2A71DAA9" w:rsidR="00373171" w:rsidRPr="00BE5B5F" w:rsidRDefault="00373171" w:rsidP="00373171">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Ensure Australia has the appropriate aviation infrastructure to support safe operations</w:t>
            </w:r>
            <w:r w:rsidR="00BF75F1">
              <w:rPr>
                <w:rFonts w:asciiTheme="minorHAnsi" w:hAnsiTheme="minorHAnsi" w:cstheme="minorHAnsi"/>
                <w:kern w:val="2"/>
                <w:sz w:val="22"/>
                <w:szCs w:val="22"/>
                <w14:ligatures w14:val="standardContextual"/>
              </w:rPr>
              <w:t>.</w:t>
            </w:r>
          </w:p>
        </w:tc>
        <w:tc>
          <w:tcPr>
            <w:tcW w:w="3030" w:type="pct"/>
          </w:tcPr>
          <w:p w14:paraId="0D45B943" w14:textId="7E52CEB3" w:rsidR="00373171" w:rsidRPr="00BE5B5F" w:rsidRDefault="00373171" w:rsidP="003731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Reduce the unnecessary activation of the SAR system</w:t>
            </w:r>
          </w:p>
        </w:tc>
      </w:tr>
      <w:tr w:rsidR="00373171" w:rsidRPr="00654F9E" w14:paraId="67982B92" w14:textId="77777777" w:rsidTr="006C11A2">
        <w:trPr>
          <w:cnfStyle w:val="000000010000" w:firstRow="0" w:lastRow="0" w:firstColumn="0" w:lastColumn="0" w:oddVBand="0" w:evenVBand="0" w:oddHBand="0" w:evenHBand="1" w:firstRowFirstColumn="0" w:firstRowLastColumn="0" w:lastRowFirstColumn="0" w:lastRowLastColumn="0"/>
          <w:cantSplit/>
          <w:tblCellSpacing w:w="14" w:type="dxa"/>
        </w:trPr>
        <w:tc>
          <w:tcPr>
            <w:cnfStyle w:val="001000000000" w:firstRow="0" w:lastRow="0" w:firstColumn="1" w:lastColumn="0" w:oddVBand="0" w:evenVBand="0" w:oddHBand="0" w:evenHBand="0" w:firstRowFirstColumn="0" w:firstRowLastColumn="0" w:lastRowFirstColumn="0" w:lastRowLastColumn="0"/>
            <w:tcW w:w="1970" w:type="pct"/>
          </w:tcPr>
          <w:p w14:paraId="5A466510" w14:textId="1FC6A99B" w:rsidR="00373171" w:rsidRPr="00BE5B5F" w:rsidRDefault="00373171" w:rsidP="00373171">
            <w:pPr>
              <w:rPr>
                <w:rFonts w:asciiTheme="minorHAnsi" w:hAnsiTheme="minorHAnsi" w:cstheme="minorHAnsi"/>
                <w:sz w:val="22"/>
                <w:szCs w:val="22"/>
              </w:rPr>
            </w:pPr>
            <w:r w:rsidRPr="00BE5B5F">
              <w:rPr>
                <w:rFonts w:asciiTheme="minorHAnsi" w:hAnsiTheme="minorHAnsi" w:cstheme="minorHAnsi"/>
                <w:kern w:val="2"/>
                <w:sz w:val="22"/>
                <w:szCs w:val="22"/>
                <w14:ligatures w14:val="standardContextual"/>
              </w:rPr>
              <w:t>Ensure Australia has the appropriate aviation infrastructure to support safe operations</w:t>
            </w:r>
            <w:r w:rsidR="00BF75F1">
              <w:rPr>
                <w:rFonts w:asciiTheme="minorHAnsi" w:hAnsiTheme="minorHAnsi" w:cstheme="minorHAnsi"/>
                <w:kern w:val="2"/>
                <w:sz w:val="22"/>
                <w:szCs w:val="22"/>
                <w14:ligatures w14:val="standardContextual"/>
              </w:rPr>
              <w:t>.</w:t>
            </w:r>
          </w:p>
        </w:tc>
        <w:tc>
          <w:tcPr>
            <w:tcW w:w="3030" w:type="pct"/>
          </w:tcPr>
          <w:p w14:paraId="599FEEC7" w14:textId="49D09B71" w:rsidR="00373171" w:rsidRPr="00BE5B5F" w:rsidRDefault="00373171" w:rsidP="0037317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E5B5F">
              <w:rPr>
                <w:rFonts w:asciiTheme="minorHAnsi" w:hAnsiTheme="minorHAnsi" w:cstheme="minorHAnsi"/>
                <w:sz w:val="22"/>
                <w:szCs w:val="22"/>
              </w:rPr>
              <w:t>Maintain an increasing trend of air navigation and aerodrome infrastructure that meet relevant ICAO Standards.</w:t>
            </w:r>
          </w:p>
        </w:tc>
      </w:tr>
    </w:tbl>
    <w:p w14:paraId="644175D3" w14:textId="77777777" w:rsidR="005C2ADE" w:rsidRDefault="005C2ADE" w:rsidP="005C2ADE">
      <w:r>
        <w:br w:type="page"/>
      </w:r>
    </w:p>
    <w:p w14:paraId="3E52100C" w14:textId="77777777" w:rsidR="005C2ADE" w:rsidRPr="00A91CD9" w:rsidRDefault="005C2ADE" w:rsidP="005C2ADE">
      <w:pPr>
        <w:pStyle w:val="Heading2"/>
      </w:pPr>
      <w:bookmarkStart w:id="16" w:name="_Toc227229289"/>
      <w:bookmarkStart w:id="17" w:name="_Toc230270016"/>
      <w:r>
        <w:lastRenderedPageBreak/>
        <w:t>1.2 A</w:t>
      </w:r>
      <w:r w:rsidRPr="00A91CD9">
        <w:t>nalysis approach</w:t>
      </w:r>
      <w:bookmarkEnd w:id="16"/>
      <w:bookmarkEnd w:id="17"/>
    </w:p>
    <w:p w14:paraId="6D3E6184" w14:textId="77777777" w:rsidR="005C2ADE" w:rsidRPr="00CA207F" w:rsidRDefault="005C2ADE" w:rsidP="005C2ADE">
      <w:pPr>
        <w:rPr>
          <w:rFonts w:cstheme="minorHAnsi"/>
        </w:rPr>
      </w:pPr>
      <w:r w:rsidRPr="000C364E">
        <w:rPr>
          <w:rFonts w:cstheme="minorHAnsi"/>
        </w:rPr>
        <w:t>P</w:t>
      </w:r>
      <w:r w:rsidRPr="00FC4A16">
        <w:rPr>
          <w:rFonts w:cstheme="minorHAnsi"/>
        </w:rPr>
        <w:t xml:space="preserve">erformance of </w:t>
      </w:r>
      <w:r w:rsidRPr="000C364E">
        <w:rPr>
          <w:rFonts w:cstheme="minorHAnsi"/>
        </w:rPr>
        <w:t>each</w:t>
      </w:r>
      <w:r w:rsidRPr="00FC4A16">
        <w:rPr>
          <w:rFonts w:cstheme="minorHAnsi"/>
        </w:rPr>
        <w:t xml:space="preserve"> NASP </w:t>
      </w:r>
      <w:r w:rsidRPr="000C364E">
        <w:rPr>
          <w:rFonts w:cstheme="minorHAnsi"/>
        </w:rPr>
        <w:t xml:space="preserve">safety </w:t>
      </w:r>
      <w:r>
        <w:rPr>
          <w:rFonts w:cstheme="minorHAnsi"/>
        </w:rPr>
        <w:t>objective</w:t>
      </w:r>
      <w:r w:rsidRPr="000C364E">
        <w:rPr>
          <w:rFonts w:cstheme="minorHAnsi"/>
        </w:rPr>
        <w:t xml:space="preserve"> </w:t>
      </w:r>
      <w:r w:rsidRPr="00FC4A16">
        <w:rPr>
          <w:rFonts w:cstheme="minorHAnsi"/>
        </w:rPr>
        <w:t xml:space="preserve">is measured </w:t>
      </w:r>
      <w:r w:rsidRPr="000C364E">
        <w:rPr>
          <w:rFonts w:cstheme="minorHAnsi"/>
        </w:rPr>
        <w:t>against</w:t>
      </w:r>
      <w:r w:rsidRPr="00FC4A16">
        <w:rPr>
          <w:rFonts w:cstheme="minorHAnsi"/>
        </w:rPr>
        <w:t xml:space="preserve"> </w:t>
      </w:r>
      <w:r>
        <w:rPr>
          <w:rFonts w:cstheme="minorHAnsi"/>
        </w:rPr>
        <w:t>safety performance indicators (SPIs)</w:t>
      </w:r>
      <w:r w:rsidRPr="000C364E">
        <w:rPr>
          <w:rFonts w:cstheme="minorHAnsi"/>
        </w:rPr>
        <w:t xml:space="preserve"> that are</w:t>
      </w:r>
      <w:r w:rsidRPr="00FC4A16">
        <w:rPr>
          <w:rFonts w:cstheme="minorHAnsi"/>
        </w:rPr>
        <w:t xml:space="preserve"> aligned to</w:t>
      </w:r>
      <w:r w:rsidRPr="000C364E">
        <w:rPr>
          <w:rFonts w:cstheme="minorHAnsi"/>
        </w:rPr>
        <w:t>,</w:t>
      </w:r>
      <w:r w:rsidRPr="00FC4A16">
        <w:rPr>
          <w:rFonts w:cstheme="minorHAnsi"/>
        </w:rPr>
        <w:t xml:space="preserve"> but expanded </w:t>
      </w:r>
      <w:r w:rsidRPr="000C364E">
        <w:rPr>
          <w:rFonts w:cstheme="minorHAnsi"/>
        </w:rPr>
        <w:t xml:space="preserve">upon, </w:t>
      </w:r>
      <w:r w:rsidRPr="00FC4A16">
        <w:rPr>
          <w:rFonts w:cstheme="minorHAnsi"/>
        </w:rPr>
        <w:t>th</w:t>
      </w:r>
      <w:r w:rsidRPr="000C364E">
        <w:rPr>
          <w:rFonts w:cstheme="minorHAnsi"/>
        </w:rPr>
        <w:t>os</w:t>
      </w:r>
      <w:r w:rsidRPr="00FC4A16">
        <w:rPr>
          <w:rFonts w:cstheme="minorHAnsi"/>
        </w:rPr>
        <w:t xml:space="preserve">e identified in the </w:t>
      </w:r>
      <w:r>
        <w:rPr>
          <w:rFonts w:cstheme="minorHAnsi"/>
        </w:rPr>
        <w:t>Global Aviation Safety Plan (</w:t>
      </w:r>
      <w:r w:rsidRPr="00FC4A16">
        <w:rPr>
          <w:rFonts w:cstheme="minorHAnsi"/>
        </w:rPr>
        <w:t>GASP</w:t>
      </w:r>
      <w:r>
        <w:rPr>
          <w:rFonts w:cstheme="minorHAnsi"/>
        </w:rPr>
        <w:t>)</w:t>
      </w:r>
      <w:r w:rsidRPr="00FC4A16">
        <w:rPr>
          <w:rFonts w:cstheme="minorHAnsi"/>
        </w:rPr>
        <w:t xml:space="preserve">. </w:t>
      </w:r>
      <w:r w:rsidRPr="000C364E">
        <w:rPr>
          <w:rFonts w:cstheme="minorHAnsi"/>
        </w:rPr>
        <w:t>E</w:t>
      </w:r>
      <w:r w:rsidRPr="00FC4A16">
        <w:rPr>
          <w:rFonts w:cstheme="minorHAnsi"/>
        </w:rPr>
        <w:t xml:space="preserve">ach SPI has a defined </w:t>
      </w:r>
      <w:r w:rsidRPr="000C364E">
        <w:rPr>
          <w:rFonts w:cstheme="minorHAnsi"/>
        </w:rPr>
        <w:t>benchmark</w:t>
      </w:r>
      <w:r>
        <w:rPr>
          <w:rFonts w:cstheme="minorHAnsi"/>
        </w:rPr>
        <w:t xml:space="preserve"> of either a safety performance </w:t>
      </w:r>
      <w:r w:rsidRPr="000C364E">
        <w:rPr>
          <w:rFonts w:cstheme="minorHAnsi"/>
        </w:rPr>
        <w:t>target (</w:t>
      </w:r>
      <w:r w:rsidRPr="00FC4A16">
        <w:rPr>
          <w:rFonts w:cstheme="minorHAnsi"/>
        </w:rPr>
        <w:t>SPT</w:t>
      </w:r>
      <w:r w:rsidRPr="000C364E">
        <w:rPr>
          <w:rFonts w:cstheme="minorHAnsi"/>
        </w:rPr>
        <w:t>)</w:t>
      </w:r>
      <w:r>
        <w:rPr>
          <w:rFonts w:cstheme="minorHAnsi"/>
        </w:rPr>
        <w:t xml:space="preserve"> or trended monitoring.</w:t>
      </w:r>
    </w:p>
    <w:p w14:paraId="0D2FF7E6" w14:textId="77777777" w:rsidR="005C2ADE" w:rsidRDefault="005C2ADE" w:rsidP="005C2ADE">
      <w:r>
        <w:t>The NASP annual report utilises safety data and information from a variety of sources, including:</w:t>
      </w:r>
    </w:p>
    <w:p w14:paraId="0445D83F" w14:textId="77777777" w:rsidR="005C2ADE" w:rsidRDefault="005C2ADE" w:rsidP="00D658CF">
      <w:pPr>
        <w:pStyle w:val="Listparagraphbullets"/>
        <w:contextualSpacing/>
      </w:pPr>
      <w:r w:rsidRPr="429058F6">
        <w:t>ATSB National Aviation Occurrence Database</w:t>
      </w:r>
    </w:p>
    <w:p w14:paraId="0685AA61" w14:textId="77777777" w:rsidR="005C2ADE" w:rsidRDefault="005C2ADE" w:rsidP="00D658CF">
      <w:pPr>
        <w:pStyle w:val="Listparagraphbullets"/>
        <w:contextualSpacing/>
      </w:pPr>
      <w:r w:rsidRPr="429058F6">
        <w:t>National Drone Detection System (NDDS)</w:t>
      </w:r>
    </w:p>
    <w:p w14:paraId="50E5F546" w14:textId="77777777" w:rsidR="005C2ADE" w:rsidRDefault="005C2ADE" w:rsidP="00D658CF">
      <w:pPr>
        <w:pStyle w:val="Listparagraphbullets"/>
        <w:contextualSpacing/>
      </w:pPr>
      <w:r>
        <w:t>CASA Commercial Drone Register</w:t>
      </w:r>
    </w:p>
    <w:p w14:paraId="20FF5473" w14:textId="77777777" w:rsidR="005C2ADE" w:rsidRDefault="005C2ADE" w:rsidP="00D658CF">
      <w:pPr>
        <w:pStyle w:val="Listparagraphbullets"/>
        <w:contextualSpacing/>
      </w:pPr>
      <w:r>
        <w:t>Defence Aviation Safety Intelligence Portal</w:t>
      </w:r>
    </w:p>
    <w:p w14:paraId="7E578755" w14:textId="7F8415F5" w:rsidR="005C2ADE" w:rsidRDefault="005C2ADE" w:rsidP="00D658CF">
      <w:pPr>
        <w:pStyle w:val="Listparagraphbullets"/>
        <w:contextualSpacing/>
      </w:pPr>
      <w:r>
        <w:t>ATS Occurrences</w:t>
      </w:r>
      <w:r w:rsidR="006D2C5C">
        <w:t>—</w:t>
      </w:r>
      <w:r w:rsidRPr="009919A3">
        <w:t>Corporate Integrated Reporting and Risk Information System</w:t>
      </w:r>
      <w:r>
        <w:t xml:space="preserve"> (CIRRIS)</w:t>
      </w:r>
    </w:p>
    <w:p w14:paraId="7EEFB39F" w14:textId="77777777" w:rsidR="005C2ADE" w:rsidRDefault="005C2ADE" w:rsidP="00D658CF">
      <w:pPr>
        <w:pStyle w:val="Listparagraphbullets"/>
        <w:contextualSpacing/>
      </w:pPr>
      <w:r w:rsidRPr="00E963EB">
        <w:t>Airservices’ Operational Data Analysis S</w:t>
      </w:r>
      <w:r>
        <w:t>uite</w:t>
      </w:r>
      <w:r w:rsidRPr="00E963EB">
        <w:t xml:space="preserve"> (ODAS)</w:t>
      </w:r>
    </w:p>
    <w:p w14:paraId="4CCAE2C2" w14:textId="09C04971" w:rsidR="005C2ADE" w:rsidRDefault="005C2ADE" w:rsidP="00D658CF">
      <w:pPr>
        <w:pStyle w:val="Listparagraphbullets"/>
        <w:contextualSpacing/>
      </w:pPr>
      <w:r>
        <w:t>Airservices Cognos (Movements)</w:t>
      </w:r>
      <w:r w:rsidR="004A5AF6">
        <w:t>.</w:t>
      </w:r>
    </w:p>
    <w:p w14:paraId="1E69FA08" w14:textId="77777777" w:rsidR="005C2ADE" w:rsidRDefault="005C2ADE" w:rsidP="005C2ADE">
      <w:r>
        <w:t>The data was configured and analysed to enable safety performance monitoring against each safety objective and SPI. Mann-Kendall</w:t>
      </w:r>
      <w:r>
        <w:rPr>
          <w:rStyle w:val="FootnoteReference"/>
        </w:rPr>
        <w:footnoteReference w:id="1"/>
      </w:r>
      <w:r>
        <w:t xml:space="preserve"> trend </w:t>
      </w:r>
      <w:r w:rsidRPr="00452590">
        <w:t>test</w:t>
      </w:r>
      <w:r>
        <w:t>ing was</w:t>
      </w:r>
      <w:r w:rsidRPr="00452590">
        <w:t xml:space="preserve"> performed against </w:t>
      </w:r>
      <w:r>
        <w:t>safety objectives 1.1 to 1.4</w:t>
      </w:r>
      <w:r w:rsidRPr="00452590">
        <w:t xml:space="preserve"> moving average data</w:t>
      </w:r>
      <w:r>
        <w:t xml:space="preserve"> to identify if any trending 3-year moving averages were statistically significant. The </w:t>
      </w:r>
      <w:r w:rsidRPr="009C241E">
        <w:t>Mann-Kendall test indicated a statistically significant negative trend</w:t>
      </w:r>
      <w:r>
        <w:t xml:space="preserve"> for accidents (safety objective 1.1) however </w:t>
      </w:r>
      <w:r w:rsidRPr="009C241E">
        <w:t>trend</w:t>
      </w:r>
      <w:r>
        <w:t>s for safety objectives 1.2, 1.3 and 1.4</w:t>
      </w:r>
      <w:r w:rsidRPr="00254005">
        <w:t xml:space="preserve"> </w:t>
      </w:r>
      <w:r>
        <w:t>did not indicate</w:t>
      </w:r>
      <w:r w:rsidRPr="00254005">
        <w:t xml:space="preserve"> statistical signific</w:t>
      </w:r>
      <w:r>
        <w:t>ance.</w:t>
      </w:r>
    </w:p>
    <w:p w14:paraId="62A9B84E" w14:textId="77777777" w:rsidR="005C2ADE" w:rsidRDefault="005C2ADE" w:rsidP="005C2ADE">
      <w:r>
        <w:t>To enable a better understanding of the analysis results details regarding the data timeframes, assumptions, and limitations are provided below.</w:t>
      </w:r>
    </w:p>
    <w:p w14:paraId="24107968" w14:textId="77777777" w:rsidR="005C2ADE" w:rsidRPr="00A91CD9" w:rsidRDefault="005C2ADE" w:rsidP="005C2ADE">
      <w:pPr>
        <w:pStyle w:val="Heading3"/>
      </w:pPr>
      <w:bookmarkStart w:id="18" w:name="_Toc227229290"/>
      <w:bookmarkStart w:id="19" w:name="_Toc230270017"/>
      <w:r w:rsidRPr="00A91CD9">
        <w:t>Timeframes and limitations:</w:t>
      </w:r>
      <w:bookmarkEnd w:id="18"/>
      <w:bookmarkEnd w:id="19"/>
    </w:p>
    <w:p w14:paraId="270E41EE" w14:textId="77777777" w:rsidR="005C2ADE" w:rsidRPr="009E19E7" w:rsidRDefault="005C2ADE" w:rsidP="004A5AF6">
      <w:pPr>
        <w:pStyle w:val="Listparagraphbullets"/>
      </w:pPr>
      <w:r w:rsidRPr="009E19E7">
        <w:t>Trends over a ten-year timeframe have been included for most operational safety objectives to provide an adequate period to understand the nature of the trends. The ten-year period has been broken down by Financial Year (FY) to align with the NASP revisioning timeframe. The end date for all performance monitoring data within this report was 30 June 2025.</w:t>
      </w:r>
    </w:p>
    <w:p w14:paraId="6904154F" w14:textId="77777777" w:rsidR="005C2ADE" w:rsidRPr="009E19E7" w:rsidRDefault="005C2ADE" w:rsidP="004A5AF6">
      <w:pPr>
        <w:pStyle w:val="Listparagraphbullets"/>
      </w:pPr>
      <w:r w:rsidRPr="009E19E7">
        <w:t>Airspace events performance reporting excludes incident data and only contains accident and serious incidents results. This limitation is due to the aviation occurrence database reporting lag connected with incident level data. Incident level data is expected to be fully available for the next NASP annual reporting period ending 30 June 2026.</w:t>
      </w:r>
    </w:p>
    <w:p w14:paraId="5CB26D56" w14:textId="77777777" w:rsidR="005C2ADE" w:rsidRPr="009E19E7" w:rsidRDefault="005C2ADE" w:rsidP="004A5AF6">
      <w:pPr>
        <w:pStyle w:val="Listparagraphbullets"/>
      </w:pPr>
      <w:r w:rsidRPr="009E19E7">
        <w:t>To align with the ICAO safety reporting of the Commercial Air Transport (CAT) sector, rates are based on per million departures, with Australian CAT movements data sourced from Airservices movement dataset.</w:t>
      </w:r>
    </w:p>
    <w:p w14:paraId="44195CD3" w14:textId="0FBFE263" w:rsidR="005C2ADE" w:rsidRPr="009E19E7" w:rsidRDefault="005C2ADE" w:rsidP="004A5AF6">
      <w:pPr>
        <w:pStyle w:val="Listparagraphbullets"/>
      </w:pPr>
      <w:r w:rsidRPr="009E19E7">
        <w:t>Air navigation safety performance monitoring for Defence air traffic control (ATC) sites was available from FY 2018</w:t>
      </w:r>
      <w:r w:rsidR="00A22DD6">
        <w:t>–</w:t>
      </w:r>
      <w:r w:rsidRPr="009E19E7">
        <w:t>19, and performance data included all civilian related events attributable to ATC or both ATC and pilots, regardless of instrument (IFR) or visual (VFR) flight rule status. Ratings for these metrics is based on aircraft movements rather than the number of IFR flights.</w:t>
      </w:r>
    </w:p>
    <w:p w14:paraId="1C0AE9AA" w14:textId="77777777" w:rsidR="005C2ADE" w:rsidRDefault="005C2ADE" w:rsidP="004A5AF6">
      <w:pPr>
        <w:pStyle w:val="Listparagraphbullets"/>
      </w:pPr>
      <w:r w:rsidRPr="009E19E7">
        <w:t>ATSB national aviation occurrence data for trend monitoring of operational safety objective was obtained on 14 November 2025.</w:t>
      </w:r>
      <w:r>
        <w:br w:type="page"/>
      </w:r>
    </w:p>
    <w:p w14:paraId="69B2DE85" w14:textId="77777777" w:rsidR="005C2ADE" w:rsidRPr="00A91CD9" w:rsidRDefault="005C2ADE" w:rsidP="005C2ADE">
      <w:pPr>
        <w:pStyle w:val="Heading3"/>
      </w:pPr>
      <w:bookmarkStart w:id="20" w:name="_Toc227229291"/>
      <w:bookmarkStart w:id="21" w:name="_Toc230270018"/>
      <w:r w:rsidRPr="00A91CD9">
        <w:lastRenderedPageBreak/>
        <w:t>Remotely piloted aircraft (RPA):</w:t>
      </w:r>
      <w:bookmarkEnd w:id="20"/>
      <w:bookmarkEnd w:id="21"/>
    </w:p>
    <w:p w14:paraId="0E0F8443" w14:textId="77777777" w:rsidR="005C2ADE" w:rsidRDefault="005C2ADE" w:rsidP="00A22DD6">
      <w:pPr>
        <w:pStyle w:val="Listparagraphbullets"/>
      </w:pPr>
      <w:r>
        <w:t>To align with the ATSB RPA sector reporting requirements, performance monitoring relating to this sector was restricted to RPAs with a take-off weight of greater than 2kg.</w:t>
      </w:r>
    </w:p>
    <w:p w14:paraId="0451C00E" w14:textId="77777777" w:rsidR="005C2ADE" w:rsidRDefault="005C2ADE" w:rsidP="00A22DD6">
      <w:pPr>
        <w:pStyle w:val="Listparagraphbullets"/>
      </w:pPr>
      <w:r>
        <w:t>CASA introduced mandatory commercial drone registration from the 28 January 2021. The Uncrewed</w:t>
      </w:r>
      <w:r w:rsidRPr="00F56137">
        <w:t xml:space="preserve"> </w:t>
      </w:r>
      <w:r>
        <w:t>(RPA) accident rate SPI is based on the number of registered commercial drones. This explains why this indicator has only been reported over a five-year period.</w:t>
      </w:r>
    </w:p>
    <w:p w14:paraId="4F419806" w14:textId="77777777" w:rsidR="005C2ADE" w:rsidRDefault="005C2ADE" w:rsidP="00A22DD6">
      <w:pPr>
        <w:pStyle w:val="Listparagraphbulletssecondlevel"/>
      </w:pPr>
      <w:r>
        <w:t>Identification of RPAs within an aerodrome No-Fly Zone (NFZ)</w:t>
      </w:r>
      <w:r>
        <w:rPr>
          <w:rStyle w:val="FootnoteReference"/>
        </w:rPr>
        <w:footnoteReference w:id="2"/>
      </w:r>
      <w:r>
        <w:t xml:space="preserve"> is connected to the National Drone Detection System (NDDS) data where drone detection equipment has been installed. This consists of 40 controlled aerodromes (29 civil and 11 Defence sites). The following should be considered when interpreting the results:</w:t>
      </w:r>
    </w:p>
    <w:p w14:paraId="22720E33" w14:textId="77777777" w:rsidR="005C2ADE" w:rsidRDefault="005C2ADE" w:rsidP="00A22DD6">
      <w:pPr>
        <w:pStyle w:val="Listparagraphbulletssecondlevel"/>
      </w:pPr>
      <w:r>
        <w:t xml:space="preserve">The NDDS for all controlled aerodromes came into effect from 1 July 2020. </w:t>
      </w:r>
    </w:p>
    <w:p w14:paraId="0C978336" w14:textId="77777777" w:rsidR="005C2ADE" w:rsidRDefault="005C2ADE" w:rsidP="00A22DD6">
      <w:pPr>
        <w:pStyle w:val="Listparagraphbulletssecondlevel"/>
      </w:pPr>
      <w:r>
        <w:t>Results were based on the number of distinct RPAs detected based on the unique Drone ID captured by the drone detection equipment.</w:t>
      </w:r>
    </w:p>
    <w:p w14:paraId="2B916970" w14:textId="77777777" w:rsidR="005C2ADE" w:rsidRDefault="005C2ADE" w:rsidP="00A22DD6">
      <w:pPr>
        <w:pStyle w:val="Listparagraphbulletssecondlevel"/>
      </w:pPr>
      <w:r>
        <w:t>Micro RPAs (&lt;250g) operating within three Nautical Miles (3NM) of the aerodrome, outside approach and departure paths, and below 45m altitudes are excluded, as this is considered compliant activity according to civil aviation regulations.</w:t>
      </w:r>
    </w:p>
    <w:p w14:paraId="0486B7B8" w14:textId="77777777" w:rsidR="005C2ADE" w:rsidRDefault="005C2ADE" w:rsidP="00A22DD6">
      <w:pPr>
        <w:pStyle w:val="Listparagraphbulletssecondlevel"/>
      </w:pPr>
      <w:r>
        <w:t>RPAs operating in the outer runway splay of the NFZ below 90m altitudes are excluded as this is considered compliant activity according to civil aviation regulations.</w:t>
      </w:r>
    </w:p>
    <w:p w14:paraId="3F42D301" w14:textId="77777777" w:rsidR="005C2ADE" w:rsidRDefault="005C2ADE" w:rsidP="00A22DD6">
      <w:pPr>
        <w:pStyle w:val="Listparagraphbulletssecondlevel"/>
      </w:pPr>
      <w:r>
        <w:t>CASA can issue special approvals under the civil aviation regulations for the operations of RPAS within the NFZ boundaries of a controlled aerodrome. Due to data limitations, this approved activity is unable to be excluded from the analysis.</w:t>
      </w:r>
    </w:p>
    <w:p w14:paraId="01A599F2" w14:textId="77777777" w:rsidR="005C2ADE" w:rsidRDefault="005C2ADE" w:rsidP="005C2ADE">
      <w:pPr>
        <w:rPr>
          <w:rFonts w:eastAsiaTheme="majorEastAsia" w:cstheme="majorBidi"/>
          <w:b/>
          <w:szCs w:val="32"/>
        </w:rPr>
      </w:pPr>
      <w:r>
        <w:br w:type="page"/>
      </w:r>
    </w:p>
    <w:p w14:paraId="490F7E74" w14:textId="77777777" w:rsidR="005C2ADE" w:rsidRPr="009E19E7" w:rsidRDefault="005C2ADE" w:rsidP="00D658CF">
      <w:pPr>
        <w:pStyle w:val="Heading2"/>
      </w:pPr>
      <w:bookmarkStart w:id="22" w:name="_Toc222141596"/>
      <w:bookmarkStart w:id="23" w:name="_Toc227229292"/>
      <w:bookmarkStart w:id="24" w:name="_Toc230270019"/>
      <w:r w:rsidRPr="009E19E7">
        <w:lastRenderedPageBreak/>
        <w:t xml:space="preserve">2. </w:t>
      </w:r>
      <w:bookmarkStart w:id="25" w:name="_3.3.1_Australia’s_operational"/>
      <w:bookmarkStart w:id="26" w:name="_Figure_1_-"/>
      <w:bookmarkEnd w:id="25"/>
      <w:bookmarkEnd w:id="26"/>
      <w:r w:rsidRPr="009E19E7">
        <w:t>Operational safety objectives</w:t>
      </w:r>
      <w:bookmarkEnd w:id="22"/>
      <w:bookmarkEnd w:id="23"/>
      <w:bookmarkEnd w:id="24"/>
    </w:p>
    <w:p w14:paraId="7273020E" w14:textId="77777777" w:rsidR="005C2ADE" w:rsidRPr="00A91CD9" w:rsidRDefault="005C2ADE" w:rsidP="00D658CF">
      <w:pPr>
        <w:pStyle w:val="Heading3"/>
      </w:pPr>
      <w:bookmarkStart w:id="27" w:name="_Toc227229293"/>
      <w:bookmarkStart w:id="28" w:name="_Toc230270020"/>
      <w:r w:rsidRPr="00A91CD9">
        <w:t>Goal 1: Improve the safety of Australian aviation operations across all sectors</w:t>
      </w:r>
      <w:bookmarkEnd w:id="27"/>
      <w:bookmarkEnd w:id="28"/>
    </w:p>
    <w:p w14:paraId="4122B731" w14:textId="77777777" w:rsidR="005C2ADE" w:rsidRDefault="005C2ADE" w:rsidP="005C2ADE">
      <w:r>
        <w:t xml:space="preserve">Goal 1 and its five safety objectives are designed to monitor performance in relation to operational safety risks with the </w:t>
      </w:r>
      <w:r w:rsidRPr="00CF50BF">
        <w:t>first four</w:t>
      </w:r>
      <w:r>
        <w:t xml:space="preserve"> objectives</w:t>
      </w:r>
      <w:r w:rsidRPr="00CF50BF">
        <w:t xml:space="preserve"> aiming for a performance outcome to </w:t>
      </w:r>
      <w:r w:rsidRPr="00CF50BF">
        <w:rPr>
          <w:i/>
          <w:iCs/>
        </w:rPr>
        <w:t xml:space="preserve">maintain a decreasing 3-year moving average </w:t>
      </w:r>
      <w:r w:rsidRPr="00CF50BF">
        <w:t>over the life cycle of the NASP</w:t>
      </w:r>
      <w:r>
        <w:t xml:space="preserve">. Performance is monitored </w:t>
      </w:r>
      <w:r w:rsidRPr="00A10B55">
        <w:t>against internationally recognised benchmarks for</w:t>
      </w:r>
      <w:r>
        <w:t xml:space="preserve"> aviation accidents and serious incidents. Within NASP 2024 it was also identified that specific performance monitoring was warranted in relation to:</w:t>
      </w:r>
    </w:p>
    <w:p w14:paraId="6BDAA00D" w14:textId="77777777" w:rsidR="005C2ADE" w:rsidRDefault="005C2ADE" w:rsidP="0022771A">
      <w:pPr>
        <w:pStyle w:val="Listparagraphbullets"/>
      </w:pPr>
      <w:r>
        <w:t>runway safety related events</w:t>
      </w:r>
      <w:r>
        <w:rPr>
          <w:rStyle w:val="FootnoteReference"/>
        </w:rPr>
        <w:footnoteReference w:id="3"/>
      </w:r>
    </w:p>
    <w:p w14:paraId="3D3AF6FA" w14:textId="77777777" w:rsidR="005C2ADE" w:rsidRDefault="005C2ADE" w:rsidP="00CA4B36">
      <w:pPr>
        <w:pStyle w:val="Listparagraphbullets"/>
      </w:pPr>
      <w:r>
        <w:t>mid-air</w:t>
      </w:r>
      <w:r w:rsidRPr="004E4C73">
        <w:t xml:space="preserve"> collision and airspace separation events</w:t>
      </w:r>
    </w:p>
    <w:p w14:paraId="1A21B029" w14:textId="77777777" w:rsidR="005C2ADE" w:rsidRDefault="005C2ADE" w:rsidP="00CA4B36">
      <w:pPr>
        <w:pStyle w:val="Listparagraphbullets"/>
      </w:pPr>
      <w:r>
        <w:t>air navigation safety performance.</w:t>
      </w:r>
    </w:p>
    <w:p w14:paraId="196FD87C" w14:textId="77777777" w:rsidR="005C2ADE" w:rsidRDefault="005C2ADE" w:rsidP="005C2ADE">
      <w:r w:rsidRPr="00344682">
        <w:t>Th</w:t>
      </w:r>
      <w:r>
        <w:t xml:space="preserve">e operational </w:t>
      </w:r>
      <w:r w:rsidRPr="00344682">
        <w:t>safety objective analysis is supported by the operational SPI trend monitoring conducted at sector level</w:t>
      </w:r>
      <w:r>
        <w:t>. Detailed analysis for each of the safety performance indicators (SPIs) is</w:t>
      </w:r>
      <w:r w:rsidRPr="00344682">
        <w:t xml:space="preserve"> outlined in </w:t>
      </w:r>
      <w:hyperlink w:anchor="_Appendix_A_" w:history="1">
        <w:r w:rsidRPr="00344682">
          <w:rPr>
            <w:rStyle w:val="Hyperlink"/>
          </w:rPr>
          <w:t>Appendix A</w:t>
        </w:r>
      </w:hyperlink>
      <w:r w:rsidRPr="00344682">
        <w:t>.</w:t>
      </w:r>
      <w:r>
        <w:t xml:space="preserve"> </w:t>
      </w:r>
    </w:p>
    <w:p w14:paraId="72D0BA60" w14:textId="77777777" w:rsidR="005C2ADE" w:rsidRPr="00F851F4" w:rsidRDefault="005C2ADE" w:rsidP="005C2ADE">
      <w:r w:rsidRPr="00F851F4">
        <w:t>The performance outcome</w:t>
      </w:r>
      <w:r>
        <w:t>s</w:t>
      </w:r>
      <w:r w:rsidRPr="00F851F4">
        <w:t xml:space="preserve"> for the operational safety objectives were measured against the trend of the </w:t>
      </w:r>
      <w:r>
        <w:br/>
      </w:r>
      <w:r w:rsidRPr="00F851F4">
        <w:t xml:space="preserve">3-year moving average for the reporting period. Table </w:t>
      </w:r>
      <w:r>
        <w:t>2</w:t>
      </w:r>
      <w:r w:rsidRPr="00F851F4">
        <w:t xml:space="preserve"> summarises the performance outcomes. </w:t>
      </w:r>
    </w:p>
    <w:p w14:paraId="4C8AF0F5" w14:textId="2B547F36" w:rsidR="005C2ADE" w:rsidRPr="008B4516" w:rsidRDefault="005C2ADE" w:rsidP="002C6061">
      <w:pPr>
        <w:pStyle w:val="Tablefigureheading"/>
      </w:pPr>
      <w:bookmarkStart w:id="29" w:name="_Toc230269798"/>
      <w:r w:rsidRPr="008B4516">
        <w:t>Table 2</w:t>
      </w:r>
      <w:r w:rsidR="00340487">
        <w:t>—</w:t>
      </w:r>
      <w:r w:rsidRPr="008B4516">
        <w:t xml:space="preserve">Goal 1 performance outcomes for FY </w:t>
      </w:r>
      <w:r w:rsidR="003276FE">
        <w:t>2024–25</w:t>
      </w:r>
      <w:bookmarkEnd w:id="29"/>
    </w:p>
    <w:tbl>
      <w:tblPr>
        <w:tblStyle w:val="DefaultTable1"/>
        <w:tblW w:w="0" w:type="auto"/>
        <w:tblBorders>
          <w:top w:val="single" w:sz="4" w:space="0" w:color="ED662F"/>
          <w:bottom w:val="single" w:sz="12" w:space="0" w:color="ED662F"/>
          <w:insideH w:val="single" w:sz="4" w:space="0" w:color="ED662F"/>
        </w:tblBorders>
        <w:tblLook w:val="04A0" w:firstRow="1" w:lastRow="0" w:firstColumn="1" w:lastColumn="0" w:noHBand="0" w:noVBand="1"/>
        <w:tblCaption w:val="Table 2—Goal 1 performance outcomes for FY 2024–25"/>
        <w:tblDescription w:val="Table 2—Goal 1 performance outcomes for FY 2024–25"/>
      </w:tblPr>
      <w:tblGrid>
        <w:gridCol w:w="5045"/>
        <w:gridCol w:w="4430"/>
      </w:tblGrid>
      <w:tr w:rsidR="005C2ADE" w:rsidRPr="009013F2" w14:paraId="1E7269D7" w14:textId="77777777" w:rsidTr="00CA4B36">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55" w:type="dxa"/>
            <w:tcBorders>
              <w:top w:val="none" w:sz="0" w:space="0" w:color="auto"/>
              <w:bottom w:val="none" w:sz="0" w:space="0" w:color="auto"/>
            </w:tcBorders>
            <w:shd w:val="clear" w:color="auto" w:fill="4D148C"/>
          </w:tcPr>
          <w:p w14:paraId="094AB90E" w14:textId="77777777" w:rsidR="005C2ADE" w:rsidRPr="00A91CD9" w:rsidRDefault="005C2ADE" w:rsidP="00ED1700">
            <w:pPr>
              <w:rPr>
                <w:b w:val="0"/>
                <w:bCs/>
              </w:rPr>
            </w:pPr>
            <w:r w:rsidRPr="00A91CD9">
              <w:t>Goal 1 Safety Objectives</w:t>
            </w:r>
          </w:p>
        </w:tc>
        <w:tc>
          <w:tcPr>
            <w:tcW w:w="4438" w:type="dxa"/>
            <w:tcBorders>
              <w:top w:val="none" w:sz="0" w:space="0" w:color="auto"/>
              <w:bottom w:val="none" w:sz="0" w:space="0" w:color="auto"/>
            </w:tcBorders>
            <w:shd w:val="clear" w:color="auto" w:fill="4D148C"/>
          </w:tcPr>
          <w:p w14:paraId="12A9FD98" w14:textId="77777777" w:rsidR="005C2ADE" w:rsidRPr="00A91CD9" w:rsidRDefault="005C2ADE" w:rsidP="00ED1700">
            <w:pPr>
              <w:jc w:val="both"/>
              <w:cnfStyle w:val="100000000000" w:firstRow="1" w:lastRow="0" w:firstColumn="0" w:lastColumn="0" w:oddVBand="0" w:evenVBand="0" w:oddHBand="0" w:evenHBand="0" w:firstRowFirstColumn="0" w:firstRowLastColumn="0" w:lastRowFirstColumn="0" w:lastRowLastColumn="0"/>
              <w:rPr>
                <w:b w:val="0"/>
                <w:bCs/>
              </w:rPr>
            </w:pPr>
            <w:r w:rsidRPr="00A91CD9">
              <w:t>Performance Outcome</w:t>
            </w:r>
          </w:p>
        </w:tc>
      </w:tr>
      <w:tr w:rsidR="005C2ADE" w:rsidRPr="009013F2" w14:paraId="5E73EEB4" w14:textId="77777777" w:rsidTr="00CA4B36">
        <w:trPr>
          <w:trHeight w:val="578"/>
        </w:trPr>
        <w:tc>
          <w:tcPr>
            <w:cnfStyle w:val="001000000000" w:firstRow="0" w:lastRow="0" w:firstColumn="1" w:lastColumn="0" w:oddVBand="0" w:evenVBand="0" w:oddHBand="0" w:evenHBand="0" w:firstRowFirstColumn="0" w:firstRowLastColumn="0" w:lastRowFirstColumn="0" w:lastRowLastColumn="0"/>
            <w:tcW w:w="5055" w:type="dxa"/>
          </w:tcPr>
          <w:p w14:paraId="26532ABC" w14:textId="2AD15796" w:rsidR="005C2ADE" w:rsidRPr="009937DF" w:rsidRDefault="005C2ADE" w:rsidP="00ED1700">
            <w:r w:rsidRPr="009937DF">
              <w:t>1.1</w:t>
            </w:r>
            <w:r w:rsidR="006D2C5C">
              <w:t>—</w:t>
            </w:r>
            <w:r w:rsidRPr="009937DF">
              <w:t>Maintain a 3-year moving average decreasing trend of accidents</w:t>
            </w:r>
          </w:p>
        </w:tc>
        <w:tc>
          <w:tcPr>
            <w:tcW w:w="4438" w:type="dxa"/>
            <w:shd w:val="clear" w:color="auto" w:fill="ED7D31" w:themeFill="accent2"/>
          </w:tcPr>
          <w:p w14:paraId="5F9B28AA" w14:textId="02F881BA" w:rsidR="005C2ADE" w:rsidRPr="00F45BA1" w:rsidRDefault="005C2ADE" w:rsidP="00ED1700">
            <w:pPr>
              <w:cnfStyle w:val="000000000000" w:firstRow="0" w:lastRow="0" w:firstColumn="0" w:lastColumn="0" w:oddVBand="0" w:evenVBand="0" w:oddHBand="0" w:evenHBand="0" w:firstRowFirstColumn="0" w:firstRowLastColumn="0" w:lastRowFirstColumn="0" w:lastRowLastColumn="0"/>
              <w:rPr>
                <w:rFonts w:cs="Calibri"/>
              </w:rPr>
            </w:pPr>
            <w:r w:rsidRPr="00F45BA1">
              <w:rPr>
                <w:rFonts w:cs="Calibri"/>
              </w:rPr>
              <w:t>Meeting target performance in first year of NASP</w:t>
            </w:r>
            <w:r w:rsidR="00BF6425">
              <w:rPr>
                <w:rFonts w:cs="Calibri"/>
              </w:rPr>
              <w:t>.</w:t>
            </w:r>
          </w:p>
        </w:tc>
      </w:tr>
      <w:tr w:rsidR="005C2ADE" w:rsidRPr="009013F2" w14:paraId="261EF14C" w14:textId="77777777" w:rsidTr="00CA4B36">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55" w:type="dxa"/>
          </w:tcPr>
          <w:p w14:paraId="20994D47" w14:textId="46D7A5E4" w:rsidR="005C2ADE" w:rsidRPr="009937DF" w:rsidRDefault="005C2ADE" w:rsidP="00ED1700">
            <w:r w:rsidRPr="009937DF">
              <w:t>1.2</w:t>
            </w:r>
            <w:r w:rsidR="006D2C5C">
              <w:t>—</w:t>
            </w:r>
            <w:r w:rsidRPr="009937DF">
              <w:t>Maintain a 3-year moving average decreasing trend of serious incidents</w:t>
            </w:r>
          </w:p>
        </w:tc>
        <w:tc>
          <w:tcPr>
            <w:tcW w:w="4438" w:type="dxa"/>
            <w:shd w:val="clear" w:color="auto" w:fill="FFC000" w:themeFill="accent4"/>
          </w:tcPr>
          <w:p w14:paraId="3436671F" w14:textId="3D66C949"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rPr>
                <w:rFonts w:cs="Calibri"/>
              </w:rPr>
            </w:pPr>
            <w:r w:rsidRPr="00A91CD9">
              <w:rPr>
                <w:rFonts w:cs="Calibri"/>
              </w:rPr>
              <w:t>Improvement required for performance target to be achieved</w:t>
            </w:r>
            <w:r w:rsidR="00BF6425">
              <w:rPr>
                <w:rFonts w:cs="Calibri"/>
              </w:rPr>
              <w:t>.</w:t>
            </w:r>
          </w:p>
        </w:tc>
      </w:tr>
      <w:tr w:rsidR="005C2ADE" w:rsidRPr="009013F2" w14:paraId="23B83193" w14:textId="77777777" w:rsidTr="00CA4B36">
        <w:trPr>
          <w:trHeight w:val="611"/>
        </w:trPr>
        <w:tc>
          <w:tcPr>
            <w:cnfStyle w:val="001000000000" w:firstRow="0" w:lastRow="0" w:firstColumn="1" w:lastColumn="0" w:oddVBand="0" w:evenVBand="0" w:oddHBand="0" w:evenHBand="0" w:firstRowFirstColumn="0" w:firstRowLastColumn="0" w:lastRowFirstColumn="0" w:lastRowLastColumn="0"/>
            <w:tcW w:w="5055" w:type="dxa"/>
          </w:tcPr>
          <w:p w14:paraId="0C1BACB5" w14:textId="6F2F8C1B" w:rsidR="005C2ADE" w:rsidRPr="009937DF" w:rsidRDefault="005C2ADE" w:rsidP="00ED1700">
            <w:r w:rsidRPr="009937DF">
              <w:t>1.3</w:t>
            </w:r>
            <w:r w:rsidR="006D2C5C">
              <w:t>—</w:t>
            </w:r>
            <w:r w:rsidRPr="009937DF">
              <w:t>Maintain a 3-year moving average decreasing trend of runway safety-related events</w:t>
            </w:r>
          </w:p>
        </w:tc>
        <w:tc>
          <w:tcPr>
            <w:tcW w:w="4438" w:type="dxa"/>
            <w:shd w:val="clear" w:color="auto" w:fill="FFC000" w:themeFill="accent4"/>
          </w:tcPr>
          <w:p w14:paraId="1CBD42CB" w14:textId="50B0F2F4"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rPr>
                <w:rFonts w:cs="Calibri"/>
              </w:rPr>
            </w:pPr>
            <w:r w:rsidRPr="00A91CD9">
              <w:rPr>
                <w:rFonts w:cs="Calibri"/>
              </w:rPr>
              <w:t>Improvement required for performance target to be achieved</w:t>
            </w:r>
            <w:r w:rsidR="00BF6425">
              <w:rPr>
                <w:rFonts w:cs="Calibri"/>
              </w:rPr>
              <w:t>.</w:t>
            </w:r>
          </w:p>
        </w:tc>
      </w:tr>
      <w:tr w:rsidR="005C2ADE" w:rsidRPr="009013F2" w14:paraId="025713C4" w14:textId="77777777" w:rsidTr="00CA4B36">
        <w:trPr>
          <w:cnfStyle w:val="000000010000" w:firstRow="0" w:lastRow="0" w:firstColumn="0" w:lastColumn="0" w:oddVBand="0" w:evenVBand="0" w:oddHBand="0" w:evenHBand="1"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5055" w:type="dxa"/>
          </w:tcPr>
          <w:p w14:paraId="6C52A758" w14:textId="4ED7D987" w:rsidR="005C2ADE" w:rsidRPr="009937DF" w:rsidRDefault="005C2ADE" w:rsidP="00ED1700">
            <w:r w:rsidRPr="009937DF">
              <w:t>1.4</w:t>
            </w:r>
            <w:r w:rsidR="006D2C5C">
              <w:t>—</w:t>
            </w:r>
            <w:r w:rsidRPr="009937DF">
              <w:t>Maintain a 3-year moving average decreasing trend of mid-air collisions and airspace separation events</w:t>
            </w:r>
          </w:p>
        </w:tc>
        <w:tc>
          <w:tcPr>
            <w:tcW w:w="4438" w:type="dxa"/>
            <w:shd w:val="clear" w:color="auto" w:fill="FFC000" w:themeFill="accent4"/>
          </w:tcPr>
          <w:p w14:paraId="39EADE18" w14:textId="54C112E2"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rPr>
                <w:rFonts w:cs="Calibri"/>
              </w:rPr>
            </w:pPr>
            <w:r w:rsidRPr="00A91CD9">
              <w:rPr>
                <w:rFonts w:cs="Calibri"/>
              </w:rPr>
              <w:t>Improvement required for performance target to be achieved</w:t>
            </w:r>
            <w:r w:rsidR="00BF6425">
              <w:rPr>
                <w:rFonts w:cs="Calibri"/>
              </w:rPr>
              <w:t>.</w:t>
            </w:r>
          </w:p>
        </w:tc>
      </w:tr>
      <w:tr w:rsidR="005C2ADE" w:rsidRPr="009013F2" w14:paraId="0BD9786C" w14:textId="77777777" w:rsidTr="00CA4B36">
        <w:trPr>
          <w:trHeight w:val="647"/>
        </w:trPr>
        <w:tc>
          <w:tcPr>
            <w:cnfStyle w:val="001000000000" w:firstRow="0" w:lastRow="0" w:firstColumn="1" w:lastColumn="0" w:oddVBand="0" w:evenVBand="0" w:oddHBand="0" w:evenHBand="0" w:firstRowFirstColumn="0" w:firstRowLastColumn="0" w:lastRowFirstColumn="0" w:lastRowLastColumn="0"/>
            <w:tcW w:w="5055" w:type="dxa"/>
          </w:tcPr>
          <w:p w14:paraId="619DFFE5" w14:textId="0B37D97D" w:rsidR="005C2ADE" w:rsidRPr="009937DF" w:rsidRDefault="005C2ADE" w:rsidP="00ED1700">
            <w:r w:rsidRPr="009937DF">
              <w:t>1.5</w:t>
            </w:r>
            <w:r w:rsidR="006D2C5C">
              <w:t>—</w:t>
            </w:r>
            <w:r w:rsidRPr="009937DF">
              <w:t>Maintain or increase Australia’s air navigation safety performance</w:t>
            </w:r>
          </w:p>
        </w:tc>
        <w:tc>
          <w:tcPr>
            <w:tcW w:w="4438" w:type="dxa"/>
            <w:shd w:val="clear" w:color="auto" w:fill="ED7D31" w:themeFill="accent2"/>
          </w:tcPr>
          <w:p w14:paraId="056EEF28" w14:textId="617A3240" w:rsidR="005C2ADE" w:rsidRPr="00F45BA1" w:rsidRDefault="005C2ADE" w:rsidP="00ED1700">
            <w:pPr>
              <w:cnfStyle w:val="000000000000" w:firstRow="0" w:lastRow="0" w:firstColumn="0" w:lastColumn="0" w:oddVBand="0" w:evenVBand="0" w:oddHBand="0" w:evenHBand="0" w:firstRowFirstColumn="0" w:firstRowLastColumn="0" w:lastRowFirstColumn="0" w:lastRowLastColumn="0"/>
              <w:rPr>
                <w:rFonts w:cs="Calibri"/>
              </w:rPr>
            </w:pPr>
            <w:r w:rsidRPr="00F45BA1">
              <w:rPr>
                <w:rFonts w:cs="Calibri"/>
              </w:rPr>
              <w:t>Meeting target performance in first year of NASP</w:t>
            </w:r>
            <w:r w:rsidR="00BF6425">
              <w:rPr>
                <w:rFonts w:cs="Calibri"/>
              </w:rPr>
              <w:t>.</w:t>
            </w:r>
          </w:p>
        </w:tc>
      </w:tr>
    </w:tbl>
    <w:p w14:paraId="30ED8520" w14:textId="01F5E81B" w:rsidR="005C2ADE" w:rsidRDefault="005C2ADE" w:rsidP="005C2ADE">
      <w:pPr>
        <w:spacing w:before="240"/>
      </w:pPr>
      <w:r w:rsidRPr="00CF50BF">
        <w:t xml:space="preserve">Further details and information for each of the operation safety objectives are provided </w:t>
      </w:r>
      <w:r w:rsidRPr="003A5512">
        <w:t>below,</w:t>
      </w:r>
      <w:r>
        <w:t xml:space="preserve"> </w:t>
      </w:r>
      <w:r w:rsidRPr="003A5512">
        <w:t>including</w:t>
      </w:r>
      <w:r w:rsidRPr="00CF50BF">
        <w:t xml:space="preserve"> visual trending charts. For relevant sector impacts and any activities undertaken by SSP agencies to address adverse trends, refer to </w:t>
      </w:r>
      <w:hyperlink w:anchor="_Appendix_A—Operational_Safety" w:history="1">
        <w:r w:rsidRPr="00CF50BF">
          <w:rPr>
            <w:rStyle w:val="Hyperlink"/>
          </w:rPr>
          <w:t>Appendix A</w:t>
        </w:r>
      </w:hyperlink>
      <w:r w:rsidRPr="00CF50BF">
        <w:t>.</w:t>
      </w:r>
      <w:r>
        <w:br w:type="page"/>
      </w:r>
    </w:p>
    <w:p w14:paraId="2318F7D1" w14:textId="77777777" w:rsidR="005C2ADE" w:rsidRPr="00A91CD9" w:rsidRDefault="005C2ADE" w:rsidP="003276FE">
      <w:pPr>
        <w:pStyle w:val="Heading4"/>
      </w:pPr>
      <w:bookmarkStart w:id="30" w:name="_Safety_objective_1.1:"/>
      <w:bookmarkStart w:id="31" w:name="_Toc227229294"/>
      <w:bookmarkStart w:id="32" w:name="_Toc230270021"/>
      <w:bookmarkEnd w:id="30"/>
      <w:r>
        <w:lastRenderedPageBreak/>
        <w:t xml:space="preserve">Safety objective 1.1: </w:t>
      </w:r>
      <w:r w:rsidRPr="00A91CD9">
        <w:t>Maintain a 3-year moving average decreasing trend of accidents</w:t>
      </w:r>
      <w:bookmarkEnd w:id="31"/>
      <w:bookmarkEnd w:id="32"/>
    </w:p>
    <w:p w14:paraId="0FE7C294" w14:textId="7F3A644B" w:rsidR="005C2ADE" w:rsidRDefault="005C2ADE" w:rsidP="005C2ADE">
      <w:r>
        <w:t xml:space="preserve">Over the last three years there has been a decreasing 3-year moving average trend in aviation accidents, consistent with a decreasing number of accidents trend over the last 10-year period. In FY </w:t>
      </w:r>
      <w:r w:rsidR="003276FE">
        <w:t>2024–25</w:t>
      </w:r>
      <w:r>
        <w:t xml:space="preserve"> Australia recorded 170 aviation accidents across all sectors</w:t>
      </w:r>
      <w:r>
        <w:rPr>
          <w:rStyle w:val="FootnoteReference"/>
        </w:rPr>
        <w:footnoteReference w:id="4"/>
      </w:r>
      <w:r>
        <w:t>, up from 136 accidents</w:t>
      </w:r>
      <w:r w:rsidRPr="00914F37">
        <w:t xml:space="preserve"> </w:t>
      </w:r>
      <w:r>
        <w:t xml:space="preserve">the previous year, but still below the 10-year annual average of 190. Over the last ten years, a total of </w:t>
      </w:r>
      <w:r w:rsidRPr="00B37E31">
        <w:t>1</w:t>
      </w:r>
      <w:r>
        <w:t>,</w:t>
      </w:r>
      <w:r w:rsidRPr="00B37E31">
        <w:t>90</w:t>
      </w:r>
      <w:r>
        <w:t>2</w:t>
      </w:r>
      <w:r w:rsidRPr="00B37E31">
        <w:t xml:space="preserve"> accidents</w:t>
      </w:r>
      <w:r>
        <w:t xml:space="preserve"> occurred. </w:t>
      </w:r>
    </w:p>
    <w:p w14:paraId="49205D57" w14:textId="77777777" w:rsidR="005C2ADE" w:rsidRDefault="005C2ADE" w:rsidP="005C2ADE">
      <w:r w:rsidRPr="00664521">
        <w:t>Figure 1</w:t>
      </w:r>
      <w:r>
        <w:t xml:space="preserve"> illustrates the accident trend over the 10-year period with the three-year moving average suggesting a decreasing trend in line with Australia’s desired level of safety performance.</w:t>
      </w:r>
    </w:p>
    <w:p w14:paraId="79A9A792" w14:textId="33850E66" w:rsidR="005C2ADE" w:rsidRPr="00A91CD9" w:rsidRDefault="005C2ADE" w:rsidP="002C6061">
      <w:pPr>
        <w:pStyle w:val="Tablefigureheading"/>
      </w:pPr>
      <w:bookmarkStart w:id="33" w:name="_Toc230269799"/>
      <w:r w:rsidRPr="00580348">
        <w:t>Figure 1</w:t>
      </w:r>
      <w:r w:rsidR="00340487">
        <w:t>—</w:t>
      </w:r>
      <w:r w:rsidRPr="00580348">
        <w:t xml:space="preserve">Number of </w:t>
      </w:r>
      <w:r w:rsidR="003276FE">
        <w:t>a</w:t>
      </w:r>
      <w:r w:rsidRPr="00580348">
        <w:t>ccidents</w:t>
      </w:r>
      <w:bookmarkEnd w:id="33"/>
    </w:p>
    <w:p w14:paraId="7C8E8B7D" w14:textId="77777777" w:rsidR="005C2ADE" w:rsidRDefault="005C2ADE" w:rsidP="005C2ADE">
      <w:pPr>
        <w:jc w:val="both"/>
      </w:pPr>
      <w:r>
        <w:rPr>
          <w:noProof/>
        </w:rPr>
        <w:drawing>
          <wp:inline distT="0" distB="0" distL="0" distR="0" wp14:anchorId="07DEB05C" wp14:editId="05207119">
            <wp:extent cx="4505325" cy="2542540"/>
            <wp:effectExtent l="0" t="0" r="9525" b="0"/>
            <wp:docPr id="1474149354" name="Picture 1" descr="Line graph showing number of accidents from fiscal years 2015/16 to 2024/25 with a solid blue line for annual accidents and a black dotted line for 3-year moving average. Data reveals a peak near FY18/19 followed by a decline, with notable dips around FY20/21 and FY23/24, indicating an overall downward trend in accident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49354" name="Picture 1" descr="Line graph showing number of accidents from fiscal years 2015/16 to 2024/25 with a solid blue line for annual accidents and a black dotted line for 3-year moving average. Data reveals a peak near FY18/19 followed by a decline, with notable dips around FY20/21 and FY23/24, indicating an overall downward trend in accidents over the peri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325" cy="2542540"/>
                    </a:xfrm>
                    <a:prstGeom prst="rect">
                      <a:avLst/>
                    </a:prstGeom>
                    <a:noFill/>
                  </pic:spPr>
                </pic:pic>
              </a:graphicData>
            </a:graphic>
          </wp:inline>
        </w:drawing>
      </w:r>
    </w:p>
    <w:p w14:paraId="038A3991" w14:textId="0D850F77" w:rsidR="005C2ADE" w:rsidRDefault="005C2ADE" w:rsidP="005C2ADE">
      <w:r>
        <w:t xml:space="preserve">The accident performance monitoring is inclusive of fatal accidents. </w:t>
      </w:r>
      <w:r w:rsidRPr="00B86F6D">
        <w:rPr>
          <w:rFonts w:cs="Calibri"/>
          <w:color w:val="000000"/>
        </w:rPr>
        <w:t xml:space="preserve">During FY </w:t>
      </w:r>
      <w:r w:rsidR="003276FE">
        <w:rPr>
          <w:rFonts w:cs="Calibri"/>
          <w:color w:val="000000"/>
        </w:rPr>
        <w:t>2024–25</w:t>
      </w:r>
      <w:r w:rsidRPr="00B86F6D">
        <w:rPr>
          <w:rFonts w:cs="Calibri"/>
          <w:color w:val="000000"/>
        </w:rPr>
        <w:t xml:space="preserve">, there were 17 fatal accidents with 25 </w:t>
      </w:r>
      <w:r>
        <w:rPr>
          <w:rFonts w:cs="Calibri"/>
          <w:color w:val="000000"/>
        </w:rPr>
        <w:t>fatalities</w:t>
      </w:r>
      <w:r w:rsidRPr="00B86F6D">
        <w:rPr>
          <w:rFonts w:cs="Calibri"/>
          <w:color w:val="000000"/>
        </w:rPr>
        <w:t xml:space="preserve">; one </w:t>
      </w:r>
      <w:r>
        <w:rPr>
          <w:rFonts w:cs="Calibri"/>
          <w:color w:val="000000"/>
        </w:rPr>
        <w:t>commercial air transport (</w:t>
      </w:r>
      <w:r w:rsidRPr="00B86F6D">
        <w:rPr>
          <w:rFonts w:cs="Calibri"/>
          <w:color w:val="000000"/>
        </w:rPr>
        <w:t>CAT</w:t>
      </w:r>
      <w:r>
        <w:rPr>
          <w:rFonts w:cs="Calibri"/>
          <w:color w:val="000000"/>
        </w:rPr>
        <w:t>)</w:t>
      </w:r>
      <w:r w:rsidRPr="00B86F6D">
        <w:rPr>
          <w:rFonts w:cs="Calibri"/>
          <w:color w:val="000000"/>
        </w:rPr>
        <w:t xml:space="preserve"> non-scheduled accident caused three fatalities.</w:t>
      </w:r>
      <w:r w:rsidRPr="001E7DA0">
        <w:t xml:space="preserve"> </w:t>
      </w:r>
      <w:r>
        <w:t xml:space="preserve">Further details of fatal accidents are included in </w:t>
      </w:r>
      <w:hyperlink w:anchor="_Appendix_B—Accident_analysis" w:history="1">
        <w:r w:rsidRPr="00AD072F">
          <w:rPr>
            <w:rStyle w:val="Hyperlink"/>
          </w:rPr>
          <w:t>Appendix B</w:t>
        </w:r>
      </w:hyperlink>
      <w:r>
        <w:t xml:space="preserve"> </w:t>
      </w:r>
      <w:r w:rsidRPr="00D135B5">
        <w:t>of this report</w:t>
      </w:r>
      <w:r>
        <w:t xml:space="preserve">. </w:t>
      </w:r>
    </w:p>
    <w:p w14:paraId="68CF2C97" w14:textId="21C6F724" w:rsidR="005C2ADE" w:rsidRPr="00BB1979" w:rsidRDefault="005C2ADE" w:rsidP="005C2ADE">
      <w:r>
        <w:t xml:space="preserve">Refer to </w:t>
      </w:r>
      <w:hyperlink w:anchor="_A1—Safety_Objective_1.1—Maintain" w:history="1">
        <w:r w:rsidRPr="00553BD2">
          <w:rPr>
            <w:rStyle w:val="Hyperlink"/>
          </w:rPr>
          <w:t>Appendix A.1</w:t>
        </w:r>
      </w:hyperlink>
      <w:r>
        <w:t xml:space="preserve"> for detailed analysis of the nine sector-specific accident SPIs.</w:t>
      </w:r>
    </w:p>
    <w:p w14:paraId="6EEE908B" w14:textId="77777777" w:rsidR="005C2ADE" w:rsidRPr="00A91CD9" w:rsidRDefault="005C2ADE" w:rsidP="002C6061">
      <w:pPr>
        <w:pStyle w:val="Heading4"/>
      </w:pPr>
      <w:bookmarkStart w:id="34" w:name="_Safety_objective_1.2:"/>
      <w:bookmarkStart w:id="35" w:name="__Hlk17282342"/>
      <w:bookmarkStart w:id="36" w:name="_Toc227229295"/>
      <w:bookmarkStart w:id="37" w:name="_Hlk17282342"/>
      <w:bookmarkStart w:id="38" w:name="_Toc230270022"/>
      <w:bookmarkEnd w:id="34"/>
      <w:bookmarkEnd w:id="35"/>
      <w:r>
        <w:t xml:space="preserve">Safety objective 1.2: </w:t>
      </w:r>
      <w:r w:rsidRPr="00A91CD9">
        <w:t>Maintain a 3-year moving average decreasing trend of serious incidents</w:t>
      </w:r>
      <w:bookmarkEnd w:id="36"/>
      <w:bookmarkEnd w:id="38"/>
    </w:p>
    <w:bookmarkEnd w:id="37"/>
    <w:p w14:paraId="512C0FB8" w14:textId="13F321D8" w:rsidR="005C2ADE" w:rsidRDefault="005C2ADE" w:rsidP="005C2ADE">
      <w:r>
        <w:t>In the last three years there has been an increase in the 3-year moving average for serious incidents, however, the serious incident trend has remained relatively stable</w:t>
      </w:r>
      <w:r w:rsidRPr="00305DBF">
        <w:t xml:space="preserve"> (Figure 2)</w:t>
      </w:r>
      <w:r>
        <w:t xml:space="preserve">. </w:t>
      </w:r>
      <w:r w:rsidRPr="00861F7C">
        <w:t>There w</w:t>
      </w:r>
      <w:r>
        <w:t xml:space="preserve">ere 200 serious incidents reported in FY </w:t>
      </w:r>
      <w:r w:rsidR="003276FE">
        <w:t>2024–25</w:t>
      </w:r>
      <w:r>
        <w:t xml:space="preserve"> which exceeded the 10-year average of 174. </w:t>
      </w:r>
    </w:p>
    <w:p w14:paraId="2263DCFD" w14:textId="7340B8B0" w:rsidR="005C2ADE" w:rsidRDefault="005C2ADE" w:rsidP="005C2ADE">
      <w:pPr>
        <w:rPr>
          <w:bCs/>
        </w:rPr>
      </w:pPr>
      <w:r>
        <w:t>Across the previous 10-years</w:t>
      </w:r>
      <w:r>
        <w:rPr>
          <w:rFonts w:cs="Calibri"/>
          <w:color w:val="000000"/>
        </w:rPr>
        <w:t>, a</w:t>
      </w:r>
      <w:r w:rsidRPr="00B86F6D">
        <w:rPr>
          <w:rFonts w:cs="Calibri"/>
          <w:color w:val="000000"/>
        </w:rPr>
        <w:t xml:space="preserve"> drop in incidents occurred from FY </w:t>
      </w:r>
      <w:r w:rsidR="002C6061">
        <w:rPr>
          <w:rFonts w:cs="Calibri"/>
          <w:color w:val="000000"/>
        </w:rPr>
        <w:t>2016–17</w:t>
      </w:r>
      <w:r w:rsidRPr="00B86F6D">
        <w:rPr>
          <w:rFonts w:cs="Calibri"/>
          <w:color w:val="000000"/>
        </w:rPr>
        <w:t xml:space="preserve"> to FY </w:t>
      </w:r>
      <w:r w:rsidR="002C6061">
        <w:rPr>
          <w:rFonts w:cs="Calibri"/>
          <w:color w:val="000000"/>
        </w:rPr>
        <w:t>2019–20</w:t>
      </w:r>
      <w:r w:rsidRPr="00B86F6D">
        <w:rPr>
          <w:rFonts w:cs="Calibri"/>
          <w:color w:val="000000"/>
        </w:rPr>
        <w:t>, after which numbers increased through the current reporting period. This may reflect post-pandemic recovery in flying activity and continued industry stressors.</w:t>
      </w:r>
      <w:r w:rsidRPr="00495457">
        <w:rPr>
          <w:bCs/>
        </w:rPr>
        <w:t xml:space="preserve"> </w:t>
      </w:r>
    </w:p>
    <w:p w14:paraId="6C2192E6" w14:textId="269942FE" w:rsidR="005C2ADE" w:rsidRDefault="005C2ADE" w:rsidP="005C2ADE">
      <w:pPr>
        <w:rPr>
          <w:rFonts w:cs="Calibri"/>
          <w:color w:val="000000"/>
        </w:rPr>
      </w:pPr>
      <w:hyperlink w:anchor="_A.2—Safety_Objective_1.2—Maintain" w:history="1">
        <w:r w:rsidRPr="00553BD2">
          <w:rPr>
            <w:rStyle w:val="Hyperlink"/>
            <w:bCs/>
          </w:rPr>
          <w:t xml:space="preserve">Appendix </w:t>
        </w:r>
        <w:r>
          <w:rPr>
            <w:rStyle w:val="Hyperlink"/>
            <w:bCs/>
          </w:rPr>
          <w:t>A</w:t>
        </w:r>
        <w:r w:rsidRPr="00553BD2">
          <w:rPr>
            <w:rStyle w:val="Hyperlink"/>
            <w:bCs/>
          </w:rPr>
          <w:t>.2</w:t>
        </w:r>
      </w:hyperlink>
      <w:r>
        <w:rPr>
          <w:bCs/>
        </w:rPr>
        <w:t xml:space="preserve"> provides further analysis of the three sector-specific SPIs that contribute to SO1.2,</w:t>
      </w:r>
      <w:r w:rsidRPr="000414F8">
        <w:rPr>
          <w:bCs/>
        </w:rPr>
        <w:t xml:space="preserve"> </w:t>
      </w:r>
      <w:r>
        <w:rPr>
          <w:bCs/>
        </w:rPr>
        <w:t xml:space="preserve">as well as actions being taken to further understand potential contributing factors for the increase. </w:t>
      </w:r>
    </w:p>
    <w:p w14:paraId="5F0D7C36" w14:textId="77777777" w:rsidR="005C2ADE" w:rsidRPr="00B86F6D" w:rsidRDefault="005C2ADE" w:rsidP="005C2ADE">
      <w:pPr>
        <w:rPr>
          <w:rFonts w:cs="Calibri"/>
          <w:color w:val="000000"/>
        </w:rPr>
      </w:pPr>
      <w:r>
        <w:rPr>
          <w:rFonts w:cs="Calibri"/>
          <w:color w:val="000000"/>
        </w:rPr>
        <w:t xml:space="preserve">These </w:t>
      </w:r>
      <w:r w:rsidRPr="00B86F6D">
        <w:rPr>
          <w:rFonts w:cs="Calibri"/>
          <w:color w:val="000000"/>
        </w:rPr>
        <w:t>SPIs show that while CAT and non-commercial aviation (NCA) are stabili</w:t>
      </w:r>
      <w:r>
        <w:rPr>
          <w:rFonts w:cs="Calibri"/>
          <w:color w:val="000000"/>
        </w:rPr>
        <w:t>s</w:t>
      </w:r>
      <w:r w:rsidRPr="00B86F6D">
        <w:rPr>
          <w:rFonts w:cs="Calibri"/>
          <w:color w:val="000000"/>
        </w:rPr>
        <w:t>ing, commercial aviation (CA)—including aerial work and instructional flying—continues to see a rise in serious incidents.</w:t>
      </w:r>
    </w:p>
    <w:p w14:paraId="23630ACC" w14:textId="4D147708" w:rsidR="005C2ADE" w:rsidRPr="00580348" w:rsidRDefault="005C2ADE" w:rsidP="002C6061">
      <w:pPr>
        <w:pStyle w:val="Tablefigureheading"/>
      </w:pPr>
      <w:bookmarkStart w:id="39" w:name="_Toc230269800"/>
      <w:r>
        <w:lastRenderedPageBreak/>
        <w:t>Figure 2</w:t>
      </w:r>
      <w:r w:rsidR="00340487">
        <w:t>—</w:t>
      </w:r>
      <w:r>
        <w:t xml:space="preserve">Number of </w:t>
      </w:r>
      <w:r w:rsidRPr="002C6061">
        <w:t>Serious</w:t>
      </w:r>
      <w:r>
        <w:t xml:space="preserve"> Incidents</w:t>
      </w:r>
      <w:bookmarkEnd w:id="39"/>
    </w:p>
    <w:p w14:paraId="29A1EC28" w14:textId="77777777" w:rsidR="005C2ADE" w:rsidRDefault="005C2ADE" w:rsidP="005C2ADE">
      <w:pPr>
        <w:rPr>
          <w:b/>
        </w:rPr>
      </w:pPr>
      <w:r>
        <w:rPr>
          <w:b/>
          <w:noProof/>
        </w:rPr>
        <w:drawing>
          <wp:inline distT="0" distB="0" distL="0" distR="0" wp14:anchorId="489F7DFC" wp14:editId="29B10557">
            <wp:extent cx="4517390" cy="2548255"/>
            <wp:effectExtent l="0" t="0" r="0" b="4445"/>
            <wp:docPr id="1945283406" name="Picture 2" descr="Line graph displays number of serious incidents from fiscal years 15/16 to 24/25, with a solid blue line for annual data and a black dotted line for 3-year moving average. Graph shows a decline in incidents reaching a low around FY19/20, followed by a steady increase back to initial levels by FY24/25, with y-axis ranging from 0 to 300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83406" name="Picture 2" descr="Line graph displays number of serious incidents from fiscal years 15/16 to 24/25, with a solid blue line for annual data and a black dotted line for 3-year moving average. Graph shows a decline in incidents reaching a low around FY19/20, followed by a steady increase back to initial levels by FY24/25, with y-axis ranging from 0 to 300 incid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7390" cy="2548255"/>
                    </a:xfrm>
                    <a:prstGeom prst="rect">
                      <a:avLst/>
                    </a:prstGeom>
                    <a:noFill/>
                  </pic:spPr>
                </pic:pic>
              </a:graphicData>
            </a:graphic>
          </wp:inline>
        </w:drawing>
      </w:r>
    </w:p>
    <w:p w14:paraId="43ED8F46" w14:textId="77777777" w:rsidR="005C2ADE" w:rsidRPr="00A91CD9" w:rsidRDefault="005C2ADE" w:rsidP="002C6061">
      <w:pPr>
        <w:pStyle w:val="Heading4"/>
      </w:pPr>
      <w:bookmarkStart w:id="40" w:name="_Safety_objective_1.3:"/>
      <w:bookmarkStart w:id="41" w:name="_Toc227229296"/>
      <w:bookmarkStart w:id="42" w:name="_Toc230270023"/>
      <w:bookmarkEnd w:id="40"/>
      <w:r w:rsidRPr="008B4516">
        <w:t xml:space="preserve">Safety objective 1.3: </w:t>
      </w:r>
      <w:r w:rsidRPr="00A91CD9">
        <w:t>Maintain a 3-year moving average decreasing trend of runway safety-related events</w:t>
      </w:r>
      <w:bookmarkEnd w:id="41"/>
      <w:bookmarkEnd w:id="42"/>
      <w:r w:rsidRPr="00A91CD9">
        <w:t xml:space="preserve"> </w:t>
      </w:r>
    </w:p>
    <w:p w14:paraId="0B9E5AFB" w14:textId="2D86C122" w:rsidR="005C2ADE" w:rsidRPr="00B86F6D" w:rsidRDefault="005C2ADE" w:rsidP="005C2ADE">
      <w:r w:rsidRPr="00B86F6D">
        <w:t xml:space="preserve">The 3-year moving average for runway safety events rose slightly during FY </w:t>
      </w:r>
      <w:r w:rsidR="003276FE">
        <w:t>2024–25</w:t>
      </w:r>
      <w:r w:rsidRPr="00B86F6D">
        <w:t xml:space="preserve"> (see Figure 3). Over the past decade, event numbers have only increased marginally. In FY </w:t>
      </w:r>
      <w:r w:rsidR="003276FE">
        <w:t>2024–25</w:t>
      </w:r>
      <w:r w:rsidRPr="00B86F6D">
        <w:t>, 353 such events were reported across all sectors—down from 424 the previous year but just above the 10-year average of 343.</w:t>
      </w:r>
    </w:p>
    <w:p w14:paraId="55150DE6" w14:textId="77777777" w:rsidR="005C2ADE" w:rsidRDefault="005C2ADE" w:rsidP="005C2ADE">
      <w:r w:rsidRPr="00B86F6D">
        <w:t>Appendix 1.3 provides further analysis of the two SPIs related to SO1.3—runway safety events at both controlled and non-controlled aerodromes—and details ongoing cross-agency and industry efforts addressing adverse trends.</w:t>
      </w:r>
      <w:r>
        <w:t xml:space="preserve"> </w:t>
      </w:r>
    </w:p>
    <w:p w14:paraId="23C30BAB" w14:textId="7198DDCB" w:rsidR="005C2ADE" w:rsidRPr="00580348" w:rsidRDefault="005C2ADE" w:rsidP="002C6061">
      <w:pPr>
        <w:pStyle w:val="Tablefigureheading"/>
      </w:pPr>
      <w:bookmarkStart w:id="43" w:name="_Toc230269801"/>
      <w:r>
        <w:t>Figure 3</w:t>
      </w:r>
      <w:r w:rsidR="00340487">
        <w:t>—</w:t>
      </w:r>
      <w:r>
        <w:t>Runway safety-related events</w:t>
      </w:r>
      <w:bookmarkEnd w:id="43"/>
      <w:r>
        <w:t xml:space="preserve"> </w:t>
      </w:r>
    </w:p>
    <w:p w14:paraId="0CA3742B" w14:textId="77777777" w:rsidR="005C2ADE" w:rsidRDefault="005C2ADE" w:rsidP="005C2ADE">
      <w:pPr>
        <w:rPr>
          <w:b/>
        </w:rPr>
      </w:pPr>
      <w:r>
        <w:rPr>
          <w:b/>
          <w:noProof/>
        </w:rPr>
        <w:drawing>
          <wp:inline distT="0" distB="0" distL="0" distR="0" wp14:anchorId="07269773" wp14:editId="6E8CDD22">
            <wp:extent cx="4523740" cy="2542540"/>
            <wp:effectExtent l="0" t="0" r="0" b="0"/>
            <wp:docPr id="1068230043" name="Picture 3" descr="Line graph showing number of events from fiscal years 2015/16 to 2024/25 with two lines: a solid blue line for annual events and a dotted black line for a 3-year moving average. Events peak around FY23/24 near 450 before declining, while the moving average shows a steadier upward trend reaching about 375 by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30043" name="Picture 3" descr="Line graph showing number of events from fiscal years 2015/16 to 2024/25 with two lines: a solid blue line for annual events and a dotted black line for a 3-year moving average. Events peak around FY23/24 near 450 before declining, while the moving average shows a steadier upward trend reaching about 375 by FY24/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3740" cy="2542540"/>
                    </a:xfrm>
                    <a:prstGeom prst="rect">
                      <a:avLst/>
                    </a:prstGeom>
                    <a:noFill/>
                  </pic:spPr>
                </pic:pic>
              </a:graphicData>
            </a:graphic>
          </wp:inline>
        </w:drawing>
      </w:r>
      <w:r>
        <w:rPr>
          <w:b/>
        </w:rPr>
        <w:br w:type="page"/>
      </w:r>
    </w:p>
    <w:p w14:paraId="75AC4F50" w14:textId="77777777" w:rsidR="005C2ADE" w:rsidRPr="00A91CD9" w:rsidRDefault="005C2ADE" w:rsidP="00E645F4">
      <w:pPr>
        <w:pStyle w:val="Heading4"/>
      </w:pPr>
      <w:bookmarkStart w:id="44" w:name="_Safety_objective_1.4:"/>
      <w:bookmarkStart w:id="45" w:name="_Toc227229297"/>
      <w:bookmarkStart w:id="46" w:name="_Toc230270024"/>
      <w:bookmarkEnd w:id="44"/>
      <w:r>
        <w:lastRenderedPageBreak/>
        <w:t xml:space="preserve">Safety objective 1.4: </w:t>
      </w:r>
      <w:r w:rsidRPr="00A91CD9">
        <w:t xml:space="preserve">Maintain a 3-year moving average decreasing trend of </w:t>
      </w:r>
      <w:r>
        <w:t>mid-air</w:t>
      </w:r>
      <w:r w:rsidRPr="00A91CD9">
        <w:t xml:space="preserve"> collisions and airspace separation events</w:t>
      </w:r>
      <w:bookmarkEnd w:id="45"/>
      <w:bookmarkEnd w:id="46"/>
    </w:p>
    <w:p w14:paraId="6E6BAB04" w14:textId="1025EFB1" w:rsidR="005C2ADE" w:rsidRDefault="005C2ADE" w:rsidP="005C2ADE">
      <w:r>
        <w:rPr>
          <w:rFonts w:cs="Calibri"/>
          <w:color w:val="000000"/>
        </w:rPr>
        <w:t>Mid-air</w:t>
      </w:r>
      <w:r w:rsidRPr="00B86F6D">
        <w:rPr>
          <w:rFonts w:cs="Calibri"/>
          <w:color w:val="000000"/>
        </w:rPr>
        <w:t xml:space="preserve"> collisions and airspace separation incidents have risen over the past three years (see Figure 4), but </w:t>
      </w:r>
      <w:r>
        <w:rPr>
          <w:rFonts w:cs="Calibri"/>
          <w:color w:val="000000"/>
        </w:rPr>
        <w:t xml:space="preserve">the number of </w:t>
      </w:r>
      <w:r w:rsidRPr="00B86F6D">
        <w:rPr>
          <w:rFonts w:cs="Calibri"/>
          <w:color w:val="000000"/>
        </w:rPr>
        <w:t xml:space="preserve">incidents decreased by 18% from FY </w:t>
      </w:r>
      <w:r w:rsidR="00E645F4">
        <w:rPr>
          <w:rFonts w:cs="Calibri"/>
          <w:color w:val="000000"/>
        </w:rPr>
        <w:t>2023–24</w:t>
      </w:r>
      <w:r w:rsidRPr="00B86F6D">
        <w:rPr>
          <w:rFonts w:cs="Calibri"/>
          <w:color w:val="000000"/>
        </w:rPr>
        <w:t xml:space="preserve"> to FY </w:t>
      </w:r>
      <w:r w:rsidR="003276FE">
        <w:rPr>
          <w:rFonts w:cs="Calibri"/>
          <w:color w:val="000000"/>
        </w:rPr>
        <w:t>2024–25</w:t>
      </w:r>
      <w:r w:rsidRPr="00B86F6D">
        <w:rPr>
          <w:rFonts w:cs="Calibri"/>
          <w:color w:val="000000"/>
        </w:rPr>
        <w:t>.</w:t>
      </w:r>
    </w:p>
    <w:p w14:paraId="338CBB81" w14:textId="5A2D29DA" w:rsidR="005C2ADE" w:rsidRPr="00580348" w:rsidRDefault="005C2ADE" w:rsidP="002C6061">
      <w:pPr>
        <w:pStyle w:val="Tablefigureheading"/>
      </w:pPr>
      <w:bookmarkStart w:id="47" w:name="_Toc230269802"/>
      <w:r w:rsidRPr="00580348">
        <w:t>Figure 4</w:t>
      </w:r>
      <w:r w:rsidR="00340487">
        <w:t>—</w:t>
      </w:r>
      <w:r>
        <w:t>Mid-air</w:t>
      </w:r>
      <w:r w:rsidRPr="00580348">
        <w:t xml:space="preserve"> collisions and airspace separation accidents and serious incidents</w:t>
      </w:r>
      <w:bookmarkEnd w:id="47"/>
    </w:p>
    <w:p w14:paraId="390211DD" w14:textId="77777777" w:rsidR="005C2ADE" w:rsidRDefault="005C2ADE" w:rsidP="005C2ADE">
      <w:pPr>
        <w:rPr>
          <w:b/>
        </w:rPr>
      </w:pPr>
      <w:r>
        <w:rPr>
          <w:b/>
          <w:noProof/>
        </w:rPr>
        <w:drawing>
          <wp:inline distT="0" distB="0" distL="0" distR="0" wp14:anchorId="2D0C50B2" wp14:editId="4C809381">
            <wp:extent cx="4535805" cy="2542540"/>
            <wp:effectExtent l="0" t="0" r="0" b="0"/>
            <wp:docPr id="645185948" name="Picture 4" descr="Line graph displays accidents and serious incidents alongside a 3-year moving average from fiscal years 2015/16 to 2024/25, with MAC and airspace separation values on the vertical axis. Both lines show a decline from FY15/16 to FY19/20, followed by a steady increase peaking around FY23/24 before slightly dropping in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5948" name="Picture 4" descr="Line graph displays accidents and serious incidents alongside a 3-year moving average from fiscal years 2015/16 to 2024/25, with MAC and airspace separation values on the vertical axis. Both lines show a decline from FY15/16 to FY19/20, followed by a steady increase peaking around FY23/24 before slightly dropping in FY24/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5805" cy="2542540"/>
                    </a:xfrm>
                    <a:prstGeom prst="rect">
                      <a:avLst/>
                    </a:prstGeom>
                    <a:noFill/>
                  </pic:spPr>
                </pic:pic>
              </a:graphicData>
            </a:graphic>
          </wp:inline>
        </w:drawing>
      </w:r>
    </w:p>
    <w:p w14:paraId="1F742880" w14:textId="57E4709F" w:rsidR="005C2ADE" w:rsidRPr="000C2FB2" w:rsidRDefault="005C2ADE" w:rsidP="005C2ADE">
      <w:r w:rsidRPr="00B86F6D">
        <w:rPr>
          <w:rFonts w:cs="Calibri"/>
          <w:color w:val="000000"/>
        </w:rPr>
        <w:t xml:space="preserve">From FY </w:t>
      </w:r>
      <w:r w:rsidR="000D26BD">
        <w:rPr>
          <w:rFonts w:cs="Calibri"/>
          <w:color w:val="000000"/>
        </w:rPr>
        <w:t>2015–16</w:t>
      </w:r>
      <w:r w:rsidRPr="00B86F6D">
        <w:rPr>
          <w:rFonts w:cs="Calibri"/>
          <w:color w:val="000000"/>
        </w:rPr>
        <w:t xml:space="preserve"> to FY </w:t>
      </w:r>
      <w:r w:rsidR="000D26BD">
        <w:rPr>
          <w:rFonts w:cs="Calibri"/>
          <w:color w:val="000000"/>
        </w:rPr>
        <w:t>2018–19</w:t>
      </w:r>
      <w:r w:rsidRPr="00B86F6D">
        <w:rPr>
          <w:rFonts w:cs="Calibri"/>
          <w:color w:val="000000"/>
        </w:rPr>
        <w:t xml:space="preserve">, accidents and serious incidents related to MAC and airspace separation declined, but have risen since FY </w:t>
      </w:r>
      <w:r w:rsidR="002C6061">
        <w:rPr>
          <w:rFonts w:cs="Calibri"/>
          <w:color w:val="000000"/>
        </w:rPr>
        <w:t>2019–20</w:t>
      </w:r>
      <w:r w:rsidRPr="00B86F6D">
        <w:rPr>
          <w:rFonts w:cs="Calibri"/>
          <w:color w:val="000000"/>
        </w:rPr>
        <w:t xml:space="preserve">, likely due to post-pandemic recovery and industry pressures. In FY </w:t>
      </w:r>
      <w:r w:rsidR="003276FE">
        <w:rPr>
          <w:rFonts w:cs="Calibri"/>
          <w:color w:val="000000"/>
        </w:rPr>
        <w:t>2024–25</w:t>
      </w:r>
      <w:r w:rsidRPr="00B86F6D">
        <w:rPr>
          <w:rFonts w:cs="Calibri"/>
          <w:color w:val="000000"/>
        </w:rPr>
        <w:t xml:space="preserve">, there were 41 </w:t>
      </w:r>
      <w:r>
        <w:t>accidents and serious incidents</w:t>
      </w:r>
      <w:r w:rsidRPr="00B86F6D">
        <w:rPr>
          <w:rFonts w:cs="Calibri"/>
          <w:color w:val="000000"/>
        </w:rPr>
        <w:t>, above the 10-year average of 35.</w:t>
      </w:r>
    </w:p>
    <w:p w14:paraId="4642687A" w14:textId="77777777" w:rsidR="005C2ADE" w:rsidRPr="00F45BA1" w:rsidRDefault="005C2ADE" w:rsidP="000D26BD">
      <w:pPr>
        <w:pStyle w:val="Heading4"/>
      </w:pPr>
      <w:bookmarkStart w:id="48" w:name="_Toc227229298"/>
      <w:bookmarkStart w:id="49" w:name="_Toc230270025"/>
      <w:r w:rsidRPr="00F45BA1">
        <w:t>Safety objective 1.5: Maintain or increase Australia’s air navigation safety performance</w:t>
      </w:r>
      <w:bookmarkEnd w:id="48"/>
      <w:bookmarkEnd w:id="49"/>
    </w:p>
    <w:p w14:paraId="7CAEF013" w14:textId="77777777" w:rsidR="005C2ADE" w:rsidRPr="007E7D78" w:rsidRDefault="005C2ADE" w:rsidP="005C2ADE">
      <w:r>
        <w:t>Australia’s air navigation services are provided by both Airservices Australia and the Department of Defence. Due to this the safety objective connected to Australia’s air navigation safety performance has been divided based on the agency and aerodrome locations they control for air traffic service (ATS) attributable loss of separation and runway incursion events.</w:t>
      </w:r>
    </w:p>
    <w:p w14:paraId="5E3D0E59" w14:textId="77777777" w:rsidR="005C2ADE" w:rsidRDefault="005C2ADE" w:rsidP="005C2ADE">
      <w:r>
        <w:t xml:space="preserve">ATS attributable loss of separation rates within Airservices controlled airspace experienced a slight increase in the last two years however has broadly seen a long-term downward trend (Figure 5A). </w:t>
      </w:r>
      <w:r w:rsidRPr="00EB2F02">
        <w:rPr>
          <w:rFonts w:cs="Calibri"/>
          <w:color w:val="000000"/>
        </w:rPr>
        <w:t xml:space="preserve">In Defence controlled airspace, rates involving civilian aircraft have fluctuated </w:t>
      </w:r>
      <w:r>
        <w:rPr>
          <w:rFonts w:cs="Calibri"/>
          <w:color w:val="000000"/>
        </w:rPr>
        <w:t>in recent years</w:t>
      </w:r>
      <w:r w:rsidRPr="00EB2F02">
        <w:rPr>
          <w:rFonts w:cs="Calibri"/>
          <w:color w:val="000000"/>
        </w:rPr>
        <w:t>, with a marked decrease last year (Figure 5B).</w:t>
      </w:r>
    </w:p>
    <w:p w14:paraId="675C5980" w14:textId="77777777" w:rsidR="005C2ADE" w:rsidRDefault="005C2ADE" w:rsidP="005C2ADE">
      <w:r>
        <w:t>ATS attributable runway incursion rates at Airservices controlled aerodromes experienced an increase over the last two years however has broadly achieved a long-term downward trend (Figure 6A). There were no runway incursions involving civilian aircraft at Defence controlled aerodromes in the last two years, and the long-term trend has remained stable (Figure 6B).</w:t>
      </w:r>
    </w:p>
    <w:p w14:paraId="5CE2764A" w14:textId="77777777" w:rsidR="005C2ADE" w:rsidRDefault="005C2ADE" w:rsidP="005C2ADE">
      <w:pPr>
        <w:rPr>
          <w:b/>
          <w:color w:val="622B7F"/>
        </w:rPr>
      </w:pPr>
      <w:r>
        <w:br w:type="page"/>
      </w:r>
    </w:p>
    <w:p w14:paraId="76E0D935" w14:textId="1EC1E874" w:rsidR="005C2ADE" w:rsidRDefault="005C2ADE" w:rsidP="002C6061">
      <w:pPr>
        <w:pStyle w:val="Tablefigureheading"/>
      </w:pPr>
      <w:bookmarkStart w:id="50" w:name="_Toc230269803"/>
      <w:r>
        <w:lastRenderedPageBreak/>
        <w:t>Figure 5</w:t>
      </w:r>
      <w:r w:rsidR="00340487">
        <w:t>—</w:t>
      </w:r>
      <w:r>
        <w:t>Air navigation safety performance</w:t>
      </w:r>
      <w:r w:rsidR="00340487">
        <w:t>—</w:t>
      </w:r>
      <w:r>
        <w:t>Loss of Separation</w:t>
      </w:r>
      <w:bookmarkEnd w:id="50"/>
    </w:p>
    <w:tbl>
      <w:tblPr>
        <w:tblStyle w:val="DefaultTable11"/>
        <w:tblW w:w="0" w:type="auto"/>
        <w:tblBorders>
          <w:top w:val="single" w:sz="4" w:space="0" w:color="ED662F"/>
          <w:bottom w:val="single" w:sz="12" w:space="0" w:color="ED662F"/>
          <w:insideH w:val="single" w:sz="4" w:space="0" w:color="ED662F"/>
        </w:tblBorders>
        <w:tblLook w:val="04A0" w:firstRow="1" w:lastRow="0" w:firstColumn="1" w:lastColumn="0" w:noHBand="0" w:noVBand="1"/>
        <w:tblCaption w:val="Figure 5—Air navigation safety performance—Loss of Separation"/>
        <w:tblDescription w:val="Figure 5—Air navigation safety performance—Loss of Separation"/>
      </w:tblPr>
      <w:tblGrid>
        <w:gridCol w:w="4832"/>
        <w:gridCol w:w="4643"/>
      </w:tblGrid>
      <w:tr w:rsidR="002274BD" w:rsidRPr="00654F9E" w14:paraId="32B8AFD7" w14:textId="77777777" w:rsidTr="008D5D1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0" w:type="pct"/>
            <w:shd w:val="clear" w:color="auto" w:fill="4D148C"/>
          </w:tcPr>
          <w:p w14:paraId="728A6449" w14:textId="740BB039" w:rsidR="002274BD" w:rsidRPr="00DA0783" w:rsidRDefault="00645C56" w:rsidP="00ED1700">
            <w:pPr>
              <w:pStyle w:val="Tablerowcolumnheading"/>
              <w:keepNext/>
              <w:rPr>
                <w:b/>
                <w:bCs/>
                <w:sz w:val="22"/>
                <w:szCs w:val="22"/>
              </w:rPr>
            </w:pPr>
            <w:r w:rsidRPr="00DA0783">
              <w:rPr>
                <w:b/>
                <w:bCs/>
              </w:rPr>
              <w:t>TS attributable loss of separation rate</w:t>
            </w:r>
          </w:p>
        </w:tc>
        <w:tc>
          <w:tcPr>
            <w:tcW w:w="2450" w:type="pct"/>
            <w:shd w:val="clear" w:color="auto" w:fill="4D148C"/>
          </w:tcPr>
          <w:p w14:paraId="42362866" w14:textId="2A8CAD39" w:rsidR="002274BD" w:rsidRPr="00DA0783" w:rsidRDefault="00645C56" w:rsidP="00645C56">
            <w:pPr>
              <w:pStyle w:val="Tablerowcolumnheadingcentred"/>
              <w:keepNext/>
              <w:jc w:val="left"/>
              <w:cnfStyle w:val="100000000000" w:firstRow="1" w:lastRow="0" w:firstColumn="0" w:lastColumn="0" w:oddVBand="0" w:evenVBand="0" w:oddHBand="0" w:evenHBand="0" w:firstRowFirstColumn="0" w:firstRowLastColumn="0" w:lastRowFirstColumn="0" w:lastRowLastColumn="0"/>
              <w:rPr>
                <w:b/>
                <w:bCs/>
                <w:sz w:val="22"/>
                <w:szCs w:val="22"/>
              </w:rPr>
            </w:pPr>
            <w:r w:rsidRPr="00DA0783">
              <w:rPr>
                <w:b/>
                <w:bCs/>
              </w:rPr>
              <w:t>TS attributable loss of separation rate</w:t>
            </w:r>
          </w:p>
        </w:tc>
      </w:tr>
      <w:tr w:rsidR="002274BD" w:rsidRPr="00654F9E" w14:paraId="09B72789" w14:textId="77777777" w:rsidTr="008D5D15">
        <w:trPr>
          <w:cantSplit/>
        </w:trPr>
        <w:tc>
          <w:tcPr>
            <w:cnfStyle w:val="001000000000" w:firstRow="0" w:lastRow="0" w:firstColumn="1" w:lastColumn="0" w:oddVBand="0" w:evenVBand="0" w:oddHBand="0" w:evenHBand="0" w:firstRowFirstColumn="0" w:firstRowLastColumn="0" w:lastRowFirstColumn="0" w:lastRowLastColumn="0"/>
            <w:tcW w:w="2550" w:type="pct"/>
          </w:tcPr>
          <w:p w14:paraId="19A1691D" w14:textId="77777777" w:rsidR="00072D19" w:rsidRDefault="00072D19" w:rsidP="00072D19">
            <w:pPr>
              <w:rPr>
                <w:b w:val="0"/>
                <w:noProof/>
              </w:rPr>
            </w:pPr>
            <w:r w:rsidRPr="00B56898">
              <w:t>Airservices (Towers/Terminal/Enroute)</w:t>
            </w:r>
          </w:p>
          <w:p w14:paraId="723E9C53" w14:textId="084C579E" w:rsidR="002274BD" w:rsidRPr="00BE5B5F" w:rsidRDefault="00072D19" w:rsidP="00ED1700">
            <w:pPr>
              <w:rPr>
                <w:rFonts w:asciiTheme="minorHAnsi" w:hAnsiTheme="minorHAnsi" w:cstheme="minorHAnsi"/>
                <w:sz w:val="22"/>
                <w:szCs w:val="22"/>
              </w:rPr>
            </w:pPr>
            <w:r>
              <w:rPr>
                <w:noProof/>
              </w:rPr>
              <w:drawing>
                <wp:inline distT="0" distB="0" distL="0" distR="0" wp14:anchorId="73CA0251" wp14:editId="27C7C6ED">
                  <wp:extent cx="2999740" cy="1798320"/>
                  <wp:effectExtent l="0" t="0" r="0" b="0"/>
                  <wp:docPr id="330778783" name="Picture 1" descr="Line chart showing loss of separations per 100K flights from fiscal years 16/17 to 24/25, illustrating trends in performance at Airservices ATC sites. The chart highlights a peak near 4.7 in FY18/19, a significant drop to around 1.5 in FY20/21, followed by a gradual increase to about 2.8 in FY24/25, with shaded area under the curve emphasiz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78783" name="Picture 1" descr="Line chart showing loss of separations per 100K flights from fiscal years 16/17 to 24/25, illustrating trends in performance at Airservices ATC sites. The chart highlights a peak near 4.7 in FY18/19, a significant drop to around 1.5 in FY20/21, followed by a gradual increase to about 2.8 in FY24/25, with shaded area under the curve emphasizing valu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9740" cy="1798320"/>
                          </a:xfrm>
                          <a:prstGeom prst="rect">
                            <a:avLst/>
                          </a:prstGeom>
                          <a:noFill/>
                        </pic:spPr>
                      </pic:pic>
                    </a:graphicData>
                  </a:graphic>
                </wp:inline>
              </w:drawing>
            </w:r>
          </w:p>
        </w:tc>
        <w:tc>
          <w:tcPr>
            <w:tcW w:w="2450" w:type="pct"/>
          </w:tcPr>
          <w:p w14:paraId="52755BAD" w14:textId="77777777" w:rsidR="00072D19" w:rsidRDefault="00072D19" w:rsidP="00072D19">
            <w:pPr>
              <w:cnfStyle w:val="000000000000" w:firstRow="0" w:lastRow="0" w:firstColumn="0" w:lastColumn="0" w:oddVBand="0" w:evenVBand="0" w:oddHBand="0" w:evenHBand="0" w:firstRowFirstColumn="0" w:firstRowLastColumn="0" w:lastRowFirstColumn="0" w:lastRowLastColumn="0"/>
              <w:rPr>
                <w:noProof/>
              </w:rPr>
            </w:pPr>
            <w:r>
              <w:rPr>
                <w:b/>
              </w:rPr>
              <w:t xml:space="preserve">Defence </w:t>
            </w:r>
            <w:r w:rsidRPr="00B56898">
              <w:rPr>
                <w:b/>
              </w:rPr>
              <w:t xml:space="preserve">ATC </w:t>
            </w:r>
            <w:r>
              <w:rPr>
                <w:b/>
              </w:rPr>
              <w:t>sites</w:t>
            </w:r>
          </w:p>
          <w:p w14:paraId="67001875" w14:textId="0BA99422" w:rsidR="002274BD" w:rsidRPr="00BE5B5F" w:rsidRDefault="00072D19" w:rsidP="00ED17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noProof/>
              </w:rPr>
              <w:drawing>
                <wp:inline distT="0" distB="0" distL="0" distR="0" wp14:anchorId="03A49719" wp14:editId="5C455D24">
                  <wp:extent cx="2871470" cy="1798320"/>
                  <wp:effectExtent l="0" t="0" r="5080" b="0"/>
                  <wp:docPr id="722923752" name="Picture 2" descr="Line graph showing loss of separations per 100K flights from fiscal years 18/19 to 24/25 illustrating trends in performance at Defence ATC sites, with values ranging from about 1.5 to a peak above 3 in FY 23/24 before dropping sharply in FY 24/25. The graph uses a shaded blue area under the line to highlight trends, indicating a general increase in loss of separations until FY 23/24 followed by a notable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23752" name="Picture 2" descr="Line graph showing loss of separations per 100K flights from fiscal years 18/19 to 24/25 illustrating trends in performance at Defence ATC sites, with values ranging from about 1.5 to a peak above 3 in FY 23/24 before dropping sharply in FY 24/25. The graph uses a shaded blue area under the line to highlight trends, indicating a general increase in loss of separations until FY 23/24 followed by a notable dec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1470" cy="1798320"/>
                          </a:xfrm>
                          <a:prstGeom prst="rect">
                            <a:avLst/>
                          </a:prstGeom>
                          <a:noFill/>
                        </pic:spPr>
                      </pic:pic>
                    </a:graphicData>
                  </a:graphic>
                </wp:inline>
              </w:drawing>
            </w:r>
          </w:p>
        </w:tc>
      </w:tr>
    </w:tbl>
    <w:p w14:paraId="04A7496A" w14:textId="4BB128FF" w:rsidR="005C2ADE" w:rsidRDefault="005C2ADE" w:rsidP="00DA0783">
      <w:pPr>
        <w:pStyle w:val="Tablefigureheading"/>
        <w:spacing w:before="360"/>
      </w:pPr>
      <w:bookmarkStart w:id="51" w:name="_Toc230269804"/>
      <w:r>
        <w:t>Figure 6</w:t>
      </w:r>
      <w:r w:rsidR="00340487">
        <w:t>—</w:t>
      </w:r>
      <w:r>
        <w:t>Air navigation safety performance</w:t>
      </w:r>
      <w:r w:rsidR="00340487">
        <w:t>—</w:t>
      </w:r>
      <w:r>
        <w:t>Runway Incursions</w:t>
      </w:r>
      <w:bookmarkEnd w:id="51"/>
    </w:p>
    <w:tbl>
      <w:tblPr>
        <w:tblStyle w:val="DefaultTable11"/>
        <w:tblW w:w="0" w:type="auto"/>
        <w:tblBorders>
          <w:top w:val="single" w:sz="4" w:space="0" w:color="ED662F"/>
          <w:bottom w:val="single" w:sz="12" w:space="0" w:color="ED662F"/>
          <w:insideH w:val="single" w:sz="4" w:space="0" w:color="ED662F"/>
        </w:tblBorders>
        <w:tblLook w:val="04A0" w:firstRow="1" w:lastRow="0" w:firstColumn="1" w:lastColumn="0" w:noHBand="0" w:noVBand="1"/>
        <w:tblCaption w:val="Figure 6—Air navigation safety performance—Runway Incursions"/>
        <w:tblDescription w:val="Figure 6—Air navigation safety performance—Runway Incursions"/>
      </w:tblPr>
      <w:tblGrid>
        <w:gridCol w:w="4792"/>
        <w:gridCol w:w="4683"/>
      </w:tblGrid>
      <w:tr w:rsidR="00DA0783" w:rsidRPr="00654F9E" w14:paraId="5F1E2D9D" w14:textId="77777777" w:rsidTr="003A16C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0" w:type="pct"/>
            <w:shd w:val="clear" w:color="auto" w:fill="4D148C"/>
          </w:tcPr>
          <w:p w14:paraId="6056D9AC" w14:textId="5035E856" w:rsidR="00DA0783" w:rsidRPr="00DA0783" w:rsidRDefault="00DA0783" w:rsidP="00ED1700">
            <w:pPr>
              <w:pStyle w:val="Tablerowcolumnheading"/>
              <w:keepNext/>
              <w:rPr>
                <w:b/>
                <w:bCs/>
                <w:sz w:val="22"/>
                <w:szCs w:val="22"/>
              </w:rPr>
            </w:pPr>
            <w:r w:rsidRPr="00DA0783">
              <w:rPr>
                <w:b/>
                <w:bCs/>
              </w:rPr>
              <w:t>ATS attributable runway incursion rate</w:t>
            </w:r>
          </w:p>
        </w:tc>
        <w:tc>
          <w:tcPr>
            <w:tcW w:w="2450" w:type="pct"/>
            <w:shd w:val="clear" w:color="auto" w:fill="4D148C"/>
          </w:tcPr>
          <w:p w14:paraId="7EE9819C" w14:textId="06006022" w:rsidR="00DA0783" w:rsidRPr="008E534F" w:rsidRDefault="00DA0783" w:rsidP="00ED1700">
            <w:pPr>
              <w:pStyle w:val="Tablerowcolumnheadingcentred"/>
              <w:keepNext/>
              <w:jc w:val="left"/>
              <w:cnfStyle w:val="100000000000" w:firstRow="1" w:lastRow="0" w:firstColumn="0" w:lastColumn="0" w:oddVBand="0" w:evenVBand="0" w:oddHBand="0" w:evenHBand="0" w:firstRowFirstColumn="0" w:firstRowLastColumn="0" w:lastRowFirstColumn="0" w:lastRowLastColumn="0"/>
              <w:rPr>
                <w:b/>
                <w:sz w:val="22"/>
                <w:szCs w:val="22"/>
              </w:rPr>
            </w:pPr>
          </w:p>
        </w:tc>
      </w:tr>
      <w:tr w:rsidR="00DA0783" w:rsidRPr="00654F9E" w14:paraId="3E9EB56C" w14:textId="77777777" w:rsidTr="003A16C9">
        <w:trPr>
          <w:cantSplit/>
        </w:trPr>
        <w:tc>
          <w:tcPr>
            <w:cnfStyle w:val="001000000000" w:firstRow="0" w:lastRow="0" w:firstColumn="1" w:lastColumn="0" w:oddVBand="0" w:evenVBand="0" w:oddHBand="0" w:evenHBand="0" w:firstRowFirstColumn="0" w:firstRowLastColumn="0" w:lastRowFirstColumn="0" w:lastRowLastColumn="0"/>
            <w:tcW w:w="2550" w:type="pct"/>
          </w:tcPr>
          <w:p w14:paraId="21EB421E" w14:textId="77777777" w:rsidR="00DA0783" w:rsidRDefault="00DA0783" w:rsidP="00DA0783">
            <w:pPr>
              <w:rPr>
                <w:b w:val="0"/>
                <w:noProof/>
              </w:rPr>
            </w:pPr>
            <w:r>
              <w:t xml:space="preserve">Airservices </w:t>
            </w:r>
            <w:r w:rsidRPr="0093147C">
              <w:t>(Towers Only)</w:t>
            </w:r>
          </w:p>
          <w:p w14:paraId="68B77F37" w14:textId="73BA09ED" w:rsidR="00DA0783" w:rsidRPr="00BE5B5F" w:rsidRDefault="00DA0783" w:rsidP="00ED1700">
            <w:pPr>
              <w:rPr>
                <w:rFonts w:asciiTheme="minorHAnsi" w:hAnsiTheme="minorHAnsi" w:cstheme="minorHAnsi"/>
                <w:sz w:val="22"/>
                <w:szCs w:val="22"/>
              </w:rPr>
            </w:pPr>
            <w:r>
              <w:rPr>
                <w:noProof/>
              </w:rPr>
              <w:drawing>
                <wp:inline distT="0" distB="0" distL="0" distR="0" wp14:anchorId="431BC81A" wp14:editId="1BD862CB">
                  <wp:extent cx="3005455" cy="1798320"/>
                  <wp:effectExtent l="0" t="0" r="4445" b="0"/>
                  <wp:docPr id="228366924" name="Picture 3" descr="Area chart showing runway incursions per 100,000 movements from fiscal years 2016/17 to 2024/25 illustrating trends in performance at Airservices Tower only sites. The chart highlights fluctuations with peaks around FY18/19 and FY21/22, a notable dip in FY22/23, and a gradual increase projected towards FY24/25, using a shaded blue area and a dark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66924" name="Picture 3" descr="Area chart showing runway incursions per 100,000 movements from fiscal years 2016/17 to 2024/25 illustrating trends in performance at Airservices Tower only sites. The chart highlights fluctuations with peaks around FY18/19 and FY21/22, a notable dip in FY22/23, and a gradual increase projected towards FY24/25, using a shaded blue area and a dark blue 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5455" cy="1798320"/>
                          </a:xfrm>
                          <a:prstGeom prst="rect">
                            <a:avLst/>
                          </a:prstGeom>
                          <a:noFill/>
                        </pic:spPr>
                      </pic:pic>
                    </a:graphicData>
                  </a:graphic>
                </wp:inline>
              </w:drawing>
            </w:r>
          </w:p>
        </w:tc>
        <w:tc>
          <w:tcPr>
            <w:tcW w:w="2450" w:type="pct"/>
          </w:tcPr>
          <w:p w14:paraId="68485918" w14:textId="77777777" w:rsidR="00DA0783" w:rsidRDefault="00DA0783" w:rsidP="00DA0783">
            <w:pPr>
              <w:cnfStyle w:val="000000000000" w:firstRow="0" w:lastRow="0" w:firstColumn="0" w:lastColumn="0" w:oddVBand="0" w:evenVBand="0" w:oddHBand="0" w:evenHBand="0" w:firstRowFirstColumn="0" w:firstRowLastColumn="0" w:lastRowFirstColumn="0" w:lastRowLastColumn="0"/>
              <w:rPr>
                <w:noProof/>
              </w:rPr>
            </w:pPr>
            <w:r>
              <w:rPr>
                <w:b/>
              </w:rPr>
              <w:t xml:space="preserve">Defence </w:t>
            </w:r>
            <w:r w:rsidRPr="0093147C">
              <w:rPr>
                <w:b/>
              </w:rPr>
              <w:t xml:space="preserve">ATC </w:t>
            </w:r>
            <w:r>
              <w:rPr>
                <w:b/>
              </w:rPr>
              <w:t>sites</w:t>
            </w:r>
          </w:p>
          <w:p w14:paraId="072C03E9" w14:textId="2FE3586D" w:rsidR="00DA0783" w:rsidRPr="00BE5B5F" w:rsidRDefault="00DA0783" w:rsidP="00ED17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noProof/>
              </w:rPr>
              <w:drawing>
                <wp:inline distT="0" distB="0" distL="0" distR="0" wp14:anchorId="3FC40EC9" wp14:editId="5F780FE8">
                  <wp:extent cx="2938780" cy="1798320"/>
                  <wp:effectExtent l="0" t="0" r="0" b="0"/>
                  <wp:docPr id="1568497092" name="Picture 4" descr="Line graph showing runway incursions per 100K movements from fiscal years 2018/19 to 2024/25 illustrating trends in performance at Defence ATC sites, with a peak around FY 2022/23 reaching just above 0.3. The graph features a shaded area under the curve and a dark blue line, indicating a sharp rise and fall in incursions centred on FY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7092" name="Picture 4" descr="Line graph showing runway incursions per 100K movements from fiscal years 2018/19 to 2024/25 illustrating trends in performance at Defence ATC sites, with a peak around FY 2022/23 reaching just above 0.3. The graph features a shaded area under the curve and a dark blue line, indicating a sharp rise and fall in incursions centred on FY 2022/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8780" cy="1798320"/>
                          </a:xfrm>
                          <a:prstGeom prst="rect">
                            <a:avLst/>
                          </a:prstGeom>
                          <a:noFill/>
                        </pic:spPr>
                      </pic:pic>
                    </a:graphicData>
                  </a:graphic>
                </wp:inline>
              </w:drawing>
            </w:r>
          </w:p>
        </w:tc>
      </w:tr>
    </w:tbl>
    <w:p w14:paraId="3D8DA861" w14:textId="77777777" w:rsidR="00DA0783" w:rsidRDefault="00DA0783" w:rsidP="00DA0783"/>
    <w:p w14:paraId="5AA20CFA" w14:textId="77777777" w:rsidR="005C2ADE" w:rsidRDefault="005C2ADE" w:rsidP="005C2ADE">
      <w:pPr>
        <w:rPr>
          <w:rFonts w:eastAsiaTheme="majorEastAsia" w:cstheme="majorBidi"/>
          <w:b/>
          <w:szCs w:val="32"/>
        </w:rPr>
      </w:pPr>
      <w:r>
        <w:br w:type="page"/>
      </w:r>
    </w:p>
    <w:p w14:paraId="15D8BFB2" w14:textId="77777777" w:rsidR="005C2ADE" w:rsidRPr="00A91CD9" w:rsidRDefault="005C2ADE" w:rsidP="005F335B">
      <w:pPr>
        <w:pStyle w:val="Heading2"/>
      </w:pPr>
      <w:bookmarkStart w:id="52" w:name="_Toc222141597"/>
      <w:bookmarkStart w:id="53" w:name="_Toc227229299"/>
      <w:bookmarkStart w:id="54" w:name="_Toc230270026"/>
      <w:r>
        <w:lastRenderedPageBreak/>
        <w:t xml:space="preserve">3. </w:t>
      </w:r>
      <w:r w:rsidRPr="00A91CD9">
        <w:t>Organisational safety objectives</w:t>
      </w:r>
      <w:bookmarkEnd w:id="52"/>
      <w:bookmarkEnd w:id="53"/>
      <w:bookmarkEnd w:id="54"/>
    </w:p>
    <w:p w14:paraId="373EC038" w14:textId="49C82F11" w:rsidR="005C2ADE" w:rsidRDefault="005C2ADE" w:rsidP="005C2ADE">
      <w:bookmarkStart w:id="55" w:name="_Ref17287368"/>
      <w:bookmarkStart w:id="56" w:name="_Hlk17888251"/>
      <w:r w:rsidRPr="00B86F6D">
        <w:rPr>
          <w:rFonts w:cs="Calibri"/>
          <w:color w:val="000000"/>
        </w:rPr>
        <w:t xml:space="preserve">Goals 2 through 6 of </w:t>
      </w:r>
      <w:r>
        <w:rPr>
          <w:rFonts w:cs="Calibri"/>
          <w:color w:val="000000"/>
        </w:rPr>
        <w:t xml:space="preserve">the </w:t>
      </w:r>
      <w:r w:rsidRPr="00B86F6D">
        <w:rPr>
          <w:rFonts w:cs="Calibri"/>
          <w:color w:val="000000"/>
        </w:rPr>
        <w:t>NASP, along with their 23 safety objectives, aim to assess how well Australia’s aviation safety agencies are performing and relate to the effectiveness of Australia’s SSP. They specifically address areas such as safety oversight and investigation capabilities, aviation infrastructure support, and both national and international safety collaboration.</w:t>
      </w:r>
      <w:r>
        <w:rPr>
          <w:rFonts w:cs="Calibri"/>
          <w:color w:val="000000"/>
        </w:rPr>
        <w:t xml:space="preserve"> </w:t>
      </w:r>
      <w:r w:rsidRPr="00B86F6D">
        <w:rPr>
          <w:rFonts w:cs="Calibri"/>
          <w:color w:val="000000"/>
        </w:rPr>
        <w:t xml:space="preserve">Most organisational safety objectives </w:t>
      </w:r>
      <w:r>
        <w:rPr>
          <w:rFonts w:cs="Calibri"/>
          <w:color w:val="000000"/>
        </w:rPr>
        <w:t>were</w:t>
      </w:r>
      <w:r w:rsidRPr="00B86F6D">
        <w:rPr>
          <w:rFonts w:cs="Calibri"/>
          <w:color w:val="000000"/>
        </w:rPr>
        <w:t xml:space="preserve"> met in the first year of the NASP, with 70% of the 40 indicators achieving their targets. </w:t>
      </w:r>
      <w:r>
        <w:t>However, performance monitoring has identified objectives relating to Goal 3 (e</w:t>
      </w:r>
      <w:r w:rsidRPr="00FA1447">
        <w:t xml:space="preserve">nhance the effectiveness of Australia’s </w:t>
      </w:r>
      <w:r>
        <w:t xml:space="preserve">SSP </w:t>
      </w:r>
      <w:r w:rsidRPr="00FA1447">
        <w:t>through safety intelligence</w:t>
      </w:r>
      <w:r>
        <w:t>) is currently underperforming with only 37.5% of SPI targets being achieved. Performance against each of the organisational goals, their corresponding safety objectives and SPIs are outlined below within Tables 3</w:t>
      </w:r>
      <w:r w:rsidR="005F335B">
        <w:t xml:space="preserve"> to </w:t>
      </w:r>
      <w:r>
        <w:t>7 scorecards.</w:t>
      </w:r>
    </w:p>
    <w:p w14:paraId="7D60F2CA" w14:textId="77777777" w:rsidR="005C2ADE" w:rsidRPr="00A91CD9" w:rsidRDefault="005C2ADE" w:rsidP="005F335B">
      <w:pPr>
        <w:pStyle w:val="Heading3"/>
      </w:pPr>
      <w:bookmarkStart w:id="57" w:name="_Toc227229300"/>
      <w:bookmarkStart w:id="58" w:name="_Toc230270027"/>
      <w:r w:rsidRPr="00A91CD9">
        <w:t>Goal 2: Strengthen Australia’s safety oversight and investigation capabilities</w:t>
      </w:r>
      <w:bookmarkEnd w:id="57"/>
      <w:bookmarkEnd w:id="58"/>
    </w:p>
    <w:p w14:paraId="0B4F3668" w14:textId="77777777" w:rsidR="005C2ADE" w:rsidRDefault="005C2ADE" w:rsidP="005C2ADE">
      <w:pPr>
        <w:rPr>
          <w:rFonts w:eastAsia="Times New Roman" w:cstheme="minorHAnsi"/>
          <w:lang w:eastAsia="en-AU"/>
        </w:rPr>
      </w:pPr>
      <w:r w:rsidRPr="00B86F6D">
        <w:rPr>
          <w:rFonts w:cs="Calibri"/>
          <w:color w:val="000000"/>
        </w:rPr>
        <w:t xml:space="preserve">In the first year of the NASP, 83% of </w:t>
      </w:r>
      <w:r>
        <w:rPr>
          <w:rFonts w:cs="Calibri"/>
          <w:color w:val="000000"/>
        </w:rPr>
        <w:t>G</w:t>
      </w:r>
      <w:r w:rsidRPr="00B86F6D">
        <w:rPr>
          <w:rFonts w:cs="Calibri"/>
          <w:color w:val="000000"/>
        </w:rPr>
        <w:t>oal 2 SPIs (10 out of 12) met performance targets (Table 3). All regulatory oversight SPIs achieved their targets, demonstrating a strong basis for oversight in line with the SSP.</w:t>
      </w:r>
      <w:r>
        <w:rPr>
          <w:rFonts w:cs="Calibri"/>
          <w:color w:val="000000"/>
        </w:rPr>
        <w:t xml:space="preserve"> </w:t>
      </w:r>
      <w:r>
        <w:rPr>
          <w:rFonts w:eastAsia="Times New Roman" w:cstheme="minorHAnsi"/>
          <w:lang w:eastAsia="en-AU"/>
        </w:rPr>
        <w:t>The two SPIs requiring i</w:t>
      </w:r>
      <w:r w:rsidRPr="00AC31BB">
        <w:rPr>
          <w:rFonts w:eastAsia="Times New Roman" w:cstheme="minorHAnsi"/>
          <w:lang w:eastAsia="en-AU"/>
        </w:rPr>
        <w:t>mprovements for performance target</w:t>
      </w:r>
      <w:r>
        <w:rPr>
          <w:rFonts w:eastAsia="Times New Roman" w:cstheme="minorHAnsi"/>
          <w:lang w:eastAsia="en-AU"/>
        </w:rPr>
        <w:t>s</w:t>
      </w:r>
      <w:r w:rsidRPr="00AC31BB">
        <w:rPr>
          <w:rFonts w:eastAsia="Times New Roman" w:cstheme="minorHAnsi"/>
          <w:lang w:eastAsia="en-AU"/>
        </w:rPr>
        <w:t xml:space="preserve"> to be achieved</w:t>
      </w:r>
      <w:r>
        <w:rPr>
          <w:rFonts w:eastAsia="Times New Roman" w:cstheme="minorHAnsi"/>
          <w:lang w:eastAsia="en-AU"/>
        </w:rPr>
        <w:t xml:space="preserve"> across the next two years of the NASP relate to timely publication of investigation reports and completion </w:t>
      </w:r>
      <w:r w:rsidRPr="00DE1F18">
        <w:rPr>
          <w:rFonts w:eastAsia="Times New Roman" w:cstheme="minorHAnsi"/>
          <w:lang w:eastAsia="en-AU"/>
        </w:rPr>
        <w:t xml:space="preserve">of corrective action plans (CAPs) </w:t>
      </w:r>
      <w:r>
        <w:rPr>
          <w:rFonts w:eastAsia="Times New Roman" w:cstheme="minorHAnsi"/>
          <w:lang w:eastAsia="en-AU"/>
        </w:rPr>
        <w:t>within agreed timeframes. While these SPIs are not yet meeting targets, work is underway to ensure performance is improving towards the targets established in the NASP.</w:t>
      </w:r>
    </w:p>
    <w:p w14:paraId="78E6F38B" w14:textId="43849CAF" w:rsidR="005C2ADE" w:rsidRPr="00A91CD9" w:rsidRDefault="005C2ADE" w:rsidP="005C2ADE">
      <w:pPr>
        <w:rPr>
          <w:rFonts w:eastAsia="Times New Roman"/>
          <w:lang w:eastAsia="en-AU"/>
        </w:rPr>
      </w:pPr>
      <w:r w:rsidRPr="00A91CD9">
        <w:rPr>
          <w:rFonts w:eastAsia="Times New Roman"/>
          <w:lang w:eastAsia="en-AU"/>
        </w:rPr>
        <w:t xml:space="preserve">Performance relating to CAPs is indicative of the </w:t>
      </w:r>
      <w:r>
        <w:rPr>
          <w:rFonts w:eastAsia="Times New Roman"/>
          <w:lang w:eastAsia="en-AU"/>
        </w:rPr>
        <w:t>ambitious</w:t>
      </w:r>
      <w:r w:rsidRPr="00A91CD9">
        <w:rPr>
          <w:rFonts w:eastAsia="Times New Roman"/>
          <w:lang w:eastAsia="en-AU"/>
        </w:rPr>
        <w:t xml:space="preserve"> CAP timelines Australia originally set itself</w:t>
      </w:r>
      <w:r w:rsidRPr="00A91CD9" w:rsidDel="0001438B">
        <w:rPr>
          <w:rFonts w:eastAsia="Times New Roman"/>
          <w:lang w:eastAsia="en-AU"/>
        </w:rPr>
        <w:t xml:space="preserve"> </w:t>
      </w:r>
      <w:r w:rsidRPr="00A91CD9">
        <w:rPr>
          <w:rFonts w:eastAsia="Times New Roman"/>
          <w:lang w:eastAsia="en-AU"/>
        </w:rPr>
        <w:t xml:space="preserve">and recorded in the Universal Safety Oversight Audit Programme-Continuous Monitoring Approach (USOAP-CMA) online framework. During the FY </w:t>
      </w:r>
      <w:r w:rsidR="003276FE">
        <w:rPr>
          <w:rFonts w:eastAsia="Times New Roman"/>
          <w:lang w:eastAsia="en-AU"/>
        </w:rPr>
        <w:t>2024–25</w:t>
      </w:r>
      <w:r w:rsidRPr="00A91CD9">
        <w:rPr>
          <w:rFonts w:eastAsia="Times New Roman"/>
          <w:lang w:eastAsia="en-AU"/>
        </w:rPr>
        <w:t xml:space="preserve"> reporting period, </w:t>
      </w:r>
      <w:r>
        <w:rPr>
          <w:rFonts w:eastAsia="Times New Roman"/>
          <w:lang w:eastAsia="en-AU"/>
        </w:rPr>
        <w:t xml:space="preserve">the first </w:t>
      </w:r>
      <w:r w:rsidRPr="00A91CD9">
        <w:rPr>
          <w:rFonts w:eastAsia="Times New Roman"/>
          <w:lang w:eastAsia="en-AU"/>
        </w:rPr>
        <w:t>16 of 52 of the CAPs stemming from the 2023 ICAO focused audit were completed</w:t>
      </w:r>
      <w:r>
        <w:rPr>
          <w:rFonts w:eastAsia="Times New Roman"/>
          <w:lang w:eastAsia="en-AU"/>
        </w:rPr>
        <w:t xml:space="preserve">. Further CAPs should be completed in </w:t>
      </w:r>
      <w:r w:rsidR="009630FD">
        <w:rPr>
          <w:rFonts w:eastAsia="Times New Roman"/>
          <w:lang w:eastAsia="en-AU"/>
        </w:rPr>
        <w:t>2025–26</w:t>
      </w:r>
      <w:r>
        <w:rPr>
          <w:rFonts w:eastAsia="Times New Roman"/>
          <w:lang w:eastAsia="en-AU"/>
        </w:rPr>
        <w:t>.</w:t>
      </w:r>
    </w:p>
    <w:p w14:paraId="4F1A0B70" w14:textId="784C5555" w:rsidR="005C2ADE" w:rsidRDefault="005C2ADE" w:rsidP="002C6061">
      <w:pPr>
        <w:pStyle w:val="Tablefigureheading"/>
      </w:pPr>
      <w:bookmarkStart w:id="59" w:name="_Toc230269805"/>
      <w:r>
        <w:t>Table 3</w:t>
      </w:r>
      <w:r w:rsidR="00340487">
        <w:t>—</w:t>
      </w:r>
      <w:r>
        <w:t xml:space="preserve">Goal 2 performance outcomes for </w:t>
      </w:r>
      <w:r w:rsidRPr="00A91CD9">
        <w:t xml:space="preserve">FY </w:t>
      </w:r>
      <w:r w:rsidR="003276FE">
        <w:t>2024–25</w:t>
      </w:r>
      <w:bookmarkEnd w:id="59"/>
    </w:p>
    <w:tbl>
      <w:tblPr>
        <w:tblStyle w:val="DefaultTable11"/>
        <w:tblW w:w="0" w:type="auto"/>
        <w:tblBorders>
          <w:top w:val="single" w:sz="4" w:space="0" w:color="ED662F"/>
          <w:bottom w:val="single" w:sz="12" w:space="0" w:color="ED662F"/>
          <w:insideH w:val="single" w:sz="4" w:space="0" w:color="ED662F"/>
        </w:tblBorders>
        <w:tblLook w:val="04A0" w:firstRow="1" w:lastRow="0" w:firstColumn="1" w:lastColumn="0" w:noHBand="0" w:noVBand="1"/>
        <w:tblCaption w:val="Table 3—Goal 2 performance outcomes for FY 2024–25"/>
        <w:tblDescription w:val="Table 3—Goal 2 performance outcomes for FY 2024–25"/>
      </w:tblPr>
      <w:tblGrid>
        <w:gridCol w:w="2368"/>
        <w:gridCol w:w="2369"/>
        <w:gridCol w:w="2369"/>
        <w:gridCol w:w="2369"/>
      </w:tblGrid>
      <w:tr w:rsidR="00DB08AF" w:rsidRPr="00654F9E" w14:paraId="33AA8136" w14:textId="77777777" w:rsidTr="003A16C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shd w:val="clear" w:color="auto" w:fill="4D148C"/>
          </w:tcPr>
          <w:p w14:paraId="18AC9F85" w14:textId="34F85E04" w:rsidR="00DB08AF" w:rsidRPr="00DB08AF" w:rsidRDefault="00DB08AF" w:rsidP="00DB08AF">
            <w:pPr>
              <w:pStyle w:val="Tablerowcolumnheading"/>
              <w:keepNext/>
              <w:rPr>
                <w:b/>
                <w:bCs/>
                <w:sz w:val="22"/>
                <w:szCs w:val="22"/>
              </w:rPr>
            </w:pPr>
            <w:r w:rsidRPr="00DB08AF">
              <w:rPr>
                <w:rFonts w:eastAsia="Times New Roman" w:cstheme="minorHAnsi"/>
                <w:b/>
                <w:bCs/>
                <w:lang w:eastAsia="en-AU"/>
              </w:rPr>
              <w:t>Safety Objectives (SO)</w:t>
            </w:r>
          </w:p>
        </w:tc>
        <w:tc>
          <w:tcPr>
            <w:tcW w:w="1250" w:type="pct"/>
            <w:shd w:val="clear" w:color="auto" w:fill="4D148C"/>
          </w:tcPr>
          <w:p w14:paraId="37654BF7" w14:textId="373B9ED6" w:rsidR="00DB08AF" w:rsidRPr="00DB08AF" w:rsidRDefault="00DB08AF" w:rsidP="00DB08AF">
            <w:pPr>
              <w:pStyle w:val="Tablerowcolumnheading"/>
              <w:keepNext/>
              <w:cnfStyle w:val="100000000000" w:firstRow="1" w:lastRow="0" w:firstColumn="0" w:lastColumn="0" w:oddVBand="0" w:evenVBand="0" w:oddHBand="0" w:evenHBand="0" w:firstRowFirstColumn="0" w:firstRowLastColumn="0" w:lastRowFirstColumn="0" w:lastRowLastColumn="0"/>
              <w:rPr>
                <w:b/>
                <w:bCs/>
                <w:szCs w:val="22"/>
              </w:rPr>
            </w:pPr>
            <w:r w:rsidRPr="00DB08AF">
              <w:rPr>
                <w:rFonts w:eastAsia="Times New Roman" w:cstheme="minorHAnsi"/>
                <w:b/>
                <w:bCs/>
                <w:lang w:eastAsia="en-AU"/>
              </w:rPr>
              <w:t>Safety Performance Indicators</w:t>
            </w:r>
          </w:p>
        </w:tc>
        <w:tc>
          <w:tcPr>
            <w:tcW w:w="1250" w:type="pct"/>
            <w:shd w:val="clear" w:color="auto" w:fill="4D148C"/>
          </w:tcPr>
          <w:p w14:paraId="31707EDE" w14:textId="05495A5A" w:rsidR="00DB08AF" w:rsidRPr="00DB08AF" w:rsidRDefault="00DB08AF" w:rsidP="00DB08AF">
            <w:pPr>
              <w:pStyle w:val="Tablerowcolumnheading"/>
              <w:keepNext/>
              <w:cnfStyle w:val="100000000000" w:firstRow="1" w:lastRow="0" w:firstColumn="0" w:lastColumn="0" w:oddVBand="0" w:evenVBand="0" w:oddHBand="0" w:evenHBand="0" w:firstRowFirstColumn="0" w:firstRowLastColumn="0" w:lastRowFirstColumn="0" w:lastRowLastColumn="0"/>
              <w:rPr>
                <w:b/>
                <w:bCs/>
                <w:sz w:val="22"/>
                <w:szCs w:val="22"/>
              </w:rPr>
            </w:pPr>
            <w:r w:rsidRPr="00DB08AF">
              <w:rPr>
                <w:rFonts w:eastAsia="Times New Roman" w:cstheme="minorHAnsi"/>
                <w:b/>
                <w:bCs/>
                <w:lang w:eastAsia="en-AU"/>
              </w:rPr>
              <w:t>Safety Performance Target or Trend</w:t>
            </w:r>
          </w:p>
        </w:tc>
        <w:tc>
          <w:tcPr>
            <w:tcW w:w="1250" w:type="pct"/>
            <w:shd w:val="clear" w:color="auto" w:fill="4D148C"/>
          </w:tcPr>
          <w:p w14:paraId="6A1BE3AB" w14:textId="77777777" w:rsidR="00DB08AF" w:rsidRPr="00DB08AF" w:rsidRDefault="00DB08AF" w:rsidP="00DB08AF">
            <w:pPr>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DB08AF">
              <w:rPr>
                <w:rFonts w:eastAsia="Times New Roman" w:cstheme="minorHAnsi"/>
                <w:bCs/>
                <w:lang w:eastAsia="en-AU"/>
              </w:rPr>
              <w:t xml:space="preserve">Performance Outcome </w:t>
            </w:r>
          </w:p>
          <w:p w14:paraId="43BFE46A" w14:textId="4AFA0112" w:rsidR="00DB08AF" w:rsidRPr="00DB08AF" w:rsidRDefault="00DB08AF" w:rsidP="00DB08AF">
            <w:pPr>
              <w:pStyle w:val="Tablerowcolumnheadingcentred"/>
              <w:keepNext/>
              <w:cnfStyle w:val="100000000000" w:firstRow="1" w:lastRow="0" w:firstColumn="0" w:lastColumn="0" w:oddVBand="0" w:evenVBand="0" w:oddHBand="0" w:evenHBand="0" w:firstRowFirstColumn="0" w:firstRowLastColumn="0" w:lastRowFirstColumn="0" w:lastRowLastColumn="0"/>
              <w:rPr>
                <w:b/>
                <w:bCs/>
                <w:sz w:val="22"/>
                <w:szCs w:val="22"/>
              </w:rPr>
            </w:pPr>
            <w:r w:rsidRPr="00DB08AF">
              <w:rPr>
                <w:rFonts w:eastAsia="Times New Roman"/>
                <w:b/>
                <w:bCs/>
                <w:i/>
                <w:iCs/>
                <w:lang w:eastAsia="en-AU"/>
              </w:rPr>
              <w:t>(as of 30 June 2025)</w:t>
            </w:r>
          </w:p>
        </w:tc>
      </w:tr>
      <w:tr w:rsidR="00BF7571" w:rsidRPr="00654F9E" w14:paraId="435E05D2" w14:textId="77777777" w:rsidTr="003A16C9">
        <w:trPr>
          <w:cantSplit/>
        </w:trPr>
        <w:tc>
          <w:tcPr>
            <w:cnfStyle w:val="001000000000" w:firstRow="0" w:lastRow="0" w:firstColumn="1" w:lastColumn="0" w:oddVBand="0" w:evenVBand="0" w:oddHBand="0" w:evenHBand="0" w:firstRowFirstColumn="0" w:firstRowLastColumn="0" w:lastRowFirstColumn="0" w:lastRowLastColumn="0"/>
            <w:tcW w:w="1250" w:type="pct"/>
          </w:tcPr>
          <w:p w14:paraId="2F2BD221" w14:textId="53D034C3" w:rsidR="00BF7571" w:rsidRPr="008776AE" w:rsidRDefault="00BF7571" w:rsidP="00BF7571">
            <w:r w:rsidRPr="00A91CD9">
              <w:rPr>
                <w:rFonts w:eastAsia="Times New Roman" w:cstheme="minorHAnsi"/>
                <w:lang w:eastAsia="en-AU"/>
              </w:rPr>
              <w:t>SO2.1: Enhance Australia’s safety management oversight capabilities of Service Providers Safety Management Systems (SMS).</w:t>
            </w:r>
          </w:p>
        </w:tc>
        <w:tc>
          <w:tcPr>
            <w:tcW w:w="1250" w:type="pct"/>
          </w:tcPr>
          <w:p w14:paraId="6E04BEE9" w14:textId="21AE6110" w:rsidR="00BF7571" w:rsidRPr="008776AE" w:rsidRDefault="00BF7571" w:rsidP="00BF7571">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Completion rates of SMS Assess and Approve training programs for all CASA SMS inspectors.</w:t>
            </w:r>
          </w:p>
        </w:tc>
        <w:tc>
          <w:tcPr>
            <w:tcW w:w="1250" w:type="pct"/>
          </w:tcPr>
          <w:p w14:paraId="3F2909D7" w14:textId="39CE6114" w:rsidR="00BF7571" w:rsidRPr="008776AE" w:rsidRDefault="00BF7571" w:rsidP="00BF7571">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95% of all active inspectors involved in SMS oversight to have completed and be current in SMS Assess and Approve training.</w:t>
            </w:r>
          </w:p>
        </w:tc>
        <w:tc>
          <w:tcPr>
            <w:tcW w:w="1250" w:type="pct"/>
            <w:shd w:val="clear" w:color="auto" w:fill="FFC000"/>
          </w:tcPr>
          <w:p w14:paraId="246B4C62" w14:textId="3D6F13EF" w:rsidR="00BF7571" w:rsidRPr="008776AE" w:rsidRDefault="00BF7571" w:rsidP="00BF7571">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BF7571" w:rsidRPr="00654F9E" w14:paraId="12BE513D" w14:textId="77777777" w:rsidTr="003A16C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0912284D" w14:textId="778540C1" w:rsidR="00BF7571" w:rsidRPr="008776AE" w:rsidRDefault="00BF7571" w:rsidP="00BF7571">
            <w:r w:rsidRPr="00A91CD9">
              <w:rPr>
                <w:rFonts w:eastAsia="Times New Roman" w:cstheme="minorHAnsi"/>
                <w:lang w:eastAsia="en-AU"/>
              </w:rPr>
              <w:t>SO2.1: Enhance Australia’s safety management oversight capabilities of Service Providers Safety Management Systems (SMS).</w:t>
            </w:r>
          </w:p>
        </w:tc>
        <w:tc>
          <w:tcPr>
            <w:tcW w:w="1250" w:type="pct"/>
          </w:tcPr>
          <w:p w14:paraId="6602D994" w14:textId="695C7F3B" w:rsidR="00BF7571" w:rsidRPr="008776AE" w:rsidRDefault="00BF7571" w:rsidP="00BF7571">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b. Completion rates of SMS introduction training for all CASA regulatory staff.</w:t>
            </w:r>
          </w:p>
        </w:tc>
        <w:tc>
          <w:tcPr>
            <w:tcW w:w="1250" w:type="pct"/>
          </w:tcPr>
          <w:p w14:paraId="18A0D1BD" w14:textId="1C89D83F" w:rsidR="00BF7571" w:rsidRPr="008776AE" w:rsidRDefault="00BF7571" w:rsidP="00BF7571">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95% of all CASA regulatory staff have completed and are current in SMS introduction training.</w:t>
            </w:r>
          </w:p>
        </w:tc>
        <w:tc>
          <w:tcPr>
            <w:tcW w:w="1250" w:type="pct"/>
            <w:shd w:val="clear" w:color="auto" w:fill="FFC000"/>
          </w:tcPr>
          <w:p w14:paraId="6C9B093D" w14:textId="6F39AC3F" w:rsidR="00BF7571" w:rsidRPr="008776AE" w:rsidRDefault="00BF7571" w:rsidP="00BF7571">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r w:rsidR="00BF7571" w:rsidRPr="00654F9E" w14:paraId="494A2A02" w14:textId="77777777" w:rsidTr="003A16C9">
        <w:trPr>
          <w:cantSplit/>
        </w:trPr>
        <w:tc>
          <w:tcPr>
            <w:cnfStyle w:val="001000000000" w:firstRow="0" w:lastRow="0" w:firstColumn="1" w:lastColumn="0" w:oddVBand="0" w:evenVBand="0" w:oddHBand="0" w:evenHBand="0" w:firstRowFirstColumn="0" w:firstRowLastColumn="0" w:lastRowFirstColumn="0" w:lastRowLastColumn="0"/>
            <w:tcW w:w="1250" w:type="pct"/>
          </w:tcPr>
          <w:p w14:paraId="2A3F502D" w14:textId="5A4DE519" w:rsidR="00BF7571" w:rsidRPr="008776AE" w:rsidRDefault="00BF7571" w:rsidP="00BF7571">
            <w:r w:rsidRPr="00A91CD9">
              <w:rPr>
                <w:rFonts w:eastAsia="Times New Roman" w:cstheme="minorHAnsi"/>
                <w:lang w:eastAsia="en-AU"/>
              </w:rPr>
              <w:t>SO2.1: Enhance Australia’s safety management oversight capabilities of Service Providers Safety Management Systems (SMS).</w:t>
            </w:r>
          </w:p>
        </w:tc>
        <w:tc>
          <w:tcPr>
            <w:tcW w:w="1250" w:type="pct"/>
          </w:tcPr>
          <w:p w14:paraId="3817E796" w14:textId="1291D20B" w:rsidR="00BF7571" w:rsidRPr="008776AE" w:rsidRDefault="00BF7571" w:rsidP="00BF7571">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c. Completion rates for Human Performance in Safety Management training programs for CASA inspectors.</w:t>
            </w:r>
          </w:p>
        </w:tc>
        <w:tc>
          <w:tcPr>
            <w:tcW w:w="1250" w:type="pct"/>
          </w:tcPr>
          <w:p w14:paraId="59F39EF8" w14:textId="7F33ABDC" w:rsidR="00BF7571" w:rsidRPr="008776AE" w:rsidRDefault="00BF7571" w:rsidP="00BF7571">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95% of all active inspectors involved in SMS oversight to have completed required HP training (initial and recurrent).</w:t>
            </w:r>
          </w:p>
        </w:tc>
        <w:tc>
          <w:tcPr>
            <w:tcW w:w="1250" w:type="pct"/>
            <w:shd w:val="clear" w:color="auto" w:fill="FFC000"/>
          </w:tcPr>
          <w:p w14:paraId="72267B04" w14:textId="7C551C24" w:rsidR="00BF7571" w:rsidRPr="008776AE" w:rsidRDefault="00BF7571" w:rsidP="00BF7571">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20678C" w:rsidRPr="00654F9E" w14:paraId="71D5C256" w14:textId="77777777" w:rsidTr="003A16C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3D3A7BBF" w14:textId="7B038EB9" w:rsidR="0020678C" w:rsidRPr="008776AE" w:rsidRDefault="0020678C" w:rsidP="0020678C">
            <w:r w:rsidRPr="00A91CD9">
              <w:rPr>
                <w:rFonts w:eastAsia="Times New Roman" w:cstheme="minorHAnsi"/>
                <w:lang w:eastAsia="en-AU"/>
              </w:rPr>
              <w:lastRenderedPageBreak/>
              <w:t>SO2.2: Enhance and continue to maintain Australia’s regulatory oversight technical inspectors’ capabilities.</w:t>
            </w:r>
          </w:p>
        </w:tc>
        <w:tc>
          <w:tcPr>
            <w:tcW w:w="1250" w:type="pct"/>
          </w:tcPr>
          <w:p w14:paraId="5E3321E6" w14:textId="528752B5" w:rsidR="0020678C" w:rsidRPr="008776AE" w:rsidRDefault="0020678C" w:rsidP="0020678C">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a. Completion rates of mandatory technical training.</w:t>
            </w:r>
          </w:p>
        </w:tc>
        <w:tc>
          <w:tcPr>
            <w:tcW w:w="1250" w:type="pct"/>
          </w:tcPr>
          <w:p w14:paraId="07AA333E" w14:textId="2C7CBB34" w:rsidR="0020678C" w:rsidRPr="008776AE" w:rsidRDefault="0020678C" w:rsidP="0020678C">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95% of all inspectors have completed mandatory technical training relevant to their role.</w:t>
            </w:r>
          </w:p>
        </w:tc>
        <w:tc>
          <w:tcPr>
            <w:tcW w:w="1250" w:type="pct"/>
            <w:shd w:val="clear" w:color="auto" w:fill="FFC000"/>
          </w:tcPr>
          <w:p w14:paraId="277C97BC" w14:textId="48267E60" w:rsidR="0020678C" w:rsidRPr="008776AE" w:rsidRDefault="0020678C" w:rsidP="0020678C">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r w:rsidR="00923F1E" w:rsidRPr="00654F9E" w14:paraId="6572D681" w14:textId="77777777" w:rsidTr="003A16C9">
        <w:trPr>
          <w:cantSplit/>
        </w:trPr>
        <w:tc>
          <w:tcPr>
            <w:cnfStyle w:val="001000000000" w:firstRow="0" w:lastRow="0" w:firstColumn="1" w:lastColumn="0" w:oddVBand="0" w:evenVBand="0" w:oddHBand="0" w:evenHBand="0" w:firstRowFirstColumn="0" w:firstRowLastColumn="0" w:lastRowFirstColumn="0" w:lastRowLastColumn="0"/>
            <w:tcW w:w="1250" w:type="pct"/>
          </w:tcPr>
          <w:p w14:paraId="308D628A" w14:textId="7E55037A" w:rsidR="00923F1E" w:rsidRPr="008776AE" w:rsidRDefault="00923F1E" w:rsidP="00923F1E">
            <w:r w:rsidRPr="00A91CD9">
              <w:rPr>
                <w:rFonts w:eastAsia="Times New Roman" w:cstheme="minorHAnsi"/>
                <w:lang w:eastAsia="en-AU"/>
              </w:rPr>
              <w:t>SO2.3: Enhance and continue to maintain Australia’s aviation safety investigators technical capabilities.</w:t>
            </w:r>
          </w:p>
        </w:tc>
        <w:tc>
          <w:tcPr>
            <w:tcW w:w="1250" w:type="pct"/>
          </w:tcPr>
          <w:p w14:paraId="08ECAEE5" w14:textId="0E958812"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Completion rates of initial/induction mandatory technical training for accident and incident investigations</w:t>
            </w:r>
          </w:p>
        </w:tc>
        <w:tc>
          <w:tcPr>
            <w:tcW w:w="1250" w:type="pct"/>
          </w:tcPr>
          <w:p w14:paraId="3B0A275E" w14:textId="1991E206"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100% of all mandatory technical initial/induction training completed within 12 months of commencement in role.</w:t>
            </w:r>
          </w:p>
        </w:tc>
        <w:tc>
          <w:tcPr>
            <w:tcW w:w="1250" w:type="pct"/>
            <w:shd w:val="clear" w:color="auto" w:fill="ED7D31"/>
          </w:tcPr>
          <w:p w14:paraId="0F9515D2" w14:textId="0C98BE99"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923F1E" w:rsidRPr="00654F9E" w14:paraId="58631B18" w14:textId="77777777" w:rsidTr="003A16C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15E2BA31" w14:textId="398EFAD3" w:rsidR="00923F1E" w:rsidRPr="008776AE" w:rsidRDefault="00923F1E" w:rsidP="00923F1E">
            <w:r w:rsidRPr="00A91CD9">
              <w:rPr>
                <w:rFonts w:eastAsia="Times New Roman" w:cstheme="minorHAnsi"/>
                <w:lang w:eastAsia="en-AU"/>
              </w:rPr>
              <w:t>SO2.3: Enhance and continue to maintain Australia’s aviation safety investigators technical capabilities.</w:t>
            </w:r>
          </w:p>
        </w:tc>
        <w:tc>
          <w:tcPr>
            <w:tcW w:w="1250" w:type="pct"/>
          </w:tcPr>
          <w:p w14:paraId="360DAAFD" w14:textId="5AD4B2D2"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b. Completion rates of recurrent/refresher mandatory technical training for accident and incident investigations </w:t>
            </w:r>
          </w:p>
        </w:tc>
        <w:tc>
          <w:tcPr>
            <w:tcW w:w="1250" w:type="pct"/>
          </w:tcPr>
          <w:p w14:paraId="456586CC" w14:textId="2CDD07D2"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95% of all active aviation safety investigators to have completed required recurrent/refresher mandatory technical training.</w:t>
            </w:r>
          </w:p>
        </w:tc>
        <w:tc>
          <w:tcPr>
            <w:tcW w:w="1250" w:type="pct"/>
            <w:shd w:val="clear" w:color="auto" w:fill="ED7D31"/>
          </w:tcPr>
          <w:p w14:paraId="62F1269C" w14:textId="3681BB7C"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r w:rsidR="00923F1E" w:rsidRPr="00654F9E" w14:paraId="26F5B818" w14:textId="77777777" w:rsidTr="003A16C9">
        <w:trPr>
          <w:cantSplit/>
        </w:trPr>
        <w:tc>
          <w:tcPr>
            <w:cnfStyle w:val="001000000000" w:firstRow="0" w:lastRow="0" w:firstColumn="1" w:lastColumn="0" w:oddVBand="0" w:evenVBand="0" w:oddHBand="0" w:evenHBand="0" w:firstRowFirstColumn="0" w:firstRowLastColumn="0" w:lastRowFirstColumn="0" w:lastRowLastColumn="0"/>
            <w:tcW w:w="1250" w:type="pct"/>
          </w:tcPr>
          <w:p w14:paraId="466B1AB2" w14:textId="235822EE" w:rsidR="00923F1E" w:rsidRPr="008776AE" w:rsidRDefault="00923F1E" w:rsidP="00923F1E">
            <w:r w:rsidRPr="00A91CD9">
              <w:rPr>
                <w:rFonts w:eastAsia="Times New Roman" w:cstheme="minorHAnsi"/>
                <w:lang w:eastAsia="en-AU"/>
              </w:rPr>
              <w:t>SO2.4: Improve the completion of ATSB investigations in a timely manner.</w:t>
            </w:r>
          </w:p>
        </w:tc>
        <w:tc>
          <w:tcPr>
            <w:tcW w:w="1250" w:type="pct"/>
          </w:tcPr>
          <w:p w14:paraId="15EC0804" w14:textId="0740D4CA"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ATSB investigation reports published, and safety issues relayed to safety owners</w:t>
            </w:r>
            <w:r w:rsidRPr="00A91CD9">
              <w:rPr>
                <w:rFonts w:eastAsia="Times New Roman" w:cstheme="minorHAnsi"/>
                <w:i/>
                <w:lang w:eastAsia="en-AU"/>
              </w:rPr>
              <w:t>.</w:t>
            </w:r>
          </w:p>
        </w:tc>
        <w:tc>
          <w:tcPr>
            <w:tcW w:w="1250" w:type="pct"/>
          </w:tcPr>
          <w:p w14:paraId="1AFC43C4" w14:textId="5D2FF211"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Median time to complete short, Defined and Systemic investigations are within timeframes as detailed in the ATSB’s PBS.</w:t>
            </w:r>
          </w:p>
        </w:tc>
        <w:tc>
          <w:tcPr>
            <w:tcW w:w="1250" w:type="pct"/>
            <w:shd w:val="clear" w:color="auto" w:fill="FFC000"/>
          </w:tcPr>
          <w:p w14:paraId="5AC08686" w14:textId="13666838"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A91CD9">
              <w:rPr>
                <w:rFonts w:eastAsia="Times New Roman"/>
                <w:lang w:eastAsia="en-AU"/>
              </w:rPr>
              <w:t>Improvements required for performance target to be achieved</w:t>
            </w:r>
          </w:p>
        </w:tc>
      </w:tr>
      <w:tr w:rsidR="00923F1E" w:rsidRPr="00654F9E" w14:paraId="3966210C" w14:textId="77777777" w:rsidTr="003A16C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56087FF0" w14:textId="7C3EAF55" w:rsidR="00923F1E" w:rsidRPr="008776AE" w:rsidRDefault="00923F1E" w:rsidP="00923F1E">
            <w:r w:rsidRPr="00A91CD9">
              <w:rPr>
                <w:rFonts w:eastAsia="Times New Roman" w:cstheme="minorHAnsi"/>
                <w:lang w:eastAsia="en-AU"/>
              </w:rPr>
              <w:t>SO2.5: Improving CASAs oversight activities to monitor compliance and performance of Service Providers SMS.</w:t>
            </w:r>
          </w:p>
        </w:tc>
        <w:tc>
          <w:tcPr>
            <w:tcW w:w="1250" w:type="pct"/>
          </w:tcPr>
          <w:p w14:paraId="1F20F18E" w14:textId="0EEBDF7E"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a. Percentage of SMS oversight activities undertaken to evaluate compliance with SMS Part 119 and Part 138 requirements against planned surveillance. </w:t>
            </w:r>
          </w:p>
        </w:tc>
        <w:tc>
          <w:tcPr>
            <w:tcW w:w="1250" w:type="pct"/>
          </w:tcPr>
          <w:p w14:paraId="4DDFA67B" w14:textId="09E9AC42"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90% of planned SMS oversight activities completed.</w:t>
            </w:r>
          </w:p>
        </w:tc>
        <w:tc>
          <w:tcPr>
            <w:tcW w:w="1250" w:type="pct"/>
            <w:shd w:val="clear" w:color="auto" w:fill="ED7D31"/>
          </w:tcPr>
          <w:p w14:paraId="1802AAFB" w14:textId="64821E64"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r w:rsidR="00923F1E" w:rsidRPr="00654F9E" w14:paraId="093497B9" w14:textId="77777777" w:rsidTr="003A16C9">
        <w:trPr>
          <w:cantSplit/>
        </w:trPr>
        <w:tc>
          <w:tcPr>
            <w:cnfStyle w:val="001000000000" w:firstRow="0" w:lastRow="0" w:firstColumn="1" w:lastColumn="0" w:oddVBand="0" w:evenVBand="0" w:oddHBand="0" w:evenHBand="0" w:firstRowFirstColumn="0" w:firstRowLastColumn="0" w:lastRowFirstColumn="0" w:lastRowLastColumn="0"/>
            <w:tcW w:w="1250" w:type="pct"/>
          </w:tcPr>
          <w:p w14:paraId="2886FBD8" w14:textId="543A0329" w:rsidR="00923F1E" w:rsidRPr="008776AE" w:rsidRDefault="00923F1E" w:rsidP="00923F1E">
            <w:r w:rsidRPr="00A91CD9">
              <w:rPr>
                <w:rFonts w:eastAsia="Times New Roman" w:cstheme="minorHAnsi"/>
                <w:lang w:eastAsia="en-AU"/>
              </w:rPr>
              <w:t>SO2.5: Improving CASAs oversight activities to monitor compliance and performance of Service Providers SMS.</w:t>
            </w:r>
          </w:p>
        </w:tc>
        <w:tc>
          <w:tcPr>
            <w:tcW w:w="1250" w:type="pct"/>
          </w:tcPr>
          <w:p w14:paraId="5D78613D" w14:textId="6ED4C7EE"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b. Percentage of SMS Part 119/138 oversight activities resulting in non-compliance/non-conformance findings being issued.</w:t>
            </w:r>
          </w:p>
        </w:tc>
        <w:tc>
          <w:tcPr>
            <w:tcW w:w="1250" w:type="pct"/>
          </w:tcPr>
          <w:p w14:paraId="6E373DD8" w14:textId="7406DAFC"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Monitoring and trend reporting only to enhance safety intelligence with analysis provided to inform State for oversight surveillance undertaken</w:t>
            </w:r>
          </w:p>
        </w:tc>
        <w:tc>
          <w:tcPr>
            <w:tcW w:w="1250" w:type="pct"/>
            <w:shd w:val="clear" w:color="auto" w:fill="ED7D31"/>
          </w:tcPr>
          <w:p w14:paraId="584C7BC2" w14:textId="460BFA8B"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F45BA1">
              <w:rPr>
                <w:rFonts w:eastAsia="Times New Roman" w:cstheme="minorHAnsi"/>
                <w:lang w:eastAsia="en-AU"/>
              </w:rPr>
              <w:t>Trend monitoring achieved</w:t>
            </w:r>
          </w:p>
        </w:tc>
      </w:tr>
      <w:tr w:rsidR="00923F1E" w:rsidRPr="00654F9E" w14:paraId="074CFE56" w14:textId="77777777" w:rsidTr="003A16C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620AEC68" w14:textId="6DF2331A" w:rsidR="00923F1E" w:rsidRPr="008776AE" w:rsidRDefault="00923F1E" w:rsidP="00923F1E">
            <w:r w:rsidRPr="00A91CD9">
              <w:rPr>
                <w:rFonts w:eastAsia="Times New Roman"/>
                <w:lang w:eastAsia="en-AU"/>
              </w:rPr>
              <w:t xml:space="preserve">SO2.6: Maintain or </w:t>
            </w:r>
            <w:r w:rsidRPr="00293C58">
              <w:rPr>
                <w:rFonts w:eastAsia="Times New Roman"/>
                <w:shd w:val="clear" w:color="auto" w:fill="FFFFFF" w:themeFill="background1"/>
                <w:lang w:eastAsia="en-AU"/>
              </w:rPr>
              <w:t>improve the effectiveness of Australia’s aviation safety regime in accordance with ICAO Standards and Recommended Practises (SARPS)</w:t>
            </w:r>
          </w:p>
        </w:tc>
        <w:tc>
          <w:tcPr>
            <w:tcW w:w="1250" w:type="pct"/>
          </w:tcPr>
          <w:p w14:paraId="581C31C3" w14:textId="2E70BC78"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a. Percentage of corrective action plans (CAPs) completed.</w:t>
            </w:r>
          </w:p>
        </w:tc>
        <w:tc>
          <w:tcPr>
            <w:tcW w:w="1250" w:type="pct"/>
          </w:tcPr>
          <w:p w14:paraId="4CADF9D4" w14:textId="35FB0F72"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100% actioned within agreed acceptable timeframes.</w:t>
            </w:r>
          </w:p>
        </w:tc>
        <w:tc>
          <w:tcPr>
            <w:tcW w:w="1250" w:type="pct"/>
            <w:shd w:val="clear" w:color="auto" w:fill="FFC000"/>
          </w:tcPr>
          <w:p w14:paraId="49561ABF" w14:textId="7B8C6206"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A91CD9">
              <w:rPr>
                <w:rFonts w:eastAsia="Times New Roman"/>
                <w:lang w:eastAsia="en-AU"/>
              </w:rPr>
              <w:t>Improvements required for performance target to be achieved</w:t>
            </w:r>
          </w:p>
        </w:tc>
      </w:tr>
      <w:tr w:rsidR="00923F1E" w:rsidRPr="00654F9E" w14:paraId="1E8F5DDD" w14:textId="77777777" w:rsidTr="003A16C9">
        <w:trPr>
          <w:cantSplit/>
        </w:trPr>
        <w:tc>
          <w:tcPr>
            <w:cnfStyle w:val="001000000000" w:firstRow="0" w:lastRow="0" w:firstColumn="1" w:lastColumn="0" w:oddVBand="0" w:evenVBand="0" w:oddHBand="0" w:evenHBand="0" w:firstRowFirstColumn="0" w:firstRowLastColumn="0" w:lastRowFirstColumn="0" w:lastRowLastColumn="0"/>
            <w:tcW w:w="1250" w:type="pct"/>
          </w:tcPr>
          <w:p w14:paraId="2087FBF7" w14:textId="5FC027E2" w:rsidR="00923F1E" w:rsidRPr="008776AE" w:rsidRDefault="00923F1E" w:rsidP="00923F1E">
            <w:r w:rsidRPr="00A91CD9">
              <w:rPr>
                <w:rFonts w:eastAsia="Times New Roman"/>
                <w:lang w:eastAsia="en-AU"/>
              </w:rPr>
              <w:lastRenderedPageBreak/>
              <w:t xml:space="preserve">SO2.6: Maintain or </w:t>
            </w:r>
            <w:r w:rsidRPr="00293C58">
              <w:rPr>
                <w:rFonts w:eastAsia="Times New Roman"/>
                <w:shd w:val="clear" w:color="auto" w:fill="FFFFFF" w:themeFill="background1"/>
                <w:lang w:eastAsia="en-AU"/>
              </w:rPr>
              <w:t>improve the effectiveness of Australia’s aviation safety regime in accordance with ICAO Standards and Recommended Practises (SARPS)</w:t>
            </w:r>
          </w:p>
        </w:tc>
        <w:tc>
          <w:tcPr>
            <w:tcW w:w="1250" w:type="pct"/>
          </w:tcPr>
          <w:p w14:paraId="1BDA0202" w14:textId="539989AC"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b. Number of ICAO significant safety concerns.</w:t>
            </w:r>
          </w:p>
        </w:tc>
        <w:tc>
          <w:tcPr>
            <w:tcW w:w="1250" w:type="pct"/>
          </w:tcPr>
          <w:p w14:paraId="158BC0F3" w14:textId="44437150"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Nil ICAO Significant Safety Concerns.</w:t>
            </w:r>
          </w:p>
        </w:tc>
        <w:tc>
          <w:tcPr>
            <w:tcW w:w="1250" w:type="pct"/>
            <w:shd w:val="clear" w:color="auto" w:fill="ED7D31"/>
          </w:tcPr>
          <w:p w14:paraId="2D75E2ED" w14:textId="6A5EDE21" w:rsidR="00923F1E" w:rsidRPr="008776AE" w:rsidRDefault="00923F1E" w:rsidP="00923F1E">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923F1E" w:rsidRPr="00654F9E" w14:paraId="66C1CFDB" w14:textId="77777777" w:rsidTr="003A16C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64F2A79B" w14:textId="277FD9EC" w:rsidR="00923F1E" w:rsidRPr="008776AE" w:rsidRDefault="00923F1E" w:rsidP="00923F1E">
            <w:r w:rsidRPr="00A91CD9">
              <w:rPr>
                <w:rFonts w:eastAsia="Times New Roman" w:cstheme="minorHAnsi"/>
                <w:lang w:eastAsia="en-AU"/>
              </w:rPr>
              <w:t>SO2.7: Monitoring aviation service providers compliance with regulations. </w:t>
            </w:r>
          </w:p>
        </w:tc>
        <w:tc>
          <w:tcPr>
            <w:tcW w:w="1250" w:type="pct"/>
          </w:tcPr>
          <w:p w14:paraId="4C14C24B" w14:textId="6ED8066D"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a. NOP Planned Surveillance program: Percentage of planned surveillance activities undertaken within identified scheduled.</w:t>
            </w:r>
          </w:p>
        </w:tc>
        <w:tc>
          <w:tcPr>
            <w:tcW w:w="1250" w:type="pct"/>
          </w:tcPr>
          <w:p w14:paraId="536EA10B" w14:textId="707B7FAD"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90% of NOP planned surveillance activities completed within schedule.</w:t>
            </w:r>
          </w:p>
        </w:tc>
        <w:tc>
          <w:tcPr>
            <w:tcW w:w="1250" w:type="pct"/>
            <w:shd w:val="clear" w:color="auto" w:fill="ED7D31"/>
          </w:tcPr>
          <w:p w14:paraId="56250F1E" w14:textId="4CDE0842" w:rsidR="00923F1E" w:rsidRPr="008776AE" w:rsidRDefault="00923F1E" w:rsidP="00923F1E">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bl>
    <w:p w14:paraId="554146B9" w14:textId="77777777" w:rsidR="005C2ADE" w:rsidRDefault="005C2ADE" w:rsidP="005C2ADE">
      <w:r>
        <w:br w:type="page"/>
      </w:r>
    </w:p>
    <w:p w14:paraId="44430997" w14:textId="77777777" w:rsidR="005C2ADE" w:rsidRPr="00A91CD9" w:rsidRDefault="005C2ADE" w:rsidP="008F4E39">
      <w:pPr>
        <w:pStyle w:val="Heading3"/>
      </w:pPr>
      <w:bookmarkStart w:id="60" w:name="_Toc227229301"/>
      <w:bookmarkStart w:id="61" w:name="_Toc230270028"/>
      <w:r w:rsidRPr="00A91CD9">
        <w:lastRenderedPageBreak/>
        <w:t>Goal 3:</w:t>
      </w:r>
      <w:r>
        <w:t xml:space="preserve"> </w:t>
      </w:r>
      <w:r w:rsidRPr="00A91CD9">
        <w:t>Enhance the effectiveness of Australia’s State Safety Programme through safety intelligence.</w:t>
      </w:r>
      <w:bookmarkEnd w:id="60"/>
      <w:bookmarkEnd w:id="61"/>
    </w:p>
    <w:p w14:paraId="5AD3AC49" w14:textId="5B235575" w:rsidR="005C2ADE" w:rsidRDefault="005C2ADE" w:rsidP="005C2ADE">
      <w:pPr>
        <w:rPr>
          <w:rFonts w:eastAsia="Times New Roman"/>
          <w:lang w:eastAsia="en-AU"/>
        </w:rPr>
      </w:pPr>
      <w:r w:rsidRPr="556A6CB7">
        <w:rPr>
          <w:rFonts w:eastAsia="Times New Roman"/>
          <w:lang w:eastAsia="en-AU"/>
        </w:rPr>
        <w:t>In the first year of the NASP</w:t>
      </w:r>
      <w:r>
        <w:rPr>
          <w:rFonts w:eastAsia="Times New Roman"/>
          <w:lang w:eastAsia="en-AU"/>
        </w:rPr>
        <w:t xml:space="preserve"> </w:t>
      </w:r>
      <w:r>
        <w:rPr>
          <w:rFonts w:cstheme="minorHAnsi"/>
        </w:rPr>
        <w:t>(2024</w:t>
      </w:r>
      <w:r w:rsidR="008F4E39">
        <w:rPr>
          <w:rFonts w:cstheme="minorHAnsi"/>
        </w:rPr>
        <w:t>–</w:t>
      </w:r>
      <w:r>
        <w:rPr>
          <w:rFonts w:cstheme="minorHAnsi"/>
        </w:rPr>
        <w:t>2027)</w:t>
      </w:r>
      <w:r>
        <w:rPr>
          <w:rFonts w:eastAsia="Times New Roman"/>
          <w:lang w:eastAsia="en-AU"/>
        </w:rPr>
        <w:t>, only</w:t>
      </w:r>
      <w:r w:rsidRPr="556A6CB7">
        <w:rPr>
          <w:rFonts w:eastAsia="Times New Roman"/>
          <w:lang w:eastAsia="en-AU"/>
        </w:rPr>
        <w:t xml:space="preserve"> 37.5% of </w:t>
      </w:r>
      <w:r>
        <w:rPr>
          <w:rFonts w:eastAsia="Times New Roman"/>
          <w:lang w:eastAsia="en-AU"/>
        </w:rPr>
        <w:t>G</w:t>
      </w:r>
      <w:r w:rsidRPr="556A6CB7">
        <w:rPr>
          <w:rFonts w:eastAsia="Times New Roman"/>
          <w:lang w:eastAsia="en-AU"/>
        </w:rPr>
        <w:t xml:space="preserve">oal 3 SPIs (3 out of 8) </w:t>
      </w:r>
      <w:r>
        <w:rPr>
          <w:rFonts w:eastAsia="Times New Roman"/>
          <w:lang w:eastAsia="en-AU"/>
        </w:rPr>
        <w:t>have met</w:t>
      </w:r>
      <w:r w:rsidRPr="556A6CB7">
        <w:rPr>
          <w:rFonts w:eastAsia="Times New Roman"/>
          <w:lang w:eastAsia="en-AU"/>
        </w:rPr>
        <w:t xml:space="preserve"> their performance targets</w:t>
      </w:r>
      <w:r>
        <w:rPr>
          <w:rFonts w:eastAsia="Times New Roman"/>
          <w:lang w:eastAsia="en-AU"/>
        </w:rPr>
        <w:t xml:space="preserve"> (Table 4)</w:t>
      </w:r>
      <w:r w:rsidRPr="556A6CB7">
        <w:rPr>
          <w:rFonts w:eastAsia="Times New Roman"/>
          <w:lang w:eastAsia="en-AU"/>
        </w:rPr>
        <w:t xml:space="preserve">. With performance relating to </w:t>
      </w:r>
      <w:r>
        <w:rPr>
          <w:rFonts w:eastAsia="Times New Roman"/>
          <w:lang w:eastAsia="en-AU"/>
        </w:rPr>
        <w:t xml:space="preserve">overall completion of </w:t>
      </w:r>
      <w:r w:rsidRPr="556A6CB7">
        <w:rPr>
          <w:rFonts w:eastAsia="Times New Roman"/>
          <w:lang w:eastAsia="en-AU"/>
        </w:rPr>
        <w:t>NASP safety enhancement initiatives (SEIs) and sector safety risk profiles (SSRPs) meeting target</w:t>
      </w:r>
      <w:r>
        <w:rPr>
          <w:rFonts w:eastAsia="Times New Roman"/>
          <w:lang w:eastAsia="en-AU"/>
        </w:rPr>
        <w:t>s</w:t>
      </w:r>
      <w:r w:rsidRPr="556A6CB7">
        <w:rPr>
          <w:rFonts w:eastAsia="Times New Roman"/>
          <w:lang w:eastAsia="en-AU"/>
        </w:rPr>
        <w:t xml:space="preserve">, </w:t>
      </w:r>
      <w:r>
        <w:rPr>
          <w:rFonts w:eastAsia="Times New Roman"/>
          <w:lang w:eastAsia="en-AU"/>
        </w:rPr>
        <w:t xml:space="preserve">this </w:t>
      </w:r>
      <w:r w:rsidRPr="556A6CB7">
        <w:rPr>
          <w:rFonts w:eastAsia="Times New Roman"/>
          <w:lang w:eastAsia="en-AU"/>
        </w:rPr>
        <w:t>indicat</w:t>
      </w:r>
      <w:r>
        <w:rPr>
          <w:rFonts w:eastAsia="Times New Roman"/>
          <w:lang w:eastAsia="en-AU"/>
        </w:rPr>
        <w:t>es</w:t>
      </w:r>
      <w:r w:rsidRPr="556A6CB7">
        <w:rPr>
          <w:rFonts w:eastAsia="Times New Roman"/>
          <w:lang w:eastAsia="en-AU"/>
        </w:rPr>
        <w:t xml:space="preserve"> functions </w:t>
      </w:r>
      <w:r>
        <w:rPr>
          <w:rFonts w:eastAsia="Times New Roman"/>
          <w:lang w:eastAsia="en-AU"/>
        </w:rPr>
        <w:t xml:space="preserve">aimed at </w:t>
      </w:r>
      <w:r w:rsidRPr="556A6CB7">
        <w:rPr>
          <w:rFonts w:eastAsia="Times New Roman"/>
          <w:lang w:eastAsia="en-AU"/>
        </w:rPr>
        <w:t>enhancing SSP safety intelligence are being implemented but further work is required to ensure this goal is achievable.</w:t>
      </w:r>
    </w:p>
    <w:p w14:paraId="058562D6" w14:textId="77777777" w:rsidR="005C2ADE" w:rsidRDefault="005C2ADE" w:rsidP="005C2ADE">
      <w:pPr>
        <w:rPr>
          <w:rFonts w:eastAsia="Times New Roman"/>
          <w:lang w:eastAsia="en-AU"/>
        </w:rPr>
      </w:pPr>
      <w:r w:rsidRPr="556A6CB7">
        <w:rPr>
          <w:rFonts w:eastAsia="Times New Roman"/>
          <w:lang w:eastAsia="en-AU"/>
        </w:rPr>
        <w:t xml:space="preserve">Further SEIs are underway </w:t>
      </w:r>
      <w:r>
        <w:rPr>
          <w:rFonts w:eastAsia="Times New Roman"/>
          <w:lang w:eastAsia="en-AU"/>
        </w:rPr>
        <w:t>to revise</w:t>
      </w:r>
      <w:r w:rsidRPr="556A6CB7">
        <w:rPr>
          <w:rFonts w:eastAsia="Times New Roman"/>
          <w:lang w:eastAsia="en-AU"/>
        </w:rPr>
        <w:t xml:space="preserve"> </w:t>
      </w:r>
      <w:r>
        <w:rPr>
          <w:rFonts w:eastAsia="Times New Roman"/>
          <w:lang w:eastAsia="en-AU"/>
        </w:rPr>
        <w:t xml:space="preserve">the </w:t>
      </w:r>
      <w:r w:rsidRPr="556A6CB7">
        <w:rPr>
          <w:rFonts w:eastAsia="Times New Roman"/>
          <w:lang w:eastAsia="en-AU"/>
        </w:rPr>
        <w:t xml:space="preserve">SSP governance </w:t>
      </w:r>
      <w:r>
        <w:rPr>
          <w:rFonts w:eastAsia="Times New Roman"/>
          <w:lang w:eastAsia="en-AU"/>
        </w:rPr>
        <w:t>arrangements, aiming to improve</w:t>
      </w:r>
      <w:r w:rsidRPr="556A6CB7">
        <w:rPr>
          <w:rFonts w:eastAsia="Times New Roman"/>
          <w:lang w:eastAsia="en-AU"/>
        </w:rPr>
        <w:t xml:space="preserve"> cross</w:t>
      </w:r>
      <w:r>
        <w:rPr>
          <w:rFonts w:eastAsia="Times New Roman"/>
          <w:lang w:eastAsia="en-AU"/>
        </w:rPr>
        <w:t>-</w:t>
      </w:r>
      <w:r w:rsidRPr="556A6CB7">
        <w:rPr>
          <w:rFonts w:eastAsia="Times New Roman"/>
          <w:lang w:eastAsia="en-AU"/>
        </w:rPr>
        <w:t xml:space="preserve">agency collaboration </w:t>
      </w:r>
      <w:r>
        <w:rPr>
          <w:rFonts w:eastAsia="Times New Roman"/>
          <w:lang w:eastAsia="en-AU"/>
        </w:rPr>
        <w:t>and</w:t>
      </w:r>
      <w:r w:rsidRPr="556A6CB7">
        <w:rPr>
          <w:rFonts w:eastAsia="Times New Roman"/>
          <w:lang w:eastAsia="en-AU"/>
        </w:rPr>
        <w:t xml:space="preserve"> enhance </w:t>
      </w:r>
      <w:r>
        <w:rPr>
          <w:rFonts w:eastAsia="Times New Roman"/>
          <w:lang w:eastAsia="en-AU"/>
        </w:rPr>
        <w:t xml:space="preserve">SSP and NASP </w:t>
      </w:r>
      <w:r w:rsidRPr="556A6CB7">
        <w:rPr>
          <w:rFonts w:eastAsia="Times New Roman"/>
          <w:lang w:eastAsia="en-AU"/>
        </w:rPr>
        <w:t xml:space="preserve">awareness </w:t>
      </w:r>
      <w:r>
        <w:rPr>
          <w:rFonts w:eastAsia="Times New Roman"/>
          <w:lang w:eastAsia="en-AU"/>
        </w:rPr>
        <w:t xml:space="preserve">among </w:t>
      </w:r>
      <w:r w:rsidRPr="556A6CB7">
        <w:rPr>
          <w:rFonts w:eastAsia="Times New Roman"/>
          <w:lang w:eastAsia="en-AU"/>
        </w:rPr>
        <w:t>all SSP agencies.</w:t>
      </w:r>
      <w:r>
        <w:rPr>
          <w:rFonts w:eastAsia="Times New Roman"/>
          <w:lang w:eastAsia="en-AU"/>
        </w:rPr>
        <w:t xml:space="preserve"> A </w:t>
      </w:r>
      <w:r w:rsidRPr="556A6CB7">
        <w:rPr>
          <w:rFonts w:eastAsia="Times New Roman"/>
          <w:lang w:eastAsia="en-AU"/>
        </w:rPr>
        <w:t>review of the SSP</w:t>
      </w:r>
      <w:r>
        <w:rPr>
          <w:rFonts w:eastAsia="Times New Roman"/>
          <w:lang w:eastAsia="en-AU"/>
        </w:rPr>
        <w:t>/</w:t>
      </w:r>
      <w:r w:rsidRPr="556A6CB7">
        <w:rPr>
          <w:rFonts w:eastAsia="Times New Roman"/>
          <w:lang w:eastAsia="en-AU"/>
        </w:rPr>
        <w:t xml:space="preserve">NASP awareness training </w:t>
      </w:r>
      <w:r>
        <w:rPr>
          <w:rFonts w:eastAsia="Times New Roman"/>
          <w:lang w:eastAsia="en-AU"/>
        </w:rPr>
        <w:t>aims</w:t>
      </w:r>
      <w:r w:rsidRPr="556A6CB7">
        <w:rPr>
          <w:rFonts w:eastAsia="Times New Roman"/>
          <w:lang w:eastAsia="en-AU"/>
        </w:rPr>
        <w:t xml:space="preserve"> to better understand training needs </w:t>
      </w:r>
      <w:r>
        <w:rPr>
          <w:rFonts w:eastAsia="Times New Roman"/>
          <w:lang w:eastAsia="en-AU"/>
        </w:rPr>
        <w:t>for</w:t>
      </w:r>
      <w:r w:rsidRPr="556A6CB7">
        <w:rPr>
          <w:rFonts w:eastAsia="Times New Roman"/>
          <w:lang w:eastAsia="en-AU"/>
        </w:rPr>
        <w:t xml:space="preserve"> aviation staff.</w:t>
      </w:r>
      <w:r>
        <w:rPr>
          <w:rFonts w:eastAsia="Times New Roman"/>
          <w:lang w:eastAsia="en-AU"/>
        </w:rPr>
        <w:t xml:space="preserve"> </w:t>
      </w:r>
      <w:r w:rsidRPr="00B86F6D">
        <w:rPr>
          <w:rFonts w:cs="Calibri"/>
          <w:color w:val="000000"/>
        </w:rPr>
        <w:t>These efforts are expected to help achieve safety objectives in collaboration and awareness performance targets.</w:t>
      </w:r>
    </w:p>
    <w:p w14:paraId="692D57F3" w14:textId="77777777" w:rsidR="005C2ADE" w:rsidRDefault="005C2ADE" w:rsidP="005C2ADE">
      <w:pPr>
        <w:rPr>
          <w:rFonts w:eastAsia="Times New Roman"/>
          <w:lang w:eastAsia="en-AU"/>
        </w:rPr>
      </w:pPr>
      <w:r w:rsidRPr="556A6CB7">
        <w:rPr>
          <w:rFonts w:eastAsia="Times New Roman"/>
          <w:lang w:eastAsia="en-AU"/>
        </w:rPr>
        <w:t xml:space="preserve">Performance relating to </w:t>
      </w:r>
      <w:r>
        <w:rPr>
          <w:rFonts w:eastAsia="Times New Roman"/>
          <w:lang w:eastAsia="en-AU"/>
        </w:rPr>
        <w:t xml:space="preserve">the resolution of </w:t>
      </w:r>
      <w:r w:rsidRPr="556A6CB7">
        <w:rPr>
          <w:rFonts w:eastAsia="Times New Roman"/>
          <w:lang w:eastAsia="en-AU"/>
        </w:rPr>
        <w:t>safety issues identified in aviation investigations</w:t>
      </w:r>
      <w:r>
        <w:rPr>
          <w:rFonts w:eastAsia="Times New Roman"/>
          <w:lang w:eastAsia="en-AU"/>
        </w:rPr>
        <w:t xml:space="preserve"> </w:t>
      </w:r>
      <w:r w:rsidRPr="556A6CB7">
        <w:rPr>
          <w:rFonts w:eastAsia="Times New Roman"/>
          <w:lang w:eastAsia="en-AU"/>
        </w:rPr>
        <w:t xml:space="preserve">was </w:t>
      </w:r>
      <w:r>
        <w:rPr>
          <w:rFonts w:eastAsia="Times New Roman"/>
          <w:lang w:eastAsia="en-AU"/>
        </w:rPr>
        <w:t>slightly below</w:t>
      </w:r>
      <w:r w:rsidRPr="556A6CB7">
        <w:rPr>
          <w:rFonts w:eastAsia="Times New Roman"/>
          <w:lang w:eastAsia="en-AU"/>
        </w:rPr>
        <w:t xml:space="preserve"> the target</w:t>
      </w:r>
      <w:r>
        <w:rPr>
          <w:rFonts w:eastAsia="Times New Roman"/>
          <w:lang w:eastAsia="en-AU"/>
        </w:rPr>
        <w:t>, with 63% achieved against the ATSB’s PBS benchmark of 65%</w:t>
      </w:r>
      <w:r w:rsidRPr="556A6CB7">
        <w:rPr>
          <w:rFonts w:eastAsia="Times New Roman"/>
          <w:lang w:eastAsia="en-AU"/>
        </w:rPr>
        <w:t>.</w:t>
      </w:r>
      <w:r>
        <w:rPr>
          <w:rFonts w:eastAsia="Times New Roman"/>
          <w:lang w:eastAsia="en-AU"/>
        </w:rPr>
        <w:t xml:space="preserve"> Preliminary indications suggest the target is likely to be met in the second year of the NASP.</w:t>
      </w:r>
    </w:p>
    <w:p w14:paraId="0B93E590" w14:textId="7D80D04F" w:rsidR="005C2ADE" w:rsidRDefault="005C2ADE" w:rsidP="002C6061">
      <w:pPr>
        <w:pStyle w:val="Tablefigureheading"/>
      </w:pPr>
      <w:bookmarkStart w:id="62" w:name="_Toc230269806"/>
      <w:r>
        <w:t>Table 4</w:t>
      </w:r>
      <w:r w:rsidR="00340487">
        <w:t>—</w:t>
      </w:r>
      <w:r>
        <w:t xml:space="preserve">Goal 3 performance outcomes for </w:t>
      </w:r>
      <w:r w:rsidRPr="00A91CD9">
        <w:t xml:space="preserve">FY </w:t>
      </w:r>
      <w:r w:rsidR="003276FE">
        <w:t>2024–25</w:t>
      </w:r>
      <w:bookmarkEnd w:id="62"/>
    </w:p>
    <w:tbl>
      <w:tblPr>
        <w:tblStyle w:val="DefaultTable11"/>
        <w:tblW w:w="0" w:type="auto"/>
        <w:tblBorders>
          <w:top w:val="single" w:sz="4" w:space="0" w:color="ED662F"/>
          <w:bottom w:val="single" w:sz="12" w:space="0" w:color="ED662F"/>
          <w:insideH w:val="single" w:sz="4" w:space="0" w:color="ED662F"/>
        </w:tblBorders>
        <w:tblLook w:val="04A0" w:firstRow="1" w:lastRow="0" w:firstColumn="1" w:lastColumn="0" w:noHBand="0" w:noVBand="1"/>
        <w:tblCaption w:val="Table 4—Goal 3 performance outcomes for FY 2024–25"/>
        <w:tblDescription w:val="Table 4—Goal 3 performance outcomes for FY 2024–25"/>
      </w:tblPr>
      <w:tblGrid>
        <w:gridCol w:w="2368"/>
        <w:gridCol w:w="2369"/>
        <w:gridCol w:w="2369"/>
        <w:gridCol w:w="2369"/>
      </w:tblGrid>
      <w:tr w:rsidR="00B22325" w:rsidRPr="00654F9E" w14:paraId="6909C5EE" w14:textId="77777777" w:rsidTr="0054420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shd w:val="clear" w:color="auto" w:fill="4D148C"/>
          </w:tcPr>
          <w:p w14:paraId="48822CDF" w14:textId="6973A373" w:rsidR="00B22325" w:rsidRPr="00EC63E4" w:rsidRDefault="00B22325" w:rsidP="00B22325">
            <w:pPr>
              <w:pStyle w:val="Tablerowcolumnheading"/>
              <w:keepNext/>
              <w:rPr>
                <w:b/>
                <w:bCs/>
                <w:sz w:val="22"/>
                <w:szCs w:val="22"/>
              </w:rPr>
            </w:pPr>
            <w:r w:rsidRPr="00EC63E4">
              <w:rPr>
                <w:rFonts w:eastAsia="Times New Roman" w:cstheme="minorHAnsi"/>
                <w:b/>
                <w:bCs/>
                <w:lang w:eastAsia="en-AU"/>
              </w:rPr>
              <w:t>Safety Objectives (SO)</w:t>
            </w:r>
          </w:p>
        </w:tc>
        <w:tc>
          <w:tcPr>
            <w:tcW w:w="1250" w:type="pct"/>
            <w:shd w:val="clear" w:color="auto" w:fill="4D148C"/>
          </w:tcPr>
          <w:p w14:paraId="2A2A43A5" w14:textId="1452687E" w:rsidR="00B22325" w:rsidRPr="00EC63E4" w:rsidRDefault="00B22325" w:rsidP="00B22325">
            <w:pPr>
              <w:pStyle w:val="Tablerowcolumnheading"/>
              <w:keepNext/>
              <w:cnfStyle w:val="100000000000" w:firstRow="1" w:lastRow="0" w:firstColumn="0" w:lastColumn="0" w:oddVBand="0" w:evenVBand="0" w:oddHBand="0" w:evenHBand="0" w:firstRowFirstColumn="0" w:firstRowLastColumn="0" w:lastRowFirstColumn="0" w:lastRowLastColumn="0"/>
              <w:rPr>
                <w:b/>
                <w:bCs/>
                <w:szCs w:val="22"/>
              </w:rPr>
            </w:pPr>
            <w:r w:rsidRPr="00EC63E4">
              <w:rPr>
                <w:rFonts w:eastAsia="Times New Roman" w:cstheme="minorHAnsi"/>
                <w:b/>
                <w:bCs/>
                <w:lang w:eastAsia="en-AU"/>
              </w:rPr>
              <w:t>Safety Performance Indicators</w:t>
            </w:r>
          </w:p>
        </w:tc>
        <w:tc>
          <w:tcPr>
            <w:tcW w:w="1250" w:type="pct"/>
            <w:shd w:val="clear" w:color="auto" w:fill="4D148C"/>
          </w:tcPr>
          <w:p w14:paraId="45004A84" w14:textId="387F6AF6" w:rsidR="00B22325" w:rsidRPr="00EC63E4" w:rsidRDefault="00B22325" w:rsidP="00B22325">
            <w:pPr>
              <w:pStyle w:val="Tablerowcolumnheading"/>
              <w:keepNext/>
              <w:cnfStyle w:val="100000000000" w:firstRow="1" w:lastRow="0" w:firstColumn="0" w:lastColumn="0" w:oddVBand="0" w:evenVBand="0" w:oddHBand="0" w:evenHBand="0" w:firstRowFirstColumn="0" w:firstRowLastColumn="0" w:lastRowFirstColumn="0" w:lastRowLastColumn="0"/>
              <w:rPr>
                <w:b/>
                <w:bCs/>
                <w:sz w:val="22"/>
                <w:szCs w:val="22"/>
              </w:rPr>
            </w:pPr>
            <w:r w:rsidRPr="00EC63E4">
              <w:rPr>
                <w:rFonts w:eastAsia="Times New Roman" w:cstheme="minorHAnsi"/>
                <w:b/>
                <w:bCs/>
                <w:lang w:eastAsia="en-AU"/>
              </w:rPr>
              <w:t>Safety Performance Target or Trend</w:t>
            </w:r>
          </w:p>
        </w:tc>
        <w:tc>
          <w:tcPr>
            <w:tcW w:w="1250" w:type="pct"/>
            <w:shd w:val="clear" w:color="auto" w:fill="4D148C"/>
          </w:tcPr>
          <w:p w14:paraId="37378C2F" w14:textId="0B373A42" w:rsidR="00B22325" w:rsidRPr="00EC63E4" w:rsidRDefault="00B22325" w:rsidP="00B22325">
            <w:pPr>
              <w:pStyle w:val="Tablerowcolumnheadingcentred"/>
              <w:keepNext/>
              <w:jc w:val="left"/>
              <w:cnfStyle w:val="100000000000" w:firstRow="1" w:lastRow="0" w:firstColumn="0" w:lastColumn="0" w:oddVBand="0" w:evenVBand="0" w:oddHBand="0" w:evenHBand="0" w:firstRowFirstColumn="0" w:firstRowLastColumn="0" w:lastRowFirstColumn="0" w:lastRowLastColumn="0"/>
              <w:rPr>
                <w:b/>
                <w:bCs/>
                <w:sz w:val="22"/>
                <w:szCs w:val="22"/>
              </w:rPr>
            </w:pPr>
            <w:r w:rsidRPr="00EC63E4">
              <w:rPr>
                <w:rFonts w:eastAsia="Times New Roman" w:cstheme="minorHAnsi"/>
                <w:b/>
                <w:bCs/>
                <w:lang w:eastAsia="en-AU"/>
              </w:rPr>
              <w:t>Performance Outcome</w:t>
            </w:r>
            <w:r w:rsidRPr="00EC63E4">
              <w:rPr>
                <w:rFonts w:eastAsia="Times New Roman" w:cstheme="minorHAnsi"/>
                <w:b/>
                <w:bCs/>
                <w:lang w:eastAsia="en-AU"/>
              </w:rPr>
              <w:br/>
            </w:r>
            <w:r w:rsidRPr="00EC63E4">
              <w:rPr>
                <w:rFonts w:eastAsia="Times New Roman" w:cstheme="minorHAnsi"/>
                <w:b/>
                <w:bCs/>
                <w:i/>
                <w:lang w:eastAsia="en-AU"/>
              </w:rPr>
              <w:t>(as of 30 June 2025)</w:t>
            </w:r>
            <w:r w:rsidRPr="00EC63E4">
              <w:rPr>
                <w:rFonts w:eastAsia="Times New Roman" w:cstheme="minorHAnsi"/>
                <w:b/>
                <w:bCs/>
                <w:lang w:eastAsia="en-AU"/>
              </w:rPr>
              <w:t xml:space="preserve"> </w:t>
            </w:r>
          </w:p>
        </w:tc>
      </w:tr>
      <w:tr w:rsidR="008E0025" w:rsidRPr="00654F9E" w14:paraId="0C415177" w14:textId="77777777" w:rsidTr="00544206">
        <w:trPr>
          <w:cantSplit/>
        </w:trPr>
        <w:tc>
          <w:tcPr>
            <w:cnfStyle w:val="001000000000" w:firstRow="0" w:lastRow="0" w:firstColumn="1" w:lastColumn="0" w:oddVBand="0" w:evenVBand="0" w:oddHBand="0" w:evenHBand="0" w:firstRowFirstColumn="0" w:firstRowLastColumn="0" w:lastRowFirstColumn="0" w:lastRowLastColumn="0"/>
            <w:tcW w:w="1250" w:type="pct"/>
          </w:tcPr>
          <w:p w14:paraId="36FB3A04" w14:textId="6F50330C" w:rsidR="008E0025" w:rsidRPr="008776AE" w:rsidRDefault="008E0025" w:rsidP="008E0025">
            <w:r w:rsidRPr="00A91CD9">
              <w:rPr>
                <w:rFonts w:eastAsia="Times New Roman" w:cstheme="minorHAnsi"/>
                <w:lang w:eastAsia="en-AU"/>
              </w:rPr>
              <w:t>SO3.1: Enhancing SSP performance through SEI actions being accomplished and implemented.</w:t>
            </w:r>
          </w:p>
        </w:tc>
        <w:tc>
          <w:tcPr>
            <w:tcW w:w="1250" w:type="pct"/>
          </w:tcPr>
          <w:p w14:paraId="5EA125A7" w14:textId="68565400" w:rsidR="008E0025" w:rsidRPr="008776AE" w:rsidRDefault="008E0025" w:rsidP="008E0025">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Percentage of SEI actions completed within defined timeline.</w:t>
            </w:r>
          </w:p>
        </w:tc>
        <w:tc>
          <w:tcPr>
            <w:tcW w:w="1250" w:type="pct"/>
          </w:tcPr>
          <w:p w14:paraId="5EED7D46" w14:textId="52E179B6" w:rsidR="008E0025" w:rsidRPr="008776AE" w:rsidRDefault="008E0025" w:rsidP="008E0025">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90% of NASP SEI actions completed in accordance with defined timeline.</w:t>
            </w:r>
          </w:p>
        </w:tc>
        <w:tc>
          <w:tcPr>
            <w:tcW w:w="1250" w:type="pct"/>
            <w:shd w:val="clear" w:color="auto" w:fill="ED7D31"/>
          </w:tcPr>
          <w:p w14:paraId="57EBCDC1" w14:textId="2F0722AB" w:rsidR="008E0025" w:rsidRPr="008776AE" w:rsidRDefault="008E0025" w:rsidP="008E0025">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8E0025" w:rsidRPr="00654F9E" w14:paraId="7F9CAC0A" w14:textId="77777777" w:rsidTr="0054420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40DEE85F" w14:textId="63BAB8B6" w:rsidR="008E0025" w:rsidRPr="008776AE" w:rsidRDefault="008E0025" w:rsidP="008E0025">
            <w:r w:rsidRPr="00A91CD9">
              <w:rPr>
                <w:rFonts w:eastAsia="Times New Roman" w:cstheme="minorHAnsi"/>
                <w:lang w:eastAsia="en-AU"/>
              </w:rPr>
              <w:t>SO3.1: Enhancing SSP performance through SEI actions being accomplished and implemented.</w:t>
            </w:r>
          </w:p>
        </w:tc>
        <w:tc>
          <w:tcPr>
            <w:tcW w:w="1250" w:type="pct"/>
          </w:tcPr>
          <w:p w14:paraId="304D8081" w14:textId="3FC9D502" w:rsidR="008E0025" w:rsidRPr="008776AE" w:rsidRDefault="008E0025" w:rsidP="008E0025">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b. Number of SEI actions requiring adjusted delivery timelines.</w:t>
            </w:r>
          </w:p>
        </w:tc>
        <w:tc>
          <w:tcPr>
            <w:tcW w:w="1250" w:type="pct"/>
          </w:tcPr>
          <w:p w14:paraId="42854972" w14:textId="3CFD943B" w:rsidR="008E0025" w:rsidRPr="008776AE" w:rsidRDefault="008E0025" w:rsidP="008E0025">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Less than 5% of SEI actions requiring adjusted delivery timelines.</w:t>
            </w:r>
          </w:p>
        </w:tc>
        <w:tc>
          <w:tcPr>
            <w:tcW w:w="1250" w:type="pct"/>
            <w:shd w:val="clear" w:color="auto" w:fill="ED7D31"/>
          </w:tcPr>
          <w:p w14:paraId="0E5F7874" w14:textId="672C617D" w:rsidR="008E0025" w:rsidRPr="008776AE" w:rsidRDefault="008E0025" w:rsidP="008E0025">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r w:rsidR="00B7078F" w:rsidRPr="00654F9E" w14:paraId="0EED5DD6" w14:textId="77777777" w:rsidTr="00544206">
        <w:trPr>
          <w:cantSplit/>
        </w:trPr>
        <w:tc>
          <w:tcPr>
            <w:cnfStyle w:val="001000000000" w:firstRow="0" w:lastRow="0" w:firstColumn="1" w:lastColumn="0" w:oddVBand="0" w:evenVBand="0" w:oddHBand="0" w:evenHBand="0" w:firstRowFirstColumn="0" w:firstRowLastColumn="0" w:lastRowFirstColumn="0" w:lastRowLastColumn="0"/>
            <w:tcW w:w="1250" w:type="pct"/>
          </w:tcPr>
          <w:p w14:paraId="3880FAC9" w14:textId="61A08302" w:rsidR="00B7078F" w:rsidRPr="008776AE" w:rsidRDefault="00B7078F" w:rsidP="00B7078F">
            <w:r w:rsidRPr="00A91CD9">
              <w:rPr>
                <w:rFonts w:eastAsia="Times New Roman" w:cstheme="minorHAnsi"/>
                <w:lang w:eastAsia="en-AU"/>
              </w:rPr>
              <w:t>SO3.2: Enhancing ongoing state agency SSP collaboration through SSP governance meeting attendance.</w:t>
            </w:r>
          </w:p>
        </w:tc>
        <w:tc>
          <w:tcPr>
            <w:tcW w:w="1250" w:type="pct"/>
          </w:tcPr>
          <w:p w14:paraId="74D53410" w14:textId="715A3EC9" w:rsidR="00B7078F" w:rsidRPr="008776AE" w:rsidRDefault="00B7078F" w:rsidP="00B7078F">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Percentage of SSP governance meetings held (based on annual planned schedule)</w:t>
            </w:r>
          </w:p>
        </w:tc>
        <w:tc>
          <w:tcPr>
            <w:tcW w:w="1250" w:type="pct"/>
          </w:tcPr>
          <w:p w14:paraId="4721D44D" w14:textId="2E2788D3" w:rsidR="00B7078F" w:rsidRPr="008776AE" w:rsidRDefault="00B7078F" w:rsidP="00B7078F">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90% of SSP governance meetings conducted (based on annual schedule).</w:t>
            </w:r>
          </w:p>
        </w:tc>
        <w:tc>
          <w:tcPr>
            <w:tcW w:w="1250" w:type="pct"/>
            <w:shd w:val="clear" w:color="auto" w:fill="FFC000"/>
          </w:tcPr>
          <w:p w14:paraId="77DA5B4C" w14:textId="3DB8DE65" w:rsidR="00B7078F" w:rsidRPr="008776AE" w:rsidRDefault="00B7078F" w:rsidP="00B7078F">
            <w:pPr>
              <w:cnfStyle w:val="000000000000" w:firstRow="0" w:lastRow="0" w:firstColumn="0" w:lastColumn="0" w:oddVBand="0" w:evenVBand="0" w:oddHBand="0" w:evenHBand="0" w:firstRowFirstColumn="0" w:firstRowLastColumn="0" w:lastRowFirstColumn="0" w:lastRowLastColumn="0"/>
            </w:pPr>
            <w:r w:rsidRPr="00A91CD9">
              <w:rPr>
                <w:rFonts w:eastAsia="Times New Roman"/>
                <w:lang w:eastAsia="en-AU"/>
              </w:rPr>
              <w:t>Improvements required for performance target to be achieved</w:t>
            </w:r>
          </w:p>
        </w:tc>
      </w:tr>
      <w:tr w:rsidR="00B7078F" w:rsidRPr="00654F9E" w14:paraId="5EC17B78" w14:textId="77777777" w:rsidTr="0054420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43358B85" w14:textId="0AB32DD0" w:rsidR="00B7078F" w:rsidRPr="008776AE" w:rsidRDefault="00B7078F" w:rsidP="00B7078F">
            <w:r w:rsidRPr="00A91CD9">
              <w:rPr>
                <w:rFonts w:eastAsia="Times New Roman" w:cstheme="minorHAnsi"/>
                <w:lang w:eastAsia="en-AU"/>
              </w:rPr>
              <w:t>SO3.2: Enhancing ongoing state agency SSP collaboration through SSP governance meeting attendance.</w:t>
            </w:r>
          </w:p>
        </w:tc>
        <w:tc>
          <w:tcPr>
            <w:tcW w:w="1250" w:type="pct"/>
          </w:tcPr>
          <w:p w14:paraId="29BFF3B5" w14:textId="78389710" w:rsidR="00B7078F" w:rsidRPr="008776AE" w:rsidRDefault="00B7078F" w:rsidP="00B7078F">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b. Participation at each SSP governance meeting by SSP agencies.</w:t>
            </w:r>
          </w:p>
        </w:tc>
        <w:tc>
          <w:tcPr>
            <w:tcW w:w="1250" w:type="pct"/>
          </w:tcPr>
          <w:p w14:paraId="783650AB" w14:textId="2E0840DE" w:rsidR="00B7078F" w:rsidRPr="008776AE" w:rsidRDefault="00B7078F" w:rsidP="00B7078F">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All required agency members participating in each SSP governance meeting.</w:t>
            </w:r>
          </w:p>
        </w:tc>
        <w:tc>
          <w:tcPr>
            <w:tcW w:w="1250" w:type="pct"/>
            <w:shd w:val="clear" w:color="auto" w:fill="FFC000"/>
          </w:tcPr>
          <w:p w14:paraId="56C1AAC7" w14:textId="0DAD4876" w:rsidR="00B7078F" w:rsidRPr="008776AE" w:rsidRDefault="00B7078F" w:rsidP="00B7078F">
            <w:pPr>
              <w:cnfStyle w:val="000000010000" w:firstRow="0" w:lastRow="0" w:firstColumn="0" w:lastColumn="0" w:oddVBand="0" w:evenVBand="0" w:oddHBand="0" w:evenHBand="1" w:firstRowFirstColumn="0" w:firstRowLastColumn="0" w:lastRowFirstColumn="0" w:lastRowLastColumn="0"/>
            </w:pPr>
            <w:r w:rsidRPr="00A91CD9">
              <w:rPr>
                <w:rFonts w:eastAsia="Times New Roman"/>
                <w:lang w:eastAsia="en-AU"/>
              </w:rPr>
              <w:t>Improvements required for performance target to be achieved</w:t>
            </w:r>
          </w:p>
        </w:tc>
      </w:tr>
      <w:tr w:rsidR="00B7078F" w:rsidRPr="00654F9E" w14:paraId="70A4A622" w14:textId="77777777" w:rsidTr="00544206">
        <w:trPr>
          <w:cantSplit/>
        </w:trPr>
        <w:tc>
          <w:tcPr>
            <w:cnfStyle w:val="001000000000" w:firstRow="0" w:lastRow="0" w:firstColumn="1" w:lastColumn="0" w:oddVBand="0" w:evenVBand="0" w:oddHBand="0" w:evenHBand="0" w:firstRowFirstColumn="0" w:firstRowLastColumn="0" w:lastRowFirstColumn="0" w:lastRowLastColumn="0"/>
            <w:tcW w:w="1250" w:type="pct"/>
          </w:tcPr>
          <w:p w14:paraId="3FAA8901" w14:textId="7C4D3BA7" w:rsidR="00B7078F" w:rsidRPr="008776AE" w:rsidRDefault="00B7078F" w:rsidP="00B7078F">
            <w:r w:rsidRPr="00A91CD9">
              <w:rPr>
                <w:rFonts w:eastAsia="Times New Roman" w:cstheme="minorHAnsi"/>
                <w:lang w:eastAsia="en-AU"/>
              </w:rPr>
              <w:t>SO3.3: Safety issues identified in ATSB investigations are addressed</w:t>
            </w:r>
          </w:p>
        </w:tc>
        <w:tc>
          <w:tcPr>
            <w:tcW w:w="1250" w:type="pct"/>
          </w:tcPr>
          <w:p w14:paraId="38F7A8A7" w14:textId="39F6707A" w:rsidR="00B7078F" w:rsidRPr="008776AE" w:rsidRDefault="00B7078F" w:rsidP="00B7078F">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Percentage of all safety issues identified in ATSB aviation investigations addressed.</w:t>
            </w:r>
          </w:p>
        </w:tc>
        <w:tc>
          <w:tcPr>
            <w:tcW w:w="1250" w:type="pct"/>
          </w:tcPr>
          <w:p w14:paraId="0C56C01C" w14:textId="3E45C712" w:rsidR="00B7078F" w:rsidRPr="008776AE" w:rsidRDefault="00B7078F" w:rsidP="00B7078F">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In line with targets detailed in the ATSB’s PBS.</w:t>
            </w:r>
          </w:p>
        </w:tc>
        <w:tc>
          <w:tcPr>
            <w:tcW w:w="1250" w:type="pct"/>
            <w:shd w:val="clear" w:color="auto" w:fill="FFC000"/>
          </w:tcPr>
          <w:p w14:paraId="7714B65B" w14:textId="15F2D3B6" w:rsidR="00B7078F" w:rsidRPr="008776AE" w:rsidRDefault="00B7078F" w:rsidP="00B7078F">
            <w:pPr>
              <w:cnfStyle w:val="000000000000" w:firstRow="0" w:lastRow="0" w:firstColumn="0" w:lastColumn="0" w:oddVBand="0" w:evenVBand="0" w:oddHBand="0" w:evenHBand="0" w:firstRowFirstColumn="0" w:firstRowLastColumn="0" w:lastRowFirstColumn="0" w:lastRowLastColumn="0"/>
            </w:pPr>
            <w:r w:rsidRPr="00A91CD9">
              <w:rPr>
                <w:rFonts w:eastAsia="Times New Roman"/>
                <w:lang w:eastAsia="en-AU"/>
              </w:rPr>
              <w:t>Improvements required for performance target to be achieved</w:t>
            </w:r>
          </w:p>
        </w:tc>
      </w:tr>
      <w:tr w:rsidR="006B704F" w:rsidRPr="00654F9E" w14:paraId="419688FE" w14:textId="77777777" w:rsidTr="0054420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30859938" w14:textId="4FBB665A" w:rsidR="006B704F" w:rsidRPr="008776AE" w:rsidRDefault="006B704F" w:rsidP="006B704F">
            <w:r w:rsidRPr="00A91CD9">
              <w:rPr>
                <w:rFonts w:eastAsia="Times New Roman" w:cstheme="minorHAnsi"/>
                <w:lang w:eastAsia="en-AU"/>
              </w:rPr>
              <w:t>SO3.4: Maintaining risk identification and analysis activities to inform the State risk intelligence and decision making.</w:t>
            </w:r>
          </w:p>
        </w:tc>
        <w:tc>
          <w:tcPr>
            <w:tcW w:w="1250" w:type="pct"/>
          </w:tcPr>
          <w:p w14:paraId="1053D536" w14:textId="3B33654E" w:rsidR="006B704F" w:rsidRPr="008776AE" w:rsidRDefault="006B704F" w:rsidP="006B704F">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a. Number of sector safety risk profiles (SSRP) workshops conducted against planned.</w:t>
            </w:r>
          </w:p>
        </w:tc>
        <w:tc>
          <w:tcPr>
            <w:tcW w:w="1250" w:type="pct"/>
          </w:tcPr>
          <w:p w14:paraId="7B272040" w14:textId="3DC245F7" w:rsidR="006B704F" w:rsidRPr="008776AE" w:rsidRDefault="006B704F" w:rsidP="006B704F">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100% completion of all planned SSRPs workshops.</w:t>
            </w:r>
          </w:p>
        </w:tc>
        <w:tc>
          <w:tcPr>
            <w:tcW w:w="1250" w:type="pct"/>
            <w:shd w:val="clear" w:color="auto" w:fill="ED7D31"/>
          </w:tcPr>
          <w:p w14:paraId="270D3AD3" w14:textId="6102EC65" w:rsidR="006B704F" w:rsidRPr="008776AE" w:rsidRDefault="006B704F" w:rsidP="006B704F">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r w:rsidR="006B704F" w:rsidRPr="00654F9E" w14:paraId="68A30808" w14:textId="77777777" w:rsidTr="00544206">
        <w:trPr>
          <w:cantSplit/>
        </w:trPr>
        <w:tc>
          <w:tcPr>
            <w:cnfStyle w:val="001000000000" w:firstRow="0" w:lastRow="0" w:firstColumn="1" w:lastColumn="0" w:oddVBand="0" w:evenVBand="0" w:oddHBand="0" w:evenHBand="0" w:firstRowFirstColumn="0" w:firstRowLastColumn="0" w:lastRowFirstColumn="0" w:lastRowLastColumn="0"/>
            <w:tcW w:w="1250" w:type="pct"/>
          </w:tcPr>
          <w:p w14:paraId="292B05FF" w14:textId="2603CAAE" w:rsidR="006B704F" w:rsidRPr="008776AE" w:rsidRDefault="006B704F" w:rsidP="006B704F">
            <w:r w:rsidRPr="00A91CD9">
              <w:rPr>
                <w:rFonts w:eastAsia="Times New Roman" w:cstheme="minorHAnsi"/>
                <w:lang w:eastAsia="en-AU"/>
              </w:rPr>
              <w:lastRenderedPageBreak/>
              <w:t>SO3.4: Maintaining risk identification and analysis activities to inform the State risk intelligence and decision making.</w:t>
            </w:r>
          </w:p>
        </w:tc>
        <w:tc>
          <w:tcPr>
            <w:tcW w:w="1250" w:type="pct"/>
          </w:tcPr>
          <w:p w14:paraId="7291DD6D" w14:textId="4833CC76" w:rsidR="006B704F" w:rsidRPr="008776AE" w:rsidRDefault="006B704F" w:rsidP="006B704F">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b. Timely publication of SSRPs</w:t>
            </w:r>
          </w:p>
        </w:tc>
        <w:tc>
          <w:tcPr>
            <w:tcW w:w="1250" w:type="pct"/>
          </w:tcPr>
          <w:p w14:paraId="60E89DF9" w14:textId="0637A8AE" w:rsidR="006B704F" w:rsidRPr="008776AE" w:rsidRDefault="006B704F" w:rsidP="006B704F">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All SSRPs published within 2 months of workshop.</w:t>
            </w:r>
          </w:p>
        </w:tc>
        <w:tc>
          <w:tcPr>
            <w:tcW w:w="1250" w:type="pct"/>
            <w:shd w:val="clear" w:color="auto" w:fill="FFC000"/>
          </w:tcPr>
          <w:p w14:paraId="57015191" w14:textId="204EDE93" w:rsidR="006B704F" w:rsidRPr="008776AE" w:rsidRDefault="006B704F" w:rsidP="006B704F">
            <w:pPr>
              <w:cnfStyle w:val="000000000000" w:firstRow="0" w:lastRow="0" w:firstColumn="0" w:lastColumn="0" w:oddVBand="0" w:evenVBand="0" w:oddHBand="0" w:evenHBand="0" w:firstRowFirstColumn="0" w:firstRowLastColumn="0" w:lastRowFirstColumn="0" w:lastRowLastColumn="0"/>
            </w:pPr>
            <w:r w:rsidRPr="00A91CD9">
              <w:rPr>
                <w:rFonts w:eastAsia="Times New Roman"/>
                <w:lang w:eastAsia="en-AU"/>
              </w:rPr>
              <w:t>Improvements required for performance target to be achieved</w:t>
            </w:r>
          </w:p>
        </w:tc>
      </w:tr>
      <w:tr w:rsidR="006B704F" w:rsidRPr="00654F9E" w14:paraId="5DEEB8BD" w14:textId="77777777" w:rsidTr="0054420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55FAEF7D" w14:textId="4D504AAC" w:rsidR="006B704F" w:rsidRPr="008776AE" w:rsidRDefault="006B704F" w:rsidP="006B704F">
            <w:r w:rsidRPr="00A91CD9">
              <w:rPr>
                <w:rFonts w:eastAsia="Times New Roman" w:cstheme="minorHAnsi"/>
                <w:lang w:eastAsia="en-AU"/>
              </w:rPr>
              <w:t>SO3.5: Enhance and continue to maintain knowledge and awareness of the SSP and NASP across all SSP agencies.</w:t>
            </w:r>
          </w:p>
        </w:tc>
        <w:tc>
          <w:tcPr>
            <w:tcW w:w="1250" w:type="pct"/>
          </w:tcPr>
          <w:p w14:paraId="16C27584" w14:textId="1C4D7ECE" w:rsidR="006B704F" w:rsidRPr="008776AE" w:rsidRDefault="006B704F" w:rsidP="006B704F">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a. Completion rates of SSP/NASP training programs for all SSP Agency staff.</w:t>
            </w:r>
          </w:p>
        </w:tc>
        <w:tc>
          <w:tcPr>
            <w:tcW w:w="1250" w:type="pct"/>
          </w:tcPr>
          <w:p w14:paraId="3D22FA08" w14:textId="640661E7" w:rsidR="006B704F" w:rsidRPr="008776AE" w:rsidRDefault="006B704F" w:rsidP="006B704F">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95% of all SSP agency aviation staff to have completed required SSP/NASP training.</w:t>
            </w:r>
          </w:p>
        </w:tc>
        <w:tc>
          <w:tcPr>
            <w:tcW w:w="1250" w:type="pct"/>
            <w:shd w:val="clear" w:color="auto" w:fill="FFC000"/>
          </w:tcPr>
          <w:p w14:paraId="01DEDDC6" w14:textId="63E6B62E" w:rsidR="006B704F" w:rsidRPr="008776AE" w:rsidRDefault="006B704F" w:rsidP="006B704F">
            <w:pPr>
              <w:cnfStyle w:val="000000010000" w:firstRow="0" w:lastRow="0" w:firstColumn="0" w:lastColumn="0" w:oddVBand="0" w:evenVBand="0" w:oddHBand="0" w:evenHBand="1" w:firstRowFirstColumn="0" w:firstRowLastColumn="0" w:lastRowFirstColumn="0" w:lastRowLastColumn="0"/>
            </w:pPr>
            <w:r w:rsidRPr="00A91CD9">
              <w:rPr>
                <w:rFonts w:eastAsia="Times New Roman"/>
                <w:lang w:eastAsia="en-AU"/>
              </w:rPr>
              <w:t>Improvements required for performance target to be achieved</w:t>
            </w:r>
          </w:p>
        </w:tc>
      </w:tr>
    </w:tbl>
    <w:p w14:paraId="4FAC530C" w14:textId="77777777" w:rsidR="005C2ADE" w:rsidRPr="000A1771" w:rsidRDefault="005C2ADE" w:rsidP="00BB1B21">
      <w:pPr>
        <w:pStyle w:val="Heading3"/>
        <w:rPr>
          <w:rFonts w:eastAsiaTheme="minorHAnsi"/>
        </w:rPr>
      </w:pPr>
      <w:bookmarkStart w:id="63" w:name="_Toc227229302"/>
      <w:bookmarkStart w:id="64" w:name="_Toc230270029"/>
      <w:r w:rsidRPr="00A91CD9">
        <w:t>Goal 4:</w:t>
      </w:r>
      <w:r>
        <w:t xml:space="preserve"> </w:t>
      </w:r>
      <w:r w:rsidRPr="00A91CD9">
        <w:t>Increase collaboration at global and regional levels to enhance aviation safety.</w:t>
      </w:r>
      <w:bookmarkEnd w:id="63"/>
      <w:bookmarkEnd w:id="64"/>
    </w:p>
    <w:p w14:paraId="20FAD0CC" w14:textId="77777777" w:rsidR="005C2ADE" w:rsidRDefault="005C2ADE" w:rsidP="005C2ADE">
      <w:pPr>
        <w:rPr>
          <w:rFonts w:eastAsia="Times New Roman"/>
          <w:lang w:eastAsia="en-AU"/>
        </w:rPr>
      </w:pPr>
      <w:r>
        <w:rPr>
          <w:rFonts w:eastAsia="Times New Roman"/>
          <w:lang w:eastAsia="en-AU"/>
        </w:rPr>
        <w:t xml:space="preserve">During </w:t>
      </w:r>
      <w:r w:rsidRPr="556A6CB7">
        <w:rPr>
          <w:rFonts w:eastAsia="Times New Roman"/>
          <w:lang w:eastAsia="en-AU"/>
        </w:rPr>
        <w:t xml:space="preserve">the first year of the NASP 75% of </w:t>
      </w:r>
      <w:r>
        <w:rPr>
          <w:rFonts w:eastAsia="Times New Roman"/>
          <w:lang w:eastAsia="en-AU"/>
        </w:rPr>
        <w:t>G</w:t>
      </w:r>
      <w:r w:rsidRPr="556A6CB7">
        <w:rPr>
          <w:rFonts w:eastAsia="Times New Roman"/>
          <w:lang w:eastAsia="en-AU"/>
        </w:rPr>
        <w:t xml:space="preserve">oal 4 SPIs (3 out of 4) </w:t>
      </w:r>
      <w:r>
        <w:rPr>
          <w:rFonts w:eastAsia="Times New Roman"/>
          <w:lang w:eastAsia="en-AU"/>
        </w:rPr>
        <w:t>met</w:t>
      </w:r>
      <w:r w:rsidRPr="556A6CB7">
        <w:rPr>
          <w:rFonts w:eastAsia="Times New Roman"/>
          <w:lang w:eastAsia="en-AU"/>
        </w:rPr>
        <w:t xml:space="preserve"> their performance targets</w:t>
      </w:r>
      <w:r>
        <w:rPr>
          <w:rFonts w:eastAsia="Times New Roman"/>
          <w:lang w:eastAsia="en-AU"/>
        </w:rPr>
        <w:t xml:space="preserve"> (Table 5)</w:t>
      </w:r>
      <w:r w:rsidRPr="556A6CB7">
        <w:rPr>
          <w:rFonts w:eastAsia="Times New Roman"/>
          <w:lang w:eastAsia="en-AU"/>
        </w:rPr>
        <w:t xml:space="preserve">. This </w:t>
      </w:r>
      <w:r>
        <w:rPr>
          <w:rFonts w:eastAsia="Times New Roman"/>
          <w:lang w:eastAsia="en-AU"/>
        </w:rPr>
        <w:t>demonstrate</w:t>
      </w:r>
      <w:r w:rsidRPr="556A6CB7">
        <w:rPr>
          <w:rFonts w:eastAsia="Times New Roman"/>
          <w:lang w:eastAsia="en-AU"/>
        </w:rPr>
        <w:t xml:space="preserve">s that Australia has </w:t>
      </w:r>
      <w:r>
        <w:rPr>
          <w:rFonts w:eastAsia="Times New Roman"/>
          <w:lang w:eastAsia="en-AU"/>
        </w:rPr>
        <w:t xml:space="preserve">not only maintained but also increased its collaboration on aviation safety both within the Asia Pacific region and globally. The </w:t>
      </w:r>
      <w:r w:rsidRPr="00B9302C">
        <w:rPr>
          <w:rFonts w:eastAsia="Times New Roman" w:cstheme="minorHAnsi"/>
          <w:lang w:eastAsia="en-AU"/>
        </w:rPr>
        <w:t>Safety Assessment of Foreign Aircraft (SAFA) oversight</w:t>
      </w:r>
      <w:r>
        <w:rPr>
          <w:rFonts w:eastAsia="Times New Roman" w:cstheme="minorHAnsi"/>
          <w:lang w:eastAsia="en-AU"/>
        </w:rPr>
        <w:t xml:space="preserve"> programme has also further strengthened our overall </w:t>
      </w:r>
      <w:r w:rsidRPr="003E03FC">
        <w:rPr>
          <w:rFonts w:eastAsia="Times New Roman" w:cstheme="minorHAnsi"/>
          <w:lang w:eastAsia="en-AU"/>
        </w:rPr>
        <w:t xml:space="preserve">oversight </w:t>
      </w:r>
      <w:r>
        <w:rPr>
          <w:rFonts w:eastAsia="Times New Roman" w:cstheme="minorHAnsi"/>
          <w:lang w:eastAsia="en-AU"/>
        </w:rPr>
        <w:t>efforts under</w:t>
      </w:r>
      <w:r w:rsidRPr="003E03FC">
        <w:rPr>
          <w:rFonts w:eastAsia="Times New Roman" w:cstheme="minorHAnsi"/>
          <w:lang w:eastAsia="en-AU"/>
        </w:rPr>
        <w:t xml:space="preserve"> the SSP</w:t>
      </w:r>
      <w:r>
        <w:rPr>
          <w:rFonts w:eastAsia="Times New Roman" w:cstheme="minorHAnsi"/>
          <w:lang w:eastAsia="en-AU"/>
        </w:rPr>
        <w:t xml:space="preserve"> by ensuring foreign operators entering Australia continue to uphold safety standards.</w:t>
      </w:r>
    </w:p>
    <w:p w14:paraId="5128E8FE" w14:textId="77777777" w:rsidR="005C2ADE" w:rsidRDefault="005C2ADE" w:rsidP="005C2ADE">
      <w:pPr>
        <w:rPr>
          <w:rFonts w:eastAsia="Times New Roman"/>
          <w:lang w:eastAsia="en-AU"/>
        </w:rPr>
      </w:pPr>
      <w:r>
        <w:rPr>
          <w:rFonts w:eastAsia="Times New Roman"/>
          <w:lang w:eastAsia="en-AU"/>
        </w:rPr>
        <w:t xml:space="preserve">Australian representation at safety-related ICAO forums </w:t>
      </w:r>
      <w:r w:rsidRPr="556A6CB7">
        <w:rPr>
          <w:rFonts w:eastAsia="Times New Roman"/>
          <w:lang w:eastAsia="en-AU"/>
        </w:rPr>
        <w:t xml:space="preserve">was </w:t>
      </w:r>
      <w:r>
        <w:rPr>
          <w:rFonts w:eastAsia="Times New Roman"/>
          <w:lang w:eastAsia="en-AU"/>
        </w:rPr>
        <w:t xml:space="preserve">slightly below </w:t>
      </w:r>
      <w:r w:rsidRPr="556A6CB7">
        <w:rPr>
          <w:rFonts w:eastAsia="Times New Roman"/>
          <w:lang w:eastAsia="en-AU"/>
        </w:rPr>
        <w:t xml:space="preserve">the target </w:t>
      </w:r>
      <w:r>
        <w:rPr>
          <w:rFonts w:eastAsia="Times New Roman"/>
          <w:lang w:eastAsia="en-AU"/>
        </w:rPr>
        <w:t>of 90%</w:t>
      </w:r>
      <w:r w:rsidRPr="556A6CB7">
        <w:rPr>
          <w:rFonts w:eastAsia="Times New Roman"/>
          <w:lang w:eastAsia="en-AU"/>
        </w:rPr>
        <w:t xml:space="preserve"> this reporting period with </w:t>
      </w:r>
      <w:r>
        <w:rPr>
          <w:rFonts w:eastAsia="Times New Roman"/>
          <w:lang w:eastAsia="en-AU"/>
        </w:rPr>
        <w:t>an achievement of 87</w:t>
      </w:r>
      <w:r w:rsidRPr="556A6CB7">
        <w:rPr>
          <w:rFonts w:eastAsia="Times New Roman"/>
          <w:lang w:eastAsia="en-AU"/>
        </w:rPr>
        <w:t>%.</w:t>
      </w:r>
      <w:r>
        <w:rPr>
          <w:rFonts w:eastAsia="Times New Roman"/>
          <w:lang w:eastAsia="en-AU"/>
        </w:rPr>
        <w:t xml:space="preserve"> The specific SPI is being reviewed and may be updated to reflect those collaborative forums that provide the most opportunities to enhance aviation safety.</w:t>
      </w:r>
    </w:p>
    <w:p w14:paraId="297F2BAC" w14:textId="7567AC5A" w:rsidR="005C2ADE" w:rsidRDefault="005C2ADE" w:rsidP="002C6061">
      <w:pPr>
        <w:pStyle w:val="Tablefigureheading"/>
      </w:pPr>
      <w:bookmarkStart w:id="65" w:name="_Toc230269807"/>
      <w:r>
        <w:t>Table 5</w:t>
      </w:r>
      <w:r w:rsidR="00340487">
        <w:t>—</w:t>
      </w:r>
      <w:r w:rsidRPr="00A91CD9">
        <w:t xml:space="preserve">Goal 4 </w:t>
      </w:r>
      <w:r>
        <w:t xml:space="preserve">performance outcomes for </w:t>
      </w:r>
      <w:r w:rsidRPr="00A91CD9">
        <w:t xml:space="preserve">FY </w:t>
      </w:r>
      <w:r w:rsidR="003276FE">
        <w:t>2024–25</w:t>
      </w:r>
      <w:bookmarkEnd w:id="65"/>
    </w:p>
    <w:tbl>
      <w:tblPr>
        <w:tblStyle w:val="DefaultTable11"/>
        <w:tblW w:w="4937" w:type="pct"/>
        <w:tblBorders>
          <w:top w:val="single" w:sz="4" w:space="0" w:color="ED662F"/>
          <w:bottom w:val="single" w:sz="12" w:space="0" w:color="ED662F"/>
          <w:insideH w:val="single" w:sz="4" w:space="0" w:color="ED662F"/>
        </w:tblBorders>
        <w:tblLook w:val="04A0" w:firstRow="1" w:lastRow="0" w:firstColumn="1" w:lastColumn="0" w:noHBand="0" w:noVBand="1"/>
        <w:tblCaption w:val="Table 5—Goal 4 performance outcomes for FY 2024–25"/>
        <w:tblDescription w:val="Table 5—Goal 4 performance outcomes for FY 2024–25"/>
      </w:tblPr>
      <w:tblGrid>
        <w:gridCol w:w="2692"/>
        <w:gridCol w:w="2382"/>
        <w:gridCol w:w="2156"/>
        <w:gridCol w:w="2126"/>
      </w:tblGrid>
      <w:tr w:rsidR="0008152B" w:rsidRPr="00654F9E" w14:paraId="4135D8C8" w14:textId="77777777" w:rsidTr="00EC63E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shd w:val="clear" w:color="auto" w:fill="4D148C"/>
          </w:tcPr>
          <w:p w14:paraId="767F74D1" w14:textId="0DA717AA" w:rsidR="0008152B" w:rsidRPr="0008152B" w:rsidRDefault="0008152B" w:rsidP="0008152B">
            <w:pPr>
              <w:pStyle w:val="Tablerowcolumnheading"/>
              <w:keepNext/>
              <w:rPr>
                <w:b/>
                <w:bCs/>
                <w:sz w:val="22"/>
                <w:szCs w:val="22"/>
              </w:rPr>
            </w:pPr>
            <w:r w:rsidRPr="0008152B">
              <w:rPr>
                <w:rFonts w:eastAsia="Times New Roman" w:cstheme="minorHAnsi"/>
                <w:b/>
                <w:bCs/>
                <w:lang w:eastAsia="en-AU"/>
              </w:rPr>
              <w:t>Safety Objectives (SO)</w:t>
            </w:r>
          </w:p>
        </w:tc>
        <w:tc>
          <w:tcPr>
            <w:tcW w:w="1273" w:type="pct"/>
            <w:shd w:val="clear" w:color="auto" w:fill="4D148C"/>
          </w:tcPr>
          <w:p w14:paraId="1ABCF536" w14:textId="5E438B01" w:rsidR="0008152B" w:rsidRPr="0008152B" w:rsidRDefault="0008152B" w:rsidP="0008152B">
            <w:pPr>
              <w:pStyle w:val="Tablerowcolumnheading"/>
              <w:keepNext/>
              <w:cnfStyle w:val="100000000000" w:firstRow="1" w:lastRow="0" w:firstColumn="0" w:lastColumn="0" w:oddVBand="0" w:evenVBand="0" w:oddHBand="0" w:evenHBand="0" w:firstRowFirstColumn="0" w:firstRowLastColumn="0" w:lastRowFirstColumn="0" w:lastRowLastColumn="0"/>
              <w:rPr>
                <w:b/>
                <w:bCs/>
                <w:szCs w:val="22"/>
              </w:rPr>
            </w:pPr>
            <w:r w:rsidRPr="0008152B">
              <w:rPr>
                <w:rFonts w:eastAsia="Times New Roman" w:cstheme="minorHAnsi"/>
                <w:b/>
                <w:bCs/>
                <w:lang w:eastAsia="en-AU"/>
              </w:rPr>
              <w:t>Safety Performance Indicators</w:t>
            </w:r>
          </w:p>
        </w:tc>
        <w:tc>
          <w:tcPr>
            <w:tcW w:w="1152" w:type="pct"/>
            <w:shd w:val="clear" w:color="auto" w:fill="4D148C"/>
          </w:tcPr>
          <w:p w14:paraId="12B176BB" w14:textId="603892AF" w:rsidR="0008152B" w:rsidRPr="0008152B" w:rsidRDefault="0008152B" w:rsidP="0008152B">
            <w:pPr>
              <w:pStyle w:val="Tablerowcolumnheading"/>
              <w:keepNext/>
              <w:cnfStyle w:val="100000000000" w:firstRow="1" w:lastRow="0" w:firstColumn="0" w:lastColumn="0" w:oddVBand="0" w:evenVBand="0" w:oddHBand="0" w:evenHBand="0" w:firstRowFirstColumn="0" w:firstRowLastColumn="0" w:lastRowFirstColumn="0" w:lastRowLastColumn="0"/>
              <w:rPr>
                <w:b/>
                <w:bCs/>
                <w:sz w:val="22"/>
                <w:szCs w:val="22"/>
              </w:rPr>
            </w:pPr>
            <w:r w:rsidRPr="0008152B">
              <w:rPr>
                <w:rFonts w:eastAsia="Times New Roman" w:cstheme="minorHAnsi"/>
                <w:b/>
                <w:bCs/>
                <w:lang w:eastAsia="en-AU"/>
              </w:rPr>
              <w:t>Safety Performance Target or Trend</w:t>
            </w:r>
          </w:p>
        </w:tc>
        <w:tc>
          <w:tcPr>
            <w:tcW w:w="1136" w:type="pct"/>
            <w:shd w:val="clear" w:color="auto" w:fill="4D148C"/>
          </w:tcPr>
          <w:p w14:paraId="3D24A0B3" w14:textId="6C308394" w:rsidR="0008152B" w:rsidRPr="0008152B" w:rsidRDefault="0008152B" w:rsidP="0008152B">
            <w:pPr>
              <w:pStyle w:val="Tablerowcolumnheadingcentred"/>
              <w:keepNext/>
              <w:cnfStyle w:val="100000000000" w:firstRow="1" w:lastRow="0" w:firstColumn="0" w:lastColumn="0" w:oddVBand="0" w:evenVBand="0" w:oddHBand="0" w:evenHBand="0" w:firstRowFirstColumn="0" w:firstRowLastColumn="0" w:lastRowFirstColumn="0" w:lastRowLastColumn="0"/>
              <w:rPr>
                <w:b/>
                <w:bCs/>
                <w:sz w:val="22"/>
                <w:szCs w:val="22"/>
              </w:rPr>
            </w:pPr>
            <w:r w:rsidRPr="0008152B">
              <w:rPr>
                <w:rFonts w:eastAsia="Times New Roman" w:cstheme="minorHAnsi"/>
                <w:b/>
                <w:bCs/>
                <w:lang w:eastAsia="en-AU"/>
              </w:rPr>
              <w:t>Performance outcome</w:t>
            </w:r>
            <w:r w:rsidRPr="0008152B">
              <w:rPr>
                <w:rFonts w:eastAsia="Times New Roman" w:cstheme="minorHAnsi"/>
                <w:b/>
                <w:bCs/>
                <w:lang w:eastAsia="en-AU"/>
              </w:rPr>
              <w:br/>
            </w:r>
            <w:r w:rsidRPr="0008152B">
              <w:rPr>
                <w:rFonts w:eastAsia="Times New Roman" w:cstheme="minorHAnsi"/>
                <w:b/>
                <w:bCs/>
                <w:i/>
                <w:lang w:eastAsia="en-AU"/>
              </w:rPr>
              <w:t>(as of 30</w:t>
            </w:r>
            <w:r>
              <w:rPr>
                <w:rFonts w:eastAsia="Times New Roman" w:cstheme="minorHAnsi"/>
                <w:b/>
                <w:bCs/>
                <w:i/>
                <w:lang w:eastAsia="en-AU"/>
              </w:rPr>
              <w:t> </w:t>
            </w:r>
            <w:r w:rsidRPr="0008152B">
              <w:rPr>
                <w:rFonts w:eastAsia="Times New Roman" w:cstheme="minorHAnsi"/>
                <w:b/>
                <w:bCs/>
                <w:i/>
                <w:lang w:eastAsia="en-AU"/>
              </w:rPr>
              <w:t>June 2025)</w:t>
            </w:r>
            <w:r w:rsidRPr="0008152B">
              <w:rPr>
                <w:rFonts w:eastAsia="Times New Roman" w:cstheme="minorHAnsi"/>
                <w:b/>
                <w:bCs/>
                <w:lang w:eastAsia="en-AU"/>
              </w:rPr>
              <w:t xml:space="preserve"> </w:t>
            </w:r>
          </w:p>
        </w:tc>
      </w:tr>
      <w:tr w:rsidR="00256202" w:rsidRPr="00654F9E" w14:paraId="7B53A5AF" w14:textId="77777777" w:rsidTr="00EC63E4">
        <w:trPr>
          <w:cantSplit/>
        </w:trPr>
        <w:tc>
          <w:tcPr>
            <w:cnfStyle w:val="001000000000" w:firstRow="0" w:lastRow="0" w:firstColumn="1" w:lastColumn="0" w:oddVBand="0" w:evenVBand="0" w:oddHBand="0" w:evenHBand="0" w:firstRowFirstColumn="0" w:firstRowLastColumn="0" w:lastRowFirstColumn="0" w:lastRowLastColumn="0"/>
            <w:tcW w:w="1439" w:type="pct"/>
          </w:tcPr>
          <w:p w14:paraId="49CA3DC2" w14:textId="68E49232" w:rsidR="00256202" w:rsidRPr="008776AE" w:rsidRDefault="00256202" w:rsidP="00256202">
            <w:r w:rsidRPr="00A91CD9">
              <w:rPr>
                <w:rFonts w:eastAsia="Times New Roman" w:cstheme="minorHAnsi"/>
                <w:lang w:eastAsia="en-AU"/>
              </w:rPr>
              <w:t>SO4.1: Improve the sharing of best practices in safety management, safety data and analyses, safety investigations, and search and rescue among global and regional platforms.</w:t>
            </w:r>
          </w:p>
        </w:tc>
        <w:tc>
          <w:tcPr>
            <w:tcW w:w="1273" w:type="pct"/>
          </w:tcPr>
          <w:p w14:paraId="5C94CC4F" w14:textId="709DC700" w:rsidR="00256202" w:rsidRPr="008776AE" w:rsidRDefault="00256202" w:rsidP="00256202">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Australian representation at safety related ICAO meetings, panels and working groups.</w:t>
            </w:r>
          </w:p>
        </w:tc>
        <w:tc>
          <w:tcPr>
            <w:tcW w:w="1152" w:type="pct"/>
          </w:tcPr>
          <w:p w14:paraId="6EB011CB" w14:textId="6FE83CBD" w:rsidR="00256202" w:rsidRPr="008776AE" w:rsidRDefault="00256202" w:rsidP="00256202">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At least ≥90% of meetings attended (defined by annual Strategic Review)</w:t>
            </w:r>
          </w:p>
        </w:tc>
        <w:tc>
          <w:tcPr>
            <w:tcW w:w="1136" w:type="pct"/>
            <w:shd w:val="clear" w:color="auto" w:fill="FFC000"/>
          </w:tcPr>
          <w:p w14:paraId="73A77C2C" w14:textId="3B6F14AC" w:rsidR="00256202" w:rsidRPr="008776AE" w:rsidRDefault="00256202" w:rsidP="00256202">
            <w:pPr>
              <w:cnfStyle w:val="000000000000" w:firstRow="0" w:lastRow="0" w:firstColumn="0" w:lastColumn="0" w:oddVBand="0" w:evenVBand="0" w:oddHBand="0" w:evenHBand="0" w:firstRowFirstColumn="0" w:firstRowLastColumn="0" w:lastRowFirstColumn="0" w:lastRowLastColumn="0"/>
            </w:pPr>
            <w:r w:rsidRPr="00A91CD9">
              <w:rPr>
                <w:rFonts w:eastAsia="Times New Roman"/>
                <w:lang w:eastAsia="en-AU"/>
              </w:rPr>
              <w:t>Improvements required for performance target to be achieved</w:t>
            </w:r>
          </w:p>
        </w:tc>
      </w:tr>
      <w:tr w:rsidR="00256202" w:rsidRPr="00654F9E" w14:paraId="0AD03783" w14:textId="77777777" w:rsidTr="00EC63E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Pr>
          <w:p w14:paraId="53081499" w14:textId="52638524" w:rsidR="00256202" w:rsidRPr="008776AE" w:rsidRDefault="00256202" w:rsidP="00256202">
            <w:r w:rsidRPr="00A91CD9">
              <w:rPr>
                <w:rFonts w:eastAsia="Times New Roman" w:cstheme="minorHAnsi"/>
                <w:lang w:eastAsia="en-AU"/>
              </w:rPr>
              <w:t>SO4.1: Improve the sharing of best practices in safety management, safety data and analyses, safety investigations, and search and rescue among global and regional platforms.</w:t>
            </w:r>
          </w:p>
        </w:tc>
        <w:tc>
          <w:tcPr>
            <w:tcW w:w="1273" w:type="pct"/>
          </w:tcPr>
          <w:p w14:paraId="4C5225D6" w14:textId="2F78E79F" w:rsidR="00256202" w:rsidRPr="008776AE" w:rsidRDefault="00256202" w:rsidP="00256202">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b. Percentage of regional aviation safety capacity building requests received via regional platforms and undertaken by Australian SSP agencies. </w:t>
            </w:r>
          </w:p>
        </w:tc>
        <w:tc>
          <w:tcPr>
            <w:tcW w:w="1152" w:type="pct"/>
          </w:tcPr>
          <w:p w14:paraId="780B0C51" w14:textId="4C5A9022" w:rsidR="00256202" w:rsidRPr="008776AE" w:rsidRDefault="00256202" w:rsidP="00256202">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Monitoring and trend reporting; with aim to maintain or increased level of support offered by Australian SSP agencies to region partners.</w:t>
            </w:r>
          </w:p>
        </w:tc>
        <w:tc>
          <w:tcPr>
            <w:tcW w:w="1136" w:type="pct"/>
            <w:shd w:val="clear" w:color="auto" w:fill="ED7D31"/>
          </w:tcPr>
          <w:p w14:paraId="5AE47E5A" w14:textId="49584C3B" w:rsidR="00256202" w:rsidRPr="008776AE" w:rsidRDefault="00256202" w:rsidP="00256202">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r w:rsidR="00256202" w:rsidRPr="00654F9E" w14:paraId="2F887642" w14:textId="77777777" w:rsidTr="00EC63E4">
        <w:trPr>
          <w:cantSplit/>
        </w:trPr>
        <w:tc>
          <w:tcPr>
            <w:cnfStyle w:val="001000000000" w:firstRow="0" w:lastRow="0" w:firstColumn="1" w:lastColumn="0" w:oddVBand="0" w:evenVBand="0" w:oddHBand="0" w:evenHBand="0" w:firstRowFirstColumn="0" w:firstRowLastColumn="0" w:lastRowFirstColumn="0" w:lastRowLastColumn="0"/>
            <w:tcW w:w="1439" w:type="pct"/>
          </w:tcPr>
          <w:p w14:paraId="70EE56E2" w14:textId="4B4D567A" w:rsidR="00256202" w:rsidRPr="008776AE" w:rsidRDefault="00256202" w:rsidP="00256202">
            <w:r w:rsidRPr="00A91CD9">
              <w:rPr>
                <w:rFonts w:eastAsia="Times New Roman" w:cstheme="minorHAnsi"/>
                <w:lang w:eastAsia="en-AU"/>
              </w:rPr>
              <w:t>SO4.2: Maintaining effective oversight activities of Foreign Aircraft operating into Australia.</w:t>
            </w:r>
          </w:p>
        </w:tc>
        <w:tc>
          <w:tcPr>
            <w:tcW w:w="1273" w:type="pct"/>
          </w:tcPr>
          <w:p w14:paraId="55654ED3" w14:textId="33CD2819" w:rsidR="00256202" w:rsidRPr="008776AE" w:rsidRDefault="00256202" w:rsidP="00256202">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Number of Safety Assessment of Foreign Aircraft (SAFA) oversight activities undertaken as part of European Union Ramp Inspection Programme. </w:t>
            </w:r>
          </w:p>
        </w:tc>
        <w:tc>
          <w:tcPr>
            <w:tcW w:w="1152" w:type="pct"/>
          </w:tcPr>
          <w:p w14:paraId="02880215" w14:textId="60881F7F" w:rsidR="00256202" w:rsidRPr="008776AE" w:rsidRDefault="00256202" w:rsidP="00256202">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80% of planned activities conducted.</w:t>
            </w:r>
          </w:p>
        </w:tc>
        <w:tc>
          <w:tcPr>
            <w:tcW w:w="1136" w:type="pct"/>
            <w:shd w:val="clear" w:color="auto" w:fill="ED7D31"/>
          </w:tcPr>
          <w:p w14:paraId="36C49B59" w14:textId="612D31DD" w:rsidR="00256202" w:rsidRPr="008776AE" w:rsidRDefault="00256202" w:rsidP="00256202">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256202" w:rsidRPr="00654F9E" w14:paraId="552EE6F5" w14:textId="77777777" w:rsidTr="00EC63E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Pr>
          <w:p w14:paraId="212D930D" w14:textId="64CE8F79" w:rsidR="00256202" w:rsidRPr="008776AE" w:rsidRDefault="00256202" w:rsidP="00256202">
            <w:r w:rsidRPr="00A91CD9">
              <w:rPr>
                <w:rFonts w:eastAsia="Times New Roman" w:cstheme="minorHAnsi"/>
                <w:lang w:eastAsia="en-AU"/>
              </w:rPr>
              <w:lastRenderedPageBreak/>
              <w:t>SO4.2: Maintaining effective oversight activities of Foreign Aircraft operating into Australia.</w:t>
            </w:r>
          </w:p>
        </w:tc>
        <w:tc>
          <w:tcPr>
            <w:tcW w:w="1273" w:type="pct"/>
          </w:tcPr>
          <w:p w14:paraId="29ECDE2A" w14:textId="1DDEC640" w:rsidR="00256202" w:rsidRPr="008776AE" w:rsidRDefault="00256202" w:rsidP="00256202">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b. Number of safety findings issued during Safety Assessment of Foreign Aircraft (SAFA) Ramp Inspection Programme.</w:t>
            </w:r>
          </w:p>
        </w:tc>
        <w:tc>
          <w:tcPr>
            <w:tcW w:w="1152" w:type="pct"/>
          </w:tcPr>
          <w:p w14:paraId="6C6F21BA" w14:textId="06684C5C" w:rsidR="00256202" w:rsidRPr="008776AE" w:rsidRDefault="00256202" w:rsidP="00256202">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Monitoring and trend reporting only to enhance safety intelligence with analysis provided to inform State for oversight surveillance undertaken.</w:t>
            </w:r>
          </w:p>
        </w:tc>
        <w:tc>
          <w:tcPr>
            <w:tcW w:w="1136" w:type="pct"/>
            <w:shd w:val="clear" w:color="auto" w:fill="ED7D31"/>
          </w:tcPr>
          <w:p w14:paraId="7E6DCBC3" w14:textId="6A46275B" w:rsidR="00256202" w:rsidRPr="008776AE" w:rsidRDefault="00256202" w:rsidP="00256202">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bl>
    <w:p w14:paraId="1BE9EBB2" w14:textId="77777777" w:rsidR="005C2ADE" w:rsidRPr="00A91CD9" w:rsidRDefault="005C2ADE" w:rsidP="009A3707">
      <w:pPr>
        <w:pStyle w:val="Heading3"/>
      </w:pPr>
      <w:bookmarkStart w:id="66" w:name="_Toc227229303"/>
      <w:bookmarkStart w:id="67" w:name="_Toc230270030"/>
      <w:r w:rsidRPr="00A91CD9">
        <w:t>Goal 5:</w:t>
      </w:r>
      <w:r>
        <w:t xml:space="preserve"> </w:t>
      </w:r>
      <w:r w:rsidRPr="00A91CD9">
        <w:t>Enhance greater safety programme collaboration between Australian industry, industry associations and State agencies.</w:t>
      </w:r>
      <w:bookmarkEnd w:id="66"/>
      <w:bookmarkEnd w:id="67"/>
    </w:p>
    <w:p w14:paraId="7803D145" w14:textId="77777777" w:rsidR="005C2ADE" w:rsidRDefault="005C2ADE" w:rsidP="005C2ADE">
      <w:pPr>
        <w:rPr>
          <w:rFonts w:eastAsia="Times New Roman"/>
          <w:lang w:eastAsia="en-AU"/>
        </w:rPr>
      </w:pPr>
      <w:r w:rsidRPr="556A6CB7">
        <w:rPr>
          <w:rFonts w:eastAsia="Times New Roman"/>
          <w:lang w:eastAsia="en-AU"/>
        </w:rPr>
        <w:t>In the first year of the NASP</w:t>
      </w:r>
      <w:r>
        <w:rPr>
          <w:rFonts w:eastAsia="Times New Roman"/>
          <w:lang w:eastAsia="en-AU"/>
        </w:rPr>
        <w:t>,</w:t>
      </w:r>
      <w:r w:rsidRPr="556A6CB7">
        <w:rPr>
          <w:rFonts w:eastAsia="Times New Roman"/>
          <w:lang w:eastAsia="en-AU"/>
        </w:rPr>
        <w:t xml:space="preserve"> 90% of goal 5 SPIs (9 out of 10) </w:t>
      </w:r>
      <w:r>
        <w:rPr>
          <w:rFonts w:eastAsia="Times New Roman"/>
          <w:lang w:eastAsia="en-AU"/>
        </w:rPr>
        <w:t>met</w:t>
      </w:r>
      <w:r w:rsidRPr="556A6CB7">
        <w:rPr>
          <w:rFonts w:eastAsia="Times New Roman"/>
          <w:lang w:eastAsia="en-AU"/>
        </w:rPr>
        <w:t xml:space="preserve"> their performance targets</w:t>
      </w:r>
      <w:r>
        <w:rPr>
          <w:rFonts w:eastAsia="Times New Roman"/>
          <w:lang w:eastAsia="en-AU"/>
        </w:rPr>
        <w:t xml:space="preserve"> (Table 6)</w:t>
      </w:r>
      <w:r w:rsidRPr="556A6CB7">
        <w:rPr>
          <w:rFonts w:eastAsia="Times New Roman"/>
          <w:lang w:eastAsia="en-AU"/>
        </w:rPr>
        <w:t xml:space="preserve">. </w:t>
      </w:r>
      <w:r>
        <w:rPr>
          <w:rFonts w:eastAsia="Times New Roman"/>
          <w:lang w:eastAsia="en-AU"/>
        </w:rPr>
        <w:t>A</w:t>
      </w:r>
      <w:r w:rsidRPr="00653B59">
        <w:rPr>
          <w:rFonts w:eastAsia="Times New Roman"/>
          <w:lang w:eastAsia="en-AU"/>
        </w:rPr>
        <w:t xml:space="preserve">ll SPIs relating to </w:t>
      </w:r>
      <w:r>
        <w:rPr>
          <w:rFonts w:eastAsia="Times New Roman"/>
          <w:lang w:eastAsia="en-AU"/>
        </w:rPr>
        <w:t>external safety promotions and engagement with industry met</w:t>
      </w:r>
      <w:r w:rsidRPr="00653B59">
        <w:rPr>
          <w:rFonts w:eastAsia="Times New Roman"/>
          <w:lang w:eastAsia="en-AU"/>
        </w:rPr>
        <w:t xml:space="preserve"> performance targets, indicating a solid foundation </w:t>
      </w:r>
      <w:r>
        <w:rPr>
          <w:rFonts w:eastAsia="Times New Roman"/>
          <w:lang w:eastAsia="en-AU"/>
        </w:rPr>
        <w:t>for</w:t>
      </w:r>
      <w:r w:rsidRPr="00653B59">
        <w:rPr>
          <w:rFonts w:eastAsia="Times New Roman"/>
          <w:lang w:eastAsia="en-AU"/>
        </w:rPr>
        <w:t xml:space="preserve"> </w:t>
      </w:r>
      <w:r>
        <w:rPr>
          <w:rFonts w:eastAsia="Times New Roman"/>
          <w:lang w:eastAsia="en-AU"/>
        </w:rPr>
        <w:t xml:space="preserve">safety promotions </w:t>
      </w:r>
      <w:r w:rsidRPr="00653B59">
        <w:rPr>
          <w:rFonts w:eastAsia="Times New Roman"/>
          <w:lang w:eastAsia="en-AU"/>
        </w:rPr>
        <w:t>performed in accordance with the SSP.</w:t>
      </w:r>
    </w:p>
    <w:p w14:paraId="45803A74" w14:textId="6BAA2321" w:rsidR="005C2ADE" w:rsidRDefault="005C2ADE" w:rsidP="005C2ADE">
      <w:pPr>
        <w:rPr>
          <w:rFonts w:eastAsia="Times New Roman"/>
          <w:lang w:eastAsia="en-AU"/>
        </w:rPr>
      </w:pPr>
      <w:r w:rsidRPr="00145CC7">
        <w:rPr>
          <w:rFonts w:eastAsia="Times New Roman"/>
          <w:lang w:eastAsia="en-AU"/>
        </w:rPr>
        <w:t xml:space="preserve">Performance </w:t>
      </w:r>
      <w:r>
        <w:rPr>
          <w:rFonts w:eastAsia="Times New Roman"/>
          <w:lang w:eastAsia="en-AU"/>
        </w:rPr>
        <w:t>regarding enhanced</w:t>
      </w:r>
      <w:r w:rsidRPr="00B402EE">
        <w:rPr>
          <w:rFonts w:eastAsia="Times New Roman"/>
          <w:lang w:eastAsia="en-AU"/>
        </w:rPr>
        <w:t xml:space="preserve"> collaboration between SSP agencies </w:t>
      </w:r>
      <w:r>
        <w:rPr>
          <w:rFonts w:eastAsia="Times New Roman"/>
          <w:lang w:eastAsia="en-AU"/>
        </w:rPr>
        <w:t>through</w:t>
      </w:r>
      <w:r w:rsidRPr="00B402EE">
        <w:rPr>
          <w:rFonts w:eastAsia="Times New Roman"/>
          <w:lang w:eastAsia="en-AU"/>
        </w:rPr>
        <w:t xml:space="preserve"> the Interagency Aviation Safety Promotions Working Group (IASPWG)</w:t>
      </w:r>
      <w:r w:rsidRPr="00145CC7">
        <w:rPr>
          <w:rFonts w:eastAsia="Times New Roman"/>
          <w:lang w:eastAsia="en-AU"/>
        </w:rPr>
        <w:t xml:space="preserve"> was only </w:t>
      </w:r>
      <w:r>
        <w:rPr>
          <w:rFonts w:eastAsia="Times New Roman"/>
          <w:lang w:eastAsia="en-AU"/>
        </w:rPr>
        <w:t xml:space="preserve">marginally below </w:t>
      </w:r>
      <w:r w:rsidRPr="00145CC7">
        <w:rPr>
          <w:rFonts w:eastAsia="Times New Roman"/>
          <w:lang w:eastAsia="en-AU"/>
        </w:rPr>
        <w:t xml:space="preserve">the target </w:t>
      </w:r>
      <w:r>
        <w:rPr>
          <w:rFonts w:eastAsia="Times New Roman"/>
          <w:lang w:eastAsia="en-AU"/>
        </w:rPr>
        <w:t xml:space="preserve">for </w:t>
      </w:r>
      <w:r w:rsidRPr="00145CC7">
        <w:rPr>
          <w:rFonts w:eastAsia="Times New Roman"/>
          <w:lang w:eastAsia="en-AU"/>
        </w:rPr>
        <w:t>this reporting period</w:t>
      </w:r>
      <w:r>
        <w:rPr>
          <w:rFonts w:eastAsia="Times New Roman"/>
          <w:lang w:eastAsia="en-AU"/>
        </w:rPr>
        <w:t>,</w:t>
      </w:r>
      <w:r w:rsidRPr="00145CC7">
        <w:rPr>
          <w:rFonts w:eastAsia="Times New Roman"/>
          <w:lang w:eastAsia="en-AU"/>
        </w:rPr>
        <w:t xml:space="preserve"> with </w:t>
      </w:r>
      <w:r>
        <w:rPr>
          <w:rFonts w:eastAsia="Times New Roman"/>
          <w:lang w:eastAsia="en-AU"/>
        </w:rPr>
        <w:t xml:space="preserve">three meetings held. During FY </w:t>
      </w:r>
      <w:r w:rsidR="003276FE">
        <w:rPr>
          <w:rFonts w:eastAsia="Times New Roman"/>
          <w:lang w:eastAsia="en-AU"/>
        </w:rPr>
        <w:t>2024–25</w:t>
      </w:r>
      <w:r>
        <w:rPr>
          <w:rFonts w:eastAsia="Times New Roman"/>
          <w:lang w:eastAsia="en-AU"/>
        </w:rPr>
        <w:t xml:space="preserve">, </w:t>
      </w:r>
      <w:r w:rsidRPr="00E60F27">
        <w:rPr>
          <w:rFonts w:eastAsia="Times New Roman"/>
          <w:lang w:eastAsia="en-AU"/>
        </w:rPr>
        <w:t xml:space="preserve">joint safety education </w:t>
      </w:r>
      <w:r>
        <w:rPr>
          <w:rFonts w:eastAsia="Times New Roman"/>
          <w:lang w:eastAsia="en-AU"/>
        </w:rPr>
        <w:t>initiatives conducted through the IASPWG concentrated on the Automatic Dependent Surveillance-Broadcast (ADS-B)</w:t>
      </w:r>
      <w:r w:rsidRPr="10943078">
        <w:rPr>
          <w:rFonts w:eastAsia="Times New Roman"/>
          <w:lang w:eastAsia="en-AU"/>
        </w:rPr>
        <w:t xml:space="preserve"> </w:t>
      </w:r>
      <w:r>
        <w:rPr>
          <w:rFonts w:eastAsia="Times New Roman"/>
          <w:lang w:eastAsia="en-AU"/>
        </w:rPr>
        <w:t>rebate program and promotion of safety practices around non-controlled aerodromes.</w:t>
      </w:r>
    </w:p>
    <w:p w14:paraId="634F4DAE" w14:textId="586DD71A" w:rsidR="005C2ADE" w:rsidRDefault="005C2ADE" w:rsidP="002C6061">
      <w:pPr>
        <w:pStyle w:val="Tablefigureheading"/>
      </w:pPr>
      <w:bookmarkStart w:id="68" w:name="_Toc230269808"/>
      <w:r>
        <w:t>Table 6</w:t>
      </w:r>
      <w:r w:rsidR="00340487">
        <w:t>—</w:t>
      </w:r>
      <w:r w:rsidRPr="00A91CD9">
        <w:t xml:space="preserve">Goal 5 </w:t>
      </w:r>
      <w:r>
        <w:t xml:space="preserve">performance outcomes for </w:t>
      </w:r>
      <w:r w:rsidRPr="00A91CD9">
        <w:t xml:space="preserve">FY </w:t>
      </w:r>
      <w:r w:rsidR="003276FE">
        <w:t>2024–25</w:t>
      </w:r>
      <w:bookmarkEnd w:id="68"/>
    </w:p>
    <w:tbl>
      <w:tblPr>
        <w:tblStyle w:val="DefaultTable11"/>
        <w:tblW w:w="5000" w:type="pct"/>
        <w:tblBorders>
          <w:top w:val="single" w:sz="4" w:space="0" w:color="ED662F"/>
          <w:bottom w:val="single" w:sz="12" w:space="0" w:color="ED662F"/>
          <w:insideH w:val="single" w:sz="4" w:space="0" w:color="ED662F"/>
        </w:tblBorders>
        <w:tblLook w:val="04A0" w:firstRow="1" w:lastRow="0" w:firstColumn="1" w:lastColumn="0" w:noHBand="0" w:noVBand="1"/>
        <w:tblCaption w:val="Table 6—Goal 5 performance outcomes for FY 2024–25"/>
        <w:tblDescription w:val="Table 6—Goal 5 performance outcomes for FY 2024–25"/>
      </w:tblPr>
      <w:tblGrid>
        <w:gridCol w:w="2368"/>
        <w:gridCol w:w="2369"/>
        <w:gridCol w:w="2369"/>
        <w:gridCol w:w="2369"/>
      </w:tblGrid>
      <w:tr w:rsidR="00081C7E" w:rsidRPr="00654F9E" w14:paraId="278E98D7" w14:textId="77777777" w:rsidTr="00081C7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shd w:val="clear" w:color="auto" w:fill="4D148C"/>
          </w:tcPr>
          <w:p w14:paraId="03FFF485" w14:textId="5DA452E1" w:rsidR="00081C7E" w:rsidRPr="00081C7E" w:rsidRDefault="00081C7E" w:rsidP="00081C7E">
            <w:pPr>
              <w:pStyle w:val="Tablerowcolumnheading"/>
              <w:keepNext/>
              <w:rPr>
                <w:b/>
                <w:bCs/>
                <w:sz w:val="22"/>
                <w:szCs w:val="22"/>
              </w:rPr>
            </w:pPr>
            <w:r w:rsidRPr="00081C7E">
              <w:rPr>
                <w:rFonts w:eastAsia="Times New Roman" w:cstheme="minorHAnsi"/>
                <w:b/>
                <w:bCs/>
                <w:lang w:eastAsia="en-AU"/>
              </w:rPr>
              <w:t>Safety Objectives (SO)</w:t>
            </w:r>
          </w:p>
        </w:tc>
        <w:tc>
          <w:tcPr>
            <w:tcW w:w="1250" w:type="pct"/>
            <w:shd w:val="clear" w:color="auto" w:fill="4D148C"/>
          </w:tcPr>
          <w:p w14:paraId="18F04E34" w14:textId="040C5B22" w:rsidR="00081C7E" w:rsidRPr="00081C7E" w:rsidRDefault="00081C7E" w:rsidP="00081C7E">
            <w:pPr>
              <w:pStyle w:val="Tablerowcolumnheading"/>
              <w:keepNext/>
              <w:cnfStyle w:val="100000000000" w:firstRow="1" w:lastRow="0" w:firstColumn="0" w:lastColumn="0" w:oddVBand="0" w:evenVBand="0" w:oddHBand="0" w:evenHBand="0" w:firstRowFirstColumn="0" w:firstRowLastColumn="0" w:lastRowFirstColumn="0" w:lastRowLastColumn="0"/>
              <w:rPr>
                <w:b/>
                <w:bCs/>
                <w:szCs w:val="22"/>
              </w:rPr>
            </w:pPr>
            <w:r w:rsidRPr="00081C7E">
              <w:rPr>
                <w:rFonts w:eastAsia="Times New Roman" w:cstheme="minorHAnsi"/>
                <w:b/>
                <w:bCs/>
                <w:lang w:eastAsia="en-AU"/>
              </w:rPr>
              <w:t>Safety Performance Indicators</w:t>
            </w:r>
          </w:p>
        </w:tc>
        <w:tc>
          <w:tcPr>
            <w:tcW w:w="1250" w:type="pct"/>
            <w:shd w:val="clear" w:color="auto" w:fill="4D148C"/>
          </w:tcPr>
          <w:p w14:paraId="0D5446C5" w14:textId="6910CF36" w:rsidR="00081C7E" w:rsidRPr="00081C7E" w:rsidRDefault="00081C7E" w:rsidP="00081C7E">
            <w:pPr>
              <w:pStyle w:val="Tablerowcolumnheading"/>
              <w:keepNext/>
              <w:cnfStyle w:val="100000000000" w:firstRow="1" w:lastRow="0" w:firstColumn="0" w:lastColumn="0" w:oddVBand="0" w:evenVBand="0" w:oddHBand="0" w:evenHBand="0" w:firstRowFirstColumn="0" w:firstRowLastColumn="0" w:lastRowFirstColumn="0" w:lastRowLastColumn="0"/>
              <w:rPr>
                <w:b/>
                <w:bCs/>
                <w:sz w:val="22"/>
                <w:szCs w:val="22"/>
              </w:rPr>
            </w:pPr>
            <w:r w:rsidRPr="00081C7E">
              <w:rPr>
                <w:rFonts w:eastAsia="Times New Roman" w:cstheme="minorHAnsi"/>
                <w:b/>
                <w:bCs/>
                <w:lang w:eastAsia="en-AU"/>
              </w:rPr>
              <w:t>Safety Performance Target or Trend</w:t>
            </w:r>
          </w:p>
        </w:tc>
        <w:tc>
          <w:tcPr>
            <w:tcW w:w="1250" w:type="pct"/>
            <w:shd w:val="clear" w:color="auto" w:fill="4D148C"/>
          </w:tcPr>
          <w:p w14:paraId="752BACBC" w14:textId="44EA3CBC" w:rsidR="00081C7E" w:rsidRPr="00081C7E" w:rsidRDefault="00081C7E" w:rsidP="00081C7E">
            <w:pPr>
              <w:pStyle w:val="Tablerowcolumnheadingcentred"/>
              <w:keepNext/>
              <w:cnfStyle w:val="100000000000" w:firstRow="1" w:lastRow="0" w:firstColumn="0" w:lastColumn="0" w:oddVBand="0" w:evenVBand="0" w:oddHBand="0" w:evenHBand="0" w:firstRowFirstColumn="0" w:firstRowLastColumn="0" w:lastRowFirstColumn="0" w:lastRowLastColumn="0"/>
              <w:rPr>
                <w:b/>
                <w:bCs/>
                <w:sz w:val="22"/>
                <w:szCs w:val="22"/>
              </w:rPr>
            </w:pPr>
            <w:r w:rsidRPr="00081C7E">
              <w:rPr>
                <w:rFonts w:eastAsia="Times New Roman" w:cstheme="minorHAnsi"/>
                <w:b/>
                <w:bCs/>
                <w:lang w:eastAsia="en-AU"/>
              </w:rPr>
              <w:t>Performance Outcome</w:t>
            </w:r>
            <w:r w:rsidRPr="00081C7E">
              <w:rPr>
                <w:rFonts w:eastAsia="Times New Roman" w:cstheme="minorHAnsi"/>
                <w:b/>
                <w:bCs/>
                <w:lang w:eastAsia="en-AU"/>
              </w:rPr>
              <w:br/>
            </w:r>
            <w:r w:rsidRPr="00081C7E">
              <w:rPr>
                <w:rFonts w:eastAsia="Times New Roman" w:cstheme="minorHAnsi"/>
                <w:b/>
                <w:bCs/>
                <w:i/>
                <w:lang w:eastAsia="en-AU"/>
              </w:rPr>
              <w:t>(as of 30 June 2025)</w:t>
            </w:r>
            <w:r w:rsidRPr="00081C7E">
              <w:rPr>
                <w:rFonts w:eastAsia="Times New Roman" w:cstheme="minorHAnsi"/>
                <w:b/>
                <w:bCs/>
                <w:lang w:eastAsia="en-AU"/>
              </w:rPr>
              <w:t xml:space="preserve"> </w:t>
            </w:r>
          </w:p>
        </w:tc>
      </w:tr>
      <w:tr w:rsidR="00081C7E" w:rsidRPr="00654F9E" w14:paraId="3EE02B7C" w14:textId="77777777" w:rsidTr="00C5703D">
        <w:trPr>
          <w:cantSplit/>
        </w:trPr>
        <w:tc>
          <w:tcPr>
            <w:cnfStyle w:val="001000000000" w:firstRow="0" w:lastRow="0" w:firstColumn="1" w:lastColumn="0" w:oddVBand="0" w:evenVBand="0" w:oddHBand="0" w:evenHBand="0" w:firstRowFirstColumn="0" w:firstRowLastColumn="0" w:lastRowFirstColumn="0" w:lastRowLastColumn="0"/>
            <w:tcW w:w="1250" w:type="pct"/>
          </w:tcPr>
          <w:p w14:paraId="248A435A" w14:textId="7284C820" w:rsidR="00081C7E" w:rsidRPr="008776AE" w:rsidRDefault="00081C7E" w:rsidP="00081C7E">
            <w:r w:rsidRPr="00A91CD9">
              <w:rPr>
                <w:rFonts w:eastAsia="Times New Roman" w:cstheme="minorHAnsi"/>
                <w:lang w:eastAsia="en-AU"/>
              </w:rPr>
              <w:t>SO5.1: Improve engagement with industry to support the continuous improvement of an efficient and effective aviation safety regulatory framework</w:t>
            </w:r>
          </w:p>
        </w:tc>
        <w:tc>
          <w:tcPr>
            <w:tcW w:w="1250" w:type="pct"/>
          </w:tcPr>
          <w:p w14:paraId="4652F932" w14:textId="6AFE6A89" w:rsidR="00081C7E" w:rsidRPr="008776AE" w:rsidRDefault="00081C7E" w:rsidP="00081C7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Percentage of significant regulatory changes publicly consulted, and outcomes informed by industry feedback.</w:t>
            </w:r>
          </w:p>
        </w:tc>
        <w:tc>
          <w:tcPr>
            <w:tcW w:w="1250" w:type="pct"/>
          </w:tcPr>
          <w:p w14:paraId="6746A5F7" w14:textId="3D49EDCD" w:rsidR="00081C7E" w:rsidRPr="008776AE" w:rsidRDefault="00081C7E" w:rsidP="00081C7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100% of significant regulatory changes publicly consulted on.</w:t>
            </w:r>
          </w:p>
        </w:tc>
        <w:tc>
          <w:tcPr>
            <w:tcW w:w="1250" w:type="pct"/>
            <w:shd w:val="clear" w:color="auto" w:fill="ED7D31"/>
          </w:tcPr>
          <w:p w14:paraId="1C59DF81" w14:textId="583497D4" w:rsidR="00081C7E" w:rsidRPr="008776AE" w:rsidRDefault="00081C7E" w:rsidP="00081C7E">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081C7E" w:rsidRPr="00654F9E" w14:paraId="73B67B05" w14:textId="77777777" w:rsidTr="00C5703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38F102CC" w14:textId="74B18F5B" w:rsidR="00081C7E" w:rsidRPr="008776AE" w:rsidRDefault="00081C7E" w:rsidP="00081C7E">
            <w:r w:rsidRPr="00A91CD9">
              <w:rPr>
                <w:rFonts w:eastAsia="Times New Roman" w:cstheme="minorHAnsi"/>
                <w:lang w:eastAsia="en-AU"/>
              </w:rPr>
              <w:t>SO5.2: Improving industry engagement with SSRPs to support the continuous identification and monitoring of sector related risks</w:t>
            </w:r>
          </w:p>
        </w:tc>
        <w:tc>
          <w:tcPr>
            <w:tcW w:w="1250" w:type="pct"/>
          </w:tcPr>
          <w:p w14:paraId="53683CD7" w14:textId="5AD5931D" w:rsidR="00081C7E" w:rsidRPr="008776AE" w:rsidRDefault="00081C7E" w:rsidP="00081C7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a. Percentage of SSRP workshops with industry participation.</w:t>
            </w:r>
          </w:p>
        </w:tc>
        <w:tc>
          <w:tcPr>
            <w:tcW w:w="1250" w:type="pct"/>
          </w:tcPr>
          <w:p w14:paraId="11052248" w14:textId="4E799F85" w:rsidR="00081C7E" w:rsidRPr="008776AE" w:rsidRDefault="00081C7E" w:rsidP="00081C7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100% of workshops include industry representative attendance.</w:t>
            </w:r>
          </w:p>
        </w:tc>
        <w:tc>
          <w:tcPr>
            <w:tcW w:w="1250" w:type="pct"/>
            <w:shd w:val="clear" w:color="auto" w:fill="ED7D31"/>
          </w:tcPr>
          <w:p w14:paraId="0D00D34A" w14:textId="2AE97EF2" w:rsidR="00081C7E" w:rsidRPr="008776AE" w:rsidRDefault="00081C7E" w:rsidP="00081C7E">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r w:rsidR="00081C7E" w:rsidRPr="00654F9E" w14:paraId="3EB5CF4C" w14:textId="77777777" w:rsidTr="00C5703D">
        <w:trPr>
          <w:cantSplit/>
        </w:trPr>
        <w:tc>
          <w:tcPr>
            <w:cnfStyle w:val="001000000000" w:firstRow="0" w:lastRow="0" w:firstColumn="1" w:lastColumn="0" w:oddVBand="0" w:evenVBand="0" w:oddHBand="0" w:evenHBand="0" w:firstRowFirstColumn="0" w:firstRowLastColumn="0" w:lastRowFirstColumn="0" w:lastRowLastColumn="0"/>
            <w:tcW w:w="1250" w:type="pct"/>
          </w:tcPr>
          <w:p w14:paraId="3A9A7769" w14:textId="5AB7C448" w:rsidR="00081C7E" w:rsidRPr="008776AE" w:rsidRDefault="00081C7E" w:rsidP="00081C7E">
            <w:r w:rsidRPr="00A91CD9">
              <w:rPr>
                <w:rFonts w:eastAsia="Times New Roman" w:cstheme="minorHAnsi"/>
                <w:lang w:eastAsia="en-AU"/>
              </w:rPr>
              <w:t>SO5.3: Maintaining and ensuring industry engagement with SSP working groups</w:t>
            </w:r>
          </w:p>
        </w:tc>
        <w:tc>
          <w:tcPr>
            <w:tcW w:w="1250" w:type="pct"/>
          </w:tcPr>
          <w:p w14:paraId="721FFC17" w14:textId="56F1EB1A" w:rsidR="00081C7E" w:rsidRPr="008776AE" w:rsidRDefault="00081C7E" w:rsidP="00081C7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Percentage of SSP WG meetings with industry participation.</w:t>
            </w:r>
          </w:p>
        </w:tc>
        <w:tc>
          <w:tcPr>
            <w:tcW w:w="1250" w:type="pct"/>
          </w:tcPr>
          <w:p w14:paraId="52E3D614" w14:textId="19D52255" w:rsidR="00081C7E" w:rsidRPr="008776AE" w:rsidRDefault="00081C7E" w:rsidP="00081C7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100% industry participation in SSP WG meetings with required industry membership.</w:t>
            </w:r>
          </w:p>
        </w:tc>
        <w:tc>
          <w:tcPr>
            <w:tcW w:w="1250" w:type="pct"/>
            <w:shd w:val="clear" w:color="auto" w:fill="ED7D31"/>
          </w:tcPr>
          <w:p w14:paraId="09989C6E" w14:textId="2092E136" w:rsidR="00081C7E" w:rsidRPr="008776AE" w:rsidRDefault="00081C7E" w:rsidP="00081C7E">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081C7E" w:rsidRPr="00654F9E" w14:paraId="724E3B81" w14:textId="77777777" w:rsidTr="00C5703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5FDE7E4F" w14:textId="3DD68F49" w:rsidR="00081C7E" w:rsidRPr="008776AE" w:rsidRDefault="00081C7E" w:rsidP="00081C7E">
            <w:r w:rsidRPr="00A91CD9">
              <w:rPr>
                <w:rFonts w:eastAsia="Times New Roman" w:cstheme="minorHAnsi"/>
                <w:lang w:eastAsia="en-AU"/>
              </w:rPr>
              <w:t>SO5.4: Promotion of safety education through improved collaboration between SSP agencies via the Interagency Aviation Safety Promotions Working Group (IASPWG).</w:t>
            </w:r>
          </w:p>
        </w:tc>
        <w:tc>
          <w:tcPr>
            <w:tcW w:w="1250" w:type="pct"/>
          </w:tcPr>
          <w:p w14:paraId="1DB5A400" w14:textId="6B43C5F9" w:rsidR="00081C7E" w:rsidRPr="008776AE" w:rsidRDefault="00081C7E" w:rsidP="00081C7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a. Number of joint agency safety education activities and initiatives completed per year.</w:t>
            </w:r>
          </w:p>
        </w:tc>
        <w:tc>
          <w:tcPr>
            <w:tcW w:w="1250" w:type="pct"/>
          </w:tcPr>
          <w:p w14:paraId="220ED539" w14:textId="77777777" w:rsidR="00081C7E" w:rsidRPr="00A91CD9" w:rsidRDefault="00081C7E" w:rsidP="00081C7E">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roofErr w:type="spellStart"/>
            <w:r w:rsidRPr="00A91CD9">
              <w:rPr>
                <w:rFonts w:eastAsia="Times New Roman" w:cstheme="minorHAnsi"/>
                <w:lang w:eastAsia="en-AU"/>
              </w:rPr>
              <w:t>i</w:t>
            </w:r>
            <w:proofErr w:type="spellEnd"/>
            <w:r w:rsidRPr="00A91CD9">
              <w:rPr>
                <w:rFonts w:eastAsia="Times New Roman" w:cstheme="minorHAnsi"/>
                <w:lang w:eastAsia="en-AU"/>
              </w:rPr>
              <w:t>. Minimum of 4 IASPWG meetings held annually.</w:t>
            </w:r>
          </w:p>
          <w:p w14:paraId="75A08585" w14:textId="2E16B79C" w:rsidR="00081C7E" w:rsidRPr="008776AE" w:rsidRDefault="00081C7E" w:rsidP="00081C7E">
            <w:pPr>
              <w:cnfStyle w:val="000000010000" w:firstRow="0" w:lastRow="0" w:firstColumn="0" w:lastColumn="0" w:oddVBand="0" w:evenVBand="0" w:oddHBand="0" w:evenHBand="1" w:firstRowFirstColumn="0" w:firstRowLastColumn="0" w:lastRowFirstColumn="0" w:lastRowLastColumn="0"/>
            </w:pPr>
            <w:r w:rsidRPr="00A91CD9">
              <w:rPr>
                <w:rFonts w:eastAsia="Times New Roman" w:cstheme="minorHAnsi"/>
                <w:lang w:eastAsia="en-AU"/>
              </w:rPr>
              <w:t>ii. 100% of planned and agreed joint safety education activities and initiatives delivered each year.</w:t>
            </w:r>
          </w:p>
        </w:tc>
        <w:tc>
          <w:tcPr>
            <w:tcW w:w="1250" w:type="pct"/>
            <w:shd w:val="clear" w:color="auto" w:fill="FFC000"/>
          </w:tcPr>
          <w:p w14:paraId="2A2F43F1" w14:textId="388EB596" w:rsidR="00081C7E" w:rsidRPr="008776AE" w:rsidRDefault="00081C7E" w:rsidP="00081C7E">
            <w:pPr>
              <w:cnfStyle w:val="000000010000" w:firstRow="0" w:lastRow="0" w:firstColumn="0" w:lastColumn="0" w:oddVBand="0" w:evenVBand="0" w:oddHBand="0" w:evenHBand="1" w:firstRowFirstColumn="0" w:firstRowLastColumn="0" w:lastRowFirstColumn="0" w:lastRowLastColumn="0"/>
            </w:pPr>
            <w:r w:rsidRPr="00A91CD9">
              <w:rPr>
                <w:rFonts w:eastAsia="Times New Roman"/>
                <w:lang w:eastAsia="en-AU"/>
              </w:rPr>
              <w:t>Improvements required for performance target to be achieved</w:t>
            </w:r>
          </w:p>
        </w:tc>
      </w:tr>
      <w:tr w:rsidR="00081C7E" w:rsidRPr="00654F9E" w14:paraId="28855D22" w14:textId="77777777" w:rsidTr="00C5703D">
        <w:trPr>
          <w:cantSplit/>
        </w:trPr>
        <w:tc>
          <w:tcPr>
            <w:cnfStyle w:val="001000000000" w:firstRow="0" w:lastRow="0" w:firstColumn="1" w:lastColumn="0" w:oddVBand="0" w:evenVBand="0" w:oddHBand="0" w:evenHBand="0" w:firstRowFirstColumn="0" w:firstRowLastColumn="0" w:lastRowFirstColumn="0" w:lastRowLastColumn="0"/>
            <w:tcW w:w="1250" w:type="pct"/>
          </w:tcPr>
          <w:p w14:paraId="3E4DC497" w14:textId="55D91422" w:rsidR="00081C7E" w:rsidRPr="008776AE" w:rsidRDefault="00081C7E" w:rsidP="00081C7E">
            <w:r w:rsidRPr="00A91CD9">
              <w:rPr>
                <w:rFonts w:eastAsia="Times New Roman" w:cstheme="minorHAnsi"/>
                <w:lang w:eastAsia="en-AU"/>
              </w:rPr>
              <w:lastRenderedPageBreak/>
              <w:t>SO5.5: Maintain or improve Airservices safety program maturity evaluation</w:t>
            </w:r>
          </w:p>
        </w:tc>
        <w:tc>
          <w:tcPr>
            <w:tcW w:w="1250" w:type="pct"/>
          </w:tcPr>
          <w:p w14:paraId="76C66B5C" w14:textId="03E631A0" w:rsidR="00081C7E" w:rsidRPr="008776AE" w:rsidRDefault="00081C7E" w:rsidP="00081C7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a. Airservices Civil Air Navigation Services Organisation (CANSO) maturity assessment score.</w:t>
            </w:r>
          </w:p>
        </w:tc>
        <w:tc>
          <w:tcPr>
            <w:tcW w:w="1250" w:type="pct"/>
          </w:tcPr>
          <w:p w14:paraId="487BB118" w14:textId="310A6F5D" w:rsidR="00081C7E" w:rsidRPr="008776AE" w:rsidRDefault="00081C7E" w:rsidP="00081C7E">
            <w:pPr>
              <w:cnfStyle w:val="000000000000" w:firstRow="0" w:lastRow="0" w:firstColumn="0" w:lastColumn="0" w:oddVBand="0" w:evenVBand="0" w:oddHBand="0" w:evenHBand="0" w:firstRowFirstColumn="0" w:firstRowLastColumn="0" w:lastRowFirstColumn="0" w:lastRowLastColumn="0"/>
            </w:pPr>
            <w:r w:rsidRPr="00A91CD9">
              <w:rPr>
                <w:rFonts w:eastAsia="Times New Roman" w:cstheme="minorHAnsi"/>
                <w:lang w:eastAsia="en-AU"/>
              </w:rPr>
              <w:t>To achieve CANSO maturity level D.</w:t>
            </w:r>
          </w:p>
        </w:tc>
        <w:tc>
          <w:tcPr>
            <w:tcW w:w="1250" w:type="pct"/>
            <w:shd w:val="clear" w:color="auto" w:fill="ED7D31"/>
          </w:tcPr>
          <w:p w14:paraId="4C45B032" w14:textId="785F0B03" w:rsidR="00081C7E" w:rsidRPr="008776AE" w:rsidRDefault="00081C7E" w:rsidP="00081C7E">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081C7E" w:rsidRPr="00654F9E" w14:paraId="1BCE084F" w14:textId="77777777" w:rsidTr="00C5703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36E24436" w14:textId="4A21867B" w:rsidR="00081C7E" w:rsidRPr="00A91CD9" w:rsidRDefault="00081C7E" w:rsidP="00081C7E">
            <w:pPr>
              <w:rPr>
                <w:rFonts w:eastAsia="Times New Roman" w:cstheme="minorHAnsi"/>
                <w:lang w:eastAsia="en-AU"/>
              </w:rPr>
            </w:pPr>
            <w:r w:rsidRPr="00A91CD9">
              <w:rPr>
                <w:rFonts w:eastAsia="Times New Roman" w:cstheme="minorHAnsi"/>
                <w:lang w:eastAsia="en-AU"/>
              </w:rPr>
              <w:t>SO5.6 Improving industry awareness, engagement and collaboration with key safety initiatives, campaigns, and outcomes</w:t>
            </w:r>
          </w:p>
        </w:tc>
        <w:tc>
          <w:tcPr>
            <w:tcW w:w="1250" w:type="pct"/>
          </w:tcPr>
          <w:p w14:paraId="215F9726" w14:textId="0330F6FA" w:rsidR="00081C7E" w:rsidRPr="00A91CD9" w:rsidRDefault="00081C7E" w:rsidP="00081C7E">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A91CD9">
              <w:rPr>
                <w:rFonts w:eastAsia="Times New Roman" w:cstheme="minorHAnsi"/>
                <w:lang w:eastAsia="en-AU"/>
              </w:rPr>
              <w:t xml:space="preserve">a. Attendance at industry association conferences and meetings, representation at annual safety conferences including AAA, RAAA, AAAA, AAUS, </w:t>
            </w:r>
            <w:proofErr w:type="spellStart"/>
            <w:r w:rsidRPr="00A91CD9">
              <w:rPr>
                <w:rFonts w:eastAsia="Times New Roman" w:cstheme="minorHAnsi"/>
                <w:lang w:eastAsia="en-AU"/>
              </w:rPr>
              <w:t>SafeSkies</w:t>
            </w:r>
            <w:proofErr w:type="spellEnd"/>
            <w:r w:rsidRPr="00A91CD9">
              <w:rPr>
                <w:rFonts w:eastAsia="Times New Roman" w:cstheme="minorHAnsi"/>
                <w:lang w:eastAsia="en-AU"/>
              </w:rPr>
              <w:t xml:space="preserve">, and AHIA </w:t>
            </w:r>
            <w:proofErr w:type="spellStart"/>
            <w:r w:rsidRPr="00A91CD9">
              <w:rPr>
                <w:rFonts w:eastAsia="Times New Roman" w:cstheme="minorHAnsi"/>
                <w:lang w:eastAsia="en-AU"/>
              </w:rPr>
              <w:t>Rotortech</w:t>
            </w:r>
            <w:proofErr w:type="spellEnd"/>
            <w:r w:rsidRPr="00A91CD9">
              <w:rPr>
                <w:rFonts w:eastAsia="Times New Roman" w:cstheme="minorHAnsi"/>
                <w:lang w:eastAsia="en-AU"/>
              </w:rPr>
              <w:t xml:space="preserve"> conference.</w:t>
            </w:r>
          </w:p>
        </w:tc>
        <w:tc>
          <w:tcPr>
            <w:tcW w:w="1250" w:type="pct"/>
          </w:tcPr>
          <w:p w14:paraId="6B3643E0" w14:textId="087F8394" w:rsidR="00081C7E" w:rsidRPr="00A91CD9" w:rsidRDefault="00081C7E" w:rsidP="00081C7E">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A91CD9">
              <w:rPr>
                <w:rFonts w:eastAsia="Times New Roman" w:cstheme="minorHAnsi"/>
                <w:lang w:eastAsia="en-AU"/>
              </w:rPr>
              <w:t>CASA representation at 100% of major industry conferences.</w:t>
            </w:r>
          </w:p>
        </w:tc>
        <w:tc>
          <w:tcPr>
            <w:tcW w:w="1250" w:type="pct"/>
            <w:shd w:val="clear" w:color="auto" w:fill="ED7D31"/>
          </w:tcPr>
          <w:p w14:paraId="1BD6D59F" w14:textId="1EE7856F" w:rsidR="00081C7E" w:rsidRPr="00F45BA1" w:rsidRDefault="00081C7E" w:rsidP="00081C7E">
            <w:pPr>
              <w:cnfStyle w:val="000000010000" w:firstRow="0" w:lastRow="0" w:firstColumn="0" w:lastColumn="0" w:oddVBand="0" w:evenVBand="0" w:oddHBand="0" w:evenHBand="1" w:firstRowFirstColumn="0" w:firstRowLastColumn="0" w:lastRowFirstColumn="0" w:lastRowLastColumn="0"/>
              <w:rPr>
                <w:rFonts w:cs="Calibri"/>
              </w:rPr>
            </w:pPr>
            <w:r w:rsidRPr="00F45BA1">
              <w:rPr>
                <w:rFonts w:cs="Calibri"/>
              </w:rPr>
              <w:t>Meeting target performance in first year of NASP</w:t>
            </w:r>
          </w:p>
        </w:tc>
      </w:tr>
      <w:tr w:rsidR="00081C7E" w:rsidRPr="00654F9E" w14:paraId="6C5A39FD" w14:textId="77777777" w:rsidTr="00C5703D">
        <w:trPr>
          <w:cantSplit/>
        </w:trPr>
        <w:tc>
          <w:tcPr>
            <w:cnfStyle w:val="001000000000" w:firstRow="0" w:lastRow="0" w:firstColumn="1" w:lastColumn="0" w:oddVBand="0" w:evenVBand="0" w:oddHBand="0" w:evenHBand="0" w:firstRowFirstColumn="0" w:firstRowLastColumn="0" w:lastRowFirstColumn="0" w:lastRowLastColumn="0"/>
            <w:tcW w:w="1250" w:type="pct"/>
          </w:tcPr>
          <w:p w14:paraId="16DC1364" w14:textId="77777777" w:rsidR="00081C7E" w:rsidRPr="00A91CD9" w:rsidRDefault="00081C7E" w:rsidP="00081C7E">
            <w:pPr>
              <w:rPr>
                <w:rFonts w:eastAsia="Times New Roman" w:cstheme="minorHAnsi"/>
                <w:lang w:eastAsia="en-AU"/>
              </w:rPr>
            </w:pPr>
          </w:p>
        </w:tc>
        <w:tc>
          <w:tcPr>
            <w:tcW w:w="1250" w:type="pct"/>
          </w:tcPr>
          <w:p w14:paraId="13E09B61" w14:textId="5C6FA063" w:rsidR="00081C7E" w:rsidRPr="00A91CD9" w:rsidRDefault="00081C7E" w:rsidP="00081C7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A91CD9">
              <w:rPr>
                <w:rFonts w:eastAsia="Times New Roman" w:cstheme="minorHAnsi"/>
                <w:lang w:eastAsia="en-AU"/>
              </w:rPr>
              <w:t>b. Participation of industry and industry associations in Aviation Safety seminars, webinars, and safety campaigns.</w:t>
            </w:r>
          </w:p>
        </w:tc>
        <w:tc>
          <w:tcPr>
            <w:tcW w:w="1250" w:type="pct"/>
          </w:tcPr>
          <w:p w14:paraId="2AB5869F" w14:textId="4168CB02" w:rsidR="00081C7E" w:rsidRPr="00A91CD9" w:rsidRDefault="00081C7E" w:rsidP="00081C7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A91CD9">
              <w:rPr>
                <w:rFonts w:eastAsia="Times New Roman" w:cstheme="minorHAnsi"/>
                <w:lang w:eastAsia="en-AU"/>
              </w:rPr>
              <w:t>90% of planned seminars and webinars conducted.</w:t>
            </w:r>
          </w:p>
        </w:tc>
        <w:tc>
          <w:tcPr>
            <w:tcW w:w="1250" w:type="pct"/>
            <w:shd w:val="clear" w:color="auto" w:fill="ED7D31"/>
          </w:tcPr>
          <w:p w14:paraId="10FA45F3" w14:textId="6C40EBC8" w:rsidR="00081C7E" w:rsidRPr="00F45BA1" w:rsidRDefault="00081C7E" w:rsidP="00081C7E">
            <w:pPr>
              <w:cnfStyle w:val="000000000000" w:firstRow="0" w:lastRow="0" w:firstColumn="0" w:lastColumn="0" w:oddVBand="0" w:evenVBand="0" w:oddHBand="0" w:evenHBand="0" w:firstRowFirstColumn="0" w:firstRowLastColumn="0" w:lastRowFirstColumn="0" w:lastRowLastColumn="0"/>
              <w:rPr>
                <w:rFonts w:cs="Calibri"/>
              </w:rPr>
            </w:pPr>
            <w:r w:rsidRPr="00F45BA1">
              <w:rPr>
                <w:rFonts w:cs="Calibri"/>
              </w:rPr>
              <w:t>Meeting target performance in first year of NASP</w:t>
            </w:r>
          </w:p>
        </w:tc>
      </w:tr>
      <w:tr w:rsidR="00081C7E" w:rsidRPr="00654F9E" w14:paraId="506A7CDC" w14:textId="77777777" w:rsidTr="00C5703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1408F9AF" w14:textId="77777777" w:rsidR="00081C7E" w:rsidRPr="00A91CD9" w:rsidRDefault="00081C7E" w:rsidP="00081C7E">
            <w:pPr>
              <w:rPr>
                <w:rFonts w:eastAsia="Times New Roman" w:cstheme="minorHAnsi"/>
                <w:lang w:eastAsia="en-AU"/>
              </w:rPr>
            </w:pPr>
          </w:p>
        </w:tc>
        <w:tc>
          <w:tcPr>
            <w:tcW w:w="1250" w:type="pct"/>
          </w:tcPr>
          <w:p w14:paraId="375F6798" w14:textId="2044D79E" w:rsidR="00081C7E" w:rsidRPr="00A91CD9" w:rsidRDefault="00081C7E" w:rsidP="00081C7E">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A91CD9">
              <w:rPr>
                <w:rFonts w:eastAsia="Times New Roman" w:cstheme="minorHAnsi"/>
                <w:lang w:eastAsia="en-AU"/>
              </w:rPr>
              <w:t>c. Support industry to deliver key safety programs aligned with key safety priorities and identified risks.</w:t>
            </w:r>
          </w:p>
        </w:tc>
        <w:tc>
          <w:tcPr>
            <w:tcW w:w="1250" w:type="pct"/>
          </w:tcPr>
          <w:p w14:paraId="621614D3" w14:textId="0C109E1F" w:rsidR="00081C7E" w:rsidRPr="00A91CD9" w:rsidRDefault="00081C7E" w:rsidP="00081C7E">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A91CD9">
              <w:rPr>
                <w:rFonts w:eastAsia="Times New Roman" w:cstheme="minorHAnsi"/>
                <w:lang w:eastAsia="en-AU"/>
              </w:rPr>
              <w:t>Offer and provide scholarships aligned to key safety initiatives. Continue to offer and provide safety sponsorship opportunities for industry and encourage collaboration.</w:t>
            </w:r>
          </w:p>
        </w:tc>
        <w:tc>
          <w:tcPr>
            <w:tcW w:w="1250" w:type="pct"/>
            <w:shd w:val="clear" w:color="auto" w:fill="ED7D31"/>
          </w:tcPr>
          <w:p w14:paraId="0429BDFE" w14:textId="748EB6F1" w:rsidR="00081C7E" w:rsidRPr="00F45BA1" w:rsidRDefault="00081C7E" w:rsidP="00081C7E">
            <w:pPr>
              <w:cnfStyle w:val="000000010000" w:firstRow="0" w:lastRow="0" w:firstColumn="0" w:lastColumn="0" w:oddVBand="0" w:evenVBand="0" w:oddHBand="0" w:evenHBand="1" w:firstRowFirstColumn="0" w:firstRowLastColumn="0" w:lastRowFirstColumn="0" w:lastRowLastColumn="0"/>
              <w:rPr>
                <w:rFonts w:cs="Calibri"/>
              </w:rPr>
            </w:pPr>
            <w:r w:rsidRPr="00F45BA1">
              <w:rPr>
                <w:rFonts w:cs="Calibri"/>
              </w:rPr>
              <w:t>Meeting target performance in first year of NASP</w:t>
            </w:r>
          </w:p>
        </w:tc>
      </w:tr>
      <w:tr w:rsidR="00081C7E" w:rsidRPr="00654F9E" w14:paraId="43917D2D" w14:textId="77777777" w:rsidTr="00C5703D">
        <w:trPr>
          <w:cantSplit/>
        </w:trPr>
        <w:tc>
          <w:tcPr>
            <w:cnfStyle w:val="001000000000" w:firstRow="0" w:lastRow="0" w:firstColumn="1" w:lastColumn="0" w:oddVBand="0" w:evenVBand="0" w:oddHBand="0" w:evenHBand="0" w:firstRowFirstColumn="0" w:firstRowLastColumn="0" w:lastRowFirstColumn="0" w:lastRowLastColumn="0"/>
            <w:tcW w:w="1250" w:type="pct"/>
          </w:tcPr>
          <w:p w14:paraId="581E87DA" w14:textId="77777777" w:rsidR="00081C7E" w:rsidRPr="00A91CD9" w:rsidRDefault="00081C7E" w:rsidP="00081C7E">
            <w:pPr>
              <w:rPr>
                <w:rFonts w:eastAsia="Times New Roman" w:cstheme="minorHAnsi"/>
                <w:lang w:eastAsia="en-AU"/>
              </w:rPr>
            </w:pPr>
          </w:p>
        </w:tc>
        <w:tc>
          <w:tcPr>
            <w:tcW w:w="1250" w:type="pct"/>
          </w:tcPr>
          <w:p w14:paraId="264EAB29" w14:textId="3F7C10C6" w:rsidR="00081C7E" w:rsidRPr="00A91CD9" w:rsidRDefault="00081C7E" w:rsidP="00081C7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A91CD9">
              <w:rPr>
                <w:rFonts w:eastAsia="Times New Roman" w:cstheme="minorHAnsi"/>
                <w:lang w:eastAsia="en-AU"/>
              </w:rPr>
              <w:t>d. Attendance at key industry airshows and other events. </w:t>
            </w:r>
          </w:p>
        </w:tc>
        <w:tc>
          <w:tcPr>
            <w:tcW w:w="1250" w:type="pct"/>
          </w:tcPr>
          <w:p w14:paraId="33090C20" w14:textId="159C4536" w:rsidR="00081C7E" w:rsidRPr="00A91CD9" w:rsidRDefault="00081C7E" w:rsidP="00081C7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A91CD9">
              <w:rPr>
                <w:rFonts w:eastAsia="Times New Roman" w:cstheme="minorHAnsi"/>
                <w:lang w:eastAsia="en-AU"/>
              </w:rPr>
              <w:t>CASA represented at a minimum of 5 events annually.</w:t>
            </w:r>
          </w:p>
        </w:tc>
        <w:tc>
          <w:tcPr>
            <w:tcW w:w="1250" w:type="pct"/>
            <w:shd w:val="clear" w:color="auto" w:fill="ED7D31"/>
          </w:tcPr>
          <w:p w14:paraId="7D23055B" w14:textId="2717F4D2" w:rsidR="00081C7E" w:rsidRPr="00F45BA1" w:rsidRDefault="00081C7E" w:rsidP="00081C7E">
            <w:pPr>
              <w:cnfStyle w:val="000000000000" w:firstRow="0" w:lastRow="0" w:firstColumn="0" w:lastColumn="0" w:oddVBand="0" w:evenVBand="0" w:oddHBand="0" w:evenHBand="0" w:firstRowFirstColumn="0" w:firstRowLastColumn="0" w:lastRowFirstColumn="0" w:lastRowLastColumn="0"/>
              <w:rPr>
                <w:rFonts w:cs="Calibri"/>
              </w:rPr>
            </w:pPr>
            <w:r w:rsidRPr="00F45BA1">
              <w:rPr>
                <w:rFonts w:cs="Calibri"/>
              </w:rPr>
              <w:t>Meeting target performance in first year of NASP</w:t>
            </w:r>
          </w:p>
        </w:tc>
      </w:tr>
      <w:tr w:rsidR="00081C7E" w:rsidRPr="00654F9E" w14:paraId="1F35C780" w14:textId="77777777" w:rsidTr="00C5703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183C5618" w14:textId="77777777" w:rsidR="00081C7E" w:rsidRPr="00A91CD9" w:rsidRDefault="00081C7E" w:rsidP="00081C7E">
            <w:pPr>
              <w:rPr>
                <w:rFonts w:eastAsia="Times New Roman" w:cstheme="minorHAnsi"/>
                <w:lang w:eastAsia="en-AU"/>
              </w:rPr>
            </w:pPr>
          </w:p>
        </w:tc>
        <w:tc>
          <w:tcPr>
            <w:tcW w:w="1250" w:type="pct"/>
          </w:tcPr>
          <w:p w14:paraId="5DBF8D7D" w14:textId="6D3343C0" w:rsidR="00081C7E" w:rsidRPr="00A91CD9" w:rsidRDefault="00081C7E" w:rsidP="00081C7E">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A91CD9">
              <w:rPr>
                <w:rFonts w:eastAsia="Times New Roman"/>
                <w:lang w:eastAsia="en-AU"/>
              </w:rPr>
              <w:t xml:space="preserve">e. Delivery of safety promotion and education to enhance awareness within industry of safety factors relating to Global </w:t>
            </w:r>
            <w:proofErr w:type="gramStart"/>
            <w:r w:rsidRPr="00A91CD9">
              <w:rPr>
                <w:rFonts w:eastAsia="Times New Roman"/>
                <w:lang w:eastAsia="en-AU"/>
              </w:rPr>
              <w:t>High Risk</w:t>
            </w:r>
            <w:proofErr w:type="gramEnd"/>
            <w:r w:rsidRPr="00A91CD9">
              <w:rPr>
                <w:rFonts w:eastAsia="Times New Roman"/>
                <w:lang w:eastAsia="en-AU"/>
              </w:rPr>
              <w:t xml:space="preserve"> Categories (G-HRC) and national safety risks. </w:t>
            </w:r>
          </w:p>
        </w:tc>
        <w:tc>
          <w:tcPr>
            <w:tcW w:w="1250" w:type="pct"/>
          </w:tcPr>
          <w:p w14:paraId="18A3EC26" w14:textId="62BB1D2D" w:rsidR="00081C7E" w:rsidRPr="00A91CD9" w:rsidRDefault="00081C7E" w:rsidP="00081C7E">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A91CD9">
              <w:rPr>
                <w:rFonts w:eastAsia="Times New Roman" w:cstheme="minorHAnsi"/>
                <w:lang w:eastAsia="en-AU"/>
              </w:rPr>
              <w:t>Maintaining or increasing level of safety promotions and education campaigns to industry.</w:t>
            </w:r>
          </w:p>
        </w:tc>
        <w:tc>
          <w:tcPr>
            <w:tcW w:w="1250" w:type="pct"/>
            <w:shd w:val="clear" w:color="auto" w:fill="ED7D31"/>
          </w:tcPr>
          <w:p w14:paraId="63A72B52" w14:textId="3F5B2E13" w:rsidR="00081C7E" w:rsidRPr="00F45BA1" w:rsidRDefault="00081C7E" w:rsidP="00081C7E">
            <w:pPr>
              <w:cnfStyle w:val="000000010000" w:firstRow="0" w:lastRow="0" w:firstColumn="0" w:lastColumn="0" w:oddVBand="0" w:evenVBand="0" w:oddHBand="0" w:evenHBand="1" w:firstRowFirstColumn="0" w:firstRowLastColumn="0" w:lastRowFirstColumn="0" w:lastRowLastColumn="0"/>
              <w:rPr>
                <w:rFonts w:cs="Calibri"/>
              </w:rPr>
            </w:pPr>
            <w:r w:rsidRPr="00F45BA1">
              <w:rPr>
                <w:rFonts w:cs="Calibri"/>
              </w:rPr>
              <w:t>Meeting target performance in first year of NASP</w:t>
            </w:r>
          </w:p>
        </w:tc>
      </w:tr>
    </w:tbl>
    <w:p w14:paraId="6580830B" w14:textId="77777777" w:rsidR="005C2ADE" w:rsidRDefault="005C2ADE" w:rsidP="005C2ADE">
      <w:pPr>
        <w:rPr>
          <w:b/>
          <w:bCs/>
        </w:rPr>
      </w:pPr>
      <w:r>
        <w:rPr>
          <w:b/>
          <w:bCs/>
        </w:rPr>
        <w:br w:type="page"/>
      </w:r>
    </w:p>
    <w:p w14:paraId="0E301B8F" w14:textId="77777777" w:rsidR="005C2ADE" w:rsidRPr="00A91CD9" w:rsidRDefault="005C2ADE" w:rsidP="007A2F76">
      <w:pPr>
        <w:pStyle w:val="Heading3"/>
      </w:pPr>
      <w:bookmarkStart w:id="69" w:name="_Toc227229304"/>
      <w:bookmarkStart w:id="70" w:name="_Toc230270031"/>
      <w:r w:rsidRPr="00A91CD9">
        <w:lastRenderedPageBreak/>
        <w:t>Goal 6: Ensure Australia has the</w:t>
      </w:r>
      <w:r>
        <w:t xml:space="preserve"> </w:t>
      </w:r>
      <w:r w:rsidRPr="00A91CD9">
        <w:t>appropriate aviation</w:t>
      </w:r>
      <w:r>
        <w:t xml:space="preserve"> </w:t>
      </w:r>
      <w:r w:rsidRPr="00A91CD9">
        <w:t>infrastructure to support safe operations</w:t>
      </w:r>
      <w:bookmarkEnd w:id="69"/>
      <w:bookmarkEnd w:id="70"/>
      <w:r>
        <w:t xml:space="preserve"> </w:t>
      </w:r>
    </w:p>
    <w:p w14:paraId="669DF944" w14:textId="77777777" w:rsidR="005C2ADE" w:rsidRDefault="005C2ADE" w:rsidP="005C2ADE">
      <w:pPr>
        <w:rPr>
          <w:rFonts w:eastAsia="Times New Roman" w:cstheme="minorHAnsi"/>
          <w:color w:val="000000"/>
          <w:lang w:eastAsia="en-AU"/>
        </w:rPr>
      </w:pPr>
      <w:r w:rsidRPr="556A6CB7">
        <w:rPr>
          <w:rFonts w:eastAsia="Times New Roman"/>
          <w:lang w:eastAsia="en-AU"/>
        </w:rPr>
        <w:t xml:space="preserve">In the first year of the NASP 50% of </w:t>
      </w:r>
      <w:r>
        <w:rPr>
          <w:rFonts w:eastAsia="Times New Roman"/>
          <w:lang w:eastAsia="en-AU"/>
        </w:rPr>
        <w:t>Goal</w:t>
      </w:r>
      <w:r w:rsidRPr="556A6CB7">
        <w:rPr>
          <w:rFonts w:eastAsia="Times New Roman"/>
          <w:lang w:eastAsia="en-AU"/>
        </w:rPr>
        <w:t xml:space="preserve"> 6 SPIs (3 out of 6) </w:t>
      </w:r>
      <w:r>
        <w:rPr>
          <w:rFonts w:eastAsia="Times New Roman"/>
          <w:lang w:eastAsia="en-AU"/>
        </w:rPr>
        <w:t>met</w:t>
      </w:r>
      <w:r w:rsidRPr="556A6CB7">
        <w:rPr>
          <w:rFonts w:eastAsia="Times New Roman"/>
          <w:lang w:eastAsia="en-AU"/>
        </w:rPr>
        <w:t xml:space="preserve"> their performance targets</w:t>
      </w:r>
      <w:r>
        <w:rPr>
          <w:rFonts w:eastAsia="Times New Roman"/>
          <w:lang w:eastAsia="en-AU"/>
        </w:rPr>
        <w:t xml:space="preserve"> (Table 7), including </w:t>
      </w:r>
      <w:r w:rsidRPr="00B9302C">
        <w:rPr>
          <w:rFonts w:eastAsia="Times New Roman" w:cstheme="minorHAnsi"/>
          <w:color w:val="000000"/>
          <w:lang w:eastAsia="en-AU"/>
        </w:rPr>
        <w:t xml:space="preserve">air navigation and aerodrome infrastructure </w:t>
      </w:r>
      <w:r>
        <w:rPr>
          <w:rFonts w:eastAsia="Times New Roman" w:cstheme="minorHAnsi"/>
          <w:color w:val="000000"/>
          <w:lang w:eastAsia="en-AU"/>
        </w:rPr>
        <w:t xml:space="preserve">compliance with </w:t>
      </w:r>
      <w:r w:rsidRPr="00B9302C">
        <w:rPr>
          <w:rFonts w:eastAsia="Times New Roman" w:cstheme="minorHAnsi"/>
          <w:color w:val="000000"/>
          <w:lang w:eastAsia="en-AU"/>
        </w:rPr>
        <w:t xml:space="preserve">ICAO </w:t>
      </w:r>
      <w:r>
        <w:rPr>
          <w:rFonts w:eastAsia="Times New Roman" w:cstheme="minorHAnsi"/>
          <w:color w:val="000000"/>
          <w:lang w:eastAsia="en-AU"/>
        </w:rPr>
        <w:t>s</w:t>
      </w:r>
      <w:r w:rsidRPr="00B9302C">
        <w:rPr>
          <w:rFonts w:eastAsia="Times New Roman" w:cstheme="minorHAnsi"/>
          <w:color w:val="000000"/>
          <w:lang w:eastAsia="en-AU"/>
        </w:rPr>
        <w:t>tandards</w:t>
      </w:r>
      <w:r>
        <w:rPr>
          <w:rFonts w:eastAsia="Times New Roman" w:cstheme="minorHAnsi"/>
          <w:color w:val="000000"/>
          <w:lang w:eastAsia="en-AU"/>
        </w:rPr>
        <w:t xml:space="preserve">. </w:t>
      </w:r>
    </w:p>
    <w:p w14:paraId="55708802" w14:textId="77777777" w:rsidR="005C2ADE" w:rsidRDefault="005C2ADE" w:rsidP="005C2ADE">
      <w:pPr>
        <w:rPr>
          <w:b/>
        </w:rPr>
      </w:pPr>
      <w:r>
        <w:rPr>
          <w:rFonts w:eastAsia="Times New Roman"/>
          <w:lang w:eastAsia="en-AU"/>
        </w:rPr>
        <w:t>T</w:t>
      </w:r>
      <w:r w:rsidRPr="4FA29109">
        <w:rPr>
          <w:rFonts w:eastAsia="Times New Roman"/>
          <w:lang w:eastAsia="en-AU"/>
        </w:rPr>
        <w:t xml:space="preserve">he search and rescue (SAR) system </w:t>
      </w:r>
      <w:r>
        <w:rPr>
          <w:rFonts w:eastAsia="Times New Roman"/>
          <w:lang w:eastAsia="en-AU"/>
        </w:rPr>
        <w:t xml:space="preserve">has consistently achieved its </w:t>
      </w:r>
      <w:r w:rsidRPr="4FA29109">
        <w:rPr>
          <w:rFonts w:eastAsia="Times New Roman"/>
          <w:lang w:eastAsia="en-AU"/>
        </w:rPr>
        <w:t xml:space="preserve">safety objectives of </w:t>
      </w:r>
      <w:r>
        <w:rPr>
          <w:rFonts w:eastAsia="Times New Roman"/>
          <w:lang w:eastAsia="en-AU"/>
        </w:rPr>
        <w:t xml:space="preserve">maintaining </w:t>
      </w:r>
      <w:r w:rsidRPr="4FA29109">
        <w:rPr>
          <w:rFonts w:eastAsia="Times New Roman"/>
          <w:lang w:eastAsia="en-AU"/>
        </w:rPr>
        <w:t>100% availability of the COSPAS-</w:t>
      </w:r>
      <w:r>
        <w:rPr>
          <w:rFonts w:eastAsia="Times New Roman"/>
          <w:lang w:eastAsia="en-AU"/>
        </w:rPr>
        <w:t>Search and Rescue Satellite-Aided Tracking (</w:t>
      </w:r>
      <w:r w:rsidRPr="4FA29109">
        <w:rPr>
          <w:rFonts w:eastAsia="Times New Roman"/>
          <w:lang w:eastAsia="en-AU"/>
        </w:rPr>
        <w:t>SARSAT</w:t>
      </w:r>
      <w:r>
        <w:rPr>
          <w:rFonts w:eastAsia="Times New Roman"/>
          <w:lang w:eastAsia="en-AU"/>
        </w:rPr>
        <w:t>)</w:t>
      </w:r>
      <w:r w:rsidRPr="4FA29109">
        <w:rPr>
          <w:rFonts w:eastAsia="Times New Roman"/>
          <w:lang w:eastAsia="en-AU"/>
        </w:rPr>
        <w:t xml:space="preserve"> satellite distress beacon system for the Australian flight information region</w:t>
      </w:r>
      <w:r>
        <w:rPr>
          <w:rFonts w:eastAsia="Times New Roman"/>
          <w:lang w:eastAsia="en-AU"/>
        </w:rPr>
        <w:t xml:space="preserve"> (FIR)</w:t>
      </w:r>
      <w:r w:rsidRPr="10943078">
        <w:rPr>
          <w:rFonts w:eastAsia="Times New Roman"/>
          <w:lang w:eastAsia="en-AU"/>
        </w:rPr>
        <w:t>.</w:t>
      </w:r>
      <w:r w:rsidRPr="4FA29109">
        <w:rPr>
          <w:rFonts w:eastAsia="Times New Roman"/>
          <w:lang w:eastAsia="en-AU"/>
        </w:rPr>
        <w:t xml:space="preserve"> </w:t>
      </w:r>
      <w:r>
        <w:rPr>
          <w:rFonts w:eastAsia="Times New Roman"/>
          <w:lang w:eastAsia="en-AU"/>
        </w:rPr>
        <w:t>However, the objective to reduce</w:t>
      </w:r>
      <w:r w:rsidRPr="4FA29109">
        <w:rPr>
          <w:rFonts w:eastAsia="Times New Roman"/>
          <w:lang w:eastAsia="en-AU"/>
        </w:rPr>
        <w:t xml:space="preserve"> unnecessary SAR system activation</w:t>
      </w:r>
      <w:r>
        <w:rPr>
          <w:rFonts w:eastAsia="Times New Roman"/>
          <w:lang w:eastAsia="en-AU"/>
        </w:rPr>
        <w:t xml:space="preserve">s </w:t>
      </w:r>
      <w:r w:rsidRPr="4FA29109">
        <w:rPr>
          <w:rFonts w:eastAsia="Times New Roman"/>
          <w:lang w:eastAsia="en-AU"/>
        </w:rPr>
        <w:t>has not</w:t>
      </w:r>
      <w:r>
        <w:rPr>
          <w:rFonts w:eastAsia="Times New Roman"/>
          <w:lang w:eastAsia="en-AU"/>
        </w:rPr>
        <w:t xml:space="preserve"> been</w:t>
      </w:r>
      <w:r w:rsidRPr="4FA29109">
        <w:rPr>
          <w:rFonts w:eastAsia="Times New Roman"/>
          <w:lang w:eastAsia="en-AU"/>
        </w:rPr>
        <w:t xml:space="preserve"> met. </w:t>
      </w:r>
      <w:r>
        <w:rPr>
          <w:rFonts w:eastAsia="Times New Roman"/>
          <w:lang w:eastAsia="en-AU"/>
        </w:rPr>
        <w:t>While</w:t>
      </w:r>
      <w:r w:rsidRPr="4FA29109">
        <w:rPr>
          <w:rFonts w:eastAsia="Times New Roman"/>
          <w:lang w:eastAsia="en-AU"/>
        </w:rPr>
        <w:t xml:space="preserve"> the rate</w:t>
      </w:r>
      <w:r>
        <w:rPr>
          <w:rFonts w:eastAsia="Times New Roman"/>
          <w:lang w:eastAsia="en-AU"/>
        </w:rPr>
        <w:t xml:space="preserve"> </w:t>
      </w:r>
      <w:r w:rsidRPr="4FA29109">
        <w:rPr>
          <w:rFonts w:eastAsia="Times New Roman"/>
          <w:lang w:eastAsia="en-AU"/>
        </w:rPr>
        <w:t xml:space="preserve">of false alerts relating to emergency locator transmitters, </w:t>
      </w:r>
      <w:r>
        <w:rPr>
          <w:rFonts w:eastAsia="Times New Roman"/>
          <w:lang w:eastAsia="en-AU"/>
        </w:rPr>
        <w:t>SAR time search action required (</w:t>
      </w:r>
      <w:r w:rsidRPr="4FA29109">
        <w:rPr>
          <w:rFonts w:eastAsia="Times New Roman"/>
          <w:lang w:eastAsia="en-AU"/>
        </w:rPr>
        <w:t>SARTIME</w:t>
      </w:r>
      <w:r>
        <w:rPr>
          <w:rFonts w:eastAsia="Times New Roman"/>
          <w:lang w:eastAsia="en-AU"/>
        </w:rPr>
        <w:t>)</w:t>
      </w:r>
      <w:r w:rsidRPr="4FA29109">
        <w:rPr>
          <w:rFonts w:eastAsia="Times New Roman"/>
          <w:lang w:eastAsia="en-AU"/>
        </w:rPr>
        <w:t xml:space="preserve"> and </w:t>
      </w:r>
      <w:r>
        <w:rPr>
          <w:rFonts w:eastAsia="Times New Roman"/>
          <w:lang w:eastAsia="en-AU"/>
        </w:rPr>
        <w:t>watch (</w:t>
      </w:r>
      <w:r w:rsidRPr="4FA29109">
        <w:rPr>
          <w:rFonts w:eastAsia="Times New Roman"/>
          <w:lang w:eastAsia="en-AU"/>
        </w:rPr>
        <w:t>SARWATCH</w:t>
      </w:r>
      <w:r>
        <w:rPr>
          <w:rFonts w:eastAsia="Times New Roman"/>
          <w:lang w:eastAsia="en-AU"/>
        </w:rPr>
        <w:t>)</w:t>
      </w:r>
      <w:r w:rsidRPr="4FA29109">
        <w:rPr>
          <w:rFonts w:eastAsia="Times New Roman"/>
          <w:lang w:eastAsia="en-AU"/>
        </w:rPr>
        <w:t xml:space="preserve"> times have been above desired levels, in all cases appropriate SAR follow up was conducted and </w:t>
      </w:r>
      <w:r w:rsidRPr="0849EAF0">
        <w:rPr>
          <w:rFonts w:eastAsia="Times New Roman"/>
          <w:lang w:eastAsia="en-AU"/>
        </w:rPr>
        <w:t>aircraft</w:t>
      </w:r>
      <w:r w:rsidRPr="4FA29109">
        <w:rPr>
          <w:rFonts w:eastAsia="Times New Roman"/>
          <w:lang w:eastAsia="en-AU"/>
        </w:rPr>
        <w:t xml:space="preserve"> safety was confirmed.</w:t>
      </w:r>
      <w:r>
        <w:rPr>
          <w:rFonts w:eastAsia="Times New Roman"/>
          <w:lang w:eastAsia="en-AU"/>
        </w:rPr>
        <w:t xml:space="preserve"> Ongoing initiatives, including safety promotions, aim to raise awareness of preventing </w:t>
      </w:r>
      <w:r w:rsidRPr="4FA29109">
        <w:rPr>
          <w:rFonts w:eastAsia="Times New Roman"/>
          <w:lang w:eastAsia="en-AU"/>
        </w:rPr>
        <w:t>unnecessary SAR system activation</w:t>
      </w:r>
      <w:r>
        <w:rPr>
          <w:rFonts w:eastAsia="Times New Roman"/>
          <w:lang w:eastAsia="en-AU"/>
        </w:rPr>
        <w:t>s and continue to try to decrease the frequency of false alerts.</w:t>
      </w:r>
    </w:p>
    <w:p w14:paraId="591E9A8E" w14:textId="5B5D75BE" w:rsidR="005C2ADE" w:rsidRDefault="005C2ADE" w:rsidP="002C6061">
      <w:pPr>
        <w:pStyle w:val="Tablefigureheading"/>
      </w:pPr>
      <w:bookmarkStart w:id="71" w:name="_Toc230269809"/>
      <w:r>
        <w:t>Table 7</w:t>
      </w:r>
      <w:r w:rsidR="00340487">
        <w:t>—</w:t>
      </w:r>
      <w:r>
        <w:t>Goal 6</w:t>
      </w:r>
      <w:r w:rsidRPr="0020301E">
        <w:t xml:space="preserve"> </w:t>
      </w:r>
      <w:r>
        <w:t xml:space="preserve">performance outcomes for </w:t>
      </w:r>
      <w:r w:rsidRPr="00A91CD9">
        <w:t xml:space="preserve">FY </w:t>
      </w:r>
      <w:r w:rsidR="003276FE">
        <w:t>2024–25</w:t>
      </w:r>
      <w:bookmarkEnd w:id="71"/>
    </w:p>
    <w:tbl>
      <w:tblPr>
        <w:tblStyle w:val="DefaultTable11"/>
        <w:tblW w:w="5000" w:type="pct"/>
        <w:tblBorders>
          <w:top w:val="single" w:sz="4" w:space="0" w:color="ED662F"/>
          <w:bottom w:val="single" w:sz="12" w:space="0" w:color="ED662F"/>
          <w:insideH w:val="single" w:sz="4" w:space="0" w:color="ED662F"/>
        </w:tblBorders>
        <w:tblLook w:val="04A0" w:firstRow="1" w:lastRow="0" w:firstColumn="1" w:lastColumn="0" w:noHBand="0" w:noVBand="1"/>
        <w:tblCaption w:val="Table 7—Goal 6 performance outcomes for FY 2024–25"/>
        <w:tblDescription w:val="Table 7—Goal 6 performance outcomes for FY 2024–25"/>
      </w:tblPr>
      <w:tblGrid>
        <w:gridCol w:w="2368"/>
        <w:gridCol w:w="2369"/>
        <w:gridCol w:w="2369"/>
        <w:gridCol w:w="2369"/>
      </w:tblGrid>
      <w:tr w:rsidR="002E0AC7" w:rsidRPr="00654F9E" w14:paraId="53C47D00" w14:textId="77777777" w:rsidTr="007A2F7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shd w:val="clear" w:color="auto" w:fill="4D148C"/>
          </w:tcPr>
          <w:p w14:paraId="11E06B6B" w14:textId="5D206D58" w:rsidR="002E0AC7" w:rsidRPr="002E0AC7" w:rsidRDefault="002E0AC7" w:rsidP="002E0AC7">
            <w:pPr>
              <w:pStyle w:val="Tablerowcolumnheading"/>
              <w:keepNext/>
              <w:rPr>
                <w:b/>
                <w:bCs/>
                <w:sz w:val="22"/>
                <w:szCs w:val="22"/>
              </w:rPr>
            </w:pPr>
            <w:r w:rsidRPr="002E0AC7">
              <w:rPr>
                <w:rFonts w:eastAsia="Times New Roman" w:cstheme="minorHAnsi"/>
                <w:b/>
                <w:bCs/>
                <w:lang w:eastAsia="en-AU"/>
              </w:rPr>
              <w:t>Safety Objectives (SO)</w:t>
            </w:r>
          </w:p>
        </w:tc>
        <w:tc>
          <w:tcPr>
            <w:tcW w:w="1250" w:type="pct"/>
            <w:shd w:val="clear" w:color="auto" w:fill="4D148C"/>
          </w:tcPr>
          <w:p w14:paraId="73B2E07E" w14:textId="400FC161" w:rsidR="002E0AC7" w:rsidRPr="002E0AC7" w:rsidRDefault="002E0AC7" w:rsidP="002E0AC7">
            <w:pPr>
              <w:pStyle w:val="Tablerowcolumnheading"/>
              <w:keepNext/>
              <w:cnfStyle w:val="100000000000" w:firstRow="1" w:lastRow="0" w:firstColumn="0" w:lastColumn="0" w:oddVBand="0" w:evenVBand="0" w:oddHBand="0" w:evenHBand="0" w:firstRowFirstColumn="0" w:firstRowLastColumn="0" w:lastRowFirstColumn="0" w:lastRowLastColumn="0"/>
              <w:rPr>
                <w:b/>
                <w:bCs/>
                <w:szCs w:val="22"/>
              </w:rPr>
            </w:pPr>
            <w:r w:rsidRPr="002E0AC7">
              <w:rPr>
                <w:rFonts w:eastAsia="Times New Roman" w:cstheme="minorHAnsi"/>
                <w:b/>
                <w:bCs/>
                <w:lang w:eastAsia="en-AU"/>
              </w:rPr>
              <w:t>Safety Performance Indicators</w:t>
            </w:r>
          </w:p>
        </w:tc>
        <w:tc>
          <w:tcPr>
            <w:tcW w:w="1250" w:type="pct"/>
            <w:shd w:val="clear" w:color="auto" w:fill="4D148C"/>
          </w:tcPr>
          <w:p w14:paraId="6985B3D9" w14:textId="377A7C1B" w:rsidR="002E0AC7" w:rsidRPr="002E0AC7" w:rsidRDefault="002E0AC7" w:rsidP="002E0AC7">
            <w:pPr>
              <w:pStyle w:val="Tablerowcolumnheading"/>
              <w:keepNext/>
              <w:cnfStyle w:val="100000000000" w:firstRow="1" w:lastRow="0" w:firstColumn="0" w:lastColumn="0" w:oddVBand="0" w:evenVBand="0" w:oddHBand="0" w:evenHBand="0" w:firstRowFirstColumn="0" w:firstRowLastColumn="0" w:lastRowFirstColumn="0" w:lastRowLastColumn="0"/>
              <w:rPr>
                <w:b/>
                <w:bCs/>
                <w:sz w:val="22"/>
                <w:szCs w:val="22"/>
              </w:rPr>
            </w:pPr>
            <w:r w:rsidRPr="002E0AC7">
              <w:rPr>
                <w:rFonts w:eastAsia="Times New Roman" w:cstheme="minorHAnsi"/>
                <w:b/>
                <w:bCs/>
                <w:lang w:eastAsia="en-AU"/>
              </w:rPr>
              <w:t>Safety Performance Target or Trend</w:t>
            </w:r>
          </w:p>
        </w:tc>
        <w:tc>
          <w:tcPr>
            <w:tcW w:w="1250" w:type="pct"/>
            <w:shd w:val="clear" w:color="auto" w:fill="4D148C"/>
          </w:tcPr>
          <w:p w14:paraId="49516CB7" w14:textId="70F7F7CA" w:rsidR="002E0AC7" w:rsidRPr="002E0AC7" w:rsidRDefault="002E0AC7" w:rsidP="002E0AC7">
            <w:pPr>
              <w:pStyle w:val="Tablerowcolumnheadingcentred"/>
              <w:keepNext/>
              <w:cnfStyle w:val="100000000000" w:firstRow="1" w:lastRow="0" w:firstColumn="0" w:lastColumn="0" w:oddVBand="0" w:evenVBand="0" w:oddHBand="0" w:evenHBand="0" w:firstRowFirstColumn="0" w:firstRowLastColumn="0" w:lastRowFirstColumn="0" w:lastRowLastColumn="0"/>
              <w:rPr>
                <w:b/>
                <w:bCs/>
                <w:sz w:val="22"/>
                <w:szCs w:val="22"/>
              </w:rPr>
            </w:pPr>
            <w:r w:rsidRPr="002E0AC7">
              <w:rPr>
                <w:rFonts w:eastAsia="Times New Roman" w:cstheme="minorHAnsi"/>
                <w:b/>
                <w:bCs/>
                <w:lang w:eastAsia="en-AU"/>
              </w:rPr>
              <w:t>Performance Outcome</w:t>
            </w:r>
            <w:r w:rsidRPr="002E0AC7">
              <w:rPr>
                <w:rFonts w:eastAsia="Times New Roman" w:cstheme="minorHAnsi"/>
                <w:b/>
                <w:bCs/>
                <w:lang w:eastAsia="en-AU"/>
              </w:rPr>
              <w:br/>
            </w:r>
            <w:r w:rsidRPr="002E0AC7">
              <w:rPr>
                <w:rFonts w:eastAsia="Times New Roman" w:cstheme="minorHAnsi"/>
                <w:b/>
                <w:bCs/>
                <w:i/>
                <w:iCs/>
                <w:lang w:eastAsia="en-AU"/>
              </w:rPr>
              <w:t>(as of 30 June 2025)</w:t>
            </w:r>
            <w:r w:rsidRPr="002E0AC7">
              <w:rPr>
                <w:rFonts w:eastAsia="Times New Roman" w:cstheme="minorHAnsi"/>
                <w:b/>
                <w:bCs/>
                <w:lang w:eastAsia="en-AU"/>
              </w:rPr>
              <w:t xml:space="preserve"> </w:t>
            </w:r>
          </w:p>
        </w:tc>
      </w:tr>
      <w:tr w:rsidR="002E0AC7" w:rsidRPr="00654F9E" w14:paraId="60D5F685" w14:textId="77777777" w:rsidTr="002E0AC7">
        <w:trPr>
          <w:cantSplit/>
        </w:trPr>
        <w:tc>
          <w:tcPr>
            <w:cnfStyle w:val="001000000000" w:firstRow="0" w:lastRow="0" w:firstColumn="1" w:lastColumn="0" w:oddVBand="0" w:evenVBand="0" w:oddHBand="0" w:evenHBand="0" w:firstRowFirstColumn="0" w:firstRowLastColumn="0" w:lastRowFirstColumn="0" w:lastRowLastColumn="0"/>
            <w:tcW w:w="1250" w:type="pct"/>
          </w:tcPr>
          <w:p w14:paraId="33FC3EA5" w14:textId="798482D3" w:rsidR="002E0AC7" w:rsidRPr="008776AE" w:rsidRDefault="002E0AC7" w:rsidP="002E0AC7">
            <w:r w:rsidRPr="004671B3">
              <w:rPr>
                <w:rFonts w:eastAsia="Times New Roman" w:cstheme="minorHAnsi"/>
                <w:lang w:eastAsia="en-AU"/>
              </w:rPr>
              <w:t>SO6.1: Maintain or enhance SAR system effectiveness for the timely location and rescue of survivors of aircraft distress incidents.</w:t>
            </w:r>
          </w:p>
        </w:tc>
        <w:tc>
          <w:tcPr>
            <w:tcW w:w="1250" w:type="pct"/>
          </w:tcPr>
          <w:p w14:paraId="47C13265" w14:textId="6B9BD255" w:rsidR="002E0AC7" w:rsidRPr="008776AE" w:rsidRDefault="002E0AC7" w:rsidP="002E0AC7">
            <w:pPr>
              <w:cnfStyle w:val="000000000000" w:firstRow="0" w:lastRow="0" w:firstColumn="0" w:lastColumn="0" w:oddVBand="0" w:evenVBand="0" w:oddHBand="0" w:evenHBand="0" w:firstRowFirstColumn="0" w:firstRowLastColumn="0" w:lastRowFirstColumn="0" w:lastRowLastColumn="0"/>
            </w:pPr>
            <w:r w:rsidRPr="004671B3">
              <w:rPr>
                <w:rFonts w:eastAsia="Times New Roman" w:cstheme="minorHAnsi"/>
                <w:lang w:eastAsia="en-AU"/>
              </w:rPr>
              <w:t>a. Percentage availability of the COSPAS-SARSAT satellite distress beacon system for the Australian Flight Information Region (FIR) </w:t>
            </w:r>
          </w:p>
        </w:tc>
        <w:tc>
          <w:tcPr>
            <w:tcW w:w="1250" w:type="pct"/>
          </w:tcPr>
          <w:p w14:paraId="6EFC0B04" w14:textId="53E1067B" w:rsidR="002E0AC7" w:rsidRPr="008776AE" w:rsidRDefault="002E0AC7" w:rsidP="002E0AC7">
            <w:pPr>
              <w:cnfStyle w:val="000000000000" w:firstRow="0" w:lastRow="0" w:firstColumn="0" w:lastColumn="0" w:oddVBand="0" w:evenVBand="0" w:oddHBand="0" w:evenHBand="0" w:firstRowFirstColumn="0" w:firstRowLastColumn="0" w:lastRowFirstColumn="0" w:lastRowLastColumn="0"/>
            </w:pPr>
            <w:r w:rsidRPr="004671B3">
              <w:rPr>
                <w:rFonts w:eastAsia="Times New Roman" w:cstheme="minorHAnsi"/>
                <w:lang w:eastAsia="en-AU"/>
              </w:rPr>
              <w:t>100% availability for the Australian (FIR).</w:t>
            </w:r>
          </w:p>
        </w:tc>
        <w:tc>
          <w:tcPr>
            <w:tcW w:w="1250" w:type="pct"/>
            <w:shd w:val="clear" w:color="auto" w:fill="ED7D31"/>
          </w:tcPr>
          <w:p w14:paraId="563F98CE" w14:textId="7AC28368" w:rsidR="002E0AC7" w:rsidRPr="008776AE" w:rsidRDefault="002E0AC7" w:rsidP="002E0AC7">
            <w:pPr>
              <w:cnfStyle w:val="000000000000" w:firstRow="0" w:lastRow="0" w:firstColumn="0" w:lastColumn="0" w:oddVBand="0" w:evenVBand="0" w:oddHBand="0" w:evenHBand="0" w:firstRowFirstColumn="0" w:firstRowLastColumn="0" w:lastRowFirstColumn="0" w:lastRowLastColumn="0"/>
            </w:pPr>
            <w:r w:rsidRPr="00514BB8">
              <w:rPr>
                <w:rFonts w:cs="Calibri"/>
              </w:rPr>
              <w:t>Meeting target performance in first year of NASP</w:t>
            </w:r>
          </w:p>
        </w:tc>
      </w:tr>
      <w:tr w:rsidR="00453BDB" w:rsidRPr="00654F9E" w14:paraId="6BF505B7" w14:textId="77777777" w:rsidTr="00453B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0B5F2470" w14:textId="2F2824A1" w:rsidR="00453BDB" w:rsidRPr="008776AE" w:rsidRDefault="00453BDB" w:rsidP="00453BDB">
            <w:r w:rsidRPr="004671B3">
              <w:rPr>
                <w:rFonts w:eastAsia="Times New Roman" w:cstheme="minorHAnsi"/>
                <w:lang w:eastAsia="en-AU"/>
              </w:rPr>
              <w:t>SO6.2: Reduce the unnecessary activation of the SAR system.</w:t>
            </w:r>
          </w:p>
        </w:tc>
        <w:tc>
          <w:tcPr>
            <w:tcW w:w="1250" w:type="pct"/>
          </w:tcPr>
          <w:p w14:paraId="38F241FE" w14:textId="65087302" w:rsidR="00453BDB" w:rsidRPr="008776AE" w:rsidRDefault="00453BDB" w:rsidP="00453BDB">
            <w:pPr>
              <w:cnfStyle w:val="000000010000" w:firstRow="0" w:lastRow="0" w:firstColumn="0" w:lastColumn="0" w:oddVBand="0" w:evenVBand="0" w:oddHBand="0" w:evenHBand="1" w:firstRowFirstColumn="0" w:firstRowLastColumn="0" w:lastRowFirstColumn="0" w:lastRowLastColumn="0"/>
            </w:pPr>
            <w:r w:rsidRPr="004671B3">
              <w:rPr>
                <w:rFonts w:eastAsia="Times New Roman" w:cstheme="minorHAnsi"/>
                <w:lang w:eastAsia="en-AU"/>
              </w:rPr>
              <w:t>a. Percentage of false Emergency Locator Transmitter (ELT) alerts.</w:t>
            </w:r>
          </w:p>
        </w:tc>
        <w:tc>
          <w:tcPr>
            <w:tcW w:w="1250" w:type="pct"/>
          </w:tcPr>
          <w:p w14:paraId="5C05812D" w14:textId="1030F669" w:rsidR="00453BDB" w:rsidRPr="008776AE" w:rsidRDefault="00453BDB" w:rsidP="00453BDB">
            <w:pPr>
              <w:cnfStyle w:val="000000010000" w:firstRow="0" w:lastRow="0" w:firstColumn="0" w:lastColumn="0" w:oddVBand="0" w:evenVBand="0" w:oddHBand="0" w:evenHBand="1" w:firstRowFirstColumn="0" w:firstRowLastColumn="0" w:lastRowFirstColumn="0" w:lastRowLastColumn="0"/>
            </w:pPr>
            <w:r w:rsidRPr="004671B3">
              <w:rPr>
                <w:rFonts w:eastAsia="Times New Roman" w:cstheme="minorHAnsi"/>
                <w:lang w:eastAsia="en-AU"/>
              </w:rPr>
              <w:t>Reduction in rate of false ELT alerts, including portable ELT alerts.</w:t>
            </w:r>
          </w:p>
        </w:tc>
        <w:tc>
          <w:tcPr>
            <w:tcW w:w="1250" w:type="pct"/>
            <w:shd w:val="clear" w:color="auto" w:fill="F6B298"/>
          </w:tcPr>
          <w:p w14:paraId="5A3986CB" w14:textId="4169D616" w:rsidR="00453BDB" w:rsidRPr="008776AE" w:rsidRDefault="00453BDB" w:rsidP="00453BDB">
            <w:pPr>
              <w:cnfStyle w:val="000000010000" w:firstRow="0" w:lastRow="0" w:firstColumn="0" w:lastColumn="0" w:oddVBand="0" w:evenVBand="0" w:oddHBand="0" w:evenHBand="1" w:firstRowFirstColumn="0" w:firstRowLastColumn="0" w:lastRowFirstColumn="0" w:lastRowLastColumn="0"/>
            </w:pPr>
            <w:r w:rsidRPr="004671B3">
              <w:rPr>
                <w:rFonts w:eastAsia="Times New Roman"/>
                <w:lang w:eastAsia="en-AU"/>
              </w:rPr>
              <w:t>Improvements required for performance target to be achieved</w:t>
            </w:r>
          </w:p>
        </w:tc>
      </w:tr>
      <w:tr w:rsidR="00453BDB" w:rsidRPr="00654F9E" w14:paraId="631C1D74" w14:textId="77777777" w:rsidTr="00453BDB">
        <w:trPr>
          <w:cantSplit/>
        </w:trPr>
        <w:tc>
          <w:tcPr>
            <w:cnfStyle w:val="001000000000" w:firstRow="0" w:lastRow="0" w:firstColumn="1" w:lastColumn="0" w:oddVBand="0" w:evenVBand="0" w:oddHBand="0" w:evenHBand="0" w:firstRowFirstColumn="0" w:firstRowLastColumn="0" w:lastRowFirstColumn="0" w:lastRowLastColumn="0"/>
            <w:tcW w:w="1250" w:type="pct"/>
          </w:tcPr>
          <w:p w14:paraId="31E933DE" w14:textId="749A7FC8" w:rsidR="00453BDB" w:rsidRPr="008776AE" w:rsidRDefault="00453BDB" w:rsidP="00453BDB">
            <w:r w:rsidRPr="004671B3">
              <w:rPr>
                <w:rFonts w:eastAsia="Times New Roman" w:cstheme="minorHAnsi"/>
                <w:lang w:eastAsia="en-AU"/>
              </w:rPr>
              <w:t>SO6.2: Reduce the unnecessary activation of the SAR system.</w:t>
            </w:r>
          </w:p>
        </w:tc>
        <w:tc>
          <w:tcPr>
            <w:tcW w:w="1250" w:type="pct"/>
          </w:tcPr>
          <w:p w14:paraId="7A144F2E" w14:textId="1446EFD3" w:rsidR="00453BDB" w:rsidRPr="008776AE" w:rsidRDefault="00453BDB" w:rsidP="00453BDB">
            <w:pPr>
              <w:cnfStyle w:val="000000000000" w:firstRow="0" w:lastRow="0" w:firstColumn="0" w:lastColumn="0" w:oddVBand="0" w:evenVBand="0" w:oddHBand="0" w:evenHBand="0" w:firstRowFirstColumn="0" w:firstRowLastColumn="0" w:lastRowFirstColumn="0" w:lastRowLastColumn="0"/>
            </w:pPr>
            <w:r w:rsidRPr="004671B3">
              <w:rPr>
                <w:rFonts w:eastAsia="Times New Roman" w:cstheme="minorHAnsi"/>
                <w:lang w:eastAsia="en-AU"/>
              </w:rPr>
              <w:t>b. Percentage of unnecessary emergency phases declared due to failure of pilots to report by SARTIME expiry. </w:t>
            </w:r>
          </w:p>
        </w:tc>
        <w:tc>
          <w:tcPr>
            <w:tcW w:w="1250" w:type="pct"/>
          </w:tcPr>
          <w:p w14:paraId="5A77A530" w14:textId="006B1F5D" w:rsidR="00453BDB" w:rsidRPr="008776AE" w:rsidRDefault="00453BDB" w:rsidP="00453BDB">
            <w:pPr>
              <w:cnfStyle w:val="000000000000" w:firstRow="0" w:lastRow="0" w:firstColumn="0" w:lastColumn="0" w:oddVBand="0" w:evenVBand="0" w:oddHBand="0" w:evenHBand="0" w:firstRowFirstColumn="0" w:firstRowLastColumn="0" w:lastRowFirstColumn="0" w:lastRowLastColumn="0"/>
            </w:pPr>
            <w:r w:rsidRPr="004671B3">
              <w:rPr>
                <w:rFonts w:eastAsia="Times New Roman" w:cstheme="minorHAnsi"/>
                <w:lang w:eastAsia="en-AU"/>
              </w:rPr>
              <w:t>Reduction in failure to cancel by SARTIME error rate.</w:t>
            </w:r>
          </w:p>
        </w:tc>
        <w:tc>
          <w:tcPr>
            <w:tcW w:w="1250" w:type="pct"/>
            <w:shd w:val="clear" w:color="auto" w:fill="F6B298"/>
          </w:tcPr>
          <w:p w14:paraId="3B08FE9A" w14:textId="289EDE9F" w:rsidR="00453BDB" w:rsidRPr="008776AE" w:rsidRDefault="00453BDB" w:rsidP="00453BDB">
            <w:pPr>
              <w:cnfStyle w:val="000000000000" w:firstRow="0" w:lastRow="0" w:firstColumn="0" w:lastColumn="0" w:oddVBand="0" w:evenVBand="0" w:oddHBand="0" w:evenHBand="0" w:firstRowFirstColumn="0" w:firstRowLastColumn="0" w:lastRowFirstColumn="0" w:lastRowLastColumn="0"/>
            </w:pPr>
            <w:r w:rsidRPr="004671B3">
              <w:rPr>
                <w:rFonts w:eastAsia="Times New Roman"/>
                <w:lang w:eastAsia="en-AU"/>
              </w:rPr>
              <w:t>Improvements required for performance target to be achieved</w:t>
            </w:r>
          </w:p>
        </w:tc>
      </w:tr>
      <w:tr w:rsidR="00453BDB" w:rsidRPr="00654F9E" w14:paraId="6195C0D5" w14:textId="77777777" w:rsidTr="00453B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48A2DE3B" w14:textId="63B48D4F" w:rsidR="00453BDB" w:rsidRPr="008776AE" w:rsidRDefault="00453BDB" w:rsidP="00453BDB">
            <w:r w:rsidRPr="004671B3">
              <w:rPr>
                <w:rFonts w:eastAsia="Times New Roman" w:cstheme="minorHAnsi"/>
                <w:lang w:eastAsia="en-AU"/>
              </w:rPr>
              <w:t>SO6.2: Reduce the unnecessary activation of the SAR system.</w:t>
            </w:r>
          </w:p>
        </w:tc>
        <w:tc>
          <w:tcPr>
            <w:tcW w:w="1250" w:type="pct"/>
          </w:tcPr>
          <w:p w14:paraId="385549F4" w14:textId="71CF3734" w:rsidR="00453BDB" w:rsidRPr="008776AE" w:rsidRDefault="00453BDB" w:rsidP="00453BDB">
            <w:pPr>
              <w:cnfStyle w:val="000000010000" w:firstRow="0" w:lastRow="0" w:firstColumn="0" w:lastColumn="0" w:oddVBand="0" w:evenVBand="0" w:oddHBand="0" w:evenHBand="1" w:firstRowFirstColumn="0" w:firstRowLastColumn="0" w:lastRowFirstColumn="0" w:lastRowLastColumn="0"/>
            </w:pPr>
            <w:r w:rsidRPr="004671B3">
              <w:rPr>
                <w:rFonts w:eastAsia="Times New Roman" w:cstheme="minorHAnsi"/>
                <w:lang w:eastAsia="en-AU"/>
              </w:rPr>
              <w:t>c. Percentage of unnecessary emergency phases declared due to failure of pilots to report by SARWATCH time. </w:t>
            </w:r>
          </w:p>
        </w:tc>
        <w:tc>
          <w:tcPr>
            <w:tcW w:w="1250" w:type="pct"/>
          </w:tcPr>
          <w:p w14:paraId="2B345746" w14:textId="3585A922" w:rsidR="00453BDB" w:rsidRPr="008776AE" w:rsidRDefault="00453BDB" w:rsidP="00453BDB">
            <w:pPr>
              <w:cnfStyle w:val="000000010000" w:firstRow="0" w:lastRow="0" w:firstColumn="0" w:lastColumn="0" w:oddVBand="0" w:evenVBand="0" w:oddHBand="0" w:evenHBand="1" w:firstRowFirstColumn="0" w:firstRowLastColumn="0" w:lastRowFirstColumn="0" w:lastRowLastColumn="0"/>
            </w:pPr>
            <w:r w:rsidRPr="004671B3">
              <w:rPr>
                <w:rFonts w:eastAsia="Times New Roman" w:cstheme="minorHAnsi"/>
                <w:lang w:eastAsia="en-AU"/>
              </w:rPr>
              <w:t>Reduction in failure to report by SARWATCH error rate.</w:t>
            </w:r>
          </w:p>
        </w:tc>
        <w:tc>
          <w:tcPr>
            <w:tcW w:w="1250" w:type="pct"/>
            <w:shd w:val="clear" w:color="auto" w:fill="F6B298"/>
          </w:tcPr>
          <w:p w14:paraId="1204EA1B" w14:textId="63B65A7C" w:rsidR="00453BDB" w:rsidRPr="008776AE" w:rsidRDefault="00453BDB" w:rsidP="00453BDB">
            <w:pPr>
              <w:cnfStyle w:val="000000010000" w:firstRow="0" w:lastRow="0" w:firstColumn="0" w:lastColumn="0" w:oddVBand="0" w:evenVBand="0" w:oddHBand="0" w:evenHBand="1" w:firstRowFirstColumn="0" w:firstRowLastColumn="0" w:lastRowFirstColumn="0" w:lastRowLastColumn="0"/>
            </w:pPr>
            <w:r w:rsidRPr="004671B3">
              <w:rPr>
                <w:rFonts w:eastAsia="Times New Roman"/>
                <w:lang w:eastAsia="en-AU"/>
              </w:rPr>
              <w:t>Improvements required for performance target to be achieved</w:t>
            </w:r>
          </w:p>
        </w:tc>
      </w:tr>
      <w:tr w:rsidR="0078630B" w:rsidRPr="00654F9E" w14:paraId="0A366E16" w14:textId="77777777" w:rsidTr="0078630B">
        <w:trPr>
          <w:cantSplit/>
        </w:trPr>
        <w:tc>
          <w:tcPr>
            <w:cnfStyle w:val="001000000000" w:firstRow="0" w:lastRow="0" w:firstColumn="1" w:lastColumn="0" w:oddVBand="0" w:evenVBand="0" w:oddHBand="0" w:evenHBand="0" w:firstRowFirstColumn="0" w:firstRowLastColumn="0" w:lastRowFirstColumn="0" w:lastRowLastColumn="0"/>
            <w:tcW w:w="1250" w:type="pct"/>
          </w:tcPr>
          <w:p w14:paraId="49139FF8" w14:textId="446269EA" w:rsidR="0078630B" w:rsidRPr="008776AE" w:rsidRDefault="0078630B" w:rsidP="0078630B">
            <w:r w:rsidRPr="004671B3">
              <w:rPr>
                <w:rFonts w:eastAsia="Times New Roman" w:cstheme="minorHAnsi"/>
                <w:lang w:eastAsia="en-AU"/>
              </w:rPr>
              <w:t>SO6.3: Maintain an increasing trend of air navigation and aerodrome infrastructure that meet relevant ICAO Standa</w:t>
            </w:r>
            <w:r>
              <w:rPr>
                <w:rFonts w:eastAsia="Times New Roman" w:cstheme="minorHAnsi"/>
                <w:lang w:eastAsia="en-AU"/>
              </w:rPr>
              <w:t>rds</w:t>
            </w:r>
          </w:p>
        </w:tc>
        <w:tc>
          <w:tcPr>
            <w:tcW w:w="1250" w:type="pct"/>
          </w:tcPr>
          <w:p w14:paraId="6FF570E4" w14:textId="656F1BA5" w:rsidR="0078630B" w:rsidRPr="008776AE" w:rsidRDefault="0078630B" w:rsidP="0078630B">
            <w:pPr>
              <w:cnfStyle w:val="000000000000" w:firstRow="0" w:lastRow="0" w:firstColumn="0" w:lastColumn="0" w:oddVBand="0" w:evenVBand="0" w:oddHBand="0" w:evenHBand="0" w:firstRowFirstColumn="0" w:firstRowLastColumn="0" w:lastRowFirstColumn="0" w:lastRowLastColumn="0"/>
            </w:pPr>
            <w:r w:rsidRPr="004671B3">
              <w:rPr>
                <w:rFonts w:eastAsia="Times New Roman" w:cstheme="minorHAnsi"/>
                <w:lang w:eastAsia="en-AU"/>
              </w:rPr>
              <w:t xml:space="preserve">a. Percentage of the 16 high priority Block 0 and 1 </w:t>
            </w:r>
            <w:proofErr w:type="gramStart"/>
            <w:r w:rsidRPr="004671B3">
              <w:rPr>
                <w:rFonts w:eastAsia="Times New Roman" w:cstheme="minorHAnsi"/>
                <w:lang w:eastAsia="en-AU"/>
              </w:rPr>
              <w:t>elements</w:t>
            </w:r>
            <w:proofErr w:type="gramEnd"/>
            <w:r w:rsidRPr="004671B3">
              <w:rPr>
                <w:rFonts w:eastAsia="Times New Roman" w:cstheme="minorHAnsi"/>
                <w:lang w:eastAsia="en-AU"/>
              </w:rPr>
              <w:t xml:space="preserve"> defined in the Australian Air Navigation Plan (NANP) implemented. </w:t>
            </w:r>
          </w:p>
        </w:tc>
        <w:tc>
          <w:tcPr>
            <w:tcW w:w="1250" w:type="pct"/>
          </w:tcPr>
          <w:p w14:paraId="10ECB8D9" w14:textId="7284688C" w:rsidR="0078630B" w:rsidRPr="008776AE" w:rsidRDefault="0078630B" w:rsidP="0078630B">
            <w:pPr>
              <w:cnfStyle w:val="000000000000" w:firstRow="0" w:lastRow="0" w:firstColumn="0" w:lastColumn="0" w:oddVBand="0" w:evenVBand="0" w:oddHBand="0" w:evenHBand="0" w:firstRowFirstColumn="0" w:firstRowLastColumn="0" w:lastRowFirstColumn="0" w:lastRowLastColumn="0"/>
            </w:pPr>
            <w:r w:rsidRPr="004671B3">
              <w:rPr>
                <w:rFonts w:eastAsia="Times New Roman" w:cstheme="minorHAnsi"/>
                <w:lang w:eastAsia="en-AU"/>
              </w:rPr>
              <w:t>100% of the elements implemented in alignment with APAC Air Navigation Plan defined milestone dates.</w:t>
            </w:r>
          </w:p>
        </w:tc>
        <w:tc>
          <w:tcPr>
            <w:tcW w:w="1250" w:type="pct"/>
            <w:shd w:val="clear" w:color="auto" w:fill="ED7D31"/>
          </w:tcPr>
          <w:p w14:paraId="647C28CF" w14:textId="5CABBA5E" w:rsidR="0078630B" w:rsidRPr="008776AE" w:rsidRDefault="0078630B" w:rsidP="0078630B">
            <w:pPr>
              <w:cnfStyle w:val="000000000000" w:firstRow="0" w:lastRow="0" w:firstColumn="0" w:lastColumn="0" w:oddVBand="0" w:evenVBand="0" w:oddHBand="0" w:evenHBand="0" w:firstRowFirstColumn="0" w:firstRowLastColumn="0" w:lastRowFirstColumn="0" w:lastRowLastColumn="0"/>
            </w:pPr>
            <w:r w:rsidRPr="00F45BA1">
              <w:rPr>
                <w:rFonts w:cs="Calibri"/>
              </w:rPr>
              <w:t>Meeting target performance in first year of NASP</w:t>
            </w:r>
          </w:p>
        </w:tc>
      </w:tr>
      <w:tr w:rsidR="0078630B" w:rsidRPr="00654F9E" w14:paraId="59ED1888" w14:textId="77777777" w:rsidTr="0078630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tcPr>
          <w:p w14:paraId="3B89F551" w14:textId="269C7FAD" w:rsidR="0078630B" w:rsidRPr="008776AE" w:rsidRDefault="0078630B" w:rsidP="0078630B">
            <w:r w:rsidRPr="004671B3">
              <w:rPr>
                <w:rFonts w:eastAsia="Times New Roman" w:cstheme="minorHAnsi"/>
                <w:lang w:eastAsia="en-AU"/>
              </w:rPr>
              <w:t>SO6.3: Maintain an increasing trend of air navigation and aerodrome infrastructure that meet relevant ICAO Standa</w:t>
            </w:r>
            <w:r>
              <w:rPr>
                <w:rFonts w:eastAsia="Times New Roman" w:cstheme="minorHAnsi"/>
                <w:lang w:eastAsia="en-AU"/>
              </w:rPr>
              <w:t>rds</w:t>
            </w:r>
          </w:p>
        </w:tc>
        <w:tc>
          <w:tcPr>
            <w:tcW w:w="1250" w:type="pct"/>
          </w:tcPr>
          <w:p w14:paraId="3694E8B0" w14:textId="43199D90" w:rsidR="0078630B" w:rsidRPr="008776AE" w:rsidRDefault="0078630B" w:rsidP="0078630B">
            <w:pPr>
              <w:cnfStyle w:val="000000010000" w:firstRow="0" w:lastRow="0" w:firstColumn="0" w:lastColumn="0" w:oddVBand="0" w:evenVBand="0" w:oddHBand="0" w:evenHBand="1" w:firstRowFirstColumn="0" w:firstRowLastColumn="0" w:lastRowFirstColumn="0" w:lastRowLastColumn="0"/>
            </w:pPr>
            <w:r w:rsidRPr="004671B3">
              <w:rPr>
                <w:rFonts w:eastAsia="Times New Roman" w:cstheme="minorHAnsi"/>
                <w:lang w:eastAsia="en-AU"/>
              </w:rPr>
              <w:t>b. Number of infrastructure-related air navigation deficiencies, against the GANP.</w:t>
            </w:r>
          </w:p>
        </w:tc>
        <w:tc>
          <w:tcPr>
            <w:tcW w:w="1250" w:type="pct"/>
          </w:tcPr>
          <w:p w14:paraId="09AF6DA0" w14:textId="48BE68FD" w:rsidR="0078630B" w:rsidRPr="008776AE" w:rsidRDefault="0078630B" w:rsidP="0078630B">
            <w:pPr>
              <w:cnfStyle w:val="000000010000" w:firstRow="0" w:lastRow="0" w:firstColumn="0" w:lastColumn="0" w:oddVBand="0" w:evenVBand="0" w:oddHBand="0" w:evenHBand="1" w:firstRowFirstColumn="0" w:firstRowLastColumn="0" w:lastRowFirstColumn="0" w:lastRowLastColumn="0"/>
            </w:pPr>
            <w:r w:rsidRPr="004671B3">
              <w:rPr>
                <w:rFonts w:eastAsia="Times New Roman" w:cstheme="minorHAnsi"/>
                <w:lang w:eastAsia="en-AU"/>
              </w:rPr>
              <w:t>Zero air navigation deficiencies.</w:t>
            </w:r>
          </w:p>
        </w:tc>
        <w:tc>
          <w:tcPr>
            <w:tcW w:w="1250" w:type="pct"/>
            <w:shd w:val="clear" w:color="auto" w:fill="ED7D31"/>
          </w:tcPr>
          <w:p w14:paraId="2A0D43C1" w14:textId="4BCE9D48" w:rsidR="0078630B" w:rsidRPr="008776AE" w:rsidRDefault="0078630B" w:rsidP="0078630B">
            <w:pPr>
              <w:cnfStyle w:val="000000010000" w:firstRow="0" w:lastRow="0" w:firstColumn="0" w:lastColumn="0" w:oddVBand="0" w:evenVBand="0" w:oddHBand="0" w:evenHBand="1" w:firstRowFirstColumn="0" w:firstRowLastColumn="0" w:lastRowFirstColumn="0" w:lastRowLastColumn="0"/>
            </w:pPr>
            <w:r w:rsidRPr="00F45BA1">
              <w:rPr>
                <w:rFonts w:cs="Calibri"/>
              </w:rPr>
              <w:t>Meeting target performance in first year of NASP</w:t>
            </w:r>
          </w:p>
        </w:tc>
      </w:tr>
    </w:tbl>
    <w:p w14:paraId="73E5F33C" w14:textId="77777777" w:rsidR="005C2ADE" w:rsidRDefault="005C2ADE" w:rsidP="005C2ADE">
      <w:bookmarkStart w:id="72" w:name="_Table_2_-"/>
      <w:bookmarkStart w:id="73" w:name="_Table_1_-"/>
      <w:bookmarkStart w:id="74" w:name="_Table_3_-"/>
      <w:bookmarkStart w:id="75" w:name="_Toc222139499"/>
      <w:bookmarkStart w:id="76" w:name="_4._Conclusion"/>
      <w:bookmarkStart w:id="77" w:name="_Toc222141598"/>
      <w:bookmarkEnd w:id="55"/>
      <w:bookmarkEnd w:id="56"/>
      <w:bookmarkEnd w:id="72"/>
      <w:bookmarkEnd w:id="73"/>
      <w:bookmarkEnd w:id="74"/>
      <w:bookmarkEnd w:id="75"/>
      <w:bookmarkEnd w:id="76"/>
      <w:r>
        <w:br w:type="page"/>
      </w:r>
    </w:p>
    <w:p w14:paraId="57B13890" w14:textId="77777777" w:rsidR="005C2ADE" w:rsidRPr="00A91CD9" w:rsidRDefault="005C2ADE" w:rsidP="00AD353E">
      <w:pPr>
        <w:pStyle w:val="Heading2"/>
      </w:pPr>
      <w:bookmarkStart w:id="78" w:name="_4._Conclusion_1"/>
      <w:bookmarkStart w:id="79" w:name="_Toc227229305"/>
      <w:bookmarkStart w:id="80" w:name="_Toc230270032"/>
      <w:bookmarkEnd w:id="78"/>
      <w:r w:rsidRPr="00A91CD9">
        <w:lastRenderedPageBreak/>
        <w:t>4. Conclusion</w:t>
      </w:r>
      <w:bookmarkEnd w:id="77"/>
      <w:bookmarkEnd w:id="79"/>
      <w:bookmarkEnd w:id="80"/>
    </w:p>
    <w:p w14:paraId="44D3CF25" w14:textId="77777777" w:rsidR="005C2ADE" w:rsidRDefault="005C2ADE" w:rsidP="005C2ADE">
      <w:pPr>
        <w:rPr>
          <w:rFonts w:cstheme="minorHAnsi"/>
          <w:bCs/>
        </w:rPr>
      </w:pPr>
      <w:r>
        <w:rPr>
          <w:rFonts w:cstheme="minorHAnsi"/>
          <w:bCs/>
        </w:rPr>
        <w:t xml:space="preserve">The 2024-2025 NASP annual report notes that safety objective performance among SSP agencies is generally mature. SPI monitoring practices are generally well established and regularly reported by these agencies. This is the first performance review of the NASP and any insights or areas for improved performance will inform our future safety programmes to address operational risks and enhance organisational effectiveness. </w:t>
      </w:r>
      <w:r w:rsidRPr="00BA2D40">
        <w:rPr>
          <w:rFonts w:cstheme="minorHAnsi"/>
          <w:bCs/>
        </w:rPr>
        <w:t xml:space="preserve">The performance outcomes </w:t>
      </w:r>
      <w:r>
        <w:rPr>
          <w:rFonts w:cstheme="minorHAnsi"/>
          <w:bCs/>
        </w:rPr>
        <w:t>against the</w:t>
      </w:r>
      <w:r w:rsidRPr="00BA2D40">
        <w:rPr>
          <w:rFonts w:cstheme="minorHAnsi"/>
          <w:bCs/>
        </w:rPr>
        <w:t xml:space="preserve"> safety goals in the first year of NASP demonstrate Australia’s </w:t>
      </w:r>
      <w:r>
        <w:rPr>
          <w:rFonts w:cstheme="minorHAnsi"/>
          <w:bCs/>
        </w:rPr>
        <w:t xml:space="preserve">ongoing </w:t>
      </w:r>
      <w:r w:rsidRPr="00BA2D40">
        <w:rPr>
          <w:rFonts w:cstheme="minorHAnsi"/>
          <w:bCs/>
        </w:rPr>
        <w:t>commitment to improv</w:t>
      </w:r>
      <w:r>
        <w:rPr>
          <w:rFonts w:cstheme="minorHAnsi"/>
          <w:bCs/>
        </w:rPr>
        <w:t>ing</w:t>
      </w:r>
      <w:r w:rsidRPr="00BA2D40">
        <w:rPr>
          <w:rFonts w:cstheme="minorHAnsi"/>
          <w:bCs/>
        </w:rPr>
        <w:t xml:space="preserve"> aviation safety management and reduc</w:t>
      </w:r>
      <w:r>
        <w:rPr>
          <w:rFonts w:cstheme="minorHAnsi"/>
          <w:bCs/>
        </w:rPr>
        <w:t>ing</w:t>
      </w:r>
      <w:r w:rsidRPr="00BA2D40">
        <w:rPr>
          <w:rFonts w:cstheme="minorHAnsi"/>
          <w:bCs/>
        </w:rPr>
        <w:t xml:space="preserve"> operational aviation safety risks</w:t>
      </w:r>
      <w:r>
        <w:rPr>
          <w:rFonts w:cstheme="minorHAnsi"/>
          <w:bCs/>
        </w:rPr>
        <w:t>.</w:t>
      </w:r>
    </w:p>
    <w:p w14:paraId="0CBE8853" w14:textId="77777777" w:rsidR="005C2ADE" w:rsidRPr="00113BDB" w:rsidRDefault="005C2ADE" w:rsidP="005C2ADE">
      <w:r>
        <w:t xml:space="preserve">In the first year an important operational safety objective was achieved and that was SO1.1 </w:t>
      </w:r>
      <w:r>
        <w:rPr>
          <w:i/>
          <w:iCs/>
        </w:rPr>
        <w:t>Ma</w:t>
      </w:r>
      <w:r w:rsidRPr="00CF50BF">
        <w:rPr>
          <w:i/>
          <w:iCs/>
        </w:rPr>
        <w:t>intain a 3-year moving average decreasing trend of accidents</w:t>
      </w:r>
      <w:r>
        <w:t>. However, one CAT fatal accident was reported, which does not align with</w:t>
      </w:r>
      <w:r>
        <w:rPr>
          <w:rFonts w:cstheme="minorHAnsi"/>
        </w:rPr>
        <w:t xml:space="preserve"> </w:t>
      </w:r>
      <w:r w:rsidRPr="00270429">
        <w:rPr>
          <w:rFonts w:cstheme="minorHAnsi"/>
        </w:rPr>
        <w:t>Australia</w:t>
      </w:r>
      <w:r>
        <w:rPr>
          <w:rFonts w:cstheme="minorHAnsi"/>
        </w:rPr>
        <w:t>’s overarching</w:t>
      </w:r>
      <w:r w:rsidRPr="00270429">
        <w:rPr>
          <w:rFonts w:cstheme="minorHAnsi"/>
        </w:rPr>
        <w:t xml:space="preserve"> </w:t>
      </w:r>
      <w:r>
        <w:rPr>
          <w:rFonts w:cstheme="minorHAnsi"/>
        </w:rPr>
        <w:t>desired</w:t>
      </w:r>
      <w:r w:rsidRPr="00270429">
        <w:rPr>
          <w:rFonts w:cstheme="minorHAnsi"/>
        </w:rPr>
        <w:t xml:space="preserve"> </w:t>
      </w:r>
      <w:r w:rsidRPr="00270429">
        <w:rPr>
          <w:rFonts w:cstheme="minorHAnsi"/>
          <w:bCs/>
        </w:rPr>
        <w:t xml:space="preserve">level of safety performance for </w:t>
      </w:r>
      <w:r>
        <w:rPr>
          <w:rFonts w:cstheme="minorHAnsi"/>
          <w:bCs/>
        </w:rPr>
        <w:t xml:space="preserve">civil aviation of having </w:t>
      </w:r>
      <w:r w:rsidRPr="00D36CA5">
        <w:rPr>
          <w:i/>
          <w:iCs/>
        </w:rPr>
        <w:t>no fatal accidents involving commercial air transport operations</w:t>
      </w:r>
      <w:r>
        <w:rPr>
          <w:i/>
          <w:iCs/>
        </w:rPr>
        <w:t>.</w:t>
      </w:r>
      <w:r>
        <w:t xml:space="preserve"> </w:t>
      </w:r>
    </w:p>
    <w:p w14:paraId="04808F61" w14:textId="77777777" w:rsidR="005C2ADE" w:rsidRDefault="005C2ADE" w:rsidP="005C2ADE">
      <w:r w:rsidRPr="00B86F6D">
        <w:rPr>
          <w:rFonts w:cs="Calibri"/>
          <w:color w:val="000000"/>
        </w:rPr>
        <w:t xml:space="preserve">Monitoring the other four operational safety objectives shows progress but also reveals </w:t>
      </w:r>
      <w:r>
        <w:rPr>
          <w:rFonts w:cs="Calibri"/>
          <w:color w:val="000000"/>
        </w:rPr>
        <w:t xml:space="preserve">some </w:t>
      </w:r>
      <w:r w:rsidRPr="00B86F6D">
        <w:rPr>
          <w:rFonts w:cs="Calibri"/>
          <w:color w:val="000000"/>
        </w:rPr>
        <w:t>sectors need more attention.</w:t>
      </w:r>
      <w:r>
        <w:rPr>
          <w:rFonts w:cs="Calibri"/>
          <w:color w:val="000000"/>
        </w:rPr>
        <w:t xml:space="preserve"> </w:t>
      </w:r>
      <w:r>
        <w:t xml:space="preserve">Notably, the </w:t>
      </w:r>
      <w:r w:rsidRPr="00D27C61">
        <w:t>CA instructional flying</w:t>
      </w:r>
      <w:r>
        <w:t xml:space="preserve"> </w:t>
      </w:r>
      <w:r w:rsidRPr="00D27C61">
        <w:t>sector</w:t>
      </w:r>
      <w:r>
        <w:t xml:space="preserve"> was identified as a </w:t>
      </w:r>
      <w:r w:rsidRPr="00D27C61">
        <w:t xml:space="preserve">predominant contributor for </w:t>
      </w:r>
      <w:r>
        <w:t>midair collisions (</w:t>
      </w:r>
      <w:r w:rsidRPr="00D27C61">
        <w:t>MAC</w:t>
      </w:r>
      <w:r>
        <w:t>)</w:t>
      </w:r>
      <w:r w:rsidRPr="00D27C61">
        <w:t xml:space="preserve"> and aircraft separation accidents and serious incidents. Work has already commenced to better understand the risks associated with this sector, including safety risk analysis and industry consultation </w:t>
      </w:r>
      <w:r>
        <w:t>via</w:t>
      </w:r>
      <w:r w:rsidRPr="00D27C61">
        <w:t xml:space="preserve"> an expert reference group</w:t>
      </w:r>
      <w:r>
        <w:t xml:space="preserve"> and to determine if any additional measures can be identified and should be acted upon which could reduce these risks.</w:t>
      </w:r>
    </w:p>
    <w:p w14:paraId="53092AB1" w14:textId="77777777" w:rsidR="005C2ADE" w:rsidRDefault="005C2ADE" w:rsidP="005C2ADE">
      <w:r>
        <w:t>Safety enhancement initiatives (SEIs) scheduled for completed over the remaining duration of the NASP include several cross-agency initiatives to further analyse the contributors and precursors of G-HRCs. The results will support continued safety enhancements for industry across all sectors. The Inter-agency Safety Promotion Working Group (</w:t>
      </w:r>
      <w:r w:rsidRPr="00E068C8">
        <w:t>IASPWG</w:t>
      </w:r>
      <w:r>
        <w:t>), formed within the SSP governance framework, has already enhanced coordinated safety education efforts across agencies. The sectors identified as warranting extra focus, could be prioritised by this working group for targeted safety promotion campaigns.</w:t>
      </w:r>
    </w:p>
    <w:p w14:paraId="21B7B9D2" w14:textId="77777777" w:rsidR="005C2ADE" w:rsidRPr="000B3FA5" w:rsidRDefault="005C2ADE" w:rsidP="005C2ADE">
      <w:r>
        <w:t xml:space="preserve">Overall, most organisational safety objectives were met as intended. </w:t>
      </w:r>
      <w:proofErr w:type="gramStart"/>
      <w:r>
        <w:t>In particular, notable</w:t>
      </w:r>
      <w:proofErr w:type="gramEnd"/>
      <w:r>
        <w:t xml:space="preserve"> successes include </w:t>
      </w:r>
      <w:r w:rsidRPr="00D45A75">
        <w:t xml:space="preserve">strengthening oversight and investigation capabilities (Goal 2), collaboration at global and regional levels (Goal 4) and </w:t>
      </w:r>
      <w:r>
        <w:t xml:space="preserve">improved </w:t>
      </w:r>
      <w:r w:rsidRPr="00D45A75">
        <w:t xml:space="preserve">safety collaboration between industry, associations and </w:t>
      </w:r>
      <w:r>
        <w:t>among government</w:t>
      </w:r>
      <w:r w:rsidRPr="00D45A75">
        <w:t xml:space="preserve"> agencies (Goal 5). </w:t>
      </w:r>
      <w:r>
        <w:t xml:space="preserve">While performances related to Goal 3 </w:t>
      </w:r>
      <w:r w:rsidRPr="00C83507">
        <w:t>c</w:t>
      </w:r>
      <w:r>
        <w:t>ould</w:t>
      </w:r>
      <w:r w:rsidRPr="00C83507">
        <w:t xml:space="preserve"> be improved</w:t>
      </w:r>
      <w:r>
        <w:t>, s</w:t>
      </w:r>
      <w:r w:rsidRPr="00C83507">
        <w:t xml:space="preserve">everal </w:t>
      </w:r>
      <w:r>
        <w:t>NASP SEIs aimed at</w:t>
      </w:r>
      <w:r w:rsidRPr="00C83507">
        <w:t xml:space="preserve"> </w:t>
      </w:r>
      <w:r>
        <w:t xml:space="preserve">SSP </w:t>
      </w:r>
      <w:r w:rsidRPr="00C83507">
        <w:t>governance, intelligence framework</w:t>
      </w:r>
      <w:r>
        <w:t>s</w:t>
      </w:r>
      <w:r w:rsidRPr="00C83507">
        <w:t xml:space="preserve"> and proactive risk modelling</w:t>
      </w:r>
      <w:r>
        <w:t xml:space="preserve">, are already underway to help </w:t>
      </w:r>
      <w:r w:rsidRPr="00C83507">
        <w:t xml:space="preserve">strengthen performance </w:t>
      </w:r>
      <w:r>
        <w:t>of</w:t>
      </w:r>
      <w:r w:rsidRPr="00C83507">
        <w:t xml:space="preserve"> this goal.</w:t>
      </w:r>
      <w:bookmarkStart w:id="81" w:name="_Toc222141599"/>
      <w:r w:rsidRPr="008831BE">
        <w:br w:type="page"/>
      </w:r>
    </w:p>
    <w:p w14:paraId="206067E3" w14:textId="3BF1DC51" w:rsidR="005C2ADE" w:rsidRPr="00553BD2" w:rsidRDefault="00081ADE" w:rsidP="00081ADE">
      <w:pPr>
        <w:pStyle w:val="Heading2"/>
      </w:pPr>
      <w:bookmarkStart w:id="82" w:name="_Appendix_A—Operational_Safety"/>
      <w:bookmarkStart w:id="83" w:name="_Toc227229306"/>
      <w:bookmarkStart w:id="84" w:name="_Toc230270033"/>
      <w:bookmarkEnd w:id="82"/>
      <w:r>
        <w:lastRenderedPageBreak/>
        <w:t>Appendix A—</w:t>
      </w:r>
      <w:r w:rsidR="005C2ADE" w:rsidRPr="00553BD2">
        <w:t>Operational Safety Performance Indicators</w:t>
      </w:r>
      <w:bookmarkStart w:id="85" w:name="_Appendix_A_"/>
      <w:bookmarkStart w:id="86" w:name="_Hlk173407366"/>
      <w:bookmarkEnd w:id="81"/>
      <w:bookmarkEnd w:id="83"/>
      <w:bookmarkEnd w:id="84"/>
      <w:bookmarkEnd w:id="85"/>
    </w:p>
    <w:bookmarkEnd w:id="86"/>
    <w:p w14:paraId="2D7E2497" w14:textId="77777777" w:rsidR="005C2ADE" w:rsidRDefault="005C2ADE" w:rsidP="005C2ADE">
      <w:pPr>
        <w:spacing w:before="120" w:after="120"/>
      </w:pPr>
      <w:r w:rsidRPr="00150C57">
        <w:t>Within the NASP Goal 1</w:t>
      </w:r>
      <w:r>
        <w:t>,</w:t>
      </w:r>
      <w:r w:rsidRPr="00150C57">
        <w:t xml:space="preserve"> safety objectives 1.1 to 1.</w:t>
      </w:r>
      <w:r>
        <w:t>5</w:t>
      </w:r>
      <w:r w:rsidRPr="00150C57">
        <w:t xml:space="preserve"> are further broken down into aviation activities with associated S</w:t>
      </w:r>
      <w:r>
        <w:t xml:space="preserve">afety </w:t>
      </w:r>
      <w:r w:rsidRPr="00150C57">
        <w:t>P</w:t>
      </w:r>
      <w:r>
        <w:t xml:space="preserve">erformance </w:t>
      </w:r>
      <w:r w:rsidRPr="00150C57">
        <w:t>I</w:t>
      </w:r>
      <w:r>
        <w:t>ndicators (SPIs)</w:t>
      </w:r>
      <w:r w:rsidRPr="00150C57">
        <w:t xml:space="preserve">, to allow for greater identification of potential sector safety risks. </w:t>
      </w:r>
      <w:r>
        <w:t>Performance monitoring trending</w:t>
      </w:r>
      <w:r w:rsidRPr="00150C57">
        <w:t xml:space="preserve"> against these SPIs are outlined below.</w:t>
      </w:r>
    </w:p>
    <w:p w14:paraId="5B4E8660" w14:textId="481D04E6" w:rsidR="005C2ADE" w:rsidRPr="00553BD2" w:rsidRDefault="00811A5E" w:rsidP="00811A5E">
      <w:pPr>
        <w:pStyle w:val="Heading3"/>
      </w:pPr>
      <w:bookmarkStart w:id="87" w:name="_A1—Safety_Objective_1.1—Maintain"/>
      <w:bookmarkStart w:id="88" w:name="_Hlt227230448"/>
      <w:bookmarkStart w:id="89" w:name="_Toc230270034"/>
      <w:bookmarkEnd w:id="87"/>
      <w:r>
        <w:t>A</w:t>
      </w:r>
      <w:r w:rsidR="0052714B">
        <w:t>.</w:t>
      </w:r>
      <w:r>
        <w:t>1—</w:t>
      </w:r>
      <w:r w:rsidR="005C2ADE" w:rsidRPr="00553BD2">
        <w:t>Safety Objective 1.1</w:t>
      </w:r>
      <w:r w:rsidR="006D2C5C">
        <w:t>—</w:t>
      </w:r>
      <w:r w:rsidR="005C2ADE" w:rsidRPr="00553BD2">
        <w:t>Maintain a 3-year moving average decreasing trend of accidents</w:t>
      </w:r>
      <w:bookmarkEnd w:id="89"/>
      <w:r w:rsidR="005C2ADE" w:rsidRPr="00553BD2">
        <w:t xml:space="preserve"> </w:t>
      </w:r>
    </w:p>
    <w:bookmarkEnd w:id="88"/>
    <w:p w14:paraId="6E8602B0" w14:textId="7A37BAE8" w:rsidR="005C2ADE" w:rsidRPr="00E11EA0" w:rsidRDefault="005C2ADE" w:rsidP="005C2ADE">
      <w:pPr>
        <w:spacing w:after="120"/>
      </w:pPr>
      <w:r>
        <w:t xml:space="preserve">The 3-year moving average for accidents as shown in </w:t>
      </w:r>
      <w:hyperlink w:anchor="_Safety_objective_1.1:" w:history="1">
        <w:r w:rsidRPr="000F5834">
          <w:rPr>
            <w:rStyle w:val="Hyperlink"/>
          </w:rPr>
          <w:t>Figure 1</w:t>
        </w:r>
      </w:hyperlink>
      <w:r>
        <w:t xml:space="preserve"> decreased, and at a sector level the 10-year trends for each of the SPIs related to SO 1.1 are also favourable. There were 17 fatal accidents in the FY </w:t>
      </w:r>
      <w:r w:rsidR="003276FE">
        <w:t>2024–25</w:t>
      </w:r>
      <w:r>
        <w:t xml:space="preserve"> reporting period, which is comparable to the 10-year average, with </w:t>
      </w:r>
      <w:r w:rsidRPr="003A33C3">
        <w:t>1</w:t>
      </w:r>
      <w:r>
        <w:t>89</w:t>
      </w:r>
      <w:r w:rsidRPr="003A33C3">
        <w:t xml:space="preserve"> </w:t>
      </w:r>
      <w:r>
        <w:t xml:space="preserve">total fatal accidents across the 10 years. </w:t>
      </w:r>
      <w:r w:rsidRPr="00CF50BF">
        <w:t>The fatal accident rate for commercial air transport (CAT) and non-commercial aviation (NCA) fatalities have fluctuated over the 10-year period but are overall indicative of a</w:t>
      </w:r>
      <w:r>
        <w:t xml:space="preserve"> </w:t>
      </w:r>
      <w:r w:rsidRPr="00CF50BF">
        <w:t xml:space="preserve">stable trend. Commercial aviation (CA) fatalities have stabilised over the last two years after increasing from the lowest number in FY </w:t>
      </w:r>
      <w:r w:rsidR="00FA6D25">
        <w:t>2022–23</w:t>
      </w:r>
      <w:r w:rsidRPr="00CF50BF">
        <w:t>.</w:t>
      </w:r>
    </w:p>
    <w:p w14:paraId="262216C5" w14:textId="0E50A0E1" w:rsidR="005C2ADE" w:rsidRPr="00CF50BF" w:rsidRDefault="005C2ADE" w:rsidP="005C2ADE">
      <w:pPr>
        <w:spacing w:after="120"/>
      </w:pPr>
      <w:r w:rsidRPr="00CF50BF">
        <w:t xml:space="preserve">At a sector level commercial aviation (CA) and non-commercial aviation (NCA) accidents have steadily declined over the last 10 years. CAT has experienced a relative stable trend over the entire 10-year period and after </w:t>
      </w:r>
      <w:r>
        <w:t xml:space="preserve">a </w:t>
      </w:r>
      <w:r w:rsidRPr="00CF50BF">
        <w:t>steady increase from</w:t>
      </w:r>
      <w:r>
        <w:t xml:space="preserve"> the</w:t>
      </w:r>
      <w:r w:rsidRPr="00CF50BF">
        <w:t xml:space="preserve"> FY </w:t>
      </w:r>
      <w:r w:rsidR="00FA6D25">
        <w:t>2020–21</w:t>
      </w:r>
      <w:r w:rsidRPr="00CF50BF">
        <w:t xml:space="preserve"> post pandemic</w:t>
      </w:r>
      <w:r>
        <w:t>, the trend</w:t>
      </w:r>
      <w:r w:rsidRPr="00CF50BF">
        <w:t xml:space="preserve"> has </w:t>
      </w:r>
      <w:r w:rsidRPr="00276D2B">
        <w:t>stabilised</w:t>
      </w:r>
      <w:r w:rsidRPr="00CF50BF">
        <w:t xml:space="preserve"> </w:t>
      </w:r>
      <w:r>
        <w:t>in</w:t>
      </w:r>
      <w:r w:rsidRPr="00CF50BF">
        <w:t xml:space="preserve"> the la</w:t>
      </w:r>
      <w:r>
        <w:t>s</w:t>
      </w:r>
      <w:r w:rsidRPr="00CF50BF">
        <w:t>t two FYs.</w:t>
      </w:r>
    </w:p>
    <w:p w14:paraId="04D04EB9" w14:textId="77777777" w:rsidR="005C2ADE" w:rsidRDefault="005C2ADE" w:rsidP="005C2ADE">
      <w:pPr>
        <w:spacing w:after="240"/>
      </w:pPr>
      <w:r w:rsidRPr="00CF50BF">
        <w:t>The uncrewed RPA accident rate</w:t>
      </w:r>
      <w:r w:rsidRPr="00CF50BF">
        <w:rPr>
          <w:rStyle w:val="FootnoteReference"/>
        </w:rPr>
        <w:footnoteReference w:id="5"/>
      </w:r>
      <w:r w:rsidRPr="00CF50BF">
        <w:t xml:space="preserve"> has increased over the last year and as of 30 June 2025 was the highest rate for the five-year reporting period. This may be attributed to the increasing use of commercial RPAs over the past 10 years in addition to the recent (2023) changes in ATSB mandatory reportable requirements for RPA operations becoming more understood and appropriately applied by industry participants. Consideration should be given to the context of the accidents as data indicates the</w:t>
      </w:r>
      <w:r>
        <w:t xml:space="preserve">se </w:t>
      </w:r>
      <w:r w:rsidRPr="00CF50BF">
        <w:t xml:space="preserve">were primarily linked with the RPA not responding to controls and colliding with </w:t>
      </w:r>
      <w:r w:rsidRPr="00344FDA">
        <w:t>terrain</w:t>
      </w:r>
      <w:r>
        <w:t>, mostly resulting in damage to the RPA but not to surrounding infrastructure or injury to people</w:t>
      </w:r>
      <w:r w:rsidRPr="00CF50BF">
        <w:t>.</w:t>
      </w:r>
    </w:p>
    <w:p w14:paraId="0FA21A46" w14:textId="10552DE8" w:rsidR="00E83872" w:rsidRDefault="0052714B" w:rsidP="00E83872">
      <w:pPr>
        <w:pStyle w:val="Tablefigureheading"/>
      </w:pPr>
      <w:bookmarkStart w:id="90" w:name="_Toc230269810"/>
      <w:r>
        <w:t xml:space="preserve">Figure </w:t>
      </w:r>
      <w:r w:rsidR="001010B6">
        <w:t>7</w:t>
      </w:r>
      <w:r>
        <w:t>—Number of fatal accident and accident rates by sector</w:t>
      </w:r>
      <w:bookmarkEnd w:id="90"/>
    </w:p>
    <w:tbl>
      <w:tblPr>
        <w:tblStyle w:val="DefaultTable11"/>
        <w:tblW w:w="5000" w:type="pct"/>
        <w:tblBorders>
          <w:top w:val="single" w:sz="4" w:space="0" w:color="ED662F"/>
          <w:bottom w:val="single" w:sz="12" w:space="0" w:color="ED662F"/>
          <w:insideH w:val="single" w:sz="4" w:space="0" w:color="ED662F"/>
        </w:tblBorders>
        <w:tblLook w:val="04A0" w:firstRow="1" w:lastRow="0" w:firstColumn="1" w:lastColumn="0" w:noHBand="0" w:noVBand="1"/>
        <w:tblCaption w:val="Figure 7—Number of fatal accident and accident rates by sector"/>
        <w:tblDescription w:val="Figure 7—Number of fatal accident and accident rates by sector"/>
      </w:tblPr>
      <w:tblGrid>
        <w:gridCol w:w="4739"/>
        <w:gridCol w:w="4736"/>
      </w:tblGrid>
      <w:tr w:rsidR="003A6416" w:rsidRPr="00654F9E" w14:paraId="48D48AAC" w14:textId="77777777" w:rsidTr="0012065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1" w:type="pct"/>
            <w:shd w:val="clear" w:color="auto" w:fill="4D148C"/>
          </w:tcPr>
          <w:p w14:paraId="58D6B650" w14:textId="02F7B9AB" w:rsidR="003A6416" w:rsidRPr="002E0AC7" w:rsidRDefault="0052714B" w:rsidP="00800567">
            <w:pPr>
              <w:pStyle w:val="Tablerowcolumnheading"/>
              <w:keepNext/>
              <w:rPr>
                <w:b/>
                <w:bCs/>
                <w:sz w:val="22"/>
                <w:szCs w:val="22"/>
              </w:rPr>
            </w:pPr>
            <w:r>
              <w:rPr>
                <w:b/>
                <w:bCs/>
                <w:sz w:val="22"/>
                <w:szCs w:val="22"/>
              </w:rPr>
              <w:t>Fatal accident rate</w:t>
            </w:r>
            <w:r w:rsidR="00FA6D25">
              <w:rPr>
                <w:b/>
                <w:bCs/>
                <w:sz w:val="22"/>
                <w:szCs w:val="22"/>
              </w:rPr>
              <w:t>—</w:t>
            </w:r>
            <w:r>
              <w:rPr>
                <w:b/>
                <w:bCs/>
                <w:sz w:val="22"/>
                <w:szCs w:val="22"/>
              </w:rPr>
              <w:t>by sector</w:t>
            </w:r>
          </w:p>
        </w:tc>
        <w:tc>
          <w:tcPr>
            <w:tcW w:w="2499" w:type="pct"/>
            <w:shd w:val="clear" w:color="auto" w:fill="4D148C"/>
          </w:tcPr>
          <w:p w14:paraId="401CEE75" w14:textId="6768C7E7" w:rsidR="003A6416" w:rsidRPr="002E0AC7" w:rsidRDefault="0052714B" w:rsidP="00800567">
            <w:pPr>
              <w:pStyle w:val="Tablerowcolumnheading"/>
              <w:keepNext/>
              <w:cnfStyle w:val="100000000000" w:firstRow="1" w:lastRow="0" w:firstColumn="0" w:lastColumn="0" w:oddVBand="0" w:evenVBand="0" w:oddHBand="0" w:evenHBand="0" w:firstRowFirstColumn="0" w:firstRowLastColumn="0" w:lastRowFirstColumn="0" w:lastRowLastColumn="0"/>
              <w:rPr>
                <w:b/>
                <w:bCs/>
                <w:szCs w:val="22"/>
              </w:rPr>
            </w:pPr>
            <w:r>
              <w:rPr>
                <w:b/>
                <w:bCs/>
                <w:sz w:val="22"/>
                <w:szCs w:val="22"/>
              </w:rPr>
              <w:t>Accident rate</w:t>
            </w:r>
            <w:r w:rsidR="00FA6D25">
              <w:rPr>
                <w:b/>
                <w:bCs/>
                <w:sz w:val="22"/>
                <w:szCs w:val="22"/>
              </w:rPr>
              <w:t>—</w:t>
            </w:r>
            <w:r>
              <w:rPr>
                <w:b/>
                <w:bCs/>
                <w:sz w:val="22"/>
                <w:szCs w:val="22"/>
              </w:rPr>
              <w:t>by sector</w:t>
            </w:r>
          </w:p>
        </w:tc>
      </w:tr>
      <w:tr w:rsidR="003A6416" w:rsidRPr="00654F9E" w14:paraId="1CFD7F3E" w14:textId="77777777" w:rsidTr="00120659">
        <w:trPr>
          <w:cantSplit/>
        </w:trPr>
        <w:tc>
          <w:tcPr>
            <w:cnfStyle w:val="001000000000" w:firstRow="0" w:lastRow="0" w:firstColumn="1" w:lastColumn="0" w:oddVBand="0" w:evenVBand="0" w:oddHBand="0" w:evenHBand="0" w:firstRowFirstColumn="0" w:firstRowLastColumn="0" w:lastRowFirstColumn="0" w:lastRowLastColumn="0"/>
            <w:tcW w:w="2501" w:type="pct"/>
          </w:tcPr>
          <w:p w14:paraId="14CC3764" w14:textId="77777777" w:rsidR="003A6416" w:rsidRDefault="00120659" w:rsidP="00800567">
            <w:pPr>
              <w:rPr>
                <w:b w:val="0"/>
                <w:bCs/>
              </w:rPr>
            </w:pPr>
            <w:r>
              <w:rPr>
                <w:bCs/>
              </w:rPr>
              <w:t>SPI 1.1.1—</w:t>
            </w:r>
            <w:r w:rsidRPr="00C9490B">
              <w:rPr>
                <w:bCs/>
              </w:rPr>
              <w:t>C</w:t>
            </w:r>
            <w:r>
              <w:rPr>
                <w:bCs/>
              </w:rPr>
              <w:t>AT</w:t>
            </w:r>
            <w:r w:rsidRPr="00C9490B">
              <w:rPr>
                <w:bCs/>
              </w:rPr>
              <w:t xml:space="preserve"> Fatal Accident Rate</w:t>
            </w:r>
          </w:p>
          <w:p w14:paraId="1CD8D68E" w14:textId="7D7DB87F" w:rsidR="00120659" w:rsidRPr="008776AE" w:rsidRDefault="00120659" w:rsidP="00800567">
            <w:r>
              <w:rPr>
                <w:bCs/>
                <w:noProof/>
              </w:rPr>
              <w:drawing>
                <wp:inline distT="0" distB="0" distL="0" distR="0" wp14:anchorId="5B1BDB78" wp14:editId="56BF63D5">
                  <wp:extent cx="2993390" cy="1798320"/>
                  <wp:effectExtent l="0" t="0" r="0" b="0"/>
                  <wp:docPr id="1255511195" name="Picture 11" descr="Area chart showing CAT fatal accidents per million departures from fiscal years 2015/16 to 2024/25, with values peaking around 2.8 in FY17/18 and FY22/23 and dropping to nearly zero in FY20/21 and FY23/24. The chart uses a shaded blue area to highlight fluctuations, indicating periods of increased and decreased fatal accident rat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11195" name="Picture 11" descr="Area chart showing CAT fatal accidents per million departures from fiscal years 2015/16 to 2024/25, with values peaking around 2.8 in FY17/18 and FY22/23 and dropping to nearly zero in FY20/21 and FY23/24. The chart uses a shaded blue area to highlight fluctuations, indicating periods of increased and decreased fatal accident rates over ti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3390" cy="1798320"/>
                          </a:xfrm>
                          <a:prstGeom prst="rect">
                            <a:avLst/>
                          </a:prstGeom>
                          <a:noFill/>
                        </pic:spPr>
                      </pic:pic>
                    </a:graphicData>
                  </a:graphic>
                </wp:inline>
              </w:drawing>
            </w:r>
          </w:p>
        </w:tc>
        <w:tc>
          <w:tcPr>
            <w:tcW w:w="2499" w:type="pct"/>
          </w:tcPr>
          <w:p w14:paraId="6B616B1A" w14:textId="77777777" w:rsidR="003A6416" w:rsidRPr="00A31E98" w:rsidRDefault="00120659" w:rsidP="00800567">
            <w:pPr>
              <w:cnfStyle w:val="000000000000" w:firstRow="0" w:lastRow="0" w:firstColumn="0" w:lastColumn="0" w:oddVBand="0" w:evenVBand="0" w:oddHBand="0" w:evenHBand="0" w:firstRowFirstColumn="0" w:firstRowLastColumn="0" w:lastRowFirstColumn="0" w:lastRowLastColumn="0"/>
              <w:rPr>
                <w:b/>
              </w:rPr>
            </w:pPr>
            <w:r w:rsidRPr="00A31E98">
              <w:rPr>
                <w:b/>
              </w:rPr>
              <w:t>SPI 1.1.2—CAT Accident Rate</w:t>
            </w:r>
          </w:p>
          <w:p w14:paraId="45ABD8E8" w14:textId="31527E7B" w:rsidR="00120659" w:rsidRPr="008776AE" w:rsidRDefault="00120659" w:rsidP="00800567">
            <w:pPr>
              <w:cnfStyle w:val="000000000000" w:firstRow="0" w:lastRow="0" w:firstColumn="0" w:lastColumn="0" w:oddVBand="0" w:evenVBand="0" w:oddHBand="0" w:evenHBand="0" w:firstRowFirstColumn="0" w:firstRowLastColumn="0" w:lastRowFirstColumn="0" w:lastRowLastColumn="0"/>
            </w:pPr>
            <w:r>
              <w:rPr>
                <w:b/>
                <w:bCs/>
                <w:noProof/>
              </w:rPr>
              <w:drawing>
                <wp:inline distT="0" distB="0" distL="0" distR="0" wp14:anchorId="44CAF559" wp14:editId="393327CE">
                  <wp:extent cx="2987040" cy="1804670"/>
                  <wp:effectExtent l="0" t="0" r="3810" b="5080"/>
                  <wp:docPr id="1596051934" name="Picture 12" descr="Line graph showing CAT accidents per million departures from fiscal years 2015/16 to 2024/25, with a shaded area under the curve in blue. The graph highlights peaks around FY 2017/18 and FY 2022/23, a significant dip near FY 2021/22, and stabilization around 9 accidents per million departures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51934" name="Picture 12" descr="Line graph showing CAT accidents per million departures from fiscal years 2015/16 to 2024/25, with a shaded area under the curve in blue. The graph highlights peaks around FY 2017/18 and FY 2022/23, a significant dip near FY 2021/22, and stabilization around 9 accidents per million departures in recent yea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7040" cy="1804670"/>
                          </a:xfrm>
                          <a:prstGeom prst="rect">
                            <a:avLst/>
                          </a:prstGeom>
                          <a:noFill/>
                        </pic:spPr>
                      </pic:pic>
                    </a:graphicData>
                  </a:graphic>
                </wp:inline>
              </w:drawing>
            </w:r>
          </w:p>
        </w:tc>
      </w:tr>
      <w:tr w:rsidR="00120659" w:rsidRPr="00654F9E" w14:paraId="54345936" w14:textId="77777777" w:rsidTr="0012065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1" w:type="pct"/>
          </w:tcPr>
          <w:p w14:paraId="21C2441A" w14:textId="77777777" w:rsidR="00120659" w:rsidRDefault="00120659" w:rsidP="00120659">
            <w:pPr>
              <w:rPr>
                <w:b w:val="0"/>
              </w:rPr>
            </w:pPr>
            <w:r w:rsidRPr="000F6C50">
              <w:lastRenderedPageBreak/>
              <w:t>SPI 1.1.3</w:t>
            </w:r>
            <w:r>
              <w:t>—</w:t>
            </w:r>
            <w:r w:rsidRPr="000F6C50">
              <w:t>CA Fatalities</w:t>
            </w:r>
          </w:p>
          <w:p w14:paraId="3AB76DCF" w14:textId="476AB5D6" w:rsidR="00120659" w:rsidRDefault="00120659" w:rsidP="00120659">
            <w:r>
              <w:rPr>
                <w:bCs/>
                <w:noProof/>
              </w:rPr>
              <w:drawing>
                <wp:inline distT="0" distB="0" distL="0" distR="0" wp14:anchorId="63CEA23D" wp14:editId="0932F3A7">
                  <wp:extent cx="2993390" cy="1798320"/>
                  <wp:effectExtent l="0" t="0" r="0" b="0"/>
                  <wp:docPr id="82309754" name="Picture 13" descr="Line graph displays number of CA fatalities from fiscal years 2015/16 to 2024/25, with values ranging from 3 to 10. Shaded area under the curve highlights fluctuations, showing peaks at 10 fatalities in FY16/17, FY20/21, and FY23/24, and a notable dip to 3 in FY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9754" name="Picture 13" descr="Line graph displays number of CA fatalities from fiscal years 2015/16 to 2024/25, with values ranging from 3 to 10. Shaded area under the curve highlights fluctuations, showing peaks at 10 fatalities in FY16/17, FY20/21, and FY23/24, and a notable dip to 3 in FY2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3390" cy="1798320"/>
                          </a:xfrm>
                          <a:prstGeom prst="rect">
                            <a:avLst/>
                          </a:prstGeom>
                          <a:noFill/>
                        </pic:spPr>
                      </pic:pic>
                    </a:graphicData>
                  </a:graphic>
                </wp:inline>
              </w:drawing>
            </w:r>
          </w:p>
        </w:tc>
        <w:tc>
          <w:tcPr>
            <w:tcW w:w="2499" w:type="pct"/>
          </w:tcPr>
          <w:p w14:paraId="20D79B50" w14:textId="77777777" w:rsidR="00120659" w:rsidRDefault="00120659" w:rsidP="00120659">
            <w:pPr>
              <w:cnfStyle w:val="000000010000" w:firstRow="0" w:lastRow="0" w:firstColumn="0" w:lastColumn="0" w:oddVBand="0" w:evenVBand="0" w:oddHBand="0" w:evenHBand="1" w:firstRowFirstColumn="0" w:firstRowLastColumn="0" w:lastRowFirstColumn="0" w:lastRowLastColumn="0"/>
              <w:rPr>
                <w:b/>
                <w:bCs/>
              </w:rPr>
            </w:pPr>
            <w:r w:rsidRPr="00120659">
              <w:rPr>
                <w:b/>
                <w:bCs/>
              </w:rPr>
              <w:t>SPI 1.1.4—CA Accidents</w:t>
            </w:r>
          </w:p>
          <w:p w14:paraId="29FC6ED3" w14:textId="62E86272" w:rsidR="00120659" w:rsidRPr="00120659" w:rsidRDefault="00120659" w:rsidP="00120659">
            <w:pPr>
              <w:cnfStyle w:val="000000010000" w:firstRow="0" w:lastRow="0" w:firstColumn="0" w:lastColumn="0" w:oddVBand="0" w:evenVBand="0" w:oddHBand="0" w:evenHBand="1" w:firstRowFirstColumn="0" w:firstRowLastColumn="0" w:lastRowFirstColumn="0" w:lastRowLastColumn="0"/>
              <w:rPr>
                <w:b/>
                <w:bCs/>
              </w:rPr>
            </w:pPr>
            <w:r>
              <w:rPr>
                <w:b/>
                <w:bCs/>
                <w:noProof/>
              </w:rPr>
              <w:drawing>
                <wp:inline distT="0" distB="0" distL="0" distR="0" wp14:anchorId="08159997" wp14:editId="3FB1F818">
                  <wp:extent cx="2969260" cy="1762125"/>
                  <wp:effectExtent l="0" t="0" r="2540" b="9525"/>
                  <wp:docPr id="1321814512" name="Picture 5" descr="Line graph showing number of CA accidents from fiscal years 2015/16 to 2024/25, with a shaded area under the curve in blue. The graph highlights a peak around FY18/19 at over 60 accidents, followed by a sharp decline to below 30 accidents by FY20/21, then a slight increase and stabilization around 30 accidents through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14512" name="Picture 5" descr="Line graph showing number of CA accidents from fiscal years 2015/16 to 2024/25, with a shaded area under the curve in blue. The graph highlights a peak around FY18/19 at over 60 accidents, followed by a sharp decline to below 30 accidents by FY20/21, then a slight increase and stabilization around 30 accidents through FY24/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9260" cy="1762125"/>
                          </a:xfrm>
                          <a:prstGeom prst="rect">
                            <a:avLst/>
                          </a:prstGeom>
                          <a:noFill/>
                        </pic:spPr>
                      </pic:pic>
                    </a:graphicData>
                  </a:graphic>
                </wp:inline>
              </w:drawing>
            </w:r>
          </w:p>
        </w:tc>
      </w:tr>
      <w:tr w:rsidR="00120659" w:rsidRPr="00654F9E" w14:paraId="05ADA3FB" w14:textId="77777777" w:rsidTr="00120659">
        <w:trPr>
          <w:cantSplit/>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6C0B4AD4" w14:textId="77777777" w:rsidR="00FE648C" w:rsidRDefault="00120659" w:rsidP="001C6134">
            <w:pPr>
              <w:rPr>
                <w:b w:val="0"/>
              </w:rPr>
            </w:pPr>
            <w:r w:rsidRPr="000F6C50">
              <w:t>SPI 1.1.5</w:t>
            </w:r>
            <w:r>
              <w:t>—</w:t>
            </w:r>
            <w:r w:rsidRPr="000F6C50">
              <w:t>NCA Fatalitie</w:t>
            </w:r>
            <w:r w:rsidR="00FE648C">
              <w:t>s</w:t>
            </w:r>
          </w:p>
          <w:p w14:paraId="630AAF57" w14:textId="738456B1" w:rsidR="00120659" w:rsidRPr="000F6C50" w:rsidRDefault="001C6134" w:rsidP="001C6134">
            <w:r>
              <w:rPr>
                <w:noProof/>
              </w:rPr>
              <w:drawing>
                <wp:inline distT="0" distB="0" distL="0" distR="0" wp14:anchorId="71096AAC" wp14:editId="1186E7A9">
                  <wp:extent cx="2895600" cy="1767840"/>
                  <wp:effectExtent l="0" t="0" r="0" b="3810"/>
                  <wp:docPr id="834167891" name="Picture 6" descr="Line graph showing number of NCA fatalities across fiscal years FY15/16 to FY24/25, with values fluctuating between 10 and 27. Notable peaks occur in FY19/20 and FY23/24, both reaching around 27 fatalities, while lowest points near 10 appear in FY16/17 and FY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67891" name="Picture 6" descr="Line graph showing number of NCA fatalities across fiscal years FY15/16 to FY24/25, with values fluctuating between 10 and 27. Notable peaks occur in FY19/20 and FY23/24, both reaching around 27 fatalities, while lowest points near 10 appear in FY16/17 and FY2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1767840"/>
                          </a:xfrm>
                          <a:prstGeom prst="rect">
                            <a:avLst/>
                          </a:prstGeom>
                          <a:noFill/>
                        </pic:spPr>
                      </pic:pic>
                    </a:graphicData>
                  </a:graphic>
                </wp:inline>
              </w:drawing>
            </w:r>
          </w:p>
        </w:tc>
        <w:tc>
          <w:tcPr>
            <w:tcW w:w="2499" w:type="pct"/>
          </w:tcPr>
          <w:p w14:paraId="1744F993" w14:textId="77777777" w:rsidR="00120659" w:rsidRDefault="001C6134" w:rsidP="001C6134">
            <w:pPr>
              <w:cnfStyle w:val="000000000000" w:firstRow="0" w:lastRow="0" w:firstColumn="0" w:lastColumn="0" w:oddVBand="0" w:evenVBand="0" w:oddHBand="0" w:evenHBand="0" w:firstRowFirstColumn="0" w:firstRowLastColumn="0" w:lastRowFirstColumn="0" w:lastRowLastColumn="0"/>
              <w:rPr>
                <w:b/>
              </w:rPr>
            </w:pPr>
            <w:r w:rsidRPr="000F6C50">
              <w:rPr>
                <w:b/>
              </w:rPr>
              <w:t>SPI 1.1.6</w:t>
            </w:r>
            <w:r>
              <w:rPr>
                <w:b/>
              </w:rPr>
              <w:t>—</w:t>
            </w:r>
            <w:r w:rsidRPr="000F6C50">
              <w:rPr>
                <w:b/>
              </w:rPr>
              <w:t>NCA Accidents</w:t>
            </w:r>
          </w:p>
          <w:p w14:paraId="2BF589A1" w14:textId="40CBE8C7" w:rsidR="001C6134" w:rsidRPr="00120659" w:rsidRDefault="001C6134" w:rsidP="001C6134">
            <w:pPr>
              <w:cnfStyle w:val="000000000000" w:firstRow="0" w:lastRow="0" w:firstColumn="0" w:lastColumn="0" w:oddVBand="0" w:evenVBand="0" w:oddHBand="0" w:evenHBand="0" w:firstRowFirstColumn="0" w:firstRowLastColumn="0" w:lastRowFirstColumn="0" w:lastRowLastColumn="0"/>
              <w:rPr>
                <w:b/>
              </w:rPr>
            </w:pPr>
            <w:r>
              <w:rPr>
                <w:b/>
                <w:noProof/>
              </w:rPr>
              <w:drawing>
                <wp:inline distT="0" distB="0" distL="0" distR="0" wp14:anchorId="69ADF661" wp14:editId="51D1CA25">
                  <wp:extent cx="2932430" cy="1767840"/>
                  <wp:effectExtent l="0" t="0" r="1270" b="3810"/>
                  <wp:docPr id="1141703691" name="Picture 7" descr="Area chart showing number of NCA accidents from fiscal years 2015/16 to 2024/25, with a decreasing trend from around 115 accidents in FY15/16 to about 55 accidents in FY24/25. Chart features a blue shaded area under a dark blue line, with fiscal years labeled on x-axis and accident counts on y-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03691" name="Picture 7" descr="Area chart showing number of NCA accidents from fiscal years 2015/16 to 2024/25, with a decreasing trend from around 115 accidents in FY15/16 to about 55 accidents in FY24/25. Chart features a blue shaded area under a dark blue line, with fiscal years labeled on x-axis and accident counts on y-ax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2430" cy="1767840"/>
                          </a:xfrm>
                          <a:prstGeom prst="rect">
                            <a:avLst/>
                          </a:prstGeom>
                          <a:noFill/>
                        </pic:spPr>
                      </pic:pic>
                    </a:graphicData>
                  </a:graphic>
                </wp:inline>
              </w:drawing>
            </w:r>
          </w:p>
        </w:tc>
      </w:tr>
      <w:tr w:rsidR="00FE648C" w:rsidRPr="00654F9E" w14:paraId="43FC800F" w14:textId="77777777" w:rsidTr="0012065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47BFF744" w14:textId="77777777" w:rsidR="00FE648C" w:rsidRDefault="00FE648C" w:rsidP="00C31DB1">
            <w:pPr>
              <w:rPr>
                <w:b w:val="0"/>
              </w:rPr>
            </w:pPr>
            <w:r w:rsidRPr="00544B78">
              <w:t>SPI 1.1.7</w:t>
            </w:r>
            <w:r>
              <w:t>—</w:t>
            </w:r>
            <w:r w:rsidRPr="00544B78">
              <w:t>Number of Ground Fatalities</w:t>
            </w:r>
          </w:p>
          <w:p w14:paraId="5A564803" w14:textId="7DBBEE1D" w:rsidR="00C31DB1" w:rsidRPr="000F6C50" w:rsidRDefault="00C31DB1" w:rsidP="00C31DB1">
            <w:r>
              <w:rPr>
                <w:noProof/>
              </w:rPr>
              <w:drawing>
                <wp:inline distT="0" distB="0" distL="0" distR="0" wp14:anchorId="2DAAD76E" wp14:editId="0E176B69">
                  <wp:extent cx="2920365" cy="1762125"/>
                  <wp:effectExtent l="0" t="0" r="0" b="9525"/>
                  <wp:docPr id="383964442" name="Picture 8" descr="Line graph showing number of ground fatalities by fiscal year from FY15/16 to FY24/25, with a peak of 1 fatality in FY16/17 and zero fatalities in all other years. Y-axis labeled &quot;Number of fatalities&quot; ranges from 0 to 4, while X-axis lists fisc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64442" name="Picture 8" descr="Line graph showing number of ground fatalities by fiscal year from FY15/16 to FY24/25, with a peak of 1 fatality in FY16/17 and zero fatalities in all other years. Y-axis labeled &quot;Number of fatalities&quot; ranges from 0 to 4, while X-axis lists fiscal yea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0365" cy="1762125"/>
                          </a:xfrm>
                          <a:prstGeom prst="rect">
                            <a:avLst/>
                          </a:prstGeom>
                          <a:noFill/>
                        </pic:spPr>
                      </pic:pic>
                    </a:graphicData>
                  </a:graphic>
                </wp:inline>
              </w:drawing>
            </w:r>
          </w:p>
        </w:tc>
        <w:tc>
          <w:tcPr>
            <w:tcW w:w="2499" w:type="pct"/>
          </w:tcPr>
          <w:p w14:paraId="5A13BAEF" w14:textId="77777777" w:rsidR="00FE648C" w:rsidRPr="00C31DB1" w:rsidRDefault="00C31DB1" w:rsidP="00C31DB1">
            <w:pPr>
              <w:cnfStyle w:val="000000010000" w:firstRow="0" w:lastRow="0" w:firstColumn="0" w:lastColumn="0" w:oddVBand="0" w:evenVBand="0" w:oddHBand="0" w:evenHBand="1" w:firstRowFirstColumn="0" w:firstRowLastColumn="0" w:lastRowFirstColumn="0" w:lastRowLastColumn="0"/>
              <w:rPr>
                <w:b/>
                <w:bCs/>
              </w:rPr>
            </w:pPr>
            <w:r w:rsidRPr="00C31DB1">
              <w:rPr>
                <w:b/>
                <w:bCs/>
              </w:rPr>
              <w:t>SPI 1.1.8—Accident Rate per registered RPA</w:t>
            </w:r>
          </w:p>
          <w:p w14:paraId="3B158783" w14:textId="2354EB2E" w:rsidR="00C31DB1" w:rsidRPr="000F6C50" w:rsidRDefault="00C31DB1" w:rsidP="00C31DB1">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BCF0248" wp14:editId="1F972AF9">
                  <wp:extent cx="2573020" cy="1762125"/>
                  <wp:effectExtent l="0" t="0" r="0" b="9525"/>
                  <wp:docPr id="2016668335" name="Picture 9" descr="Area chart showing registered RPA accidents per thousand drones from FY20/21 to FY24/25, highlighting fluctuations over five fiscal years. Accidents rise from about 17 in FY20/21 to nearly 19 in FY21/22, dip to around 13 in FY23/24, then sharply increase to 21 in FY24/25, with axes labeled and data points connected by a dark blue line filled with lighte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68335" name="Picture 9" descr="Area chart showing registered RPA accidents per thousand drones from FY20/21 to FY24/25, highlighting fluctuations over five fiscal years. Accidents rise from about 17 in FY20/21 to nearly 19 in FY21/22, dip to around 13 in FY23/24, then sharply increase to 21 in FY24/25, with axes labeled and data points connected by a dark blue line filled with lighter bl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3020" cy="1762125"/>
                          </a:xfrm>
                          <a:prstGeom prst="rect">
                            <a:avLst/>
                          </a:prstGeom>
                          <a:noFill/>
                        </pic:spPr>
                      </pic:pic>
                    </a:graphicData>
                  </a:graphic>
                </wp:inline>
              </w:drawing>
            </w:r>
          </w:p>
        </w:tc>
      </w:tr>
      <w:tr w:rsidR="00FE648C" w:rsidRPr="00654F9E" w14:paraId="6B2935BC" w14:textId="77777777" w:rsidTr="00120659">
        <w:trPr>
          <w:cantSplit/>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442EE5AA" w14:textId="77777777" w:rsidR="00FE648C" w:rsidRDefault="00C31DB1" w:rsidP="00C31DB1">
            <w:pPr>
              <w:rPr>
                <w:b w:val="0"/>
              </w:rPr>
            </w:pPr>
            <w:r w:rsidRPr="00544B78">
              <w:t>SPI 1.1.9</w:t>
            </w:r>
            <w:r>
              <w:t>—</w:t>
            </w:r>
            <w:r w:rsidRPr="00544B78">
              <w:t>Uncrewed (RPAS) Fatal Accidents</w:t>
            </w:r>
          </w:p>
          <w:p w14:paraId="22CCD23D" w14:textId="1671D568" w:rsidR="00C31DB1" w:rsidRPr="000F6C50" w:rsidRDefault="00C31DB1" w:rsidP="00C31DB1">
            <w:r>
              <w:rPr>
                <w:bCs/>
                <w:noProof/>
              </w:rPr>
              <w:drawing>
                <wp:inline distT="0" distB="0" distL="0" distR="0" wp14:anchorId="2814B366" wp14:editId="3D3327DF">
                  <wp:extent cx="2908300" cy="1762125"/>
                  <wp:effectExtent l="0" t="0" r="6350" b="9525"/>
                  <wp:docPr id="907048761" name="Picture 10" descr="Line graph showing number of Uncrewed RPAS fatal accidents from fiscal years 2015/16 to 2024/25, with values remaining at zero throughout the period. X-axis displays fiscal years, and y-axis represents number of fatal accidents ranging from 0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48761" name="Picture 10" descr="Line graph showing number of Uncrewed RPAS fatal accidents from fiscal years 2015/16 to 2024/25, with values remaining at zero throughout the period. X-axis displays fiscal years, and y-axis represents number of fatal accidents ranging from 0 to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8300" cy="1762125"/>
                          </a:xfrm>
                          <a:prstGeom prst="rect">
                            <a:avLst/>
                          </a:prstGeom>
                          <a:noFill/>
                        </pic:spPr>
                      </pic:pic>
                    </a:graphicData>
                  </a:graphic>
                </wp:inline>
              </w:drawing>
            </w:r>
          </w:p>
        </w:tc>
        <w:tc>
          <w:tcPr>
            <w:tcW w:w="2499" w:type="pct"/>
          </w:tcPr>
          <w:p w14:paraId="26AA37BE" w14:textId="77777777" w:rsidR="00FE648C" w:rsidRPr="000F6C50" w:rsidRDefault="00FE648C" w:rsidP="00C31DB1">
            <w:pPr>
              <w:cnfStyle w:val="000000000000" w:firstRow="0" w:lastRow="0" w:firstColumn="0" w:lastColumn="0" w:oddVBand="0" w:evenVBand="0" w:oddHBand="0" w:evenHBand="0" w:firstRowFirstColumn="0" w:firstRowLastColumn="0" w:lastRowFirstColumn="0" w:lastRowLastColumn="0"/>
            </w:pPr>
          </w:p>
        </w:tc>
      </w:tr>
    </w:tbl>
    <w:p w14:paraId="28638406" w14:textId="77777777" w:rsidR="005C2ADE" w:rsidRDefault="005C2ADE" w:rsidP="005C2ADE">
      <w:pPr>
        <w:rPr>
          <w:b/>
          <w:bCs/>
        </w:rPr>
      </w:pPr>
      <w:r>
        <w:rPr>
          <w:b/>
          <w:bCs/>
        </w:rPr>
        <w:br w:type="page"/>
      </w:r>
    </w:p>
    <w:p w14:paraId="0CCCA4A9" w14:textId="1B9366BF" w:rsidR="005C2ADE" w:rsidRPr="008F1435" w:rsidRDefault="00000D9A" w:rsidP="006A166D">
      <w:pPr>
        <w:pStyle w:val="Heading3"/>
      </w:pPr>
      <w:bookmarkStart w:id="91" w:name="_A.2—Safety_Objective_1.2—Maintain"/>
      <w:bookmarkStart w:id="92" w:name="_Hlt227230669"/>
      <w:bookmarkStart w:id="93" w:name="_Toc230270035"/>
      <w:bookmarkEnd w:id="91"/>
      <w:r>
        <w:lastRenderedPageBreak/>
        <w:t>A.2—</w:t>
      </w:r>
      <w:r w:rsidR="005C2ADE" w:rsidRPr="008F1435">
        <w:t>Safety Objective 1.2</w:t>
      </w:r>
      <w:r w:rsidR="006D2C5C">
        <w:t>—</w:t>
      </w:r>
      <w:r w:rsidR="005C2ADE" w:rsidRPr="008F1435">
        <w:t>Maintain a 3-year moving average decreasing trend of serious incidents</w:t>
      </w:r>
      <w:bookmarkEnd w:id="93"/>
    </w:p>
    <w:bookmarkEnd w:id="92"/>
    <w:p w14:paraId="21D5B001" w14:textId="3F44F845" w:rsidR="005C2ADE" w:rsidRDefault="005C2ADE" w:rsidP="005C2ADE">
      <w:r>
        <w:t>The increase connected with</w:t>
      </w:r>
      <w:r w:rsidRPr="00CF50BF">
        <w:t xml:space="preserve"> </w:t>
      </w:r>
      <w:r>
        <w:t xml:space="preserve">SO1.2 </w:t>
      </w:r>
      <w:r w:rsidRPr="00CF50BF">
        <w:t>serious incidents</w:t>
      </w:r>
      <w:r>
        <w:t xml:space="preserve"> (</w:t>
      </w:r>
      <w:hyperlink w:anchor="_Hlk17282342" w:history="1">
        <w:r w:rsidRPr="004C78F1">
          <w:rPr>
            <w:rStyle w:val="Hyperlink"/>
          </w:rPr>
          <w:t>Figure 2</w:t>
        </w:r>
      </w:hyperlink>
      <w:r>
        <w:t>)</w:t>
      </w:r>
      <w:r w:rsidRPr="00CF50BF">
        <w:t xml:space="preserve"> was primarily associated with the CA</w:t>
      </w:r>
      <w:r w:rsidRPr="00CF50BF">
        <w:rPr>
          <w:b/>
        </w:rPr>
        <w:t xml:space="preserve"> </w:t>
      </w:r>
      <w:r w:rsidRPr="00CF50BF">
        <w:t>sector</w:t>
      </w:r>
      <w:r>
        <w:t xml:space="preserve"> (SPI 1.2.2)</w:t>
      </w:r>
      <w:r w:rsidRPr="00CF50BF">
        <w:t>, with a 33% increase over the last 10 years</w:t>
      </w:r>
      <w:r>
        <w:t xml:space="preserve"> (FY</w:t>
      </w:r>
      <w:r w:rsidR="000D26BD">
        <w:t>2015–16</w:t>
      </w:r>
      <w:r>
        <w:t xml:space="preserve"> compared to FY</w:t>
      </w:r>
      <w:r w:rsidR="003276FE">
        <w:t>2024–25</w:t>
      </w:r>
      <w:r>
        <w:t>)</w:t>
      </w:r>
      <w:r w:rsidRPr="00CF50BF">
        <w:t xml:space="preserve"> and 20% increase over the last three years. </w:t>
      </w:r>
      <w:r>
        <w:t>The 10-year trend for CAT (SPI 1.2.1) is stable and NCA (SPI 1.2.3) decreasing.</w:t>
      </w:r>
    </w:p>
    <w:p w14:paraId="1DCDCA37" w14:textId="77777777" w:rsidR="005C2ADE" w:rsidRPr="00CF50BF" w:rsidRDefault="005C2ADE" w:rsidP="005C2ADE">
      <w:r w:rsidRPr="00CF50BF">
        <w:t>CA encompasses aerial work and instructional flying activities. Instructional flying was the main contributor</w:t>
      </w:r>
      <w:r>
        <w:t xml:space="preserve"> of serious incidents over the 10-year period. The notable increase commenced from FY2021-22 continued through to the end of the reporting period. The leading occurrence category over this period being </w:t>
      </w:r>
      <w:r w:rsidRPr="00CF50BF">
        <w:t xml:space="preserve">aircraft separation. For aerial work, wire strikes during agricultural spreading and spraying activities </w:t>
      </w:r>
      <w:r>
        <w:t>may have also contributed to the rise.</w:t>
      </w:r>
    </w:p>
    <w:p w14:paraId="7AD36E21" w14:textId="77777777" w:rsidR="005C2ADE" w:rsidRPr="00CF50BF" w:rsidRDefault="005C2ADE" w:rsidP="005C2ADE">
      <w:r w:rsidRPr="00CF50BF">
        <w:t xml:space="preserve">In response, CASA undertook a targeted surveillance campaign focused on flight training organisations and a Sector Safety Risk Profile (SSRP) was also completed in August 2024 for this sector. Further in-depth analysis through the formation of an instructional flying Expert Reference Group (ERG) is currently underway based on a recommendation from the Aviation Safety Advisory Panel (ASAP). This will enable a more detailed review on instructional flying in collaboration </w:t>
      </w:r>
      <w:r w:rsidRPr="00CB2E2A">
        <w:t xml:space="preserve">with industry to reduce any potential sector risks. For aerial work and specifically agricultural activity, CASA has engaged with the agriculture sector including </w:t>
      </w:r>
      <w:proofErr w:type="spellStart"/>
      <w:r w:rsidRPr="00CB2E2A">
        <w:t>Farmsafe</w:t>
      </w:r>
      <w:proofErr w:type="spellEnd"/>
      <w:r w:rsidRPr="00CB2E2A">
        <w:t xml:space="preserve"> and State and Territory Work Health and Safety (WHS) agencies,</w:t>
      </w:r>
      <w:r w:rsidRPr="00CF50BF">
        <w:t xml:space="preserve"> with an Aerial Agriculture SSRP conducted in November 2024.</w:t>
      </w:r>
    </w:p>
    <w:p w14:paraId="1C34D323" w14:textId="485A1F11" w:rsidR="005C2ADE" w:rsidRPr="00CF50BF" w:rsidRDefault="005C2ADE" w:rsidP="005C2ADE">
      <w:r w:rsidRPr="00CF50BF">
        <w:t xml:space="preserve">The CAT serious incident rate remained stable across the 10-year period but seen a gradual increase of approximately 10% over the last three years. Approximately 58% </w:t>
      </w:r>
      <w:r>
        <w:t xml:space="preserve">of </w:t>
      </w:r>
      <w:r w:rsidRPr="00CF50BF">
        <w:t xml:space="preserve">CAT serious incidents involved non-scheduled air transport operations over the 10-years, increasing to 63% in the FY </w:t>
      </w:r>
      <w:r w:rsidR="003276FE">
        <w:t>2024–25</w:t>
      </w:r>
      <w:r w:rsidRPr="00CF50BF">
        <w:t>. This sector is currently transitioning to mandatory civil aviation regulation Safety Management Systems (SMS) which introduces safety culture, safety reporting and safety risk assessment elements to these operators.</w:t>
      </w:r>
      <w:r>
        <w:t xml:space="preserve"> It is anticipated this SMS transition will assist the sector to become better informed in relation to safety risks and potentially drive more proactive safety risk management.</w:t>
      </w:r>
    </w:p>
    <w:p w14:paraId="3194B5F7" w14:textId="50BC3FF3" w:rsidR="005C2ADE" w:rsidRDefault="005C2ADE" w:rsidP="005C2ADE">
      <w:r w:rsidRPr="00CF50BF">
        <w:t xml:space="preserve">The NCA sector experienced a decreasing trend in serious incidents across the </w:t>
      </w:r>
      <w:r>
        <w:t xml:space="preserve">first half of the </w:t>
      </w:r>
      <w:r w:rsidRPr="00CF50BF">
        <w:t>10-year period</w:t>
      </w:r>
      <w:r>
        <w:t xml:space="preserve">. Since the pandemic and the lowest number of serious incidents (53) in FY </w:t>
      </w:r>
      <w:r w:rsidR="002C6061">
        <w:t>2019–20</w:t>
      </w:r>
      <w:r>
        <w:t xml:space="preserve"> there has been a 40% increase in serious incidents to FY </w:t>
      </w:r>
      <w:r w:rsidR="00FA6D25">
        <w:t>2022–23</w:t>
      </w:r>
      <w:r>
        <w:t xml:space="preserve"> (74). Over the last three years the trend has remained stable.</w:t>
      </w:r>
    </w:p>
    <w:p w14:paraId="1E7AACB2" w14:textId="4DB6F294" w:rsidR="00A31E98" w:rsidRDefault="0052714B" w:rsidP="00A31E98">
      <w:pPr>
        <w:pStyle w:val="Tablefigureheading"/>
      </w:pPr>
      <w:bookmarkStart w:id="94" w:name="_Toc230269811"/>
      <w:r>
        <w:t xml:space="preserve">Figure </w:t>
      </w:r>
      <w:r w:rsidR="001010B6">
        <w:t>8</w:t>
      </w:r>
      <w:r>
        <w:t>—Number of serious incidents by sector</w:t>
      </w:r>
      <w:bookmarkEnd w:id="94"/>
    </w:p>
    <w:tbl>
      <w:tblPr>
        <w:tblStyle w:val="DefaultTable11"/>
        <w:tblW w:w="5000" w:type="pct"/>
        <w:tblBorders>
          <w:top w:val="single" w:sz="4" w:space="0" w:color="ED662F"/>
          <w:bottom w:val="single" w:sz="12" w:space="0" w:color="ED662F"/>
          <w:insideH w:val="single" w:sz="4" w:space="0" w:color="ED662F"/>
        </w:tblBorders>
        <w:tblLook w:val="04A0" w:firstRow="1" w:lastRow="0" w:firstColumn="1" w:lastColumn="0" w:noHBand="0" w:noVBand="1"/>
        <w:tblCaption w:val="Figure 8—Number of serious incidents by sector"/>
        <w:tblDescription w:val="Figure 8—Number of serious incidents by sector"/>
      </w:tblPr>
      <w:tblGrid>
        <w:gridCol w:w="4762"/>
        <w:gridCol w:w="4713"/>
      </w:tblGrid>
      <w:tr w:rsidR="00A31E98" w:rsidRPr="00654F9E" w14:paraId="244752C0" w14:textId="77777777" w:rsidTr="00DD630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3" w:type="pct"/>
            <w:shd w:val="clear" w:color="auto" w:fill="4D148C"/>
          </w:tcPr>
          <w:p w14:paraId="633FD9AA" w14:textId="0CF955E0" w:rsidR="00A31E98" w:rsidRPr="002E0AC7" w:rsidRDefault="0052714B" w:rsidP="00800567">
            <w:pPr>
              <w:pStyle w:val="Tablerowcolumnheading"/>
              <w:keepNext/>
              <w:rPr>
                <w:b/>
                <w:bCs/>
                <w:sz w:val="22"/>
                <w:szCs w:val="22"/>
              </w:rPr>
            </w:pPr>
            <w:r>
              <w:rPr>
                <w:b/>
                <w:bCs/>
                <w:sz w:val="22"/>
                <w:szCs w:val="22"/>
              </w:rPr>
              <w:t>Serious incident rate</w:t>
            </w:r>
            <w:r w:rsidR="00FA6D25">
              <w:rPr>
                <w:b/>
                <w:bCs/>
                <w:sz w:val="22"/>
                <w:szCs w:val="22"/>
              </w:rPr>
              <w:t>—</w:t>
            </w:r>
            <w:r>
              <w:rPr>
                <w:b/>
                <w:bCs/>
                <w:sz w:val="22"/>
                <w:szCs w:val="22"/>
              </w:rPr>
              <w:t>by sector</w:t>
            </w:r>
          </w:p>
        </w:tc>
        <w:tc>
          <w:tcPr>
            <w:tcW w:w="2487" w:type="pct"/>
            <w:shd w:val="clear" w:color="auto" w:fill="4D148C"/>
          </w:tcPr>
          <w:p w14:paraId="238E4705" w14:textId="006920E8" w:rsidR="00A31E98" w:rsidRPr="002E0AC7" w:rsidRDefault="00A31E98" w:rsidP="00800567">
            <w:pPr>
              <w:pStyle w:val="Tablerowcolumnheading"/>
              <w:keepNext/>
              <w:cnfStyle w:val="100000000000" w:firstRow="1" w:lastRow="0" w:firstColumn="0" w:lastColumn="0" w:oddVBand="0" w:evenVBand="0" w:oddHBand="0" w:evenHBand="0" w:firstRowFirstColumn="0" w:firstRowLastColumn="0" w:lastRowFirstColumn="0" w:lastRowLastColumn="0"/>
              <w:rPr>
                <w:b/>
                <w:bCs/>
                <w:szCs w:val="22"/>
              </w:rPr>
            </w:pPr>
          </w:p>
        </w:tc>
      </w:tr>
      <w:tr w:rsidR="00A31E98" w:rsidRPr="00654F9E" w14:paraId="5C19EDC4" w14:textId="77777777" w:rsidTr="00DD6301">
        <w:trPr>
          <w:cantSplit/>
        </w:trPr>
        <w:tc>
          <w:tcPr>
            <w:cnfStyle w:val="001000000000" w:firstRow="0" w:lastRow="0" w:firstColumn="1" w:lastColumn="0" w:oddVBand="0" w:evenVBand="0" w:oddHBand="0" w:evenHBand="0" w:firstRowFirstColumn="0" w:firstRowLastColumn="0" w:lastRowFirstColumn="0" w:lastRowLastColumn="0"/>
            <w:tcW w:w="2513" w:type="pct"/>
          </w:tcPr>
          <w:p w14:paraId="3D4BDF1A" w14:textId="77777777" w:rsidR="00A31E98" w:rsidRDefault="00A31E98" w:rsidP="00800567">
            <w:pPr>
              <w:rPr>
                <w:b w:val="0"/>
                <w:bCs/>
              </w:rPr>
            </w:pPr>
            <w:r>
              <w:rPr>
                <w:bCs/>
              </w:rPr>
              <w:t>SPI 1.2.1—</w:t>
            </w:r>
            <w:r w:rsidRPr="00C9490B">
              <w:rPr>
                <w:bCs/>
              </w:rPr>
              <w:t>C</w:t>
            </w:r>
            <w:r>
              <w:rPr>
                <w:bCs/>
              </w:rPr>
              <w:t>AT</w:t>
            </w:r>
            <w:r w:rsidRPr="00C9490B">
              <w:rPr>
                <w:bCs/>
              </w:rPr>
              <w:t xml:space="preserve"> </w:t>
            </w:r>
            <w:r>
              <w:rPr>
                <w:bCs/>
              </w:rPr>
              <w:t>Serious Incident</w:t>
            </w:r>
            <w:r w:rsidRPr="00C9490B">
              <w:rPr>
                <w:bCs/>
              </w:rPr>
              <w:t xml:space="preserve"> Rate</w:t>
            </w:r>
          </w:p>
          <w:p w14:paraId="74CDC0E9" w14:textId="67BE983B" w:rsidR="00A31E98" w:rsidRPr="008776AE" w:rsidRDefault="00C93097" w:rsidP="00800567">
            <w:r>
              <w:rPr>
                <w:noProof/>
              </w:rPr>
              <w:drawing>
                <wp:inline distT="0" distB="0" distL="0" distR="0" wp14:anchorId="15E30ED1" wp14:editId="42BC134F">
                  <wp:extent cx="2926080" cy="1762125"/>
                  <wp:effectExtent l="0" t="0" r="7620" b="9525"/>
                  <wp:docPr id="330270029" name="Picture 14" descr="Line graph showing CAT serious incidents per million departures from fiscal years 2015/16 to 2024/25, with values fluctuating between 25 and 45. Notable peak occurs in FY 2020/21 reaching above 45, followed by a decline and gradual increase toward FY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70029" name="Picture 14" descr="Line graph showing CAT serious incidents per million departures from fiscal years 2015/16 to 2024/25, with values fluctuating between 25 and 45. Notable peak occurs in FY 2020/21 reaching above 45, followed by a decline and gradual increase toward FY 2024/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6080" cy="1762125"/>
                          </a:xfrm>
                          <a:prstGeom prst="rect">
                            <a:avLst/>
                          </a:prstGeom>
                          <a:noFill/>
                        </pic:spPr>
                      </pic:pic>
                    </a:graphicData>
                  </a:graphic>
                </wp:inline>
              </w:drawing>
            </w:r>
          </w:p>
        </w:tc>
        <w:tc>
          <w:tcPr>
            <w:tcW w:w="2487" w:type="pct"/>
          </w:tcPr>
          <w:p w14:paraId="2F1FDCD3" w14:textId="77777777" w:rsidR="00A31E98" w:rsidRDefault="00A31E98" w:rsidP="00800567">
            <w:pPr>
              <w:cnfStyle w:val="000000000000" w:firstRow="0" w:lastRow="0" w:firstColumn="0" w:lastColumn="0" w:oddVBand="0" w:evenVBand="0" w:oddHBand="0" w:evenHBand="0" w:firstRowFirstColumn="0" w:firstRowLastColumn="0" w:lastRowFirstColumn="0" w:lastRowLastColumn="0"/>
              <w:rPr>
                <w:b/>
              </w:rPr>
            </w:pPr>
            <w:r w:rsidRPr="00A31E98">
              <w:rPr>
                <w:b/>
              </w:rPr>
              <w:t>SPI 1.2.2—CA Serious Incidents</w:t>
            </w:r>
          </w:p>
          <w:p w14:paraId="70F402BD" w14:textId="218105EB" w:rsidR="00C93097" w:rsidRPr="00A31E98" w:rsidRDefault="00C93097" w:rsidP="00800567">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6DCCBFD1" wp14:editId="62E79EA6">
                  <wp:extent cx="2901950" cy="1762125"/>
                  <wp:effectExtent l="0" t="0" r="0" b="9525"/>
                  <wp:docPr id="2062720002" name="Picture 15" descr="Area chart showing number of CA serious incidents from FY15/16 to FY24/25, with values fluctuating between 50 and 90 before rising sharply to 100 in FY24/25. The chart features a shaded blue area under a dark blue line, highlighting a notable increase in incidents during the last two fisc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20002" name="Picture 15" descr="Area chart showing number of CA serious incidents from FY15/16 to FY24/25, with values fluctuating between 50 and 90 before rising sharply to 100 in FY24/25. The chart features a shaded blue area under a dark blue line, highlighting a notable increase in incidents during the last two fiscal yea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1950" cy="1762125"/>
                          </a:xfrm>
                          <a:prstGeom prst="rect">
                            <a:avLst/>
                          </a:prstGeom>
                          <a:noFill/>
                        </pic:spPr>
                      </pic:pic>
                    </a:graphicData>
                  </a:graphic>
                </wp:inline>
              </w:drawing>
            </w:r>
          </w:p>
        </w:tc>
      </w:tr>
      <w:tr w:rsidR="00A31E98" w:rsidRPr="00654F9E" w14:paraId="405BB36E" w14:textId="77777777" w:rsidTr="00DD630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3" w:type="pct"/>
          </w:tcPr>
          <w:p w14:paraId="0D03EFFB" w14:textId="77777777" w:rsidR="00A31E98" w:rsidRDefault="00C93097" w:rsidP="00C93097">
            <w:pPr>
              <w:rPr>
                <w:b w:val="0"/>
              </w:rPr>
            </w:pPr>
            <w:r w:rsidRPr="00CB2E2A">
              <w:lastRenderedPageBreak/>
              <w:t>SPI 1.2.3</w:t>
            </w:r>
            <w:r>
              <w:t>—</w:t>
            </w:r>
            <w:r w:rsidRPr="00CB2E2A">
              <w:t>NCA Serious Incidents</w:t>
            </w:r>
          </w:p>
          <w:p w14:paraId="078526C6" w14:textId="2E4705E6" w:rsidR="00C93097" w:rsidRDefault="00C93097" w:rsidP="00C93097">
            <w:r>
              <w:rPr>
                <w:noProof/>
              </w:rPr>
              <w:drawing>
                <wp:inline distT="0" distB="0" distL="0" distR="0" wp14:anchorId="75BA12E1" wp14:editId="7E734921">
                  <wp:extent cx="2926080" cy="1762125"/>
                  <wp:effectExtent l="0" t="0" r="7620" b="9525"/>
                  <wp:docPr id="1994067697" name="Picture 16" descr="Line graph showing number of NCA serious incidents from fiscal years 2015/16 to 2024/25, with values starting above 100 and declining to around 50 by FY 2019/20 before gradually rising to approximately 75 by FY 2024/25. Graph includes shaded area under line, vertical axis labeled with incident counts, and horizontal axis labeled with fisc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67697" name="Picture 16" descr="Line graph showing number of NCA serious incidents from fiscal years 2015/16 to 2024/25, with values starting above 100 and declining to around 50 by FY 2019/20 before gradually rising to approximately 75 by FY 2024/25. Graph includes shaded area under line, vertical axis labeled with incident counts, and horizontal axis labeled with fiscal yea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6080" cy="1762125"/>
                          </a:xfrm>
                          <a:prstGeom prst="rect">
                            <a:avLst/>
                          </a:prstGeom>
                          <a:noFill/>
                        </pic:spPr>
                      </pic:pic>
                    </a:graphicData>
                  </a:graphic>
                </wp:inline>
              </w:drawing>
            </w:r>
          </w:p>
        </w:tc>
        <w:tc>
          <w:tcPr>
            <w:tcW w:w="2487" w:type="pct"/>
          </w:tcPr>
          <w:p w14:paraId="502897FD" w14:textId="0D4E9F70" w:rsidR="00A31E98" w:rsidRPr="00120659" w:rsidRDefault="00A31E98" w:rsidP="00800567">
            <w:pPr>
              <w:cnfStyle w:val="000000010000" w:firstRow="0" w:lastRow="0" w:firstColumn="0" w:lastColumn="0" w:oddVBand="0" w:evenVBand="0" w:oddHBand="0" w:evenHBand="1" w:firstRowFirstColumn="0" w:firstRowLastColumn="0" w:lastRowFirstColumn="0" w:lastRowLastColumn="0"/>
              <w:rPr>
                <w:b/>
                <w:bCs/>
              </w:rPr>
            </w:pPr>
          </w:p>
        </w:tc>
      </w:tr>
    </w:tbl>
    <w:p w14:paraId="288C32A0" w14:textId="1901B896" w:rsidR="005C2ADE" w:rsidRPr="008F1435" w:rsidRDefault="00DD6301" w:rsidP="00DD6301">
      <w:pPr>
        <w:pStyle w:val="Heading3"/>
      </w:pPr>
      <w:bookmarkStart w:id="95" w:name="_Toc230270036"/>
      <w:r>
        <w:t>A.3—</w:t>
      </w:r>
      <w:r w:rsidR="005C2ADE" w:rsidRPr="008F1435">
        <w:t>Safety Objective 1.3</w:t>
      </w:r>
      <w:r w:rsidR="006D2C5C">
        <w:t>—</w:t>
      </w:r>
      <w:r w:rsidR="005C2ADE" w:rsidRPr="008F1435">
        <w:t>Maintain a 3-year moving average decreasing trend of runway safety-related events</w:t>
      </w:r>
      <w:bookmarkEnd w:id="95"/>
      <w:r w:rsidR="005C2ADE" w:rsidRPr="008F1435">
        <w:t xml:space="preserve"> </w:t>
      </w:r>
    </w:p>
    <w:p w14:paraId="257EDE1F" w14:textId="057A4107" w:rsidR="005C2ADE" w:rsidRPr="00CF50BF" w:rsidRDefault="005C2ADE" w:rsidP="005C2ADE">
      <w:bookmarkStart w:id="96" w:name="_Hlk214558847"/>
      <w:r w:rsidRPr="00CF50BF">
        <w:t>While the 3-year moving average</w:t>
      </w:r>
      <w:r>
        <w:t xml:space="preserve"> of SO1.3</w:t>
      </w:r>
      <w:r w:rsidRPr="00CF50BF">
        <w:t xml:space="preserve"> was in</w:t>
      </w:r>
      <w:r>
        <w:t>dicative of an increasing trend</w:t>
      </w:r>
      <w:r w:rsidRPr="00CF50BF">
        <w:t xml:space="preserve"> </w:t>
      </w:r>
      <w:r>
        <w:t>(</w:t>
      </w:r>
      <w:hyperlink w:anchor="_Safety_objective_1.3:" w:history="1">
        <w:r w:rsidRPr="00CF50BF">
          <w:rPr>
            <w:rStyle w:val="Hyperlink"/>
          </w:rPr>
          <w:t>Figure 3</w:t>
        </w:r>
      </w:hyperlink>
      <w:r>
        <w:t>)</w:t>
      </w:r>
      <w:r w:rsidRPr="00CF50BF">
        <w:t xml:space="preserve">, the number of events from FY </w:t>
      </w:r>
      <w:r w:rsidR="00E645F4">
        <w:t>2023–24</w:t>
      </w:r>
      <w:r w:rsidRPr="00CF50BF">
        <w:t xml:space="preserve"> to FY </w:t>
      </w:r>
      <w:r w:rsidR="003276FE">
        <w:t>2024–25</w:t>
      </w:r>
      <w:r w:rsidRPr="00CF50BF">
        <w:t xml:space="preserve"> decreased by 17%. </w:t>
      </w:r>
      <w:bookmarkEnd w:id="96"/>
      <w:r w:rsidRPr="00CF50BF">
        <w:t>This was supported by a reduction in the controlled aerodromes runway safety-related event rate</w:t>
      </w:r>
      <w:r>
        <w:t xml:space="preserve"> (SPI 1.3.1)</w:t>
      </w:r>
      <w:r w:rsidRPr="00CF50BF">
        <w:t xml:space="preserve"> and numbers of uncontrolled aerodrome runway safety-related events</w:t>
      </w:r>
      <w:r>
        <w:t xml:space="preserve"> (SPI 1.3.2)</w:t>
      </w:r>
      <w:r w:rsidRPr="00CF50BF">
        <w:t>.</w:t>
      </w:r>
    </w:p>
    <w:p w14:paraId="0F1C155E" w14:textId="77777777" w:rsidR="005C2ADE" w:rsidRPr="00CF50BF" w:rsidRDefault="005C2ADE" w:rsidP="005C2ADE">
      <w:r w:rsidRPr="00CF50BF">
        <w:t>Runway safety-related events are closely monitored through the National Runway Safety Group (NRSG), a SSP operational working group that meets bi-annually. The NRSG reviews runway safety-related events at controlled aerodromes and where risks or emerging issues are identified a specific sub-working group may be formed. Over the last 12 months, the following specific sub-working groups have been active in reviewing risks connected with runway safety:</w:t>
      </w:r>
      <w:r>
        <w:t xml:space="preserve"> </w:t>
      </w:r>
    </w:p>
    <w:p w14:paraId="436C8347" w14:textId="6976E33A" w:rsidR="005C2ADE" w:rsidRPr="00CF50BF" w:rsidRDefault="00DD6301" w:rsidP="00DD6301">
      <w:pPr>
        <w:pStyle w:val="Listparagraphbullets"/>
        <w:contextualSpacing/>
      </w:pPr>
      <w:r w:rsidRPr="00CF50BF">
        <w:t xml:space="preserve">displaced thresholds runway works </w:t>
      </w:r>
    </w:p>
    <w:p w14:paraId="34F50340" w14:textId="164E4F3B" w:rsidR="005C2ADE" w:rsidRPr="00CF50BF" w:rsidRDefault="00DD6301" w:rsidP="00DD6301">
      <w:pPr>
        <w:pStyle w:val="Listparagraphbullets"/>
        <w:contextualSpacing/>
      </w:pPr>
      <w:r w:rsidRPr="00CF50BF">
        <w:t>pavement classification rating transition</w:t>
      </w:r>
    </w:p>
    <w:p w14:paraId="368A7A87" w14:textId="2ACF4368" w:rsidR="005C2ADE" w:rsidRPr="00CF50BF" w:rsidRDefault="00DD6301" w:rsidP="00DD6301">
      <w:pPr>
        <w:pStyle w:val="Listparagraphbullets"/>
        <w:contextualSpacing/>
      </w:pPr>
      <w:r w:rsidRPr="00CF50BF">
        <w:t>stop bars</w:t>
      </w:r>
      <w:r>
        <w:t>.</w:t>
      </w:r>
    </w:p>
    <w:p w14:paraId="798B636F" w14:textId="1FAA6C9F" w:rsidR="005C2ADE" w:rsidRDefault="005C2ADE" w:rsidP="005C2ADE">
      <w:r w:rsidRPr="00CF50BF">
        <w:t>Through their collaboration, the NRSG also identified a downward trend in runway safety-related events connected with regional class D aerodromes but an increasing trend at metropolitan class D aerodromes. Runway incursions was a lead driver for the increase at metropolitan aerodromes and recommendations for enhanced safety education and awareness w</w:t>
      </w:r>
      <w:r>
        <w:t>ere</w:t>
      </w:r>
      <w:r w:rsidRPr="00CF50BF">
        <w:t xml:space="preserve"> made by the group. CASA’s pilot safety campaign in August 2024 focussed on these matters by raising safety messaging regarding departures, arrivals and landings at non-controlled aerodromes.</w:t>
      </w:r>
      <w:r>
        <w:t xml:space="preserve"> </w:t>
      </w:r>
      <w:r w:rsidRPr="00CF50BF">
        <w:t xml:space="preserve">CASA also conducted a SSRP for both controlled and uncontrolled aerodromes in early 2024 with the published outcomes released in FY </w:t>
      </w:r>
      <w:r w:rsidR="003276FE">
        <w:t>2024–25</w:t>
      </w:r>
      <w:r w:rsidRPr="00CF50BF">
        <w:t>.</w:t>
      </w:r>
    </w:p>
    <w:p w14:paraId="411B611D" w14:textId="595B5019" w:rsidR="00955D03" w:rsidRDefault="0052714B" w:rsidP="00955D03">
      <w:pPr>
        <w:pStyle w:val="Tablefigureheading"/>
      </w:pPr>
      <w:bookmarkStart w:id="97" w:name="_Toc230269812"/>
      <w:r>
        <w:lastRenderedPageBreak/>
        <w:t xml:space="preserve">Figure </w:t>
      </w:r>
      <w:r w:rsidR="001010B6">
        <w:t>9</w:t>
      </w:r>
      <w:r>
        <w:t>—Number of runway safety-related events by aerodrome status</w:t>
      </w:r>
      <w:bookmarkEnd w:id="97"/>
    </w:p>
    <w:tbl>
      <w:tblPr>
        <w:tblStyle w:val="DefaultTable11"/>
        <w:tblW w:w="5000" w:type="pct"/>
        <w:tblBorders>
          <w:top w:val="single" w:sz="4" w:space="0" w:color="ED662F"/>
          <w:bottom w:val="single" w:sz="12" w:space="0" w:color="ED662F"/>
          <w:insideH w:val="single" w:sz="4" w:space="0" w:color="ED662F"/>
        </w:tblBorders>
        <w:tblLook w:val="04A0" w:firstRow="1" w:lastRow="0" w:firstColumn="1" w:lastColumn="0" w:noHBand="0" w:noVBand="1"/>
        <w:tblCaption w:val="Figure 9—Number of runway safety-related events by aerodrome status"/>
        <w:tblDescription w:val="Figure 9—Number of runway safety-related events by aerodrome status"/>
      </w:tblPr>
      <w:tblGrid>
        <w:gridCol w:w="4712"/>
        <w:gridCol w:w="4763"/>
      </w:tblGrid>
      <w:tr w:rsidR="00955D03" w:rsidRPr="00654F9E" w14:paraId="179C8928" w14:textId="77777777" w:rsidTr="00EF605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7" w:type="pct"/>
            <w:shd w:val="clear" w:color="auto" w:fill="4D148C"/>
          </w:tcPr>
          <w:p w14:paraId="52696B54" w14:textId="65B28719" w:rsidR="00955D03" w:rsidRPr="002E0AC7" w:rsidRDefault="0052714B" w:rsidP="00800567">
            <w:pPr>
              <w:pStyle w:val="Tablerowcolumnheading"/>
              <w:keepNext/>
              <w:rPr>
                <w:b/>
                <w:bCs/>
                <w:sz w:val="22"/>
                <w:szCs w:val="22"/>
              </w:rPr>
            </w:pPr>
            <w:r>
              <w:rPr>
                <w:b/>
                <w:bCs/>
                <w:sz w:val="22"/>
                <w:szCs w:val="22"/>
              </w:rPr>
              <w:t>Runway safety-related event rates</w:t>
            </w:r>
          </w:p>
        </w:tc>
        <w:tc>
          <w:tcPr>
            <w:tcW w:w="2513" w:type="pct"/>
            <w:shd w:val="clear" w:color="auto" w:fill="4D148C"/>
          </w:tcPr>
          <w:p w14:paraId="31474E88" w14:textId="01243B3B" w:rsidR="00955D03" w:rsidRPr="002E0AC7" w:rsidRDefault="00955D03" w:rsidP="00800567">
            <w:pPr>
              <w:pStyle w:val="Tablerowcolumnheading"/>
              <w:keepNext/>
              <w:cnfStyle w:val="100000000000" w:firstRow="1" w:lastRow="0" w:firstColumn="0" w:lastColumn="0" w:oddVBand="0" w:evenVBand="0" w:oddHBand="0" w:evenHBand="0" w:firstRowFirstColumn="0" w:firstRowLastColumn="0" w:lastRowFirstColumn="0" w:lastRowLastColumn="0"/>
              <w:rPr>
                <w:b/>
                <w:bCs/>
                <w:szCs w:val="22"/>
              </w:rPr>
            </w:pPr>
          </w:p>
        </w:tc>
      </w:tr>
      <w:tr w:rsidR="00955D03" w:rsidRPr="00654F9E" w14:paraId="4EECE053" w14:textId="77777777" w:rsidTr="00EF605C">
        <w:trPr>
          <w:cantSplit/>
        </w:trPr>
        <w:tc>
          <w:tcPr>
            <w:cnfStyle w:val="001000000000" w:firstRow="0" w:lastRow="0" w:firstColumn="1" w:lastColumn="0" w:oddVBand="0" w:evenVBand="0" w:oddHBand="0" w:evenHBand="0" w:firstRowFirstColumn="0" w:firstRowLastColumn="0" w:lastRowFirstColumn="0" w:lastRowLastColumn="0"/>
            <w:tcW w:w="2487" w:type="pct"/>
          </w:tcPr>
          <w:p w14:paraId="2AB84FAF" w14:textId="77777777" w:rsidR="00955D03" w:rsidRDefault="00E15E9A" w:rsidP="00800567">
            <w:pPr>
              <w:rPr>
                <w:b w:val="0"/>
                <w:bCs/>
              </w:rPr>
            </w:pPr>
            <w:r>
              <w:rPr>
                <w:bCs/>
              </w:rPr>
              <w:t>SPI 1.3.1—Runway Safety-Related Events</w:t>
            </w:r>
            <w:r w:rsidRPr="00C9490B">
              <w:rPr>
                <w:bCs/>
              </w:rPr>
              <w:t xml:space="preserve"> Rate</w:t>
            </w:r>
            <w:r>
              <w:rPr>
                <w:bCs/>
              </w:rPr>
              <w:t xml:space="preserve"> (Controlled aerodromes)</w:t>
            </w:r>
          </w:p>
          <w:p w14:paraId="0A4A6E27" w14:textId="02A99EC9" w:rsidR="00C960EA" w:rsidRPr="008776AE" w:rsidRDefault="00C960EA" w:rsidP="00800567">
            <w:r>
              <w:rPr>
                <w:bCs/>
                <w:noProof/>
              </w:rPr>
              <w:drawing>
                <wp:inline distT="0" distB="0" distL="0" distR="0" wp14:anchorId="403D3FFD" wp14:editId="08CCA4E2">
                  <wp:extent cx="2938780" cy="1762125"/>
                  <wp:effectExtent l="0" t="0" r="0" b="9525"/>
                  <wp:docPr id="1355450391" name="Picture 17" descr="Area chart showing number of runway safety-related events per million departures at controlled aerodromes from fiscal year 15/16 to 24/25, illustrating a rise from about 160 to a peak near 260 in FY 20/21, followed by a gradual decline to around 210 by FY 24/25. The chart uses a blue shaded area with a dark blue line to highlight trends and fluctuations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50391" name="Picture 17" descr="Area chart showing number of runway safety-related events per million departures at controlled aerodromes from fiscal year 15/16 to 24/25, illustrating a rise from about 160 to a peak near 260 in FY 20/21, followed by a gradual decline to around 210 by FY 24/25. The chart uses a blue shaded area with a dark blue line to highlight trends and fluctuations over the yea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8780" cy="1762125"/>
                          </a:xfrm>
                          <a:prstGeom prst="rect">
                            <a:avLst/>
                          </a:prstGeom>
                          <a:noFill/>
                        </pic:spPr>
                      </pic:pic>
                    </a:graphicData>
                  </a:graphic>
                </wp:inline>
              </w:drawing>
            </w:r>
          </w:p>
        </w:tc>
        <w:tc>
          <w:tcPr>
            <w:tcW w:w="2513" w:type="pct"/>
          </w:tcPr>
          <w:p w14:paraId="6F9C2AE4" w14:textId="59C14802" w:rsidR="00955D03" w:rsidRDefault="00C960EA" w:rsidP="00800567">
            <w:pPr>
              <w:cnfStyle w:val="000000000000" w:firstRow="0" w:lastRow="0" w:firstColumn="0" w:lastColumn="0" w:oddVBand="0" w:evenVBand="0" w:oddHBand="0" w:evenHBand="0" w:firstRowFirstColumn="0" w:firstRowLastColumn="0" w:lastRowFirstColumn="0" w:lastRowLastColumn="0"/>
              <w:rPr>
                <w:b/>
              </w:rPr>
            </w:pPr>
            <w:r w:rsidRPr="00C960EA">
              <w:rPr>
                <w:b/>
              </w:rPr>
              <w:t>SPI 1.3.2—Runway Safety-Related Events (Uncontrolled aerodromes)</w:t>
            </w:r>
          </w:p>
          <w:p w14:paraId="491F4026" w14:textId="50B7F507" w:rsidR="00C960EA" w:rsidRPr="00C960EA" w:rsidRDefault="00C960EA" w:rsidP="00800567">
            <w:pPr>
              <w:cnfStyle w:val="000000000000" w:firstRow="0" w:lastRow="0" w:firstColumn="0" w:lastColumn="0" w:oddVBand="0" w:evenVBand="0" w:oddHBand="0" w:evenHBand="0" w:firstRowFirstColumn="0" w:firstRowLastColumn="0" w:lastRowFirstColumn="0" w:lastRowLastColumn="0"/>
              <w:rPr>
                <w:b/>
              </w:rPr>
            </w:pPr>
            <w:r>
              <w:rPr>
                <w:b/>
                <w:bCs/>
                <w:noProof/>
              </w:rPr>
              <w:drawing>
                <wp:inline distT="0" distB="0" distL="0" distR="0" wp14:anchorId="3C400055" wp14:editId="7E59A134">
                  <wp:extent cx="2962910" cy="1762125"/>
                  <wp:effectExtent l="0" t="0" r="8890" b="9525"/>
                  <wp:docPr id="1567541886" name="Picture 18" descr="Area chart showing number of runway safety-related events at uncontrolled aerodromes from fiscal years 15/16 to 24/25, with values fluctuating between 80 and 130 events. Notable increase occurs in FY22/23, peaking around 130 events before slightly declining in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41886" name="Picture 18" descr="Area chart showing number of runway safety-related events at uncontrolled aerodromes from fiscal years 15/16 to 24/25, with values fluctuating between 80 and 130 events. Notable increase occurs in FY22/23, peaking around 130 events before slightly declining in FY24/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910" cy="1762125"/>
                          </a:xfrm>
                          <a:prstGeom prst="rect">
                            <a:avLst/>
                          </a:prstGeom>
                          <a:noFill/>
                        </pic:spPr>
                      </pic:pic>
                    </a:graphicData>
                  </a:graphic>
                </wp:inline>
              </w:drawing>
            </w:r>
          </w:p>
        </w:tc>
      </w:tr>
    </w:tbl>
    <w:p w14:paraId="0E6A80EA" w14:textId="642748A5" w:rsidR="005C2ADE" w:rsidRPr="008F1435" w:rsidRDefault="00EF605C" w:rsidP="00EF605C">
      <w:pPr>
        <w:pStyle w:val="Heading3"/>
      </w:pPr>
      <w:bookmarkStart w:id="98" w:name="_Toc230270037"/>
      <w:r>
        <w:t>A.</w:t>
      </w:r>
      <w:r w:rsidR="003969B6">
        <w:t>4</w:t>
      </w:r>
      <w:r>
        <w:t>—</w:t>
      </w:r>
      <w:r w:rsidR="005C2ADE" w:rsidRPr="008F1435">
        <w:t>Safety Objective 1.4</w:t>
      </w:r>
      <w:r w:rsidR="006D2C5C">
        <w:t>—</w:t>
      </w:r>
      <w:r w:rsidR="005C2ADE" w:rsidRPr="008F1435">
        <w:t xml:space="preserve">Maintain a 3-year moving average decreasing trend of </w:t>
      </w:r>
      <w:r w:rsidR="005C2ADE">
        <w:t>mid-air</w:t>
      </w:r>
      <w:r w:rsidR="005C2ADE" w:rsidRPr="008F1435">
        <w:t xml:space="preserve"> collisions (MAC) and airspace separation events</w:t>
      </w:r>
      <w:bookmarkEnd w:id="98"/>
    </w:p>
    <w:p w14:paraId="26E045D6" w14:textId="72DB3C45" w:rsidR="005C2ADE" w:rsidRPr="00CF50BF" w:rsidRDefault="005C2ADE" w:rsidP="005C2ADE">
      <w:r w:rsidRPr="00CF50BF">
        <w:t xml:space="preserve">The number of accidents and serious incidents relating to </w:t>
      </w:r>
      <w:r>
        <w:t>mid-air</w:t>
      </w:r>
      <w:r w:rsidRPr="00CF50BF">
        <w:t xml:space="preserve"> collisions (MAC) and airspace separation decreased by 18% from FY </w:t>
      </w:r>
      <w:r w:rsidR="00E645F4">
        <w:t>2023–24</w:t>
      </w:r>
      <w:r w:rsidRPr="00CF50BF">
        <w:t xml:space="preserve"> to FY </w:t>
      </w:r>
      <w:r w:rsidR="003276FE">
        <w:t>2024–25</w:t>
      </w:r>
      <w:r w:rsidRPr="00CF50BF">
        <w:t>, however the three-year moving average for this same period increased (</w:t>
      </w:r>
      <w:hyperlink w:anchor="_Safety_objective_1.4:" w:history="1">
        <w:r w:rsidRPr="00CF50BF">
          <w:rPr>
            <w:rStyle w:val="Hyperlink"/>
          </w:rPr>
          <w:t>Figure 4</w:t>
        </w:r>
      </w:hyperlink>
      <w:r w:rsidRPr="00CF50BF">
        <w:t xml:space="preserve">). </w:t>
      </w:r>
      <w:r>
        <w:t>All</w:t>
      </w:r>
      <w:r w:rsidRPr="00CF50BF">
        <w:t xml:space="preserve"> sectors (CA, NCA and Uncrewed (RPA)) contributed to this increase except </w:t>
      </w:r>
      <w:r>
        <w:t xml:space="preserve">for </w:t>
      </w:r>
      <w:r w:rsidRPr="00CF50BF">
        <w:t>CAT.</w:t>
      </w:r>
    </w:p>
    <w:p w14:paraId="04E3D865" w14:textId="77777777" w:rsidR="005C2ADE" w:rsidRPr="00CF50BF" w:rsidRDefault="005C2ADE" w:rsidP="005C2ADE">
      <w:r w:rsidRPr="00CF50BF">
        <w:t>There were three MACs in the reporting period, two of which were fatal. The first fatal accident involved two aerial work helicopters co</w:t>
      </w:r>
      <w:r>
        <w:t>nducting</w:t>
      </w:r>
      <w:r w:rsidRPr="00CF50BF">
        <w:t xml:space="preserve"> agricultural mustering activities that collided after take-off and the other fatal collision involved an instructional flying (CA) aeroplane and a sport and pleasure (NCA) aeroplane. The third MAC involved two paragliders that were involved in instruction flying (CA) activities. </w:t>
      </w:r>
    </w:p>
    <w:p w14:paraId="33F15044" w14:textId="596DD0FD" w:rsidR="005C2ADE" w:rsidRPr="00CF50BF" w:rsidRDefault="005C2ADE" w:rsidP="005C2ADE">
      <w:r w:rsidRPr="00CF50BF">
        <w:t xml:space="preserve">There has been a consistent increase in the number of CA MAC and airspace separations accidents and serious incidents since FY </w:t>
      </w:r>
      <w:r w:rsidR="000D26BD">
        <w:t>2018–19</w:t>
      </w:r>
      <w:r w:rsidRPr="00CF50BF">
        <w:t>. Instructional flying is the primary activity connected with the increase with near collisions in Class G airspace, being the lead occurrence</w:t>
      </w:r>
      <w:r>
        <w:t xml:space="preserve"> category</w:t>
      </w:r>
      <w:r w:rsidRPr="00CF50BF">
        <w:t>. This trend was discussed at the SSRP in August 2024 and may be a focus of the instructional flying ERG.</w:t>
      </w:r>
    </w:p>
    <w:p w14:paraId="4BA115AC" w14:textId="1107F170" w:rsidR="005C2ADE" w:rsidRPr="00CF50BF" w:rsidRDefault="005C2ADE" w:rsidP="005C2ADE">
      <w:r w:rsidRPr="00CF50BF">
        <w:t xml:space="preserve">NCA airspace accidents and serious incidents was elevated in FY </w:t>
      </w:r>
      <w:r w:rsidR="003276FE">
        <w:t>2024–25</w:t>
      </w:r>
      <w:r w:rsidRPr="00CF50BF">
        <w:t xml:space="preserve"> with sport and pleasure flying being the predominant activity type.</w:t>
      </w:r>
    </w:p>
    <w:p w14:paraId="7DC94092" w14:textId="74BDA6D4" w:rsidR="005C2ADE" w:rsidRPr="00CF50BF" w:rsidRDefault="005C2ADE" w:rsidP="005C2ADE">
      <w:r w:rsidRPr="00CF50BF">
        <w:t>The number of RPA detected in aerodrome No-Fly Zones has increased to the highest number since the National Drone Detection System (NDDS</w:t>
      </w:r>
      <w:r w:rsidR="00340487">
        <w:t>—</w:t>
      </w:r>
      <w:r>
        <w:t>a joint initiative</w:t>
      </w:r>
      <w:r w:rsidRPr="00CF50BF">
        <w:t xml:space="preserve"> </w:t>
      </w:r>
      <w:r>
        <w:t>between CASA, Airservices and Defence</w:t>
      </w:r>
      <w:r w:rsidRPr="00CF50BF">
        <w:t>) commenced around June 2020. There are several factors that may have influenced this increase, including:</w:t>
      </w:r>
    </w:p>
    <w:p w14:paraId="2CBF201E" w14:textId="6E4D129C" w:rsidR="005C2ADE" w:rsidRPr="00CF50BF" w:rsidRDefault="00AA30EC" w:rsidP="003969B6">
      <w:pPr>
        <w:pStyle w:val="Listparagraphbullets"/>
        <w:contextualSpacing/>
      </w:pPr>
      <w:r>
        <w:t>p</w:t>
      </w:r>
      <w:r w:rsidR="005C2ADE" w:rsidRPr="00CF50BF">
        <w:t xml:space="preserve">opularity in drone flying particularly in the recreational demographic </w:t>
      </w:r>
    </w:p>
    <w:p w14:paraId="3B3FFB23" w14:textId="03099911" w:rsidR="005C2ADE" w:rsidRPr="00CF50BF" w:rsidRDefault="00AA30EC" w:rsidP="003969B6">
      <w:pPr>
        <w:pStyle w:val="Listparagraphbullets"/>
        <w:contextualSpacing/>
      </w:pPr>
      <w:r>
        <w:t>n</w:t>
      </w:r>
      <w:r w:rsidR="005C2ADE" w:rsidRPr="00CF50BF">
        <w:t xml:space="preserve">ewer and cheaper drone models entering the market (Micro &lt;250g models) </w:t>
      </w:r>
    </w:p>
    <w:p w14:paraId="20923832" w14:textId="34C4D722" w:rsidR="005C2ADE" w:rsidRPr="00CF50BF" w:rsidRDefault="00AA30EC" w:rsidP="003969B6">
      <w:pPr>
        <w:pStyle w:val="Listparagraphbullets"/>
        <w:contextualSpacing/>
      </w:pPr>
      <w:r>
        <w:t>c</w:t>
      </w:r>
      <w:r w:rsidR="005C2ADE" w:rsidRPr="00CF50BF">
        <w:t>onsistent connection across all locations of the NDDS network</w:t>
      </w:r>
    </w:p>
    <w:p w14:paraId="24829EC6" w14:textId="77777777" w:rsidR="005C2ADE" w:rsidRDefault="005C2ADE" w:rsidP="005C2ADE">
      <w:r>
        <w:t xml:space="preserve">An important consideration with this SPI is the context regarding the number of RPA detected in the aerodromes no-fly zones. Although the numbers seem elevated, around 80%-90% of detections are </w:t>
      </w:r>
      <w:r w:rsidRPr="00750831">
        <w:t>captured greater than 3km away from the aerodromes at an altitude below 120m. As these do not generate any significant potential MAC or loss of separation risks with other aircraft,</w:t>
      </w:r>
      <w:r>
        <w:t xml:space="preserve"> they</w:t>
      </w:r>
      <w:r w:rsidRPr="00750831">
        <w:t xml:space="preserve"> </w:t>
      </w:r>
      <w:r>
        <w:t>are considered</w:t>
      </w:r>
      <w:r w:rsidRPr="00750831">
        <w:t xml:space="preserve"> a non-compliance matter rather than an aviation safety concern.</w:t>
      </w:r>
    </w:p>
    <w:p w14:paraId="4211C5C8" w14:textId="77777777" w:rsidR="005C2ADE" w:rsidRDefault="005C2ADE" w:rsidP="005C2ADE">
      <w:r>
        <w:lastRenderedPageBreak/>
        <w:t>CASA monitors NDDS data for non-compliant and safety-concerning drone activity, analysing RPA detections in aerodrome no-fly zones to assess potential MAC or loss of separation risks. Mitigation and drone awareness strategies are implemented as needed. These currently include:</w:t>
      </w:r>
    </w:p>
    <w:p w14:paraId="3EDD57CF" w14:textId="494024CD" w:rsidR="005C2ADE" w:rsidRPr="00CF50BF" w:rsidRDefault="00AA30EC" w:rsidP="00AA30EC">
      <w:pPr>
        <w:pStyle w:val="Listparagraphbullets"/>
        <w:contextualSpacing/>
      </w:pPr>
      <w:r w:rsidRPr="00CF50BF">
        <w:t>bi</w:t>
      </w:r>
      <w:r w:rsidR="005C2ADE" w:rsidRPr="00CF50BF">
        <w:t>-monthly drone detection airport reporting for civil sites (Commenced in June 2020)</w:t>
      </w:r>
    </w:p>
    <w:p w14:paraId="4C7E64FC" w14:textId="74F68C97" w:rsidR="005C2ADE" w:rsidRPr="00CF50BF" w:rsidRDefault="00AA30EC" w:rsidP="00AA30EC">
      <w:pPr>
        <w:pStyle w:val="Listparagraphbullets"/>
        <w:contextualSpacing/>
      </w:pPr>
      <w:r w:rsidRPr="00CF50BF">
        <w:t xml:space="preserve">quarterly </w:t>
      </w:r>
      <w:r w:rsidR="005C2ADE" w:rsidRPr="00CF50BF">
        <w:t>drone detection reporting for Defence sites</w:t>
      </w:r>
    </w:p>
    <w:p w14:paraId="27F4E7A6" w14:textId="77777777" w:rsidR="005C2ADE" w:rsidRPr="00CF50BF" w:rsidRDefault="005C2ADE" w:rsidP="00AA30EC">
      <w:pPr>
        <w:pStyle w:val="Listparagraphbullets"/>
        <w:contextualSpacing/>
      </w:pPr>
      <w:r w:rsidRPr="00CF50BF">
        <w:t xml:space="preserve">CASA’s ‘Know your Drone’ branded safety campaigns </w:t>
      </w:r>
    </w:p>
    <w:p w14:paraId="79678572" w14:textId="5374291B" w:rsidR="005C2ADE" w:rsidRPr="00CF50BF" w:rsidRDefault="00AA30EC" w:rsidP="00AA30EC">
      <w:pPr>
        <w:pStyle w:val="Listparagraphbullets"/>
        <w:contextualSpacing/>
      </w:pPr>
      <w:r w:rsidRPr="00CF50BF">
        <w:t>targeted location specific drone safety education campaigns</w:t>
      </w:r>
    </w:p>
    <w:p w14:paraId="6057BF4D" w14:textId="77777777" w:rsidR="00AA30EC" w:rsidRDefault="00AA30EC" w:rsidP="00AA30EC">
      <w:pPr>
        <w:pStyle w:val="Listparagraphbullets"/>
        <w:contextualSpacing/>
      </w:pPr>
      <w:r w:rsidRPr="00CF50BF">
        <w:t xml:space="preserve">installation </w:t>
      </w:r>
      <w:r w:rsidR="005C2ADE" w:rsidRPr="00CF50BF">
        <w:t>of drone safety signage where clusters of activity are identified</w:t>
      </w:r>
      <w:r>
        <w:t>.</w:t>
      </w:r>
    </w:p>
    <w:p w14:paraId="5707874D" w14:textId="636D320A" w:rsidR="00EC2141" w:rsidRDefault="0052714B" w:rsidP="00DF1934">
      <w:pPr>
        <w:pStyle w:val="Tablefigureheading"/>
      </w:pPr>
      <w:bookmarkStart w:id="99" w:name="_Toc230269813"/>
      <w:r>
        <w:t>Figure 1</w:t>
      </w:r>
      <w:r w:rsidR="001010B6">
        <w:t>0</w:t>
      </w:r>
      <w:r w:rsidR="00EC2141">
        <w:t>—</w:t>
      </w:r>
      <w:r>
        <w:t>Mid-air collision and airspace separation events by sector</w:t>
      </w:r>
      <w:bookmarkEnd w:id="99"/>
    </w:p>
    <w:tbl>
      <w:tblPr>
        <w:tblStyle w:val="DefaultTable11"/>
        <w:tblW w:w="5000" w:type="pct"/>
        <w:tblBorders>
          <w:top w:val="single" w:sz="4" w:space="0" w:color="ED662F"/>
          <w:bottom w:val="single" w:sz="12" w:space="0" w:color="ED662F"/>
          <w:insideH w:val="single" w:sz="4" w:space="0" w:color="ED662F"/>
        </w:tblBorders>
        <w:tblLook w:val="04A0" w:firstRow="1" w:lastRow="0" w:firstColumn="1" w:lastColumn="0" w:noHBand="0" w:noVBand="1"/>
        <w:tblCaption w:val="Figure 10—Mid-air collision and airspace separation events by sector"/>
        <w:tblDescription w:val="Figure 10—Mid-air collision and airspace separation events by sector"/>
      </w:tblPr>
      <w:tblGrid>
        <w:gridCol w:w="4719"/>
        <w:gridCol w:w="4756"/>
      </w:tblGrid>
      <w:tr w:rsidR="000A4F7B" w:rsidRPr="00654F9E" w14:paraId="55D4D159" w14:textId="77777777" w:rsidTr="000A4F7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D148C"/>
          </w:tcPr>
          <w:p w14:paraId="30089F52" w14:textId="01F964A6" w:rsidR="000A4F7B" w:rsidRPr="0052714B" w:rsidRDefault="000A4F7B" w:rsidP="00800567">
            <w:pPr>
              <w:pStyle w:val="Tablerowcolumnheading"/>
              <w:keepNext/>
              <w:rPr>
                <w:b/>
                <w:bCs/>
                <w:sz w:val="22"/>
                <w:szCs w:val="22"/>
              </w:rPr>
            </w:pPr>
            <w:r w:rsidRPr="0052714B">
              <w:rPr>
                <w:b/>
                <w:bCs/>
                <w:sz w:val="22"/>
                <w:szCs w:val="22"/>
              </w:rPr>
              <w:t xml:space="preserve">Mid-air collision </w:t>
            </w:r>
            <w:r>
              <w:rPr>
                <w:b/>
                <w:bCs/>
                <w:sz w:val="22"/>
                <w:szCs w:val="22"/>
              </w:rPr>
              <w:t xml:space="preserve">rate </w:t>
            </w:r>
            <w:r w:rsidRPr="000A4F7B">
              <w:rPr>
                <w:b/>
                <w:bCs/>
                <w:sz w:val="22"/>
                <w:szCs w:val="22"/>
              </w:rPr>
              <w:t xml:space="preserve">and airspace separation events by sector </w:t>
            </w:r>
            <w:r>
              <w:rPr>
                <w:b/>
                <w:bCs/>
                <w:sz w:val="22"/>
                <w:szCs w:val="22"/>
              </w:rPr>
              <w:t>-</w:t>
            </w:r>
            <w:r w:rsidRPr="0052714B">
              <w:rPr>
                <w:b/>
                <w:bCs/>
                <w:sz w:val="22"/>
                <w:szCs w:val="22"/>
              </w:rPr>
              <w:t xml:space="preserve"> by sector</w:t>
            </w:r>
          </w:p>
        </w:tc>
      </w:tr>
      <w:tr w:rsidR="00EC2141" w:rsidRPr="00654F9E" w14:paraId="7DCF7A9F" w14:textId="77777777" w:rsidTr="008224DB">
        <w:trPr>
          <w:cantSplit/>
        </w:trPr>
        <w:tc>
          <w:tcPr>
            <w:cnfStyle w:val="001000000000" w:firstRow="0" w:lastRow="0" w:firstColumn="1" w:lastColumn="0" w:oddVBand="0" w:evenVBand="0" w:oddHBand="0" w:evenHBand="0" w:firstRowFirstColumn="0" w:firstRowLastColumn="0" w:lastRowFirstColumn="0" w:lastRowLastColumn="0"/>
            <w:tcW w:w="2490" w:type="pct"/>
          </w:tcPr>
          <w:p w14:paraId="55B8F8D6" w14:textId="77777777" w:rsidR="00EC2141" w:rsidRDefault="00D76248" w:rsidP="00800567">
            <w:pPr>
              <w:rPr>
                <w:b w:val="0"/>
                <w:bCs/>
              </w:rPr>
            </w:pPr>
            <w:r>
              <w:rPr>
                <w:bCs/>
              </w:rPr>
              <w:t xml:space="preserve">SPI 1.4.1—CAT Mid-air Collision </w:t>
            </w:r>
            <w:r w:rsidRPr="00C9490B">
              <w:rPr>
                <w:bCs/>
              </w:rPr>
              <w:t>Rate</w:t>
            </w:r>
          </w:p>
          <w:p w14:paraId="49440556" w14:textId="6C1A96FB" w:rsidR="00D76248" w:rsidRPr="008776AE" w:rsidRDefault="00D76248" w:rsidP="00800567">
            <w:r>
              <w:rPr>
                <w:noProof/>
              </w:rPr>
              <w:drawing>
                <wp:inline distT="0" distB="0" distL="0" distR="0" wp14:anchorId="531F06EE" wp14:editId="6859BA17">
                  <wp:extent cx="2859405" cy="1725295"/>
                  <wp:effectExtent l="0" t="0" r="0" b="8255"/>
                  <wp:docPr id="754239162" name="Picture 19" descr="Area chart showing CAT mid-air collisions per million departures from fiscal years 2015/16 to 2024/25, highlighting peaks in FY 2018/19 and FY 2022/23 with values nearing 2 collisions. Chart uses a shaded blue area to emphasize collision trends, with a clear decline to zero in othe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9162" name="Picture 19" descr="Area chart showing CAT mid-air collisions per million departures from fiscal years 2015/16 to 2024/25, highlighting peaks in FY 2018/19 and FY 2022/23 with values nearing 2 collisions. Chart uses a shaded blue area to emphasize collision trends, with a clear decline to zero in other yea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9405" cy="1725295"/>
                          </a:xfrm>
                          <a:prstGeom prst="rect">
                            <a:avLst/>
                          </a:prstGeom>
                          <a:noFill/>
                        </pic:spPr>
                      </pic:pic>
                    </a:graphicData>
                  </a:graphic>
                </wp:inline>
              </w:drawing>
            </w:r>
          </w:p>
        </w:tc>
        <w:tc>
          <w:tcPr>
            <w:tcW w:w="2510" w:type="pct"/>
          </w:tcPr>
          <w:p w14:paraId="38566F99" w14:textId="77777777" w:rsidR="00EC2141" w:rsidRDefault="00D76248" w:rsidP="00800567">
            <w:pPr>
              <w:cnfStyle w:val="000000000000" w:firstRow="0" w:lastRow="0" w:firstColumn="0" w:lastColumn="0" w:oddVBand="0" w:evenVBand="0" w:oddHBand="0" w:evenHBand="0" w:firstRowFirstColumn="0" w:firstRowLastColumn="0" w:lastRowFirstColumn="0" w:lastRowLastColumn="0"/>
              <w:rPr>
                <w:b/>
              </w:rPr>
            </w:pPr>
            <w:r w:rsidRPr="00D76248">
              <w:rPr>
                <w:b/>
              </w:rPr>
              <w:t>SPI 1.4.2—CA Mid-air Collisions</w:t>
            </w:r>
          </w:p>
          <w:p w14:paraId="3E207258" w14:textId="19FC85FD" w:rsidR="00D76248" w:rsidRPr="00D76248" w:rsidRDefault="00D76248" w:rsidP="00800567">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07ACFB47" wp14:editId="12308765">
                  <wp:extent cx="2859405" cy="1725295"/>
                  <wp:effectExtent l="0" t="0" r="0" b="8255"/>
                  <wp:docPr id="326214916" name="Picture 20" descr="Line graph showing number of CA mid-air collisions from fiscal years 2015/16 to 2024/25, with values on vertical axis and years on horizontal axis. Collisions remain low and stable at 1 or 0 until FY22/23, then sharply increase to nearly 4 by FY24/25, highlighted by a shaded area under th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14916" name="Picture 20" descr="Line graph showing number of CA mid-air collisions from fiscal years 2015/16 to 2024/25, with values on vertical axis and years on horizontal axis. Collisions remain low and stable at 1 or 0 until FY22/23, then sharply increase to nearly 4 by FY24/25, highlighted by a shaded area under the curv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9405" cy="1725295"/>
                          </a:xfrm>
                          <a:prstGeom prst="rect">
                            <a:avLst/>
                          </a:prstGeom>
                          <a:noFill/>
                        </pic:spPr>
                      </pic:pic>
                    </a:graphicData>
                  </a:graphic>
                </wp:inline>
              </w:drawing>
            </w:r>
          </w:p>
        </w:tc>
      </w:tr>
      <w:tr w:rsidR="00D76248" w:rsidRPr="00654F9E" w14:paraId="68C3D151" w14:textId="77777777" w:rsidTr="008224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90" w:type="pct"/>
          </w:tcPr>
          <w:p w14:paraId="1DFDE16B" w14:textId="77777777" w:rsidR="00D76248" w:rsidRDefault="00280950" w:rsidP="00280950">
            <w:pPr>
              <w:rPr>
                <w:b w:val="0"/>
              </w:rPr>
            </w:pPr>
            <w:r w:rsidRPr="00CB2E2A">
              <w:t>SPI 1.4.3</w:t>
            </w:r>
            <w:r>
              <w:t>—</w:t>
            </w:r>
            <w:r w:rsidRPr="00CB2E2A">
              <w:t>NCA Mid-air Collisions</w:t>
            </w:r>
          </w:p>
          <w:p w14:paraId="2FD2C9F2" w14:textId="78FF5982" w:rsidR="00280950" w:rsidRPr="008776AE" w:rsidRDefault="00280950" w:rsidP="00280950">
            <w:r>
              <w:rPr>
                <w:noProof/>
              </w:rPr>
              <w:drawing>
                <wp:inline distT="0" distB="0" distL="0" distR="0" wp14:anchorId="7719C244" wp14:editId="323E963A">
                  <wp:extent cx="2847340" cy="1725295"/>
                  <wp:effectExtent l="0" t="0" r="0" b="8255"/>
                  <wp:docPr id="1134431921" name="Picture 21" descr="Area chart showing number of NCA mid-air collisions from fiscal years 2015/16 to 2024/25, with values on the vertical axis and fiscal years on the horizontal axis. Notable peaks occur in FY16/17 with 3 collisions and FY22/23 with 4 collisions, followed by a decline to 1 collision in FY23/24 and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31921" name="Picture 21" descr="Area chart showing number of NCA mid-air collisions from fiscal years 2015/16 to 2024/25, with values on the vertical axis and fiscal years on the horizontal axis. Notable peaks occur in FY16/17 with 3 collisions and FY22/23 with 4 collisions, followed by a decline to 1 collision in FY23/24 and FY24/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7340" cy="1725295"/>
                          </a:xfrm>
                          <a:prstGeom prst="rect">
                            <a:avLst/>
                          </a:prstGeom>
                          <a:noFill/>
                        </pic:spPr>
                      </pic:pic>
                    </a:graphicData>
                  </a:graphic>
                </wp:inline>
              </w:drawing>
            </w:r>
          </w:p>
        </w:tc>
        <w:tc>
          <w:tcPr>
            <w:tcW w:w="2510" w:type="pct"/>
          </w:tcPr>
          <w:p w14:paraId="3E1B65AD" w14:textId="77777777" w:rsidR="00D76248" w:rsidRDefault="00280950" w:rsidP="00280950">
            <w:pPr>
              <w:cnfStyle w:val="000000010000" w:firstRow="0" w:lastRow="0" w:firstColumn="0" w:lastColumn="0" w:oddVBand="0" w:evenVBand="0" w:oddHBand="0" w:evenHBand="1" w:firstRowFirstColumn="0" w:firstRowLastColumn="0" w:lastRowFirstColumn="0" w:lastRowLastColumn="0"/>
              <w:rPr>
                <w:b/>
                <w:bCs/>
              </w:rPr>
            </w:pPr>
            <w:r w:rsidRPr="00280950">
              <w:rPr>
                <w:b/>
                <w:bCs/>
              </w:rPr>
              <w:t>SPI 1.4.4—CAT Airspace Accident &amp; SI Rate</w:t>
            </w:r>
          </w:p>
          <w:p w14:paraId="449A2680" w14:textId="1864FECF" w:rsidR="00280950" w:rsidRPr="00280950" w:rsidRDefault="00280950" w:rsidP="00280950">
            <w:pPr>
              <w:cnfStyle w:val="000000010000" w:firstRow="0" w:lastRow="0" w:firstColumn="0" w:lastColumn="0" w:oddVBand="0" w:evenVBand="0" w:oddHBand="0" w:evenHBand="1" w:firstRowFirstColumn="0" w:firstRowLastColumn="0" w:lastRowFirstColumn="0" w:lastRowLastColumn="0"/>
              <w:rPr>
                <w:b/>
                <w:bCs/>
              </w:rPr>
            </w:pPr>
            <w:r>
              <w:rPr>
                <w:noProof/>
              </w:rPr>
              <w:drawing>
                <wp:inline distT="0" distB="0" distL="0" distR="0" wp14:anchorId="75900651" wp14:editId="314F3754">
                  <wp:extent cx="2859405" cy="1725295"/>
                  <wp:effectExtent l="0" t="0" r="0" b="8255"/>
                  <wp:docPr id="1464108725" name="Picture 23" descr="Line graph showing CAT accident and serious injury (SI) rates per million departures from fiscal years 2015/16 to 2024/25. The graph highlights a peak around FY 2020/21 near 14, a decline afterward, and a gradual increase toward 11 by FY 2024/25, with shaded area under the curve emphasizing rate fluc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08725" name="Picture 23" descr="Line graph showing CAT accident and serious injury (SI) rates per million departures from fiscal years 2015/16 to 2024/25. The graph highlights a peak around FY 2020/21 near 14, a decline afterward, and a gradual increase toward 11 by FY 2024/25, with shaded area under the curve emphasizing rate fluctuatio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9405" cy="1725295"/>
                          </a:xfrm>
                          <a:prstGeom prst="rect">
                            <a:avLst/>
                          </a:prstGeom>
                          <a:noFill/>
                        </pic:spPr>
                      </pic:pic>
                    </a:graphicData>
                  </a:graphic>
                </wp:inline>
              </w:drawing>
            </w:r>
          </w:p>
        </w:tc>
      </w:tr>
      <w:tr w:rsidR="00D76248" w:rsidRPr="00654F9E" w14:paraId="79D195D8" w14:textId="77777777" w:rsidTr="008224DB">
        <w:trPr>
          <w:cantSplit/>
        </w:trPr>
        <w:tc>
          <w:tcPr>
            <w:cnfStyle w:val="001000000000" w:firstRow="0" w:lastRow="0" w:firstColumn="1" w:lastColumn="0" w:oddVBand="0" w:evenVBand="0" w:oddHBand="0" w:evenHBand="0" w:firstRowFirstColumn="0" w:firstRowLastColumn="0" w:lastRowFirstColumn="0" w:lastRowLastColumn="0"/>
            <w:tcW w:w="2490" w:type="pct"/>
          </w:tcPr>
          <w:p w14:paraId="485A1319" w14:textId="427C1294" w:rsidR="00D76248" w:rsidRDefault="00670C91" w:rsidP="00670C91">
            <w:pPr>
              <w:rPr>
                <w:b w:val="0"/>
              </w:rPr>
            </w:pPr>
            <w:r w:rsidRPr="00544B78">
              <w:t>SPI 1.4.5</w:t>
            </w:r>
            <w:r>
              <w:t>—</w:t>
            </w:r>
            <w:r w:rsidRPr="00544B78">
              <w:t>CA Airspace Accidents &amp; S</w:t>
            </w:r>
            <w:r>
              <w:t>is</w:t>
            </w:r>
          </w:p>
          <w:p w14:paraId="1B2892F2" w14:textId="4A9FF04B" w:rsidR="00670C91" w:rsidRPr="008776AE" w:rsidRDefault="00762403" w:rsidP="00670C91">
            <w:r>
              <w:rPr>
                <w:noProof/>
              </w:rPr>
              <w:drawing>
                <wp:inline distT="0" distB="0" distL="0" distR="0" wp14:anchorId="74D24044" wp14:editId="40F8546F">
                  <wp:extent cx="2840990" cy="1725295"/>
                  <wp:effectExtent l="0" t="0" r="0" b="8255"/>
                  <wp:docPr id="1728791411" name="Picture 24" descr="Line graph showing number of CA accidents and serious incidents from fiscal years 2015/16 to 2024/25, with values on the vertical axis ranging from 0 to 40. The trend shows a sharp decline from about 37 in FY15/16 to around 12 in FY18/19, followed by a gradual increase and a steep rise after FY22/23, reaching approximately 33 by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91411" name="Picture 24" descr="Line graph showing number of CA accidents and serious incidents from fiscal years 2015/16 to 2024/25, with values on the vertical axis ranging from 0 to 40. The trend shows a sharp decline from about 37 in FY15/16 to around 12 in FY18/19, followed by a gradual increase and a steep rise after FY22/23, reaching approximately 33 by FY24/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0990" cy="1725295"/>
                          </a:xfrm>
                          <a:prstGeom prst="rect">
                            <a:avLst/>
                          </a:prstGeom>
                          <a:noFill/>
                        </pic:spPr>
                      </pic:pic>
                    </a:graphicData>
                  </a:graphic>
                </wp:inline>
              </w:drawing>
            </w:r>
          </w:p>
        </w:tc>
        <w:tc>
          <w:tcPr>
            <w:tcW w:w="2510" w:type="pct"/>
          </w:tcPr>
          <w:p w14:paraId="4265D3BD" w14:textId="775164E3" w:rsidR="00D76248" w:rsidRDefault="00670C91" w:rsidP="00670C91">
            <w:pPr>
              <w:cnfStyle w:val="000000000000" w:firstRow="0" w:lastRow="0" w:firstColumn="0" w:lastColumn="0" w:oddVBand="0" w:evenVBand="0" w:oddHBand="0" w:evenHBand="0" w:firstRowFirstColumn="0" w:firstRowLastColumn="0" w:lastRowFirstColumn="0" w:lastRowLastColumn="0"/>
              <w:rPr>
                <w:b/>
                <w:bCs/>
              </w:rPr>
            </w:pPr>
            <w:r w:rsidRPr="00670C91">
              <w:rPr>
                <w:b/>
                <w:bCs/>
              </w:rPr>
              <w:t>SPI 1.4.6—NCA Airspace Accidents &amp; Sis</w:t>
            </w:r>
          </w:p>
          <w:p w14:paraId="7E9A202F" w14:textId="0AB84767" w:rsidR="00670C91" w:rsidRPr="00670C91" w:rsidRDefault="00762403" w:rsidP="00670C91">
            <w:pPr>
              <w:cnfStyle w:val="000000000000" w:firstRow="0" w:lastRow="0" w:firstColumn="0" w:lastColumn="0" w:oddVBand="0" w:evenVBand="0" w:oddHBand="0" w:evenHBand="0" w:firstRowFirstColumn="0" w:firstRowLastColumn="0" w:lastRowFirstColumn="0" w:lastRowLastColumn="0"/>
              <w:rPr>
                <w:b/>
                <w:bCs/>
              </w:rPr>
            </w:pPr>
            <w:r>
              <w:rPr>
                <w:noProof/>
              </w:rPr>
              <w:drawing>
                <wp:inline distT="0" distB="0" distL="0" distR="0" wp14:anchorId="5A97F9CE" wp14:editId="1357474E">
                  <wp:extent cx="2847340" cy="1725295"/>
                  <wp:effectExtent l="0" t="0" r="0" b="8255"/>
                  <wp:docPr id="1171147409" name="Picture 25" descr="Line graph showing number of NCA accidents and serious incidents from fiscal years 2015/16 to 2024/25, with values ranging from 0 to 40 on the vertical axis. The trend declines from about 28 in FY15/16 to a low near 9 in FY19/20, then rises sharply to around 17 in FY20/21, dips slightly, and increases again to approximately 22 by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47409" name="Picture 25" descr="Line graph showing number of NCA accidents and serious incidents from fiscal years 2015/16 to 2024/25, with values ranging from 0 to 40 on the vertical axis. The trend declines from about 28 in FY15/16 to a low near 9 in FY19/20, then rises sharply to around 17 in FY20/21, dips slightly, and increases again to approximately 22 by FY24/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7340" cy="1725295"/>
                          </a:xfrm>
                          <a:prstGeom prst="rect">
                            <a:avLst/>
                          </a:prstGeom>
                          <a:noFill/>
                        </pic:spPr>
                      </pic:pic>
                    </a:graphicData>
                  </a:graphic>
                </wp:inline>
              </w:drawing>
            </w:r>
          </w:p>
        </w:tc>
      </w:tr>
      <w:tr w:rsidR="00670C91" w:rsidRPr="00654F9E" w14:paraId="7F2B534C" w14:textId="77777777" w:rsidTr="008224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90" w:type="pct"/>
          </w:tcPr>
          <w:p w14:paraId="594B66F7" w14:textId="77777777" w:rsidR="00670C91" w:rsidRDefault="00762403" w:rsidP="00762403">
            <w:pPr>
              <w:rPr>
                <w:b w:val="0"/>
              </w:rPr>
            </w:pPr>
            <w:r w:rsidRPr="00F45BA1">
              <w:lastRenderedPageBreak/>
              <w:t>SPI 1.4.7</w:t>
            </w:r>
            <w:r>
              <w:t>—</w:t>
            </w:r>
            <w:r w:rsidRPr="00F45BA1">
              <w:t>RPAS Detected in Aerodrome NFZ</w:t>
            </w:r>
          </w:p>
          <w:p w14:paraId="3357E869" w14:textId="3F446B50" w:rsidR="00762403" w:rsidRPr="008776AE" w:rsidRDefault="00762403" w:rsidP="00762403">
            <w:r>
              <w:rPr>
                <w:noProof/>
              </w:rPr>
              <w:drawing>
                <wp:inline distT="0" distB="0" distL="0" distR="0" wp14:anchorId="3ED5B753" wp14:editId="27E6CE22">
                  <wp:extent cx="2407920" cy="1694815"/>
                  <wp:effectExtent l="0" t="0" r="0" b="635"/>
                  <wp:docPr id="2050045925" name="Picture 26" descr="Area chart showing the number of RAPS detections in aerodrome No Fly Zones from fiscal years 2020/21 to 2024/25, highlighting overall growth with fluctuations. The chart uses a shaded blue area with a dark blue outline, indicating a peak around FY22/23 and a significant rise reaching approximately 35,000 drones by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45925" name="Picture 26" descr="Area chart showing the number of RAPS detections in aerodrome No Fly Zones from fiscal years 2020/21 to 2024/25, highlighting overall growth with fluctuations. The chart uses a shaded blue area with a dark blue outline, indicating a peak around FY22/23 and a significant rise reaching approximately 35,000 drones by FY24/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7920" cy="1694815"/>
                          </a:xfrm>
                          <a:prstGeom prst="rect">
                            <a:avLst/>
                          </a:prstGeom>
                          <a:noFill/>
                        </pic:spPr>
                      </pic:pic>
                    </a:graphicData>
                  </a:graphic>
                </wp:inline>
              </w:drawing>
            </w:r>
          </w:p>
        </w:tc>
        <w:tc>
          <w:tcPr>
            <w:tcW w:w="2510" w:type="pct"/>
          </w:tcPr>
          <w:p w14:paraId="4E7BD1C5" w14:textId="77777777" w:rsidR="00670C91" w:rsidRPr="00C960EA" w:rsidRDefault="00670C91" w:rsidP="00800567">
            <w:pPr>
              <w:cnfStyle w:val="000000010000" w:firstRow="0" w:lastRow="0" w:firstColumn="0" w:lastColumn="0" w:oddVBand="0" w:evenVBand="0" w:oddHBand="0" w:evenHBand="1" w:firstRowFirstColumn="0" w:firstRowLastColumn="0" w:lastRowFirstColumn="0" w:lastRowLastColumn="0"/>
              <w:rPr>
                <w:b/>
              </w:rPr>
            </w:pPr>
          </w:p>
        </w:tc>
      </w:tr>
    </w:tbl>
    <w:p w14:paraId="5E8ABDBF" w14:textId="0B94EAAA" w:rsidR="005C2ADE" w:rsidRPr="008F1435" w:rsidRDefault="008224DB" w:rsidP="008224DB">
      <w:pPr>
        <w:pStyle w:val="Heading3"/>
      </w:pPr>
      <w:bookmarkStart w:id="100" w:name="_Toc230270038"/>
      <w:r>
        <w:t>A.5—</w:t>
      </w:r>
      <w:r w:rsidR="005C2ADE" w:rsidRPr="008F1435">
        <w:t>Safety Objective 1.5</w:t>
      </w:r>
      <w:r w:rsidR="006D2C5C">
        <w:t>—</w:t>
      </w:r>
      <w:r w:rsidR="005C2ADE" w:rsidRPr="008F1435">
        <w:t>Maintain or increase Australia’s air navigation safety performance</w:t>
      </w:r>
      <w:bookmarkEnd w:id="100"/>
    </w:p>
    <w:p w14:paraId="0B9E3D6E" w14:textId="5EC7F409" w:rsidR="005C2ADE" w:rsidRPr="00CF50BF" w:rsidRDefault="005C2ADE" w:rsidP="005C2ADE">
      <w:r w:rsidRPr="00CF50BF">
        <w:t xml:space="preserve">The </w:t>
      </w:r>
      <w:r>
        <w:t xml:space="preserve">FY </w:t>
      </w:r>
      <w:r w:rsidR="003276FE">
        <w:t>2024–25</w:t>
      </w:r>
      <w:r>
        <w:t xml:space="preserve"> </w:t>
      </w:r>
      <w:r w:rsidRPr="00CF50BF">
        <w:t xml:space="preserve">increase in ATS attributable loss of separation (LOS) rates </w:t>
      </w:r>
      <w:r>
        <w:t xml:space="preserve">(SPI 1.5a </w:t>
      </w:r>
      <w:proofErr w:type="spellStart"/>
      <w:r>
        <w:t>i</w:t>
      </w:r>
      <w:proofErr w:type="spellEnd"/>
      <w:r>
        <w:t xml:space="preserve">) </w:t>
      </w:r>
      <w:r w:rsidRPr="00CF50BF">
        <w:t>within Airservices controlled airspace was driven by unrelated occurrences in Sydney. Airservices assurance processes continue to monitor these occurrences and adjust safety risk controls as required. Airservices has undertaken to better promote safety awareness in this area through safety initiatives including sharing of lessons learned from Australian and overseas events and related safety information directly with air traffic controllers.</w:t>
      </w:r>
    </w:p>
    <w:p w14:paraId="50A74DCC" w14:textId="77777777" w:rsidR="005C2ADE" w:rsidRPr="002D5265" w:rsidRDefault="005C2ADE" w:rsidP="005C2ADE">
      <w:r w:rsidRPr="00CF50BF">
        <w:t>In March 2025, Defence aligned the definition of LOS with the definition used by ATSB and Airservices Australia. Previously, Defence had reported LOS events that civilian air navigation services would not have determined as LOS, such as when an aircraft issued a level below lowest safe altitude.</w:t>
      </w:r>
      <w:r>
        <w:t xml:space="preserve"> </w:t>
      </w:r>
      <w:r w:rsidRPr="00CF50BF">
        <w:t>Defence is actively monitoring LOS events and targeting procedures, supervision, training and assessment, non-technical skills, immediate risk management, fatigue management and application of Compromised Separation Recovery Techniques (COMSERT).</w:t>
      </w:r>
    </w:p>
    <w:p w14:paraId="3D6064B9" w14:textId="77777777" w:rsidR="005C2ADE" w:rsidRPr="00CF50BF" w:rsidRDefault="005C2ADE" w:rsidP="005C2ADE">
      <w:r w:rsidRPr="00CF50BF">
        <w:t xml:space="preserve">The recent increase in runway incursion rates at Airservices controlled aerodromes (Figure </w:t>
      </w:r>
      <w:r>
        <w:t xml:space="preserve">SPI 1.5b </w:t>
      </w:r>
      <w:proofErr w:type="spellStart"/>
      <w:r>
        <w:t>i</w:t>
      </w:r>
      <w:proofErr w:type="spellEnd"/>
      <w:r w:rsidRPr="00CF50BF">
        <w:t xml:space="preserve">) has been driven by unrelated occurrences across regional and metropolitan Class D aerodrome tower locations. Airservices assurance processes continue to monitor these occurrences and adjust safety risk controls as required including direct engagement with airport users and safety promotions material on the </w:t>
      </w:r>
      <w:hyperlink r:id="rId52" w:history="1">
        <w:r w:rsidRPr="00CF50BF">
          <w:rPr>
            <w:rStyle w:val="Hyperlink"/>
          </w:rPr>
          <w:t>Airservices Engage</w:t>
        </w:r>
      </w:hyperlink>
      <w:r w:rsidRPr="00CF50BF">
        <w:t xml:space="preserve"> and </w:t>
      </w:r>
      <w:hyperlink r:id="rId53" w:history="1">
        <w:r w:rsidRPr="00CF50BF">
          <w:rPr>
            <w:rStyle w:val="Hyperlink"/>
          </w:rPr>
          <w:t>Runway Safety</w:t>
        </w:r>
      </w:hyperlink>
      <w:r w:rsidRPr="00CF50BF">
        <w:t xml:space="preserve"> webpages.</w:t>
      </w:r>
    </w:p>
    <w:p w14:paraId="3604F057" w14:textId="77777777" w:rsidR="005C2ADE" w:rsidRPr="00CF50BF" w:rsidRDefault="005C2ADE" w:rsidP="005C2ADE">
      <w:r w:rsidRPr="00CF50BF">
        <w:t xml:space="preserve">Airservices values engagement with communities and the aviation industry in support of making air navigation and overall aviation safer. Airservices </w:t>
      </w:r>
      <w:hyperlink r:id="rId54">
        <w:r w:rsidRPr="00CF50BF">
          <w:t>Engage</w:t>
        </w:r>
      </w:hyperlink>
      <w:r w:rsidRPr="00CF50BF">
        <w:t xml:space="preserve"> website provides an information sharing portal for proposed flight path changes and other major projects. In addition, the Engage </w:t>
      </w:r>
      <w:hyperlink r:id="rId55">
        <w:r w:rsidRPr="00CF50BF">
          <w:rPr>
            <w:rStyle w:val="Hyperlink"/>
          </w:rPr>
          <w:t>Industry Hub</w:t>
        </w:r>
      </w:hyperlink>
      <w:r w:rsidRPr="00CF50BF">
        <w:t xml:space="preserve"> webpage, provides a range of pilot safety information with a focus on metropolitan Class D environments. Information includes specific guidance and quarterly newsletters dedicated to keeping aerodrome users informed and safe on the ground and in the air.</w:t>
      </w:r>
    </w:p>
    <w:p w14:paraId="7684F8FE" w14:textId="2EE612F7" w:rsidR="005C2ADE" w:rsidRPr="00CF50BF" w:rsidRDefault="005C2ADE" w:rsidP="005C2ADE">
      <w:r>
        <w:t xml:space="preserve">SPI 1.5b ii </w:t>
      </w:r>
      <w:r w:rsidRPr="00CF50BF">
        <w:t>illustrates that the trend for runway incursion event rate has remained primarily stable. The trend captures only civilian aircraft at Defence controlled aerodromes. There were no runway incursion events, involving civilian aircraft, at Defence controlled aerodromes except for in FY</w:t>
      </w:r>
      <w:r>
        <w:t xml:space="preserve"> </w:t>
      </w:r>
      <w:r w:rsidR="00FA6D25">
        <w:t>2022–23</w:t>
      </w:r>
      <w:r w:rsidRPr="00CF50BF">
        <w:t>.</w:t>
      </w:r>
    </w:p>
    <w:p w14:paraId="66511BBC" w14:textId="77777777" w:rsidR="005C2ADE" w:rsidRDefault="005C2ADE" w:rsidP="005C2ADE">
      <w:r w:rsidRPr="00CF50BF">
        <w:t xml:space="preserve">Airservices and Defence are both members of the </w:t>
      </w:r>
      <w:hyperlink r:id="rId56" w:history="1">
        <w:r w:rsidRPr="00CF50BF">
          <w:rPr>
            <w:rStyle w:val="Hyperlink"/>
          </w:rPr>
          <w:t>National Runway Safety Group</w:t>
        </w:r>
      </w:hyperlink>
      <w:r w:rsidRPr="00CF50BF">
        <w:t xml:space="preserve"> (NRSG). With both agencies providing runway incursion data for the NRSG and actively participating in reviewing runway safety risks and supporting safety promotional and enhancement initiatives from NRSG sub-working groups.</w:t>
      </w:r>
    </w:p>
    <w:p w14:paraId="68C23672" w14:textId="083FA65F" w:rsidR="00B12FAD" w:rsidRDefault="000A4F7B" w:rsidP="00B12FAD">
      <w:pPr>
        <w:pStyle w:val="Tablefigureheading"/>
      </w:pPr>
      <w:bookmarkStart w:id="101" w:name="_Toc230269814"/>
      <w:r>
        <w:lastRenderedPageBreak/>
        <w:t>Figure 1</w:t>
      </w:r>
      <w:r w:rsidR="001010B6">
        <w:t>1</w:t>
      </w:r>
      <w:r w:rsidR="00B12FAD">
        <w:t>—</w:t>
      </w:r>
      <w:r w:rsidRPr="000A4F7B">
        <w:t xml:space="preserve"> </w:t>
      </w:r>
      <w:r>
        <w:t>Air navigation safety performance</w:t>
      </w:r>
      <w:r w:rsidR="00FA6D25">
        <w:t>—</w:t>
      </w:r>
      <w:r>
        <w:t>Loss of Separation</w:t>
      </w:r>
      <w:bookmarkEnd w:id="101"/>
    </w:p>
    <w:tbl>
      <w:tblPr>
        <w:tblStyle w:val="DefaultTable11"/>
        <w:tblW w:w="5000" w:type="pct"/>
        <w:tblBorders>
          <w:top w:val="single" w:sz="4" w:space="0" w:color="ED662F"/>
          <w:bottom w:val="single" w:sz="12" w:space="0" w:color="ED662F"/>
          <w:insideH w:val="single" w:sz="4" w:space="0" w:color="ED662F"/>
        </w:tblBorders>
        <w:tblLook w:val="04A0" w:firstRow="1" w:lastRow="0" w:firstColumn="1" w:lastColumn="0" w:noHBand="0" w:noVBand="1"/>
        <w:tblCaption w:val="Figure 11— Air navigation safety performance—Loss of Separation"/>
        <w:tblDescription w:val="Figure 11— Air navigation safety performance—Loss of Separation"/>
      </w:tblPr>
      <w:tblGrid>
        <w:gridCol w:w="4784"/>
        <w:gridCol w:w="4691"/>
      </w:tblGrid>
      <w:tr w:rsidR="000A4F7B" w:rsidRPr="00654F9E" w14:paraId="7B7A1608" w14:textId="77777777" w:rsidTr="000A4F7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D148C"/>
          </w:tcPr>
          <w:p w14:paraId="53D05C84" w14:textId="52878715" w:rsidR="000A4F7B" w:rsidRPr="000A4F7B" w:rsidRDefault="000A4F7B" w:rsidP="00800567">
            <w:pPr>
              <w:pStyle w:val="Tablerowcolumnheading"/>
              <w:keepNext/>
              <w:rPr>
                <w:bCs/>
                <w:sz w:val="22"/>
                <w:szCs w:val="22"/>
              </w:rPr>
            </w:pPr>
            <w:r w:rsidRPr="000A4F7B">
              <w:rPr>
                <w:b/>
                <w:bCs/>
                <w:sz w:val="22"/>
                <w:szCs w:val="22"/>
              </w:rPr>
              <w:t xml:space="preserve">ATS attributable loss of separation </w:t>
            </w:r>
            <w:r>
              <w:rPr>
                <w:b/>
                <w:bCs/>
                <w:sz w:val="22"/>
                <w:szCs w:val="22"/>
              </w:rPr>
              <w:t xml:space="preserve">and runway incursion </w:t>
            </w:r>
            <w:r w:rsidRPr="000A4F7B">
              <w:rPr>
                <w:b/>
                <w:bCs/>
                <w:sz w:val="22"/>
                <w:szCs w:val="22"/>
              </w:rPr>
              <w:t>rate</w:t>
            </w:r>
            <w:r>
              <w:rPr>
                <w:b/>
                <w:bCs/>
                <w:sz w:val="22"/>
                <w:szCs w:val="22"/>
              </w:rPr>
              <w:t>s</w:t>
            </w:r>
          </w:p>
        </w:tc>
      </w:tr>
      <w:tr w:rsidR="00B12FAD" w:rsidRPr="00654F9E" w14:paraId="56668DA5" w14:textId="77777777" w:rsidTr="0022544B">
        <w:trPr>
          <w:cantSplit/>
        </w:trPr>
        <w:tc>
          <w:tcPr>
            <w:cnfStyle w:val="001000000000" w:firstRow="0" w:lastRow="0" w:firstColumn="1" w:lastColumn="0" w:oddVBand="0" w:evenVBand="0" w:oddHBand="0" w:evenHBand="0" w:firstRowFirstColumn="0" w:firstRowLastColumn="0" w:lastRowFirstColumn="0" w:lastRowLastColumn="0"/>
            <w:tcW w:w="2525" w:type="pct"/>
          </w:tcPr>
          <w:p w14:paraId="489DA374" w14:textId="77777777" w:rsidR="00B12FAD" w:rsidRDefault="00780DDB" w:rsidP="00800567">
            <w:pPr>
              <w:rPr>
                <w:b w:val="0"/>
              </w:rPr>
            </w:pPr>
            <w:r w:rsidRPr="00544B78">
              <w:t>SPI 1.5a (</w:t>
            </w:r>
            <w:proofErr w:type="spellStart"/>
            <w:r w:rsidRPr="00544B78">
              <w:t>i</w:t>
            </w:r>
            <w:proofErr w:type="spellEnd"/>
            <w:r w:rsidRPr="00544B78">
              <w:t>) ATS attributable loss of separation rate</w:t>
            </w:r>
            <w:r>
              <w:t>—</w:t>
            </w:r>
            <w:r w:rsidRPr="00544B78">
              <w:t>Airservices (Towers/Terminal/Enroute)</w:t>
            </w:r>
          </w:p>
          <w:p w14:paraId="088EC03D" w14:textId="63C4A723" w:rsidR="00780DDB" w:rsidRPr="008776AE" w:rsidRDefault="00931212" w:rsidP="00800567">
            <w:r>
              <w:rPr>
                <w:noProof/>
              </w:rPr>
              <w:drawing>
                <wp:inline distT="0" distB="0" distL="0" distR="0" wp14:anchorId="0A4CE7F9" wp14:editId="436BF168">
                  <wp:extent cx="2993390" cy="1798320"/>
                  <wp:effectExtent l="0" t="0" r="0" b="0"/>
                  <wp:docPr id="1279281510" name="Picture 27" descr="Area chart showing ATS attributable loss of separations per 100K flights involving Airservices from fiscal years 16/17 to 24/25, with values fluctuating between about 1.5 and 4.8. The chart highlights a peak near FY18/19 followed by a sharp decline around FY20/21, then a gradual increase toward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81510" name="Picture 27" descr="Area chart showing ATS attributable loss of separations per 100K flights involving Airservices from fiscal years 16/17 to 24/25, with values fluctuating between about 1.5 and 4.8. The chart highlights a peak near FY18/19 followed by a sharp decline around FY20/21, then a gradual increase toward FY24/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3390" cy="1798320"/>
                          </a:xfrm>
                          <a:prstGeom prst="rect">
                            <a:avLst/>
                          </a:prstGeom>
                          <a:noFill/>
                        </pic:spPr>
                      </pic:pic>
                    </a:graphicData>
                  </a:graphic>
                </wp:inline>
              </w:drawing>
            </w:r>
          </w:p>
        </w:tc>
        <w:tc>
          <w:tcPr>
            <w:tcW w:w="2475" w:type="pct"/>
          </w:tcPr>
          <w:p w14:paraId="20D614CA" w14:textId="77777777" w:rsidR="00B12FAD" w:rsidRDefault="00780DDB" w:rsidP="00800567">
            <w:pPr>
              <w:cnfStyle w:val="000000000000" w:firstRow="0" w:lastRow="0" w:firstColumn="0" w:lastColumn="0" w:oddVBand="0" w:evenVBand="0" w:oddHBand="0" w:evenHBand="0" w:firstRowFirstColumn="0" w:firstRowLastColumn="0" w:lastRowFirstColumn="0" w:lastRowLastColumn="0"/>
              <w:rPr>
                <w:b/>
                <w:bCs/>
              </w:rPr>
            </w:pPr>
            <w:r w:rsidRPr="00931212">
              <w:rPr>
                <w:b/>
                <w:bCs/>
              </w:rPr>
              <w:t>SPI 1.5a (ii) ATS attributable loss of separation rate—Defence ATC sites</w:t>
            </w:r>
          </w:p>
          <w:p w14:paraId="0A82C905" w14:textId="243A27BE" w:rsidR="00931212" w:rsidRPr="00931212" w:rsidRDefault="00931212" w:rsidP="00800567">
            <w:pPr>
              <w:cnfStyle w:val="000000000000" w:firstRow="0" w:lastRow="0" w:firstColumn="0" w:lastColumn="0" w:oddVBand="0" w:evenVBand="0" w:oddHBand="0" w:evenHBand="0" w:firstRowFirstColumn="0" w:firstRowLastColumn="0" w:lastRowFirstColumn="0" w:lastRowLastColumn="0"/>
              <w:rPr>
                <w:b/>
                <w:bCs/>
              </w:rPr>
            </w:pPr>
            <w:r>
              <w:rPr>
                <w:noProof/>
              </w:rPr>
              <w:drawing>
                <wp:inline distT="0" distB="0" distL="0" distR="0" wp14:anchorId="66136D00" wp14:editId="1249960F">
                  <wp:extent cx="2865120" cy="1798320"/>
                  <wp:effectExtent l="0" t="0" r="0" b="0"/>
                  <wp:docPr id="1055933941" name="Picture 28" descr="Line graph showing ATS attributable  loss of separations per 100K flights involving Defence from fiscal years 18/19 to 24/25, illustrating trends in air traffic control performance. The graph features a shaded area under the curve with values rising from about 1.5 in FY18/19, dipping around FY19/20, then steadily increasing to peak near 3.2 in FY23/24 before dropping sharply in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33941" name="Picture 28" descr="Line graph showing ATS attributable  loss of separations per 100K flights involving Defence from fiscal years 18/19 to 24/25, illustrating trends in air traffic control performance. The graph features a shaded area under the curve with values rising from about 1.5 in FY18/19, dipping around FY19/20, then steadily increasing to peak near 3.2 in FY23/24 before dropping sharply in FY24/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5120" cy="1798320"/>
                          </a:xfrm>
                          <a:prstGeom prst="rect">
                            <a:avLst/>
                          </a:prstGeom>
                          <a:noFill/>
                        </pic:spPr>
                      </pic:pic>
                    </a:graphicData>
                  </a:graphic>
                </wp:inline>
              </w:drawing>
            </w:r>
          </w:p>
        </w:tc>
      </w:tr>
      <w:tr w:rsidR="00780DDB" w:rsidRPr="00654F9E" w14:paraId="42178F2B" w14:textId="77777777" w:rsidTr="0022544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5" w:type="pct"/>
          </w:tcPr>
          <w:p w14:paraId="3F765660" w14:textId="77777777" w:rsidR="00780DDB" w:rsidRDefault="00931212" w:rsidP="00931212">
            <w:pPr>
              <w:rPr>
                <w:b w:val="0"/>
              </w:rPr>
            </w:pPr>
            <w:r w:rsidRPr="00CB2E2A">
              <w:t>SPI 1.5b (</w:t>
            </w:r>
            <w:proofErr w:type="spellStart"/>
            <w:r w:rsidRPr="00CB2E2A">
              <w:t>i</w:t>
            </w:r>
            <w:proofErr w:type="spellEnd"/>
            <w:r w:rsidRPr="00CB2E2A">
              <w:t>) ATS attributable runway incursion rate</w:t>
            </w:r>
            <w:r>
              <w:t>—</w:t>
            </w:r>
            <w:r w:rsidRPr="00CB2E2A">
              <w:t>Airservices (Towers Only)</w:t>
            </w:r>
          </w:p>
          <w:p w14:paraId="2190EB7B" w14:textId="2D861296" w:rsidR="00931212" w:rsidRPr="008776AE" w:rsidRDefault="00931212" w:rsidP="00931212">
            <w:r>
              <w:rPr>
                <w:noProof/>
              </w:rPr>
              <w:drawing>
                <wp:inline distT="0" distB="0" distL="0" distR="0" wp14:anchorId="0B83D50B" wp14:editId="5B90C496">
                  <wp:extent cx="2999740" cy="1804670"/>
                  <wp:effectExtent l="0" t="0" r="0" b="5080"/>
                  <wp:docPr id="2068841696" name="Picture 29" descr="Area chart showing ATS attributable runway incursions per 100,000 movements involving Airservices from fiscal years 2016/17 to 2024/25, with values fluctuating between 0.2 and 0.6. Notable peaks occur in FY18/19 and FY21/22, while a low point appears in FY22/23, followed by a gradual increase toward FY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41696" name="Picture 29" descr="Area chart showing ATS attributable runway incursions per 100,000 movements involving Airservices from fiscal years 2016/17 to 2024/25, with values fluctuating between 0.2 and 0.6. Notable peaks occur in FY18/19 and FY21/22, while a low point appears in FY22/23, followed by a gradual increase toward FY24/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9740" cy="1804670"/>
                          </a:xfrm>
                          <a:prstGeom prst="rect">
                            <a:avLst/>
                          </a:prstGeom>
                          <a:noFill/>
                        </pic:spPr>
                      </pic:pic>
                    </a:graphicData>
                  </a:graphic>
                </wp:inline>
              </w:drawing>
            </w:r>
          </w:p>
        </w:tc>
        <w:tc>
          <w:tcPr>
            <w:tcW w:w="2475" w:type="pct"/>
          </w:tcPr>
          <w:p w14:paraId="41F85790" w14:textId="77777777" w:rsidR="00780DDB" w:rsidRDefault="00931212" w:rsidP="00931212">
            <w:pPr>
              <w:cnfStyle w:val="000000010000" w:firstRow="0" w:lastRow="0" w:firstColumn="0" w:lastColumn="0" w:oddVBand="0" w:evenVBand="0" w:oddHBand="0" w:evenHBand="1" w:firstRowFirstColumn="0" w:firstRowLastColumn="0" w:lastRowFirstColumn="0" w:lastRowLastColumn="0"/>
              <w:rPr>
                <w:b/>
                <w:bCs/>
              </w:rPr>
            </w:pPr>
            <w:r w:rsidRPr="00931212">
              <w:rPr>
                <w:b/>
                <w:bCs/>
              </w:rPr>
              <w:t>SPI 1.5b (ii) ATS attributable runway incursion rate—Defence ATC sites</w:t>
            </w:r>
          </w:p>
          <w:p w14:paraId="4FA683B5" w14:textId="1D51943E" w:rsidR="00931212" w:rsidRPr="00931212" w:rsidRDefault="00931212" w:rsidP="00931212">
            <w:pPr>
              <w:cnfStyle w:val="000000010000" w:firstRow="0" w:lastRow="0" w:firstColumn="0" w:lastColumn="0" w:oddVBand="0" w:evenVBand="0" w:oddHBand="0" w:evenHBand="1" w:firstRowFirstColumn="0" w:firstRowLastColumn="0" w:lastRowFirstColumn="0" w:lastRowLastColumn="0"/>
              <w:rPr>
                <w:b/>
                <w:bCs/>
              </w:rPr>
            </w:pPr>
            <w:r>
              <w:rPr>
                <w:noProof/>
              </w:rPr>
              <w:drawing>
                <wp:inline distT="0" distB="0" distL="0" distR="0" wp14:anchorId="5DB0C046" wp14:editId="60CD2EA5">
                  <wp:extent cx="2938780" cy="1804670"/>
                  <wp:effectExtent l="0" t="0" r="0" b="5080"/>
                  <wp:docPr id="616929905" name="Picture 30" descr="Line graph showing ATS attributable runway incursions per 100K movements involving Defence from fiscal years 2018/19 to 2024/25, with a peak around FY 2022/23 reaching just below 0.5. The graph uses a shaded area under the curve to highlight the increase and subsequent decline in incursions, indicating a temporary rise in incidents during tha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29905" name="Picture 30" descr="Line graph showing ATS attributable runway incursions per 100K movements involving Defence from fiscal years 2018/19 to 2024/25, with a peak around FY 2022/23 reaching just below 0.5. The graph uses a shaded area under the curve to highlight the increase and subsequent decline in incursions, indicating a temporary rise in incidents during that perio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8780" cy="1804670"/>
                          </a:xfrm>
                          <a:prstGeom prst="rect">
                            <a:avLst/>
                          </a:prstGeom>
                          <a:noFill/>
                        </pic:spPr>
                      </pic:pic>
                    </a:graphicData>
                  </a:graphic>
                </wp:inline>
              </w:drawing>
            </w:r>
          </w:p>
        </w:tc>
      </w:tr>
    </w:tbl>
    <w:p w14:paraId="60F98EB1" w14:textId="77777777" w:rsidR="005C2ADE" w:rsidRDefault="005C2ADE" w:rsidP="005C2ADE">
      <w:r>
        <w:br w:type="page"/>
      </w:r>
    </w:p>
    <w:p w14:paraId="60E40580" w14:textId="5C510A32" w:rsidR="005C2ADE" w:rsidRPr="00553BD2" w:rsidRDefault="00F27706" w:rsidP="00F27706">
      <w:pPr>
        <w:pStyle w:val="Heading2"/>
      </w:pPr>
      <w:bookmarkStart w:id="102" w:name="_Appendix_B_"/>
      <w:bookmarkStart w:id="103" w:name="_Appendix_B_Accident"/>
      <w:bookmarkStart w:id="104" w:name="_Appendix_B—Accident_analysis"/>
      <w:bookmarkStart w:id="105" w:name="_Toc222141600"/>
      <w:bookmarkStart w:id="106" w:name="_Toc227229307"/>
      <w:bookmarkStart w:id="107" w:name="_Toc230270039"/>
      <w:bookmarkEnd w:id="102"/>
      <w:bookmarkEnd w:id="103"/>
      <w:bookmarkEnd w:id="104"/>
      <w:r>
        <w:lastRenderedPageBreak/>
        <w:t>Appendix B—</w:t>
      </w:r>
      <w:r w:rsidR="005C2ADE" w:rsidRPr="00553BD2">
        <w:t>Accident analysis</w:t>
      </w:r>
      <w:bookmarkEnd w:id="105"/>
      <w:bookmarkEnd w:id="106"/>
      <w:bookmarkEnd w:id="107"/>
    </w:p>
    <w:p w14:paraId="26B3DA3D" w14:textId="77777777" w:rsidR="005C2ADE" w:rsidRDefault="005C2ADE" w:rsidP="00FA6D25">
      <w:r>
        <w:t>Further analysis was conducted on the 170 accidents recorded in the current reporting period to provide more context regarding occurrence category and the associated sector involved.</w:t>
      </w:r>
    </w:p>
    <w:p w14:paraId="5CC82EB9" w14:textId="77777777" w:rsidR="005C2ADE" w:rsidRDefault="005C2ADE" w:rsidP="00FA6D25">
      <w:r w:rsidRPr="006E6E23">
        <w:t>Figure 7</w:t>
      </w:r>
      <w:r>
        <w:t xml:space="preserve"> provides a breakdown of accidents by ATSB occurrence category and sector. The data indicates that most accidents were categorised as terrain collisions, followed by aircraft control, powerplant/propulsion and systems. In terms of sector, the uncrewed RPA sector had the most accidents followed by NCA.</w:t>
      </w:r>
    </w:p>
    <w:p w14:paraId="06B563E0" w14:textId="7438129C" w:rsidR="005C2ADE" w:rsidRDefault="005C2ADE" w:rsidP="00FA6D25">
      <w:pPr>
        <w:pStyle w:val="Tablefigureheading"/>
        <w:spacing w:before="240"/>
      </w:pPr>
      <w:bookmarkStart w:id="108" w:name="_Toc230269815"/>
      <w:r w:rsidRPr="005A0D70">
        <w:t xml:space="preserve">Figure </w:t>
      </w:r>
      <w:r w:rsidR="001010B6">
        <w:t>12</w:t>
      </w:r>
      <w:r w:rsidR="00340487">
        <w:t>—</w:t>
      </w:r>
      <w:r w:rsidRPr="005A0D70">
        <w:t xml:space="preserve">ATSB Accident occurrence category and sector (FY </w:t>
      </w:r>
      <w:r w:rsidR="003276FE">
        <w:t>2024–25</w:t>
      </w:r>
      <w:r w:rsidRPr="005A0D70">
        <w:t>)</w:t>
      </w:r>
      <w:bookmarkEnd w:id="108"/>
    </w:p>
    <w:tbl>
      <w:tblPr>
        <w:tblStyle w:val="DefaultTable11"/>
        <w:tblW w:w="5000" w:type="pct"/>
        <w:tblBorders>
          <w:top w:val="single" w:sz="4" w:space="0" w:color="ED662F"/>
          <w:bottom w:val="single" w:sz="12" w:space="0" w:color="ED662F"/>
          <w:insideH w:val="single" w:sz="4" w:space="0" w:color="ED662F"/>
        </w:tblBorders>
        <w:tblLook w:val="04A0" w:firstRow="1" w:lastRow="0" w:firstColumn="1" w:lastColumn="0" w:noHBand="0" w:noVBand="1"/>
      </w:tblPr>
      <w:tblGrid>
        <w:gridCol w:w="4871"/>
        <w:gridCol w:w="4604"/>
      </w:tblGrid>
      <w:tr w:rsidR="00BF633F" w:rsidRPr="00654F9E" w14:paraId="13C2DD1E" w14:textId="77777777" w:rsidTr="0080056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5" w:type="pct"/>
            <w:shd w:val="clear" w:color="auto" w:fill="4D148C"/>
          </w:tcPr>
          <w:p w14:paraId="23B0C6C8" w14:textId="1F69A402" w:rsidR="00BF633F" w:rsidRPr="002E0AC7" w:rsidRDefault="000A4F7B" w:rsidP="00800567">
            <w:pPr>
              <w:pStyle w:val="Tablerowcolumnheading"/>
              <w:keepNext/>
              <w:rPr>
                <w:b/>
                <w:bCs/>
                <w:sz w:val="22"/>
                <w:szCs w:val="22"/>
              </w:rPr>
            </w:pPr>
            <w:r>
              <w:rPr>
                <w:b/>
                <w:bCs/>
                <w:sz w:val="22"/>
                <w:szCs w:val="22"/>
              </w:rPr>
              <w:t>ATSB occurrence breakdown</w:t>
            </w:r>
          </w:p>
        </w:tc>
        <w:tc>
          <w:tcPr>
            <w:tcW w:w="2475" w:type="pct"/>
            <w:shd w:val="clear" w:color="auto" w:fill="4D148C"/>
          </w:tcPr>
          <w:p w14:paraId="4FC6AC0A" w14:textId="00F848E4" w:rsidR="00BF633F" w:rsidRPr="002E0AC7" w:rsidRDefault="000A4F7B" w:rsidP="00800567">
            <w:pPr>
              <w:pStyle w:val="Tablerowcolumnheading"/>
              <w:keepNext/>
              <w:cnfStyle w:val="100000000000" w:firstRow="1" w:lastRow="0" w:firstColumn="0" w:lastColumn="0" w:oddVBand="0" w:evenVBand="0" w:oddHBand="0" w:evenHBand="0" w:firstRowFirstColumn="0" w:firstRowLastColumn="0" w:lastRowFirstColumn="0" w:lastRowLastColumn="0"/>
              <w:rPr>
                <w:b/>
                <w:bCs/>
                <w:szCs w:val="22"/>
              </w:rPr>
            </w:pPr>
            <w:r w:rsidRPr="000A4F7B">
              <w:rPr>
                <w:b/>
                <w:bCs/>
                <w:sz w:val="22"/>
                <w:szCs w:val="22"/>
              </w:rPr>
              <w:t>Sector breakdown</w:t>
            </w:r>
          </w:p>
        </w:tc>
      </w:tr>
      <w:tr w:rsidR="00BF633F" w:rsidRPr="00654F9E" w14:paraId="677D1A7B" w14:textId="77777777" w:rsidTr="00800567">
        <w:trPr>
          <w:cantSplit/>
        </w:trPr>
        <w:tc>
          <w:tcPr>
            <w:cnfStyle w:val="001000000000" w:firstRow="0" w:lastRow="0" w:firstColumn="1" w:lastColumn="0" w:oddVBand="0" w:evenVBand="0" w:oddHBand="0" w:evenHBand="0" w:firstRowFirstColumn="0" w:firstRowLastColumn="0" w:lastRowFirstColumn="0" w:lastRowLastColumn="0"/>
            <w:tcW w:w="2525" w:type="pct"/>
          </w:tcPr>
          <w:p w14:paraId="43BDAEBA" w14:textId="356C13C5" w:rsidR="008E615D" w:rsidRPr="008776AE" w:rsidRDefault="008E615D" w:rsidP="00800567">
            <w:r>
              <w:rPr>
                <w:noProof/>
              </w:rPr>
              <w:drawing>
                <wp:inline distT="0" distB="0" distL="0" distR="0" wp14:anchorId="0E3F479C" wp14:editId="136EC499">
                  <wp:extent cx="2987040" cy="1871345"/>
                  <wp:effectExtent l="0" t="0" r="3810" b="0"/>
                  <wp:docPr id="17959039" name="Picture 11" descr="Horizontal bar chart showing categories of ATSB aviation categories by occurrence frequency, highlighting terrain collisions as most common with 139 occurrences, followed by aircraft control at 50. Bars are dark blue with numerical labels on the right, illustrating a steep drop from top categories to less frequent issues like aircraft loading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039" name="Picture 11" descr="Horizontal bar chart showing categories of ATSB aviation categories by occurrence frequency, highlighting terrain collisions as most common with 139 occurrences, followed by aircraft control at 50. Bars are dark blue with numerical labels on the right, illustrating a steep drop from top categories to less frequent issues like aircraft loading and infrastruc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7040" cy="1871345"/>
                          </a:xfrm>
                          <a:prstGeom prst="rect">
                            <a:avLst/>
                          </a:prstGeom>
                          <a:noFill/>
                        </pic:spPr>
                      </pic:pic>
                    </a:graphicData>
                  </a:graphic>
                </wp:inline>
              </w:drawing>
            </w:r>
          </w:p>
        </w:tc>
        <w:tc>
          <w:tcPr>
            <w:tcW w:w="2475" w:type="pct"/>
          </w:tcPr>
          <w:p w14:paraId="0DFE1520" w14:textId="1162BB8F" w:rsidR="008E615D" w:rsidRPr="008E615D" w:rsidRDefault="008E615D" w:rsidP="00800567">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13C2050A" wp14:editId="1F9FBC1B">
                  <wp:extent cx="2810510" cy="1871345"/>
                  <wp:effectExtent l="0" t="0" r="8890" b="0"/>
                  <wp:docPr id="1193764552" name="Picture 13" descr="Donut chart displaying distribution accidents among four sectors with corresponding percentages and values, highlighting Uncrewed (RPAS) as largest segment at 45.61%. Segments are color-coded in shades of blue, with labels and percentages placed outside each segment for c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64552" name="Picture 13" descr="Donut chart displaying distribution accidents among four sectors with corresponding percentages and values, highlighting Uncrewed (RPAS) as largest segment at 45.61%. Segments are color-coded in shades of blue, with labels and percentages placed outside each segment for clarit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0510" cy="1871345"/>
                          </a:xfrm>
                          <a:prstGeom prst="rect">
                            <a:avLst/>
                          </a:prstGeom>
                          <a:noFill/>
                        </pic:spPr>
                      </pic:pic>
                    </a:graphicData>
                  </a:graphic>
                </wp:inline>
              </w:drawing>
            </w:r>
          </w:p>
        </w:tc>
      </w:tr>
    </w:tbl>
    <w:p w14:paraId="25735D03" w14:textId="57AF00B9" w:rsidR="005C2ADE" w:rsidRPr="002236EA" w:rsidRDefault="005C2ADE" w:rsidP="005C2ADE">
      <w:pPr>
        <w:spacing w:after="0"/>
        <w:rPr>
          <w:i/>
          <w:iCs/>
        </w:rPr>
      </w:pPr>
      <w:r w:rsidRPr="0054590E">
        <w:rPr>
          <w:b/>
          <w:bCs/>
          <w:i/>
          <w:iCs/>
        </w:rPr>
        <w:t>Note</w:t>
      </w:r>
      <w:r w:rsidR="00340487">
        <w:rPr>
          <w:i/>
          <w:iCs/>
        </w:rPr>
        <w:t>—</w:t>
      </w:r>
      <w:r w:rsidRPr="0054590E">
        <w:rPr>
          <w:i/>
          <w:iCs/>
        </w:rPr>
        <w:t xml:space="preserve">An accident can be </w:t>
      </w:r>
      <w:r>
        <w:rPr>
          <w:i/>
          <w:iCs/>
        </w:rPr>
        <w:t>categorised</w:t>
      </w:r>
      <w:r w:rsidRPr="0054590E">
        <w:rPr>
          <w:i/>
          <w:iCs/>
        </w:rPr>
        <w:t xml:space="preserve"> </w:t>
      </w:r>
      <w:r>
        <w:rPr>
          <w:i/>
          <w:iCs/>
        </w:rPr>
        <w:t>against</w:t>
      </w:r>
      <w:r w:rsidRPr="0054590E">
        <w:rPr>
          <w:i/>
          <w:iCs/>
        </w:rPr>
        <w:t xml:space="preserve"> multiple occurrence </w:t>
      </w:r>
      <w:r>
        <w:rPr>
          <w:i/>
          <w:iCs/>
        </w:rPr>
        <w:t>categories</w:t>
      </w:r>
      <w:r w:rsidRPr="0054590E">
        <w:rPr>
          <w:i/>
          <w:iCs/>
        </w:rPr>
        <w:t>.</w:t>
      </w:r>
      <w:r>
        <w:rPr>
          <w:i/>
          <w:iCs/>
        </w:rPr>
        <w:t xml:space="preserve"> The occurrence category of Consequential Events has been excluded from the results. The sector breakdown was based on number of aircraft as there was one accident connected with multiple sectors.</w:t>
      </w:r>
    </w:p>
    <w:p w14:paraId="55C413E8" w14:textId="77777777" w:rsidR="005C2ADE" w:rsidRPr="003C4DAF" w:rsidRDefault="005C2ADE" w:rsidP="00FA6D25">
      <w:pPr>
        <w:spacing w:after="240"/>
      </w:pPr>
      <w:r>
        <w:t xml:space="preserve">Overall, </w:t>
      </w:r>
      <w:r w:rsidRPr="00681B07">
        <w:t>there were 1</w:t>
      </w:r>
      <w:r>
        <w:t>7</w:t>
      </w:r>
      <w:r w:rsidRPr="00681B07">
        <w:t xml:space="preserve"> fatal accidents resulting in 25 fatalities in the current NASP reporting period.</w:t>
      </w:r>
      <w:r w:rsidRPr="00D75707">
        <w:t xml:space="preserve"> </w:t>
      </w:r>
      <w:r>
        <w:t>Details regarding fatal accidents, associated fatalities and a short description for each fatal accident have been provided by sector in the tables 8-10 below.</w:t>
      </w:r>
    </w:p>
    <w:p w14:paraId="5E3C80A0" w14:textId="4318DF7B" w:rsidR="005C2ADE" w:rsidRDefault="005C2ADE" w:rsidP="00FA6D25">
      <w:pPr>
        <w:pStyle w:val="Tablefigureheading"/>
        <w:spacing w:before="480"/>
      </w:pPr>
      <w:bookmarkStart w:id="109" w:name="_Toc230269816"/>
      <w:r w:rsidRPr="00B66E13">
        <w:t>Table 8</w:t>
      </w:r>
      <w:r w:rsidR="006D2C5C">
        <w:t>—</w:t>
      </w:r>
      <w:r w:rsidRPr="00B66E13">
        <w:t>Commercial Air Transport accidents</w:t>
      </w:r>
      <w:bookmarkEnd w:id="109"/>
    </w:p>
    <w:tbl>
      <w:tblPr>
        <w:tblStyle w:val="DefaultTable11"/>
        <w:tblW w:w="4937" w:type="pct"/>
        <w:tblBorders>
          <w:top w:val="single" w:sz="4" w:space="0" w:color="ED662F"/>
          <w:bottom w:val="single" w:sz="12" w:space="0" w:color="ED662F"/>
          <w:insideH w:val="single" w:sz="4" w:space="0" w:color="ED662F"/>
        </w:tblBorders>
        <w:tblLook w:val="04A0" w:firstRow="1" w:lastRow="0" w:firstColumn="1" w:lastColumn="0" w:noHBand="0" w:noVBand="1"/>
        <w:tblCaption w:val="Table 8—Commercial Air Transport accidents"/>
        <w:tblDescription w:val="Table 8—Commercial Air Transport accidents"/>
      </w:tblPr>
      <w:tblGrid>
        <w:gridCol w:w="1019"/>
        <w:gridCol w:w="1675"/>
        <w:gridCol w:w="992"/>
        <w:gridCol w:w="5670"/>
      </w:tblGrid>
      <w:tr w:rsidR="002512C8" w:rsidRPr="00654F9E" w14:paraId="5ABE8D91" w14:textId="77777777" w:rsidTr="00FA6D2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5" w:type="pct"/>
            <w:shd w:val="clear" w:color="auto" w:fill="4D148C"/>
          </w:tcPr>
          <w:p w14:paraId="33574320" w14:textId="2A951E6B" w:rsidR="002512C8" w:rsidRPr="002512C8" w:rsidRDefault="002512C8" w:rsidP="00FA6D25">
            <w:pPr>
              <w:pStyle w:val="Tablerowcolumnheading"/>
              <w:keepNext/>
              <w:jc w:val="center"/>
              <w:rPr>
                <w:b/>
                <w:bCs/>
                <w:sz w:val="22"/>
                <w:szCs w:val="22"/>
              </w:rPr>
            </w:pPr>
            <w:r w:rsidRPr="002512C8">
              <w:rPr>
                <w:b/>
                <w:bCs/>
              </w:rPr>
              <w:t>Accidents</w:t>
            </w:r>
          </w:p>
        </w:tc>
        <w:tc>
          <w:tcPr>
            <w:tcW w:w="895" w:type="pct"/>
            <w:shd w:val="clear" w:color="auto" w:fill="4D148C"/>
          </w:tcPr>
          <w:p w14:paraId="230A1A5B" w14:textId="35BCA98A" w:rsidR="002512C8" w:rsidRPr="002512C8" w:rsidRDefault="002512C8" w:rsidP="00FA6D25">
            <w:pPr>
              <w:pStyle w:val="Tablerowcolumnheading"/>
              <w:keepNext/>
              <w:jc w:val="center"/>
              <w:cnfStyle w:val="100000000000" w:firstRow="1" w:lastRow="0" w:firstColumn="0" w:lastColumn="0" w:oddVBand="0" w:evenVBand="0" w:oddHBand="0" w:evenHBand="0" w:firstRowFirstColumn="0" w:firstRowLastColumn="0" w:lastRowFirstColumn="0" w:lastRowLastColumn="0"/>
              <w:rPr>
                <w:b/>
                <w:bCs/>
                <w:szCs w:val="22"/>
              </w:rPr>
            </w:pPr>
            <w:r w:rsidRPr="002512C8">
              <w:rPr>
                <w:b/>
                <w:bCs/>
              </w:rPr>
              <w:t>Fatal Accidents</w:t>
            </w:r>
          </w:p>
        </w:tc>
        <w:tc>
          <w:tcPr>
            <w:tcW w:w="530" w:type="pct"/>
            <w:shd w:val="clear" w:color="auto" w:fill="4D148C"/>
          </w:tcPr>
          <w:p w14:paraId="35B6EFF4" w14:textId="21C0F597" w:rsidR="002512C8" w:rsidRPr="002512C8" w:rsidRDefault="002512C8" w:rsidP="00FA6D25">
            <w:pPr>
              <w:pStyle w:val="Tablerowcolumnheading"/>
              <w:keepNext/>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2512C8">
              <w:rPr>
                <w:b/>
                <w:bCs/>
              </w:rPr>
              <w:t>Fatalities</w:t>
            </w:r>
          </w:p>
        </w:tc>
        <w:tc>
          <w:tcPr>
            <w:tcW w:w="3030" w:type="pct"/>
            <w:shd w:val="clear" w:color="auto" w:fill="4D148C"/>
          </w:tcPr>
          <w:p w14:paraId="46202880" w14:textId="029A6F43" w:rsidR="002512C8" w:rsidRPr="002512C8" w:rsidRDefault="002512C8" w:rsidP="00FA6D25">
            <w:pPr>
              <w:pStyle w:val="Tablerowcolumnheading"/>
              <w:keepNext/>
              <w:cnfStyle w:val="100000000000" w:firstRow="1" w:lastRow="0" w:firstColumn="0" w:lastColumn="0" w:oddVBand="0" w:evenVBand="0" w:oddHBand="0" w:evenHBand="0" w:firstRowFirstColumn="0" w:firstRowLastColumn="0" w:lastRowFirstColumn="0" w:lastRowLastColumn="0"/>
              <w:rPr>
                <w:b/>
                <w:sz w:val="22"/>
                <w:szCs w:val="22"/>
              </w:rPr>
            </w:pPr>
            <w:r w:rsidRPr="002512C8">
              <w:rPr>
                <w:b/>
              </w:rPr>
              <w:t>Fatal accident description</w:t>
            </w:r>
          </w:p>
        </w:tc>
      </w:tr>
      <w:tr w:rsidR="00A310FE" w:rsidRPr="00654F9E" w14:paraId="4B1C0612" w14:textId="77777777" w:rsidTr="00FA6D25">
        <w:trPr>
          <w:cantSplit/>
        </w:trPr>
        <w:tc>
          <w:tcPr>
            <w:cnfStyle w:val="001000000000" w:firstRow="0" w:lastRow="0" w:firstColumn="1" w:lastColumn="0" w:oddVBand="0" w:evenVBand="0" w:oddHBand="0" w:evenHBand="0" w:firstRowFirstColumn="0" w:firstRowLastColumn="0" w:lastRowFirstColumn="0" w:lastRowLastColumn="0"/>
            <w:tcW w:w="545" w:type="pct"/>
          </w:tcPr>
          <w:p w14:paraId="5B49D010" w14:textId="3A82E9B3" w:rsidR="00A310FE" w:rsidRPr="008776AE" w:rsidRDefault="00A310FE" w:rsidP="00FA6D25">
            <w:pPr>
              <w:spacing w:before="120" w:after="120"/>
              <w:jc w:val="center"/>
            </w:pPr>
            <w:r w:rsidRPr="00A91CD9">
              <w:t>10</w:t>
            </w:r>
          </w:p>
        </w:tc>
        <w:tc>
          <w:tcPr>
            <w:tcW w:w="895" w:type="pct"/>
          </w:tcPr>
          <w:p w14:paraId="549DB9A1" w14:textId="4B4C4F9E" w:rsidR="00A310FE" w:rsidRPr="008776AE" w:rsidRDefault="00A310FE" w:rsidP="00FA6D25">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A91CD9">
              <w:t>1</w:t>
            </w:r>
          </w:p>
        </w:tc>
        <w:tc>
          <w:tcPr>
            <w:tcW w:w="530" w:type="pct"/>
          </w:tcPr>
          <w:p w14:paraId="39BFCE3B" w14:textId="49974733" w:rsidR="00A310FE" w:rsidRPr="008776AE" w:rsidRDefault="00A310FE" w:rsidP="00FA6D25">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A91CD9">
              <w:t>3</w:t>
            </w:r>
          </w:p>
        </w:tc>
        <w:tc>
          <w:tcPr>
            <w:tcW w:w="3030" w:type="pct"/>
          </w:tcPr>
          <w:p w14:paraId="0E576DCD" w14:textId="4B935175" w:rsidR="00A310FE" w:rsidRPr="008776AE" w:rsidRDefault="00A310FE" w:rsidP="00FA6D25">
            <w:pPr>
              <w:keepNext/>
              <w:spacing w:before="120" w:after="120"/>
              <w:cnfStyle w:val="000000000000" w:firstRow="0" w:lastRow="0" w:firstColumn="0" w:lastColumn="0" w:oddVBand="0" w:evenVBand="0" w:oddHBand="0" w:evenHBand="0" w:firstRowFirstColumn="0" w:firstRowLastColumn="0" w:lastRowFirstColumn="0" w:lastRowLastColumn="0"/>
            </w:pPr>
            <w:r w:rsidRPr="00B66E13">
              <w:rPr>
                <w:i/>
              </w:rPr>
              <w:t>Charter</w:t>
            </w:r>
            <w:r w:rsidRPr="00B66E13">
              <w:t xml:space="preserve"> aeroplane collided with water with a pilot and six passengers onboard. The pilot and two passengers sustained fatal injuries.</w:t>
            </w:r>
            <w:r>
              <w:t xml:space="preserve"> </w:t>
            </w:r>
          </w:p>
        </w:tc>
      </w:tr>
    </w:tbl>
    <w:p w14:paraId="10D99BDA" w14:textId="036FA6DA" w:rsidR="005C2ADE" w:rsidRDefault="005C2ADE" w:rsidP="00FD548B">
      <w:pPr>
        <w:pStyle w:val="Tablefigureheading"/>
        <w:spacing w:before="240"/>
      </w:pPr>
      <w:bookmarkStart w:id="110" w:name="_Toc230269817"/>
      <w:r>
        <w:lastRenderedPageBreak/>
        <w:t>Table 9</w:t>
      </w:r>
      <w:r w:rsidR="006D2C5C">
        <w:t>—</w:t>
      </w:r>
      <w:r>
        <w:t>Commercial Aviation accidents</w:t>
      </w:r>
      <w:bookmarkEnd w:id="110"/>
    </w:p>
    <w:tbl>
      <w:tblPr>
        <w:tblStyle w:val="DefaultTable11"/>
        <w:tblW w:w="4937" w:type="pct"/>
        <w:tblBorders>
          <w:top w:val="single" w:sz="4" w:space="0" w:color="ED662F"/>
          <w:bottom w:val="single" w:sz="12" w:space="0" w:color="ED662F"/>
          <w:insideH w:val="single" w:sz="4" w:space="0" w:color="ED662F"/>
        </w:tblBorders>
        <w:tblLook w:val="04A0" w:firstRow="1" w:lastRow="0" w:firstColumn="1" w:lastColumn="0" w:noHBand="0" w:noVBand="1"/>
        <w:tblCaption w:val="Table 9—Commercial Aviation accidents"/>
        <w:tblDescription w:val="Table 9—Commercial Aviation accidents"/>
      </w:tblPr>
      <w:tblGrid>
        <w:gridCol w:w="1134"/>
        <w:gridCol w:w="1561"/>
        <w:gridCol w:w="1132"/>
        <w:gridCol w:w="5529"/>
      </w:tblGrid>
      <w:tr w:rsidR="002512C8" w:rsidRPr="00654F9E" w14:paraId="7FF9F5F9" w14:textId="77777777" w:rsidTr="00FA6D2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6" w:type="pct"/>
            <w:shd w:val="clear" w:color="auto" w:fill="4D148C"/>
          </w:tcPr>
          <w:p w14:paraId="2F40C877" w14:textId="77777777" w:rsidR="002512C8" w:rsidRPr="002512C8" w:rsidRDefault="002512C8" w:rsidP="00FA6D25">
            <w:pPr>
              <w:pStyle w:val="Tablerowcolumnheading"/>
              <w:keepNext/>
              <w:jc w:val="center"/>
              <w:rPr>
                <w:b/>
                <w:bCs/>
                <w:sz w:val="22"/>
                <w:szCs w:val="22"/>
              </w:rPr>
            </w:pPr>
            <w:r w:rsidRPr="002512C8">
              <w:rPr>
                <w:b/>
                <w:bCs/>
              </w:rPr>
              <w:t>Accidents</w:t>
            </w:r>
          </w:p>
        </w:tc>
        <w:tc>
          <w:tcPr>
            <w:tcW w:w="834" w:type="pct"/>
            <w:shd w:val="clear" w:color="auto" w:fill="4D148C"/>
          </w:tcPr>
          <w:p w14:paraId="63574203" w14:textId="77777777" w:rsidR="002512C8" w:rsidRPr="002512C8" w:rsidRDefault="002512C8" w:rsidP="00FA6D25">
            <w:pPr>
              <w:pStyle w:val="Tablerowcolumnheading"/>
              <w:keepNext/>
              <w:jc w:val="center"/>
              <w:cnfStyle w:val="100000000000" w:firstRow="1" w:lastRow="0" w:firstColumn="0" w:lastColumn="0" w:oddVBand="0" w:evenVBand="0" w:oddHBand="0" w:evenHBand="0" w:firstRowFirstColumn="0" w:firstRowLastColumn="0" w:lastRowFirstColumn="0" w:lastRowLastColumn="0"/>
              <w:rPr>
                <w:b/>
                <w:bCs/>
                <w:szCs w:val="22"/>
              </w:rPr>
            </w:pPr>
            <w:r w:rsidRPr="002512C8">
              <w:rPr>
                <w:b/>
                <w:bCs/>
              </w:rPr>
              <w:t>Fatal Accidents</w:t>
            </w:r>
          </w:p>
        </w:tc>
        <w:tc>
          <w:tcPr>
            <w:tcW w:w="605" w:type="pct"/>
            <w:shd w:val="clear" w:color="auto" w:fill="4D148C"/>
          </w:tcPr>
          <w:p w14:paraId="258C638E" w14:textId="77777777" w:rsidR="002512C8" w:rsidRPr="002512C8" w:rsidRDefault="002512C8" w:rsidP="00FA6D25">
            <w:pPr>
              <w:pStyle w:val="Tablerowcolumnheading"/>
              <w:keepNext/>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2512C8">
              <w:rPr>
                <w:b/>
                <w:bCs/>
              </w:rPr>
              <w:t>Fatalities</w:t>
            </w:r>
          </w:p>
        </w:tc>
        <w:tc>
          <w:tcPr>
            <w:tcW w:w="2954" w:type="pct"/>
            <w:shd w:val="clear" w:color="auto" w:fill="4D148C"/>
          </w:tcPr>
          <w:p w14:paraId="15D3F8BC" w14:textId="77777777" w:rsidR="002512C8" w:rsidRPr="002512C8" w:rsidRDefault="002512C8" w:rsidP="00A310FE">
            <w:pPr>
              <w:pStyle w:val="Tablerowcolumnheading"/>
              <w:cnfStyle w:val="100000000000" w:firstRow="1" w:lastRow="0" w:firstColumn="0" w:lastColumn="0" w:oddVBand="0" w:evenVBand="0" w:oddHBand="0" w:evenHBand="0" w:firstRowFirstColumn="0" w:firstRowLastColumn="0" w:lastRowFirstColumn="0" w:lastRowLastColumn="0"/>
              <w:rPr>
                <w:b/>
                <w:sz w:val="22"/>
                <w:szCs w:val="22"/>
              </w:rPr>
            </w:pPr>
            <w:r w:rsidRPr="002512C8">
              <w:rPr>
                <w:b/>
              </w:rPr>
              <w:t>Fatal accident description</w:t>
            </w:r>
          </w:p>
        </w:tc>
      </w:tr>
      <w:tr w:rsidR="00FD548B" w:rsidRPr="00654F9E" w14:paraId="555219F6" w14:textId="77777777" w:rsidTr="00FA6D25">
        <w:trPr>
          <w:cantSplit/>
        </w:trPr>
        <w:tc>
          <w:tcPr>
            <w:cnfStyle w:val="001000000000" w:firstRow="0" w:lastRow="0" w:firstColumn="1" w:lastColumn="0" w:oddVBand="0" w:evenVBand="0" w:oddHBand="0" w:evenHBand="0" w:firstRowFirstColumn="0" w:firstRowLastColumn="0" w:lastRowFirstColumn="0" w:lastRowLastColumn="0"/>
            <w:tcW w:w="606" w:type="pct"/>
          </w:tcPr>
          <w:p w14:paraId="335E3BB5" w14:textId="46AD7B7C" w:rsidR="00FD548B" w:rsidRPr="008776AE" w:rsidRDefault="00FD548B" w:rsidP="00FA6D25">
            <w:pPr>
              <w:spacing w:before="120" w:after="120"/>
              <w:jc w:val="center"/>
            </w:pPr>
            <w:r w:rsidRPr="00A91CD9">
              <w:t>28</w:t>
            </w:r>
          </w:p>
        </w:tc>
        <w:tc>
          <w:tcPr>
            <w:tcW w:w="834" w:type="pct"/>
          </w:tcPr>
          <w:p w14:paraId="4125581C" w14:textId="08670F81" w:rsidR="00FD548B" w:rsidRPr="008776AE" w:rsidRDefault="00FD548B" w:rsidP="00FA6D25">
            <w:pPr>
              <w:spacing w:before="120" w:after="120"/>
              <w:jc w:val="center"/>
              <w:cnfStyle w:val="000000000000" w:firstRow="0" w:lastRow="0" w:firstColumn="0" w:lastColumn="0" w:oddVBand="0" w:evenVBand="0" w:oddHBand="0" w:evenHBand="0" w:firstRowFirstColumn="0" w:firstRowLastColumn="0" w:lastRowFirstColumn="0" w:lastRowLastColumn="0"/>
            </w:pPr>
            <w:r w:rsidRPr="00A91CD9">
              <w:t>6</w:t>
            </w:r>
          </w:p>
        </w:tc>
        <w:tc>
          <w:tcPr>
            <w:tcW w:w="605" w:type="pct"/>
          </w:tcPr>
          <w:p w14:paraId="50B1FD57" w14:textId="74CA77F7" w:rsidR="00FD548B" w:rsidRPr="008776AE" w:rsidRDefault="00FD548B" w:rsidP="00FA6D25">
            <w:pPr>
              <w:spacing w:before="120" w:after="120"/>
              <w:jc w:val="center"/>
              <w:cnfStyle w:val="000000000000" w:firstRow="0" w:lastRow="0" w:firstColumn="0" w:lastColumn="0" w:oddVBand="0" w:evenVBand="0" w:oddHBand="0" w:evenHBand="0" w:firstRowFirstColumn="0" w:firstRowLastColumn="0" w:lastRowFirstColumn="0" w:lastRowLastColumn="0"/>
            </w:pPr>
            <w:r w:rsidRPr="00A91CD9">
              <w:t>9</w:t>
            </w:r>
          </w:p>
        </w:tc>
        <w:tc>
          <w:tcPr>
            <w:tcW w:w="2954" w:type="pct"/>
          </w:tcPr>
          <w:p w14:paraId="369EBDE9"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rPr>
                <w:i/>
                <w:iCs/>
              </w:rPr>
              <w:t>Aerial work</w:t>
            </w:r>
            <w:r w:rsidRPr="00B66E13">
              <w:t xml:space="preserve"> agricultural spraying aeroplane struck a wire and subsequently collied with </w:t>
            </w:r>
            <w:proofErr w:type="gramStart"/>
            <w:r w:rsidRPr="00B66E13">
              <w:t>terrain,</w:t>
            </w:r>
            <w:proofErr w:type="gramEnd"/>
            <w:r w:rsidRPr="00B66E13">
              <w:t xml:space="preserve"> the pilot did not survive.</w:t>
            </w:r>
          </w:p>
          <w:p w14:paraId="02E86339"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Two </w:t>
            </w:r>
            <w:r w:rsidRPr="00B66E13">
              <w:rPr>
                <w:i/>
                <w:iCs/>
              </w:rPr>
              <w:t>aerial work</w:t>
            </w:r>
            <w:r w:rsidRPr="00B66E13">
              <w:t xml:space="preserve"> mustering helicopters collided soon after take-off. Both pilots sustained fatal injuries. </w:t>
            </w:r>
          </w:p>
          <w:p w14:paraId="28333170"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An </w:t>
            </w:r>
            <w:r w:rsidRPr="00B66E13">
              <w:rPr>
                <w:i/>
                <w:iCs/>
              </w:rPr>
              <w:t>instructional flying</w:t>
            </w:r>
            <w:r w:rsidRPr="00B66E13">
              <w:t xml:space="preserve"> aircraft</w:t>
            </w:r>
            <w:r w:rsidRPr="00B66E13">
              <w:rPr>
                <w:rStyle w:val="FootnoteReference"/>
              </w:rPr>
              <w:footnoteReference w:id="6"/>
            </w:r>
            <w:r w:rsidRPr="00B66E13">
              <w:t xml:space="preserve"> conducting a CPL test flight with a flight examiner collided inflight with a NCA aeroplane. The pilot of the NCA aeroplane, and the pilot and flight test examiner of the CA sustained fatal injuries.</w:t>
            </w:r>
          </w:p>
          <w:p w14:paraId="4EFC6437"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A helicopter conducting </w:t>
            </w:r>
            <w:r w:rsidRPr="00B66E13">
              <w:rPr>
                <w:i/>
                <w:iCs/>
              </w:rPr>
              <w:t>aerial work</w:t>
            </w:r>
            <w:r w:rsidRPr="00B66E13">
              <w:t xml:space="preserve">, agricultural spraying, collided with terrain and the pilot was seriously injured and shortly after succumbed to their injuries. </w:t>
            </w:r>
          </w:p>
          <w:p w14:paraId="439D6A3F"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rPr>
                <w:b/>
                <w:bCs/>
              </w:rPr>
            </w:pPr>
            <w:r w:rsidRPr="00B66E13">
              <w:t xml:space="preserve">An </w:t>
            </w:r>
            <w:r w:rsidRPr="00B66E13">
              <w:rPr>
                <w:i/>
                <w:iCs/>
              </w:rPr>
              <w:t>instructional flying</w:t>
            </w:r>
            <w:r w:rsidRPr="00B66E13">
              <w:t xml:space="preserve"> ultralight aircraft collided with water resulting in fatal injuries to the two occupants onboard. </w:t>
            </w:r>
          </w:p>
          <w:p w14:paraId="5750E445" w14:textId="0901CBAE" w:rsidR="00FD548B" w:rsidRPr="008776AE"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An Australian registered aeroplane conducting </w:t>
            </w:r>
            <w:r w:rsidRPr="00B66E13">
              <w:rPr>
                <w:i/>
                <w:iCs/>
              </w:rPr>
              <w:t>aerial spraying</w:t>
            </w:r>
            <w:r w:rsidRPr="00B66E13">
              <w:t xml:space="preserve"> in Papua New Guinea, collied with terrain and the pilot received fatal injuries.</w:t>
            </w:r>
            <w:r w:rsidRPr="00A91CD9">
              <w:t xml:space="preserve"> </w:t>
            </w:r>
          </w:p>
        </w:tc>
      </w:tr>
    </w:tbl>
    <w:p w14:paraId="378E150A" w14:textId="2FB640B4" w:rsidR="005C2ADE" w:rsidRDefault="005C2ADE" w:rsidP="00FD548B">
      <w:pPr>
        <w:pStyle w:val="Tablefigureheading"/>
        <w:spacing w:before="240"/>
      </w:pPr>
      <w:bookmarkStart w:id="111" w:name="_Toc230269818"/>
      <w:r w:rsidRPr="00B70E3A">
        <w:lastRenderedPageBreak/>
        <w:t>Table 10</w:t>
      </w:r>
      <w:r w:rsidR="006D2C5C">
        <w:t>—</w:t>
      </w:r>
      <w:r w:rsidRPr="00B70E3A">
        <w:t>Non-Commercial Aviation accidents</w:t>
      </w:r>
      <w:bookmarkEnd w:id="111"/>
    </w:p>
    <w:tbl>
      <w:tblPr>
        <w:tblStyle w:val="DefaultTable11"/>
        <w:tblW w:w="4937" w:type="pct"/>
        <w:tblBorders>
          <w:top w:val="single" w:sz="4" w:space="0" w:color="ED662F"/>
          <w:bottom w:val="single" w:sz="12" w:space="0" w:color="ED662F"/>
          <w:insideH w:val="single" w:sz="4" w:space="0" w:color="ED662F"/>
        </w:tblBorders>
        <w:tblLook w:val="04A0" w:firstRow="1" w:lastRow="0" w:firstColumn="1" w:lastColumn="0" w:noHBand="0" w:noVBand="1"/>
        <w:tblCaption w:val="Table 10—Non-Commercial Aviation accidents"/>
        <w:tblDescription w:val="Table 10—Non-Commercial Aviation accidents"/>
      </w:tblPr>
      <w:tblGrid>
        <w:gridCol w:w="1019"/>
        <w:gridCol w:w="1533"/>
        <w:gridCol w:w="992"/>
        <w:gridCol w:w="5812"/>
      </w:tblGrid>
      <w:tr w:rsidR="00A310FE" w:rsidRPr="00654F9E" w14:paraId="353824B2" w14:textId="77777777" w:rsidTr="00FA6D2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5" w:type="pct"/>
            <w:shd w:val="clear" w:color="auto" w:fill="4D148C"/>
          </w:tcPr>
          <w:p w14:paraId="36B9E0CF" w14:textId="77777777" w:rsidR="00A310FE" w:rsidRPr="002512C8" w:rsidRDefault="00A310FE" w:rsidP="00FA6D25">
            <w:pPr>
              <w:pStyle w:val="Tablerowcolumnheading"/>
              <w:keepNext/>
              <w:jc w:val="center"/>
              <w:rPr>
                <w:b/>
                <w:bCs/>
                <w:sz w:val="22"/>
                <w:szCs w:val="22"/>
              </w:rPr>
            </w:pPr>
            <w:r w:rsidRPr="002512C8">
              <w:rPr>
                <w:b/>
                <w:bCs/>
              </w:rPr>
              <w:t>Accidents</w:t>
            </w:r>
          </w:p>
        </w:tc>
        <w:tc>
          <w:tcPr>
            <w:tcW w:w="819" w:type="pct"/>
            <w:shd w:val="clear" w:color="auto" w:fill="4D148C"/>
          </w:tcPr>
          <w:p w14:paraId="13F2269D" w14:textId="77777777" w:rsidR="00A310FE" w:rsidRPr="002512C8" w:rsidRDefault="00A310FE" w:rsidP="00FA6D25">
            <w:pPr>
              <w:pStyle w:val="Tablerowcolumnheading"/>
              <w:keepNext/>
              <w:jc w:val="center"/>
              <w:cnfStyle w:val="100000000000" w:firstRow="1" w:lastRow="0" w:firstColumn="0" w:lastColumn="0" w:oddVBand="0" w:evenVBand="0" w:oddHBand="0" w:evenHBand="0" w:firstRowFirstColumn="0" w:firstRowLastColumn="0" w:lastRowFirstColumn="0" w:lastRowLastColumn="0"/>
              <w:rPr>
                <w:b/>
                <w:bCs/>
                <w:szCs w:val="22"/>
              </w:rPr>
            </w:pPr>
            <w:r w:rsidRPr="002512C8">
              <w:rPr>
                <w:b/>
                <w:bCs/>
              </w:rPr>
              <w:t>Fatal Accidents</w:t>
            </w:r>
          </w:p>
        </w:tc>
        <w:tc>
          <w:tcPr>
            <w:tcW w:w="530" w:type="pct"/>
            <w:shd w:val="clear" w:color="auto" w:fill="4D148C"/>
          </w:tcPr>
          <w:p w14:paraId="4BC01E77" w14:textId="77777777" w:rsidR="00A310FE" w:rsidRPr="002512C8" w:rsidRDefault="00A310FE" w:rsidP="00FA6D25">
            <w:pPr>
              <w:pStyle w:val="Tablerowcolumnheading"/>
              <w:keepNext/>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2512C8">
              <w:rPr>
                <w:b/>
                <w:bCs/>
              </w:rPr>
              <w:t>Fatalities</w:t>
            </w:r>
          </w:p>
        </w:tc>
        <w:tc>
          <w:tcPr>
            <w:tcW w:w="3106" w:type="pct"/>
            <w:shd w:val="clear" w:color="auto" w:fill="4D148C"/>
          </w:tcPr>
          <w:p w14:paraId="245D955F" w14:textId="77777777" w:rsidR="00A310FE" w:rsidRPr="002512C8" w:rsidRDefault="00A310FE" w:rsidP="00800567">
            <w:pPr>
              <w:pStyle w:val="Tablerowcolumnheading"/>
              <w:cnfStyle w:val="100000000000" w:firstRow="1" w:lastRow="0" w:firstColumn="0" w:lastColumn="0" w:oddVBand="0" w:evenVBand="0" w:oddHBand="0" w:evenHBand="0" w:firstRowFirstColumn="0" w:firstRowLastColumn="0" w:lastRowFirstColumn="0" w:lastRowLastColumn="0"/>
              <w:rPr>
                <w:b/>
                <w:sz w:val="22"/>
                <w:szCs w:val="22"/>
              </w:rPr>
            </w:pPr>
            <w:r w:rsidRPr="002512C8">
              <w:rPr>
                <w:b/>
              </w:rPr>
              <w:t>Fatal accident description</w:t>
            </w:r>
          </w:p>
        </w:tc>
      </w:tr>
      <w:tr w:rsidR="00FD548B" w:rsidRPr="00654F9E" w14:paraId="78C51790" w14:textId="77777777" w:rsidTr="00FA6D25">
        <w:trPr>
          <w:cantSplit/>
        </w:trPr>
        <w:tc>
          <w:tcPr>
            <w:cnfStyle w:val="001000000000" w:firstRow="0" w:lastRow="0" w:firstColumn="1" w:lastColumn="0" w:oddVBand="0" w:evenVBand="0" w:oddHBand="0" w:evenHBand="0" w:firstRowFirstColumn="0" w:firstRowLastColumn="0" w:lastRowFirstColumn="0" w:lastRowLastColumn="0"/>
            <w:tcW w:w="545" w:type="pct"/>
          </w:tcPr>
          <w:p w14:paraId="45E48992" w14:textId="5764FCCD" w:rsidR="00FD548B" w:rsidRPr="008776AE" w:rsidRDefault="00FD548B" w:rsidP="00FA6D25">
            <w:pPr>
              <w:spacing w:before="120" w:after="120"/>
              <w:jc w:val="center"/>
            </w:pPr>
            <w:r w:rsidRPr="00A91CD9">
              <w:t>55</w:t>
            </w:r>
          </w:p>
        </w:tc>
        <w:tc>
          <w:tcPr>
            <w:tcW w:w="819" w:type="pct"/>
          </w:tcPr>
          <w:p w14:paraId="6B7E75C3" w14:textId="584337F0" w:rsidR="00FD548B" w:rsidRPr="008776AE" w:rsidRDefault="00FD548B" w:rsidP="00FA6D25">
            <w:pPr>
              <w:spacing w:before="120" w:after="120"/>
              <w:jc w:val="center"/>
              <w:cnfStyle w:val="000000000000" w:firstRow="0" w:lastRow="0" w:firstColumn="0" w:lastColumn="0" w:oddVBand="0" w:evenVBand="0" w:oddHBand="0" w:evenHBand="0" w:firstRowFirstColumn="0" w:firstRowLastColumn="0" w:lastRowFirstColumn="0" w:lastRowLastColumn="0"/>
            </w:pPr>
            <w:r w:rsidRPr="00A91CD9">
              <w:t>11</w:t>
            </w:r>
          </w:p>
        </w:tc>
        <w:tc>
          <w:tcPr>
            <w:tcW w:w="530" w:type="pct"/>
          </w:tcPr>
          <w:p w14:paraId="6D789DDE" w14:textId="25C5C882" w:rsidR="00FD548B" w:rsidRPr="008776AE" w:rsidRDefault="00FD548B" w:rsidP="00FA6D25">
            <w:pPr>
              <w:spacing w:before="120" w:after="120"/>
              <w:jc w:val="center"/>
              <w:cnfStyle w:val="000000000000" w:firstRow="0" w:lastRow="0" w:firstColumn="0" w:lastColumn="0" w:oddVBand="0" w:evenVBand="0" w:oddHBand="0" w:evenHBand="0" w:firstRowFirstColumn="0" w:firstRowLastColumn="0" w:lastRowFirstColumn="0" w:lastRowLastColumn="0"/>
            </w:pPr>
            <w:r w:rsidRPr="00A91CD9">
              <w:t>13</w:t>
            </w:r>
          </w:p>
        </w:tc>
        <w:tc>
          <w:tcPr>
            <w:tcW w:w="3106" w:type="pct"/>
          </w:tcPr>
          <w:p w14:paraId="078440E3"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rPr>
                <w:i/>
              </w:rPr>
              <w:t>General aviation</w:t>
            </w:r>
            <w:r w:rsidRPr="00B66E13">
              <w:t xml:space="preserve"> helicopter collided with a building killing the pilot.</w:t>
            </w:r>
          </w:p>
          <w:p w14:paraId="77B9E641"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rPr>
                <w:i/>
              </w:rPr>
              <w:t>Sport and pleasure</w:t>
            </w:r>
            <w:r w:rsidRPr="00B66E13">
              <w:t xml:space="preserve"> aeroplane collided with terrain resulting in fatal injuries to the pilot</w:t>
            </w:r>
          </w:p>
          <w:p w14:paraId="31C348BF"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During initial climb the </w:t>
            </w:r>
            <w:r w:rsidRPr="00B66E13">
              <w:rPr>
                <w:i/>
              </w:rPr>
              <w:t>sport and pleasure</w:t>
            </w:r>
            <w:r w:rsidRPr="00B66E13">
              <w:t xml:space="preserve"> aeroplane lost control entering a veritable descent and collided with terrain. The pilot who was the sole occupant, sustained fatal injuries.</w:t>
            </w:r>
          </w:p>
          <w:p w14:paraId="2BCA880D"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A </w:t>
            </w:r>
            <w:r w:rsidRPr="00B66E13">
              <w:rPr>
                <w:i/>
              </w:rPr>
              <w:t xml:space="preserve">sport and </w:t>
            </w:r>
            <w:r w:rsidRPr="00B66E13">
              <w:rPr>
                <w:i/>
                <w:iCs/>
              </w:rPr>
              <w:t>pleasure</w:t>
            </w:r>
            <w:r>
              <w:rPr>
                <w:rStyle w:val="FootnoteReference"/>
                <w:i/>
                <w:iCs/>
              </w:rPr>
              <w:footnoteReference w:id="7"/>
            </w:r>
            <w:r>
              <w:t xml:space="preserve"> </w:t>
            </w:r>
            <w:r w:rsidRPr="00B66E13">
              <w:t>aircraft (Jabiru) had completed a go-around at a non-controlled aerodrome. While joining the circuit to attempt to land again the Jabiru collided inflight with an instructional flying aircraft.</w:t>
            </w:r>
          </w:p>
          <w:p w14:paraId="13D22B33"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rPr>
                <w:i/>
              </w:rPr>
              <w:t>General aviation</w:t>
            </w:r>
            <w:r w:rsidRPr="00B66E13">
              <w:t xml:space="preserve"> aeroplane lost control and collided with terrain. The pilot and two passengers sustained fatal injuries. </w:t>
            </w:r>
          </w:p>
          <w:p w14:paraId="00CFFA27"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Helicopter conducting a </w:t>
            </w:r>
            <w:r w:rsidRPr="00B66E13">
              <w:rPr>
                <w:i/>
              </w:rPr>
              <w:t>ferry flight</w:t>
            </w:r>
            <w:r w:rsidRPr="00B66E13">
              <w:t xml:space="preserve"> with one passenger collided with terrain after the pilot lost control inflight after an uncommanded yaw and inadvertently shutting down the number 2 engine. The passenger sustained fatal injuries. </w:t>
            </w:r>
          </w:p>
          <w:p w14:paraId="45BC6D9A"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During initial climb, the </w:t>
            </w:r>
            <w:r w:rsidRPr="00B66E13">
              <w:rPr>
                <w:i/>
              </w:rPr>
              <w:t>sport and pleasure</w:t>
            </w:r>
            <w:r w:rsidRPr="00B66E13">
              <w:t xml:space="preserve"> aircraft collided with terrain, and the pilot sustained fatal injuries, and the passenger sustained serious injuries.</w:t>
            </w:r>
          </w:p>
          <w:p w14:paraId="68C59911"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The </w:t>
            </w:r>
            <w:r w:rsidRPr="00B66E13">
              <w:rPr>
                <w:i/>
              </w:rPr>
              <w:t>sport and pleasure</w:t>
            </w:r>
            <w:r w:rsidRPr="00B66E13">
              <w:t xml:space="preserve"> aeroplane collided with water and was subsequently destroyed. The pilot was fatally injured and the passenger sustained minor injuries.</w:t>
            </w:r>
          </w:p>
          <w:p w14:paraId="7F8E0A99"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An aeroplane conducting a </w:t>
            </w:r>
            <w:r w:rsidRPr="00B66E13">
              <w:rPr>
                <w:i/>
              </w:rPr>
              <w:t>ferry flight</w:t>
            </w:r>
            <w:r w:rsidRPr="00B66E13">
              <w:t xml:space="preserve"> collided with terrain. The pilot was the sole occupant and was fatally injured. </w:t>
            </w:r>
          </w:p>
          <w:p w14:paraId="07397F3B" w14:textId="77777777" w:rsidR="00FD548B" w:rsidRPr="00B66E13"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A </w:t>
            </w:r>
            <w:r w:rsidRPr="00B66E13">
              <w:rPr>
                <w:i/>
              </w:rPr>
              <w:t>general aviation</w:t>
            </w:r>
            <w:r w:rsidRPr="00B66E13">
              <w:t xml:space="preserve"> aeroplane collided with terrain. The pilot was fatally injured. </w:t>
            </w:r>
          </w:p>
          <w:p w14:paraId="474D3A5F" w14:textId="43D2A06C" w:rsidR="00FD548B" w:rsidRPr="008776AE" w:rsidRDefault="00FD548B" w:rsidP="00FA6D25">
            <w:pPr>
              <w:pStyle w:val="Listparagraphbullets"/>
              <w:spacing w:before="120" w:after="120"/>
              <w:ind w:left="284" w:hanging="284"/>
              <w:cnfStyle w:val="000000000000" w:firstRow="0" w:lastRow="0" w:firstColumn="0" w:lastColumn="0" w:oddVBand="0" w:evenVBand="0" w:oddHBand="0" w:evenHBand="0" w:firstRowFirstColumn="0" w:firstRowLastColumn="0" w:lastRowFirstColumn="0" w:lastRowLastColumn="0"/>
            </w:pPr>
            <w:r w:rsidRPr="00B66E13">
              <w:t xml:space="preserve">A </w:t>
            </w:r>
            <w:r w:rsidRPr="00B66E13">
              <w:rPr>
                <w:i/>
              </w:rPr>
              <w:t>hang glider</w:t>
            </w:r>
            <w:r w:rsidRPr="00B66E13">
              <w:t xml:space="preserve"> collided with terrain. The pilot sustained fatal injuries.</w:t>
            </w:r>
            <w:r w:rsidRPr="00A91CD9">
              <w:t xml:space="preserve"> </w:t>
            </w:r>
          </w:p>
        </w:tc>
      </w:tr>
    </w:tbl>
    <w:p w14:paraId="5FA2097F" w14:textId="77777777" w:rsidR="005C2ADE" w:rsidRDefault="005C2ADE" w:rsidP="005C2ADE">
      <w:pPr>
        <w:rPr>
          <w:rFonts w:eastAsiaTheme="majorEastAsia" w:cstheme="majorBidi"/>
          <w:b/>
          <w:szCs w:val="32"/>
        </w:rPr>
      </w:pPr>
      <w:r>
        <w:br w:type="page"/>
      </w:r>
    </w:p>
    <w:p w14:paraId="66533B6E" w14:textId="164FE82C" w:rsidR="005C2ADE" w:rsidRPr="00DF6E89" w:rsidRDefault="00A633EE" w:rsidP="00A633EE">
      <w:pPr>
        <w:pStyle w:val="Heading2"/>
      </w:pPr>
      <w:bookmarkStart w:id="112" w:name="_Toc222141601"/>
      <w:bookmarkStart w:id="113" w:name="_Toc227229308"/>
      <w:bookmarkStart w:id="114" w:name="_Toc230270040"/>
      <w:r>
        <w:lastRenderedPageBreak/>
        <w:t xml:space="preserve">Appendix </w:t>
      </w:r>
      <w:r w:rsidR="00E80BA9">
        <w:t>C</w:t>
      </w:r>
      <w:r>
        <w:t>—</w:t>
      </w:r>
      <w:r w:rsidR="005C2ADE" w:rsidRPr="00DF6E89">
        <w:t>Definitions and Abbreviations</w:t>
      </w:r>
      <w:bookmarkEnd w:id="112"/>
      <w:bookmarkEnd w:id="113"/>
      <w:bookmarkEnd w:id="114"/>
    </w:p>
    <w:p w14:paraId="221BD330" w14:textId="175DBA8D" w:rsidR="005C2ADE" w:rsidRDefault="00E80BA9" w:rsidP="006766D7">
      <w:pPr>
        <w:pStyle w:val="Heading3"/>
      </w:pPr>
      <w:bookmarkStart w:id="115" w:name="_Toc230270041"/>
      <w:r>
        <w:t>C.1</w:t>
      </w:r>
      <w:r w:rsidR="006766D7">
        <w:t>—</w:t>
      </w:r>
      <w:r w:rsidR="005C2ADE" w:rsidRPr="00A91CD9">
        <w:t>Definitions</w:t>
      </w:r>
      <w:bookmarkEnd w:id="115"/>
    </w:p>
    <w:tbl>
      <w:tblPr>
        <w:tblStyle w:val="DefaultTable11"/>
        <w:tblW w:w="5000" w:type="pct"/>
        <w:tblBorders>
          <w:top w:val="single" w:sz="4" w:space="0" w:color="ED662F"/>
          <w:bottom w:val="single" w:sz="12" w:space="0" w:color="ED662F"/>
          <w:insideH w:val="single" w:sz="4" w:space="0" w:color="ED662F"/>
        </w:tblBorders>
        <w:tblLook w:val="04A0" w:firstRow="1" w:lastRow="0" w:firstColumn="1" w:lastColumn="0" w:noHBand="0" w:noVBand="1"/>
        <w:tblCaption w:val="C.1—Definitions"/>
        <w:tblDescription w:val="C.1—Definitions"/>
      </w:tblPr>
      <w:tblGrid>
        <w:gridCol w:w="2545"/>
        <w:gridCol w:w="6930"/>
      </w:tblGrid>
      <w:tr w:rsidR="006766D7" w:rsidRPr="00654F9E" w14:paraId="09E5155D" w14:textId="77777777" w:rsidTr="006766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shd w:val="clear" w:color="auto" w:fill="4D148C"/>
          </w:tcPr>
          <w:p w14:paraId="71C3D537" w14:textId="603E023D" w:rsidR="006766D7" w:rsidRPr="006766D7" w:rsidRDefault="006766D7" w:rsidP="006766D7">
            <w:pPr>
              <w:pStyle w:val="Tablerowcolumnheading"/>
              <w:rPr>
                <w:b/>
                <w:bCs/>
                <w:sz w:val="22"/>
                <w:szCs w:val="22"/>
              </w:rPr>
            </w:pPr>
            <w:r w:rsidRPr="006766D7">
              <w:rPr>
                <w:b/>
                <w:bCs/>
              </w:rPr>
              <w:t>Name</w:t>
            </w:r>
          </w:p>
        </w:tc>
        <w:tc>
          <w:tcPr>
            <w:tcW w:w="3657" w:type="pct"/>
            <w:shd w:val="clear" w:color="auto" w:fill="4D148C"/>
          </w:tcPr>
          <w:p w14:paraId="6BDFF5C9" w14:textId="45E8D4B2" w:rsidR="006766D7" w:rsidRPr="006766D7" w:rsidRDefault="006766D7" w:rsidP="006766D7">
            <w:pPr>
              <w:pStyle w:val="Tablerowcolumnheading"/>
              <w:cnfStyle w:val="100000000000" w:firstRow="1" w:lastRow="0" w:firstColumn="0" w:lastColumn="0" w:oddVBand="0" w:evenVBand="0" w:oddHBand="0" w:evenHBand="0" w:firstRowFirstColumn="0" w:firstRowLastColumn="0" w:lastRowFirstColumn="0" w:lastRowLastColumn="0"/>
              <w:rPr>
                <w:b/>
                <w:bCs/>
                <w:sz w:val="22"/>
                <w:szCs w:val="22"/>
              </w:rPr>
            </w:pPr>
            <w:r w:rsidRPr="006766D7">
              <w:rPr>
                <w:b/>
                <w:bCs/>
              </w:rPr>
              <w:t>Definition</w:t>
            </w:r>
          </w:p>
        </w:tc>
      </w:tr>
      <w:tr w:rsidR="006766D7" w:rsidRPr="00654F9E" w14:paraId="1AC8CF08"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34713AAC" w14:textId="6E6CD40A" w:rsidR="006766D7" w:rsidRPr="008776AE" w:rsidRDefault="006766D7" w:rsidP="006766D7">
            <w:r w:rsidRPr="00A91CD9">
              <w:t>Accident</w:t>
            </w:r>
          </w:p>
        </w:tc>
        <w:tc>
          <w:tcPr>
            <w:tcW w:w="3657" w:type="pct"/>
          </w:tcPr>
          <w:p w14:paraId="600F6A48" w14:textId="77777777"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 xml:space="preserve">As per the </w:t>
            </w:r>
            <w:r w:rsidRPr="00A91CD9">
              <w:rPr>
                <w:i/>
                <w:iCs/>
              </w:rPr>
              <w:t>Transport Safety Investigation Regulations 2021</w:t>
            </w:r>
            <w:r w:rsidRPr="00A91CD9">
              <w:t xml:space="preserve"> means an aircraft is involved in an accident if:</w:t>
            </w:r>
          </w:p>
          <w:p w14:paraId="4A6D46AA" w14:textId="77777777" w:rsidR="006766D7" w:rsidRPr="005230D6" w:rsidRDefault="006766D7" w:rsidP="00FE4169">
            <w:pPr>
              <w:pStyle w:val="ListLegal2"/>
              <w:ind w:left="284" w:hanging="284"/>
              <w:cnfStyle w:val="000000000000" w:firstRow="0" w:lastRow="0" w:firstColumn="0" w:lastColumn="0" w:oddVBand="0" w:evenVBand="0" w:oddHBand="0" w:evenHBand="0" w:firstRowFirstColumn="0" w:firstRowLastColumn="0" w:lastRowFirstColumn="0" w:lastRowLastColumn="0"/>
            </w:pPr>
            <w:r w:rsidRPr="005230D6">
              <w:t>a person suffers a fatal aircraft</w:t>
            </w:r>
            <w:r w:rsidRPr="005230D6">
              <w:rPr>
                <w:rFonts w:ascii="Cambria Math" w:hAnsi="Cambria Math" w:cs="Cambria Math"/>
              </w:rPr>
              <w:t>‑</w:t>
            </w:r>
            <w:r w:rsidRPr="005230D6">
              <w:t>related injury in relation to the operation of the aircraft; or</w:t>
            </w:r>
          </w:p>
          <w:p w14:paraId="5D3CC0EC" w14:textId="77777777" w:rsidR="006766D7" w:rsidRPr="005230D6" w:rsidRDefault="006766D7" w:rsidP="00FE4169">
            <w:pPr>
              <w:pStyle w:val="ListLegal2"/>
              <w:ind w:left="284" w:hanging="284"/>
              <w:cnfStyle w:val="000000000000" w:firstRow="0" w:lastRow="0" w:firstColumn="0" w:lastColumn="0" w:oddVBand="0" w:evenVBand="0" w:oddHBand="0" w:evenHBand="0" w:firstRowFirstColumn="0" w:firstRowLastColumn="0" w:lastRowFirstColumn="0" w:lastRowLastColumn="0"/>
            </w:pPr>
            <w:r w:rsidRPr="005230D6">
              <w:t>a person suffers a serious aircraft</w:t>
            </w:r>
            <w:r w:rsidRPr="005230D6">
              <w:rPr>
                <w:rFonts w:ascii="Cambria Math" w:hAnsi="Cambria Math" w:cs="Cambria Math"/>
              </w:rPr>
              <w:t>‑</w:t>
            </w:r>
            <w:r w:rsidRPr="005230D6">
              <w:t>related injury in relation to the operation of the aircraft; or</w:t>
            </w:r>
          </w:p>
          <w:p w14:paraId="7EC1FD6A" w14:textId="77777777" w:rsidR="006766D7" w:rsidRPr="005230D6" w:rsidRDefault="006766D7" w:rsidP="00FE4169">
            <w:pPr>
              <w:pStyle w:val="ListLegal2"/>
              <w:ind w:left="284" w:hanging="284"/>
              <w:cnfStyle w:val="000000000000" w:firstRow="0" w:lastRow="0" w:firstColumn="0" w:lastColumn="0" w:oddVBand="0" w:evenVBand="0" w:oddHBand="0" w:evenHBand="0" w:firstRowFirstColumn="0" w:firstRowLastColumn="0" w:lastRowFirstColumn="0" w:lastRowLastColumn="0"/>
            </w:pPr>
            <w:r w:rsidRPr="005230D6">
              <w:t>the aircraft sustains damage or structural failure, or there are reasonable grounds for believing that the aircraft has sustained damage or structural failure, which:</w:t>
            </w:r>
          </w:p>
          <w:p w14:paraId="7323C9FC" w14:textId="77777777" w:rsidR="006766D7" w:rsidRPr="005230D6" w:rsidRDefault="006766D7" w:rsidP="00F57665">
            <w:pPr>
              <w:pStyle w:val="ListLegal3"/>
              <w:ind w:left="568" w:hanging="284"/>
              <w:cnfStyle w:val="000000000000" w:firstRow="0" w:lastRow="0" w:firstColumn="0" w:lastColumn="0" w:oddVBand="0" w:evenVBand="0" w:oddHBand="0" w:evenHBand="0" w:firstRowFirstColumn="0" w:firstRowLastColumn="0" w:lastRowFirstColumn="0" w:lastRowLastColumn="0"/>
            </w:pPr>
            <w:r w:rsidRPr="005230D6">
              <w:t>adversely affects the structural strength, performance, or flight characteristics of the aircraft; and</w:t>
            </w:r>
          </w:p>
          <w:p w14:paraId="3F08B9C4" w14:textId="77777777" w:rsidR="006766D7" w:rsidRPr="005230D6" w:rsidRDefault="006766D7" w:rsidP="00F57665">
            <w:pPr>
              <w:pStyle w:val="ListLegal3"/>
              <w:ind w:left="568" w:hanging="284"/>
              <w:cnfStyle w:val="000000000000" w:firstRow="0" w:lastRow="0" w:firstColumn="0" w:lastColumn="0" w:oddVBand="0" w:evenVBand="0" w:oddHBand="0" w:evenHBand="0" w:firstRowFirstColumn="0" w:firstRowLastColumn="0" w:lastRowFirstColumn="0" w:lastRowLastColumn="0"/>
            </w:pPr>
            <w:r w:rsidRPr="005230D6">
              <w:t>would normally require major repair or replacement of the affected component;</w:t>
            </w:r>
            <w:r>
              <w:t xml:space="preserve"> </w:t>
            </w:r>
            <w:r w:rsidRPr="005230D6">
              <w:t>except for any of the following:</w:t>
            </w:r>
          </w:p>
          <w:p w14:paraId="4CCB595D" w14:textId="77777777" w:rsidR="006766D7" w:rsidRPr="005230D6" w:rsidRDefault="006766D7" w:rsidP="00853FE5">
            <w:pPr>
              <w:pStyle w:val="ListLegal3"/>
              <w:numPr>
                <w:ilvl w:val="3"/>
                <w:numId w:val="12"/>
              </w:numPr>
              <w:tabs>
                <w:tab w:val="clear" w:pos="1209"/>
              </w:tabs>
              <w:ind w:left="851" w:hanging="284"/>
              <w:cnfStyle w:val="000000000000" w:firstRow="0" w:lastRow="0" w:firstColumn="0" w:lastColumn="0" w:oddVBand="0" w:evenVBand="0" w:oddHBand="0" w:evenHBand="0" w:firstRowFirstColumn="0" w:firstRowLastColumn="0" w:lastRowFirstColumn="0" w:lastRowLastColumn="0"/>
            </w:pPr>
            <w:r w:rsidRPr="005230D6">
              <w:t>engine failure;</w:t>
            </w:r>
          </w:p>
          <w:p w14:paraId="3030115D" w14:textId="77777777" w:rsidR="006766D7" w:rsidRPr="005230D6" w:rsidRDefault="006766D7" w:rsidP="00853FE5">
            <w:pPr>
              <w:pStyle w:val="ListLegal3"/>
              <w:numPr>
                <w:ilvl w:val="3"/>
                <w:numId w:val="12"/>
              </w:numPr>
              <w:tabs>
                <w:tab w:val="clear" w:pos="1209"/>
              </w:tabs>
              <w:ind w:left="851" w:hanging="284"/>
              <w:cnfStyle w:val="000000000000" w:firstRow="0" w:lastRow="0" w:firstColumn="0" w:lastColumn="0" w:oddVBand="0" w:evenVBand="0" w:oddHBand="0" w:evenHBand="0" w:firstRowFirstColumn="0" w:firstRowLastColumn="0" w:lastRowFirstColumn="0" w:lastRowLastColumn="0"/>
            </w:pPr>
            <w:r w:rsidRPr="005230D6">
              <w:t>engine damage limited to a single engine (including damage to its cowlings or accessories);</w:t>
            </w:r>
          </w:p>
          <w:p w14:paraId="3F16E8B0" w14:textId="77777777" w:rsidR="006766D7" w:rsidRPr="005230D6" w:rsidRDefault="006766D7" w:rsidP="00853FE5">
            <w:pPr>
              <w:pStyle w:val="ListLegal3"/>
              <w:numPr>
                <w:ilvl w:val="3"/>
                <w:numId w:val="12"/>
              </w:numPr>
              <w:tabs>
                <w:tab w:val="clear" w:pos="1209"/>
              </w:tabs>
              <w:ind w:left="851" w:hanging="284"/>
              <w:cnfStyle w:val="000000000000" w:firstRow="0" w:lastRow="0" w:firstColumn="0" w:lastColumn="0" w:oddVBand="0" w:evenVBand="0" w:oddHBand="0" w:evenHBand="0" w:firstRowFirstColumn="0" w:firstRowLastColumn="0" w:lastRowFirstColumn="0" w:lastRowLastColumn="0"/>
            </w:pPr>
            <w:r w:rsidRPr="005230D6">
              <w:t>damage to propellers, wing tips, antennas, probes, vanes, tyres, brakes, wheels, fairings, panels, landing gear doors or windscreens;</w:t>
            </w:r>
          </w:p>
          <w:p w14:paraId="6CE981D9" w14:textId="77777777" w:rsidR="006766D7" w:rsidRPr="005230D6" w:rsidRDefault="006766D7" w:rsidP="00853FE5">
            <w:pPr>
              <w:pStyle w:val="ListLegal3"/>
              <w:numPr>
                <w:ilvl w:val="3"/>
                <w:numId w:val="12"/>
              </w:numPr>
              <w:tabs>
                <w:tab w:val="clear" w:pos="1209"/>
              </w:tabs>
              <w:ind w:left="851" w:hanging="284"/>
              <w:cnfStyle w:val="000000000000" w:firstRow="0" w:lastRow="0" w:firstColumn="0" w:lastColumn="0" w:oddVBand="0" w:evenVBand="0" w:oddHBand="0" w:evenHBand="0" w:firstRowFirstColumn="0" w:firstRowLastColumn="0" w:lastRowFirstColumn="0" w:lastRowLastColumn="0"/>
            </w:pPr>
            <w:r w:rsidRPr="005230D6">
              <w:t>damage such as small dents or puncture holes to the aircraft skin;</w:t>
            </w:r>
          </w:p>
          <w:p w14:paraId="552760D6" w14:textId="77777777" w:rsidR="006766D7" w:rsidRPr="005230D6" w:rsidRDefault="006766D7" w:rsidP="00853FE5">
            <w:pPr>
              <w:pStyle w:val="ListLegal3"/>
              <w:numPr>
                <w:ilvl w:val="3"/>
                <w:numId w:val="12"/>
              </w:numPr>
              <w:tabs>
                <w:tab w:val="clear" w:pos="1209"/>
              </w:tabs>
              <w:ind w:left="851" w:hanging="284"/>
              <w:cnfStyle w:val="000000000000" w:firstRow="0" w:lastRow="0" w:firstColumn="0" w:lastColumn="0" w:oddVBand="0" w:evenVBand="0" w:oddHBand="0" w:evenHBand="0" w:firstRowFirstColumn="0" w:firstRowLastColumn="0" w:lastRowFirstColumn="0" w:lastRowLastColumn="0"/>
            </w:pPr>
            <w:r w:rsidRPr="005230D6">
              <w:t>minor damage to main rotor blades, tail rotor blades or landing gear;</w:t>
            </w:r>
          </w:p>
          <w:p w14:paraId="62BAC715" w14:textId="77777777" w:rsidR="006766D7" w:rsidRPr="005230D6" w:rsidRDefault="006766D7" w:rsidP="00853FE5">
            <w:pPr>
              <w:pStyle w:val="ListLegal3"/>
              <w:numPr>
                <w:ilvl w:val="3"/>
                <w:numId w:val="12"/>
              </w:numPr>
              <w:tabs>
                <w:tab w:val="clear" w:pos="1209"/>
              </w:tabs>
              <w:ind w:left="851" w:hanging="284"/>
              <w:cnfStyle w:val="000000000000" w:firstRow="0" w:lastRow="0" w:firstColumn="0" w:lastColumn="0" w:oddVBand="0" w:evenVBand="0" w:oddHBand="0" w:evenHBand="0" w:firstRowFirstColumn="0" w:firstRowLastColumn="0" w:lastRowFirstColumn="0" w:lastRowLastColumn="0"/>
            </w:pPr>
            <w:r w:rsidRPr="005230D6">
              <w:t xml:space="preserve">minor damage resulting from hail or bird strike (including holes in the </w:t>
            </w:r>
            <w:proofErr w:type="spellStart"/>
            <w:r w:rsidRPr="005230D6">
              <w:t>radome</w:t>
            </w:r>
            <w:proofErr w:type="spellEnd"/>
            <w:r w:rsidRPr="005230D6">
              <w:t>); or</w:t>
            </w:r>
          </w:p>
          <w:p w14:paraId="04F777F4" w14:textId="77777777" w:rsidR="00585B03" w:rsidRDefault="006766D7" w:rsidP="00585B03">
            <w:pPr>
              <w:pStyle w:val="ListLegal2"/>
              <w:ind w:left="284" w:hanging="284"/>
              <w:cnfStyle w:val="000000000000" w:firstRow="0" w:lastRow="0" w:firstColumn="0" w:lastColumn="0" w:oddVBand="0" w:evenVBand="0" w:oddHBand="0" w:evenHBand="0" w:firstRowFirstColumn="0" w:firstRowLastColumn="0" w:lastRowFirstColumn="0" w:lastRowLastColumn="0"/>
            </w:pPr>
            <w:r w:rsidRPr="005230D6">
              <w:t>the aircraft is missing; or</w:t>
            </w:r>
          </w:p>
          <w:p w14:paraId="3BF0AA7A" w14:textId="173FC865" w:rsidR="006766D7" w:rsidRPr="00585B03" w:rsidRDefault="006766D7" w:rsidP="00585B03">
            <w:pPr>
              <w:pStyle w:val="ListLegal2"/>
              <w:ind w:left="284" w:hanging="284"/>
              <w:cnfStyle w:val="000000000000" w:firstRow="0" w:lastRow="0" w:firstColumn="0" w:lastColumn="0" w:oddVBand="0" w:evenVBand="0" w:oddHBand="0" w:evenHBand="0" w:firstRowFirstColumn="0" w:firstRowLastColumn="0" w:lastRowFirstColumn="0" w:lastRowLastColumn="0"/>
            </w:pPr>
            <w:r w:rsidRPr="00585B03">
              <w:t>the aircraft is completely inaccessible.</w:t>
            </w:r>
          </w:p>
        </w:tc>
      </w:tr>
      <w:tr w:rsidR="006766D7" w:rsidRPr="00654F9E" w14:paraId="7695D51C" w14:textId="77777777" w:rsidTr="006766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tcPr>
          <w:p w14:paraId="24BB2F0A" w14:textId="34CBD158" w:rsidR="006766D7" w:rsidRPr="008776AE" w:rsidRDefault="006766D7" w:rsidP="006766D7">
            <w:r w:rsidRPr="00A91CD9">
              <w:t>Airspace events</w:t>
            </w:r>
          </w:p>
        </w:tc>
        <w:tc>
          <w:tcPr>
            <w:tcW w:w="3657" w:type="pct"/>
          </w:tcPr>
          <w:p w14:paraId="26145F39" w14:textId="0A2AFC35" w:rsidR="006766D7" w:rsidRPr="008776AE" w:rsidRDefault="006766D7" w:rsidP="006766D7">
            <w:pPr>
              <w:cnfStyle w:val="000000010000" w:firstRow="0" w:lastRow="0" w:firstColumn="0" w:lastColumn="0" w:oddVBand="0" w:evenVBand="0" w:oddHBand="0" w:evenHBand="1" w:firstRowFirstColumn="0" w:firstRowLastColumn="0" w:lastRowFirstColumn="0" w:lastRowLastColumn="0"/>
            </w:pPr>
            <w:r w:rsidRPr="00A91CD9">
              <w:t xml:space="preserve">In accordance with the NASP 2024, airspace events </w:t>
            </w:r>
            <w:proofErr w:type="gramStart"/>
            <w:r w:rsidRPr="00A91CD9">
              <w:t>includes</w:t>
            </w:r>
            <w:proofErr w:type="gramEnd"/>
            <w:r w:rsidRPr="00A91CD9">
              <w:t xml:space="preserve"> the ATSB occurrence category taxonomy of Airspace, including aircraft separation, airspace infringement, ANSP operational error, breakdown of coordination, operational non-commercial and encounter with RPA. </w:t>
            </w:r>
          </w:p>
        </w:tc>
      </w:tr>
      <w:tr w:rsidR="006766D7" w:rsidRPr="00654F9E" w14:paraId="39D39718"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6D1D9758" w14:textId="2E1A2B90" w:rsidR="006766D7" w:rsidRPr="008776AE" w:rsidRDefault="006766D7" w:rsidP="006766D7">
            <w:r w:rsidRPr="00A91CD9">
              <w:t>Commercial air transport (CAT)</w:t>
            </w:r>
          </w:p>
        </w:tc>
        <w:tc>
          <w:tcPr>
            <w:tcW w:w="3657" w:type="pct"/>
          </w:tcPr>
          <w:p w14:paraId="3D05F088" w14:textId="77777777"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 xml:space="preserve">From the </w:t>
            </w:r>
            <w:r w:rsidRPr="00A91CD9">
              <w:rPr>
                <w:i/>
                <w:iCs/>
              </w:rPr>
              <w:t>Civil Aviation Safety Regulations 1998</w:t>
            </w:r>
            <w:r w:rsidRPr="00A91CD9">
              <w:t xml:space="preserve"> means an air transport operation being a passenger transport operation, a cargo transport operation, or a medical transport operation, which is conducted for hire or reward; and is prescribed by an instrument issued under regulation 201.025.</w:t>
            </w:r>
          </w:p>
          <w:p w14:paraId="010F0F88" w14:textId="27E9543E" w:rsidR="006766D7" w:rsidRPr="008776AE" w:rsidRDefault="006766D7" w:rsidP="006766D7">
            <w:pPr>
              <w:cnfStyle w:val="000000000000" w:firstRow="0" w:lastRow="0" w:firstColumn="0" w:lastColumn="0" w:oddVBand="0" w:evenVBand="0" w:oddHBand="0" w:evenHBand="0" w:firstRowFirstColumn="0" w:firstRowLastColumn="0" w:lastRowFirstColumn="0" w:lastRowLastColumn="0"/>
            </w:pPr>
            <w:r w:rsidRPr="002700AC">
              <w:rPr>
                <w:b/>
                <w:bCs/>
              </w:rPr>
              <w:t>Note</w:t>
            </w:r>
            <w:r w:rsidRPr="00835192">
              <w:t>: CAT does not include an aerial work operation.</w:t>
            </w:r>
          </w:p>
        </w:tc>
      </w:tr>
      <w:tr w:rsidR="006766D7" w:rsidRPr="00654F9E" w14:paraId="38923D62" w14:textId="77777777" w:rsidTr="006766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tcPr>
          <w:p w14:paraId="05584086" w14:textId="3D51A943" w:rsidR="006766D7" w:rsidRPr="008776AE" w:rsidRDefault="006766D7" w:rsidP="006766D7">
            <w:r w:rsidRPr="00A91CD9">
              <w:t>Commercial aviation</w:t>
            </w:r>
          </w:p>
        </w:tc>
        <w:tc>
          <w:tcPr>
            <w:tcW w:w="3657" w:type="pct"/>
          </w:tcPr>
          <w:p w14:paraId="00D747E9" w14:textId="77777777" w:rsidR="006766D7" w:rsidRPr="00A91CD9" w:rsidRDefault="006766D7" w:rsidP="006766D7">
            <w:pPr>
              <w:cnfStyle w:val="000000010000" w:firstRow="0" w:lastRow="0" w:firstColumn="0" w:lastColumn="0" w:oddVBand="0" w:evenVBand="0" w:oddHBand="0" w:evenHBand="1" w:firstRowFirstColumn="0" w:firstRowLastColumn="0" w:lastRowFirstColumn="0" w:lastRowLastColumn="0"/>
            </w:pPr>
            <w:r w:rsidRPr="00A91CD9">
              <w:t>In accordance with the NASP 2024, commercial aviation (CA) includes the aviation activities of aerial work and flight training excluding CAT activities.</w:t>
            </w:r>
          </w:p>
          <w:p w14:paraId="6FF8D863" w14:textId="5DEE5D94" w:rsidR="006766D7" w:rsidRPr="008776AE" w:rsidRDefault="006766D7" w:rsidP="006766D7">
            <w:pPr>
              <w:cnfStyle w:val="000000010000" w:firstRow="0" w:lastRow="0" w:firstColumn="0" w:lastColumn="0" w:oddVBand="0" w:evenVBand="0" w:oddHBand="0" w:evenHBand="1" w:firstRowFirstColumn="0" w:firstRowLastColumn="0" w:lastRowFirstColumn="0" w:lastRowLastColumn="0"/>
            </w:pPr>
            <w:r w:rsidRPr="002700AC">
              <w:rPr>
                <w:b/>
                <w:bCs/>
              </w:rPr>
              <w:t>Note</w:t>
            </w:r>
            <w:r w:rsidRPr="00835192">
              <w:t>: CA does not include uncrewed RPAS operations.</w:t>
            </w:r>
          </w:p>
        </w:tc>
      </w:tr>
      <w:tr w:rsidR="006766D7" w:rsidRPr="00654F9E" w14:paraId="46A94A6D"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5D49B656" w14:textId="1C88EFDA" w:rsidR="006766D7" w:rsidRPr="008776AE" w:rsidRDefault="006766D7" w:rsidP="006766D7">
            <w:r w:rsidRPr="00A91CD9">
              <w:t>Incident</w:t>
            </w:r>
          </w:p>
        </w:tc>
        <w:tc>
          <w:tcPr>
            <w:tcW w:w="3657" w:type="pct"/>
          </w:tcPr>
          <w:p w14:paraId="4C665184" w14:textId="77777777"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 xml:space="preserve">As per the </w:t>
            </w:r>
            <w:r w:rsidRPr="00A91CD9">
              <w:rPr>
                <w:i/>
                <w:iCs/>
              </w:rPr>
              <w:t>Transport Safety Investigation Regulations 2021</w:t>
            </w:r>
            <w:r w:rsidRPr="00A91CD9">
              <w:t xml:space="preserve"> means any occurrence that:</w:t>
            </w:r>
          </w:p>
          <w:p w14:paraId="3F9219AA" w14:textId="77777777" w:rsidR="00D61BEE" w:rsidRDefault="006766D7" w:rsidP="00D61BEE">
            <w:pPr>
              <w:pStyle w:val="ListLegal2"/>
              <w:ind w:left="284" w:hanging="284"/>
              <w:cnfStyle w:val="000000000000" w:firstRow="0" w:lastRow="0" w:firstColumn="0" w:lastColumn="0" w:oddVBand="0" w:evenVBand="0" w:oddHBand="0" w:evenHBand="0" w:firstRowFirstColumn="0" w:firstRowLastColumn="0" w:lastRowFirstColumn="0" w:lastRowLastColumn="0"/>
            </w:pPr>
            <w:r w:rsidRPr="005230D6">
              <w:t>is associated with the operation of an aircraft; and</w:t>
            </w:r>
          </w:p>
          <w:p w14:paraId="3B0B96E9" w14:textId="60DDFF25" w:rsidR="006766D7" w:rsidRPr="00D61BEE" w:rsidRDefault="006766D7" w:rsidP="00D61BEE">
            <w:pPr>
              <w:pStyle w:val="ListLegal2"/>
              <w:ind w:left="284" w:hanging="284"/>
              <w:cnfStyle w:val="000000000000" w:firstRow="0" w:lastRow="0" w:firstColumn="0" w:lastColumn="0" w:oddVBand="0" w:evenVBand="0" w:oddHBand="0" w:evenHBand="0" w:firstRowFirstColumn="0" w:firstRowLastColumn="0" w:lastRowFirstColumn="0" w:lastRowLastColumn="0"/>
            </w:pPr>
            <w:r w:rsidRPr="00D61BEE">
              <w:t>affects or could affect the safety of the operation of the aircraft.</w:t>
            </w:r>
          </w:p>
        </w:tc>
      </w:tr>
      <w:tr w:rsidR="006766D7" w:rsidRPr="00654F9E" w14:paraId="26AC68D6" w14:textId="77777777" w:rsidTr="006766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tcPr>
          <w:p w14:paraId="451F547A" w14:textId="3F3EA1AC" w:rsidR="006766D7" w:rsidRPr="00A91CD9" w:rsidRDefault="006766D7" w:rsidP="006766D7">
            <w:r w:rsidRPr="00A91CD9">
              <w:lastRenderedPageBreak/>
              <w:t>Industry service provider</w:t>
            </w:r>
          </w:p>
        </w:tc>
        <w:tc>
          <w:tcPr>
            <w:tcW w:w="3657" w:type="pct"/>
          </w:tcPr>
          <w:p w14:paraId="5DF8A3AF" w14:textId="60CD2BB5" w:rsidR="006766D7" w:rsidRPr="00A91CD9" w:rsidRDefault="006766D7" w:rsidP="006766D7">
            <w:pPr>
              <w:cnfStyle w:val="000000010000" w:firstRow="0" w:lastRow="0" w:firstColumn="0" w:lastColumn="0" w:oddVBand="0" w:evenVBand="0" w:oddHBand="0" w:evenHBand="1" w:firstRowFirstColumn="0" w:firstRowLastColumn="0" w:lastRowFirstColumn="0" w:lastRowLastColumn="0"/>
            </w:pPr>
            <w:r w:rsidRPr="00A91CD9">
              <w:t xml:space="preserve">As per the </w:t>
            </w:r>
            <w:r w:rsidRPr="00A91CD9">
              <w:rPr>
                <w:i/>
                <w:iCs/>
              </w:rPr>
              <w:t xml:space="preserve">ICAO Global Aviation Safety Plan 2023-25 </w:t>
            </w:r>
            <w:r w:rsidRPr="00A91CD9">
              <w:t>means a non-governmental aviation organisation such as: aircraft operators; approved maintenance organisations; organisations responsible for the type design or manufacture of aircraft, engines, or propellers; approved training organisations; and operators of aerodromes, as well as other entities that form part of the aviation industry, as appropriate.</w:t>
            </w:r>
          </w:p>
        </w:tc>
      </w:tr>
      <w:tr w:rsidR="006766D7" w:rsidRPr="00654F9E" w14:paraId="6AE53CE2"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01BCCD28" w14:textId="775D8A02" w:rsidR="006766D7" w:rsidRPr="00A91CD9" w:rsidRDefault="006766D7" w:rsidP="006766D7">
            <w:r w:rsidRPr="00A91CD9">
              <w:t>Non-commercial aviation</w:t>
            </w:r>
          </w:p>
        </w:tc>
        <w:tc>
          <w:tcPr>
            <w:tcW w:w="3657" w:type="pct"/>
          </w:tcPr>
          <w:p w14:paraId="5A845BBF" w14:textId="77777777"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In accordance with the NASP 2024, non-commercial aviation (NCA) consists of sports and pleasure, recreational aviation, and other activities, excluding CAT activities.</w:t>
            </w:r>
          </w:p>
          <w:p w14:paraId="43172B4F" w14:textId="22C09351"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DA57C6">
              <w:rPr>
                <w:b/>
                <w:bCs/>
              </w:rPr>
              <w:t>Note</w:t>
            </w:r>
            <w:r w:rsidRPr="00835192">
              <w:t>: NCA does not include uncrewed RPAS operations.</w:t>
            </w:r>
          </w:p>
        </w:tc>
      </w:tr>
      <w:tr w:rsidR="006766D7" w:rsidRPr="00654F9E" w14:paraId="1A2F58DB" w14:textId="77777777" w:rsidTr="006766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tcPr>
          <w:p w14:paraId="564992BE" w14:textId="25708CC5" w:rsidR="006766D7" w:rsidRPr="00A91CD9" w:rsidRDefault="006766D7" w:rsidP="006766D7">
            <w:r w:rsidRPr="00A91CD9">
              <w:t>Occurrence</w:t>
            </w:r>
          </w:p>
        </w:tc>
        <w:tc>
          <w:tcPr>
            <w:tcW w:w="3657" w:type="pct"/>
          </w:tcPr>
          <w:p w14:paraId="5F8F5EA9" w14:textId="69D538C8" w:rsidR="006766D7" w:rsidRPr="00A91CD9" w:rsidRDefault="006766D7" w:rsidP="006766D7">
            <w:pPr>
              <w:cnfStyle w:val="000000010000" w:firstRow="0" w:lastRow="0" w:firstColumn="0" w:lastColumn="0" w:oddVBand="0" w:evenVBand="0" w:oddHBand="0" w:evenHBand="1" w:firstRowFirstColumn="0" w:firstRowLastColumn="0" w:lastRowFirstColumn="0" w:lastRowLastColumn="0"/>
            </w:pPr>
            <w:r w:rsidRPr="00A91CD9">
              <w:t>Refers to any accident, serious incident or incident, associated with the operation of an aircraft which affects or could affect the safety of operation.</w:t>
            </w:r>
          </w:p>
        </w:tc>
      </w:tr>
      <w:tr w:rsidR="006766D7" w:rsidRPr="00654F9E" w14:paraId="52192E8F"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6109AD88" w14:textId="2B1C0FFF" w:rsidR="006766D7" w:rsidRPr="00A91CD9" w:rsidRDefault="006766D7" w:rsidP="006766D7">
            <w:r w:rsidRPr="00A91CD9">
              <w:t>Operational safety objectives</w:t>
            </w:r>
          </w:p>
        </w:tc>
        <w:tc>
          <w:tcPr>
            <w:tcW w:w="3657" w:type="pct"/>
          </w:tcPr>
          <w:p w14:paraId="4B5334B0" w14:textId="6E9E80A0"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In accordance with NASP 2024, are the objectives related to the continuous reduction of operational safety risks identified within global, regional and national plans, including risk management activities associated with ICAOs global high risk category occurrences (G-HRC).</w:t>
            </w:r>
          </w:p>
        </w:tc>
      </w:tr>
      <w:tr w:rsidR="006766D7" w:rsidRPr="00654F9E" w14:paraId="46675694" w14:textId="77777777" w:rsidTr="006766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tcPr>
          <w:p w14:paraId="6E373546" w14:textId="0571592A" w:rsidR="006766D7" w:rsidRPr="00A91CD9" w:rsidRDefault="006766D7" w:rsidP="006766D7">
            <w:r w:rsidRPr="00A91CD9">
              <w:t>Organisational safety objectives</w:t>
            </w:r>
          </w:p>
        </w:tc>
        <w:tc>
          <w:tcPr>
            <w:tcW w:w="3657" w:type="pct"/>
          </w:tcPr>
          <w:p w14:paraId="5703C347" w14:textId="68765B39" w:rsidR="006766D7" w:rsidRPr="00A91CD9" w:rsidRDefault="006766D7" w:rsidP="006766D7">
            <w:pPr>
              <w:cnfStyle w:val="000000010000" w:firstRow="0" w:lastRow="0" w:firstColumn="0" w:lastColumn="0" w:oddVBand="0" w:evenVBand="0" w:oddHBand="0" w:evenHBand="1" w:firstRowFirstColumn="0" w:firstRowLastColumn="0" w:lastRowFirstColumn="0" w:lastRowLastColumn="0"/>
            </w:pPr>
            <w:r w:rsidRPr="00A91CD9">
              <w:t>In accordance with NASP 2024, are the objectives related to Australia’s safety oversight capabilities and the ongoing improvement of Australia’s SSP, including industry service provider’s SMS implementation and oversight.</w:t>
            </w:r>
          </w:p>
        </w:tc>
      </w:tr>
      <w:tr w:rsidR="006766D7" w:rsidRPr="00654F9E" w14:paraId="661FACC5"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6FAB128C" w14:textId="6833E4EB" w:rsidR="006766D7" w:rsidRPr="00A91CD9" w:rsidRDefault="006766D7" w:rsidP="006766D7">
            <w:r w:rsidRPr="00A91CD9">
              <w:t>Runway safety-related events</w:t>
            </w:r>
          </w:p>
        </w:tc>
        <w:tc>
          <w:tcPr>
            <w:tcW w:w="3657" w:type="pct"/>
          </w:tcPr>
          <w:p w14:paraId="10F37016" w14:textId="29E20608"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In accordance with NASP 2024, runway safety-related events are as per the ATSB occurrence category taxonomy of Runway Events, including the following: Runway excursions, Runway incursions, Depart/Approach/Land wrong runway, and Runway undershoot, and Runway events Other</w:t>
            </w:r>
          </w:p>
        </w:tc>
      </w:tr>
      <w:tr w:rsidR="006766D7" w:rsidRPr="00654F9E" w14:paraId="677B4904" w14:textId="77777777" w:rsidTr="006766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tcPr>
          <w:p w14:paraId="3ABC1E78" w14:textId="7FAD0E2B" w:rsidR="006766D7" w:rsidRPr="00A91CD9" w:rsidRDefault="006766D7" w:rsidP="006766D7">
            <w:r w:rsidRPr="00A91CD9">
              <w:t>Safety intelligence</w:t>
            </w:r>
          </w:p>
        </w:tc>
        <w:tc>
          <w:tcPr>
            <w:tcW w:w="3657" w:type="pct"/>
          </w:tcPr>
          <w:p w14:paraId="5DE9A567" w14:textId="2D058128" w:rsidR="006766D7" w:rsidRPr="00A91CD9" w:rsidRDefault="006766D7" w:rsidP="006766D7">
            <w:pPr>
              <w:cnfStyle w:val="000000010000" w:firstRow="0" w:lastRow="0" w:firstColumn="0" w:lastColumn="0" w:oddVBand="0" w:evenVBand="0" w:oddHBand="0" w:evenHBand="1" w:firstRowFirstColumn="0" w:firstRowLastColumn="0" w:lastRowFirstColumn="0" w:lastRowLastColumn="0"/>
            </w:pPr>
            <w:r w:rsidRPr="00A91CD9">
              <w:t xml:space="preserve">As per </w:t>
            </w:r>
            <w:r w:rsidRPr="00A91CD9">
              <w:rPr>
                <w:i/>
                <w:iCs/>
              </w:rPr>
              <w:t>ICAO Annex 19</w:t>
            </w:r>
            <w:r w:rsidRPr="00A91CD9">
              <w:t xml:space="preserve"> means an outcome of the process of analysing safety data and safety information to support decision-making.</w:t>
            </w:r>
          </w:p>
        </w:tc>
      </w:tr>
      <w:tr w:rsidR="006766D7" w:rsidRPr="00654F9E" w14:paraId="61581368"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1753AC76" w14:textId="0AED73EC" w:rsidR="006766D7" w:rsidRPr="00A91CD9" w:rsidRDefault="006766D7" w:rsidP="006766D7">
            <w:r w:rsidRPr="00A91CD9">
              <w:t>Safety objective</w:t>
            </w:r>
          </w:p>
        </w:tc>
        <w:tc>
          <w:tcPr>
            <w:tcW w:w="3657" w:type="pct"/>
          </w:tcPr>
          <w:p w14:paraId="000BD787" w14:textId="5284DE81"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 xml:space="preserve">Safety objectives are the broad measurable outcomes to help achieve safety goals and drive safety performance against specific identified risks or challenges. </w:t>
            </w:r>
          </w:p>
        </w:tc>
      </w:tr>
      <w:tr w:rsidR="006766D7" w:rsidRPr="00654F9E" w14:paraId="3D61BB23" w14:textId="77777777" w:rsidTr="006766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tcPr>
          <w:p w14:paraId="0D3BF5B1" w14:textId="6955127E" w:rsidR="006766D7" w:rsidRPr="00A91CD9" w:rsidRDefault="006766D7" w:rsidP="006766D7">
            <w:r w:rsidRPr="00A91CD9">
              <w:t>Safety performance indicator</w:t>
            </w:r>
          </w:p>
        </w:tc>
        <w:tc>
          <w:tcPr>
            <w:tcW w:w="3657" w:type="pct"/>
          </w:tcPr>
          <w:p w14:paraId="504D37C7" w14:textId="7FB3515F" w:rsidR="006766D7" w:rsidRPr="00A91CD9" w:rsidRDefault="006766D7" w:rsidP="006766D7">
            <w:pPr>
              <w:cnfStyle w:val="000000010000" w:firstRow="0" w:lastRow="0" w:firstColumn="0" w:lastColumn="0" w:oddVBand="0" w:evenVBand="0" w:oddHBand="0" w:evenHBand="1" w:firstRowFirstColumn="0" w:firstRowLastColumn="0" w:lastRowFirstColumn="0" w:lastRowLastColumn="0"/>
            </w:pPr>
            <w:r w:rsidRPr="00A91CD9">
              <w:t xml:space="preserve">Safety performance indicator (SPI) is a tactical parameter, relating to a safety objective, and provide a reference point to monitor safety data, safety </w:t>
            </w:r>
            <w:r w:rsidRPr="00A91CD9">
              <w:rPr>
                <w:rFonts w:cstheme="minorHAnsi"/>
              </w:rPr>
              <w:t>performance and provide evidence on whether desired outcomes are being achieved.</w:t>
            </w:r>
            <w:r w:rsidRPr="00A91CD9">
              <w:t xml:space="preserve"> </w:t>
            </w:r>
          </w:p>
        </w:tc>
      </w:tr>
      <w:tr w:rsidR="006766D7" w:rsidRPr="00654F9E" w14:paraId="552C0BDE"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25474F60" w14:textId="15D01433" w:rsidR="006766D7" w:rsidRPr="00A91CD9" w:rsidRDefault="006766D7" w:rsidP="006766D7">
            <w:r w:rsidRPr="00A91CD9">
              <w:t>SARTIME</w:t>
            </w:r>
          </w:p>
        </w:tc>
        <w:tc>
          <w:tcPr>
            <w:tcW w:w="3657" w:type="pct"/>
          </w:tcPr>
          <w:p w14:paraId="3BBCCDB2" w14:textId="6AA3A61E"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SARTIME is an abbreviation for ‘time search action required’. A SARTIME is the time nominated by a pilot for the initiation of Search and Rescue (SAR) action. SAR action will commence at this time.</w:t>
            </w:r>
          </w:p>
        </w:tc>
      </w:tr>
      <w:tr w:rsidR="006766D7" w:rsidRPr="00654F9E" w14:paraId="3502462C" w14:textId="77777777" w:rsidTr="006766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tcPr>
          <w:p w14:paraId="1B515AFF" w14:textId="334AD316" w:rsidR="006766D7" w:rsidRPr="00A91CD9" w:rsidRDefault="006766D7" w:rsidP="006766D7">
            <w:r w:rsidRPr="00A91CD9">
              <w:t>SARWATCH</w:t>
            </w:r>
          </w:p>
        </w:tc>
        <w:tc>
          <w:tcPr>
            <w:tcW w:w="3657" w:type="pct"/>
          </w:tcPr>
          <w:p w14:paraId="1B1CA568" w14:textId="5890C94F" w:rsidR="006766D7" w:rsidRPr="00A91CD9" w:rsidRDefault="006766D7" w:rsidP="006766D7">
            <w:pPr>
              <w:cnfStyle w:val="000000010000" w:firstRow="0" w:lastRow="0" w:firstColumn="0" w:lastColumn="0" w:oddVBand="0" w:evenVBand="0" w:oddHBand="0" w:evenHBand="1" w:firstRowFirstColumn="0" w:firstRowLastColumn="0" w:lastRowFirstColumn="0" w:lastRowLastColumn="0"/>
            </w:pPr>
            <w:r w:rsidRPr="00A91CD9">
              <w:t>SARWATCH is an abbreviation for ‘Search and Rescue Watch’. An aviation alerting service activated when a pilot fails to report position, arrival, or departure by a nominated time (SARTIME), or due to tracking/reporting requirements.</w:t>
            </w:r>
          </w:p>
        </w:tc>
      </w:tr>
      <w:tr w:rsidR="006766D7" w:rsidRPr="00654F9E" w14:paraId="34D5B998"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6593EA3A" w14:textId="063DD1DE" w:rsidR="006766D7" w:rsidRPr="00A91CD9" w:rsidRDefault="006766D7" w:rsidP="006766D7">
            <w:r w:rsidRPr="00A91CD9">
              <w:t>Serious incident</w:t>
            </w:r>
          </w:p>
        </w:tc>
        <w:tc>
          <w:tcPr>
            <w:tcW w:w="3657" w:type="pct"/>
          </w:tcPr>
          <w:p w14:paraId="768DB13F" w14:textId="0CA8D65E"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 xml:space="preserve">As per the </w:t>
            </w:r>
            <w:r w:rsidRPr="00A91CD9">
              <w:rPr>
                <w:i/>
                <w:iCs/>
              </w:rPr>
              <w:t>Transport Safety Investigation Regulations 2021</w:t>
            </w:r>
            <w:r w:rsidRPr="00A91CD9">
              <w:t xml:space="preserve"> means</w:t>
            </w:r>
            <w:r w:rsidRPr="00A91CD9">
              <w:rPr>
                <w:i/>
                <w:iCs/>
              </w:rPr>
              <w:t xml:space="preserve"> </w:t>
            </w:r>
            <w:r w:rsidRPr="00A91CD9">
              <w:t>an incident involving circumstances indicating that there was a high probability of an aircraft accident.</w:t>
            </w:r>
          </w:p>
        </w:tc>
      </w:tr>
      <w:tr w:rsidR="006766D7" w:rsidRPr="00654F9E" w14:paraId="430A1710" w14:textId="77777777" w:rsidTr="006766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3" w:type="pct"/>
          </w:tcPr>
          <w:p w14:paraId="5820FD47" w14:textId="752389F1" w:rsidR="006766D7" w:rsidRPr="00A91CD9" w:rsidRDefault="006766D7" w:rsidP="006766D7">
            <w:r w:rsidRPr="00A91CD9">
              <w:t>Safety performance targets/trends</w:t>
            </w:r>
          </w:p>
        </w:tc>
        <w:tc>
          <w:tcPr>
            <w:tcW w:w="3657" w:type="pct"/>
          </w:tcPr>
          <w:p w14:paraId="04A18222" w14:textId="6F6FC72D" w:rsidR="006766D7" w:rsidRPr="00A91CD9" w:rsidRDefault="006766D7" w:rsidP="006766D7">
            <w:pPr>
              <w:cnfStyle w:val="000000010000" w:firstRow="0" w:lastRow="0" w:firstColumn="0" w:lastColumn="0" w:oddVBand="0" w:evenVBand="0" w:oddHBand="0" w:evenHBand="1" w:firstRowFirstColumn="0" w:firstRowLastColumn="0" w:lastRowFirstColumn="0" w:lastRowLastColumn="0"/>
            </w:pPr>
            <w:r w:rsidRPr="00A91CD9">
              <w:t>Safety performance targets or trends represent the level of performance considered to be acceptable for a specific safety performance indicator.</w:t>
            </w:r>
          </w:p>
        </w:tc>
      </w:tr>
      <w:tr w:rsidR="006766D7" w:rsidRPr="00654F9E" w14:paraId="499197AF" w14:textId="77777777" w:rsidTr="006766D7">
        <w:trPr>
          <w:cantSplit/>
        </w:trPr>
        <w:tc>
          <w:tcPr>
            <w:cnfStyle w:val="001000000000" w:firstRow="0" w:lastRow="0" w:firstColumn="1" w:lastColumn="0" w:oddVBand="0" w:evenVBand="0" w:oddHBand="0" w:evenHBand="0" w:firstRowFirstColumn="0" w:firstRowLastColumn="0" w:lastRowFirstColumn="0" w:lastRowLastColumn="0"/>
            <w:tcW w:w="1343" w:type="pct"/>
          </w:tcPr>
          <w:p w14:paraId="0E2C7084" w14:textId="7174DE87" w:rsidR="006766D7" w:rsidRPr="00A91CD9" w:rsidRDefault="006766D7" w:rsidP="006766D7">
            <w:r w:rsidRPr="00A91CD9">
              <w:t>Uncrewed remotely piloted aircraft system (RPAS)</w:t>
            </w:r>
          </w:p>
        </w:tc>
        <w:tc>
          <w:tcPr>
            <w:tcW w:w="3657" w:type="pct"/>
          </w:tcPr>
          <w:p w14:paraId="59E53791" w14:textId="2B89C599" w:rsidR="006766D7" w:rsidRPr="00A91CD9" w:rsidRDefault="006766D7" w:rsidP="006766D7">
            <w:pPr>
              <w:cnfStyle w:val="000000000000" w:firstRow="0" w:lastRow="0" w:firstColumn="0" w:lastColumn="0" w:oddVBand="0" w:evenVBand="0" w:oddHBand="0" w:evenHBand="0" w:firstRowFirstColumn="0" w:firstRowLastColumn="0" w:lastRowFirstColumn="0" w:lastRowLastColumn="0"/>
            </w:pPr>
            <w:r w:rsidRPr="00A91CD9">
              <w:t xml:space="preserve">As per the </w:t>
            </w:r>
            <w:r w:rsidRPr="00A91CD9">
              <w:rPr>
                <w:i/>
                <w:iCs/>
              </w:rPr>
              <w:t>RPAS and AAM Strategic Regulatory Roadmap 2024</w:t>
            </w:r>
            <w:r w:rsidRPr="00A91CD9">
              <w:t xml:space="preserve"> refers to remotely piloted operations without people onboard and no plans for passenger transport </w:t>
            </w:r>
            <w:proofErr w:type="gramStart"/>
            <w:r w:rsidRPr="00A91CD9">
              <w:t>in the near future</w:t>
            </w:r>
            <w:proofErr w:type="gramEnd"/>
            <w:r w:rsidRPr="00A91CD9">
              <w:t>. Remotely piloted aircraft systems (RPAS), also known as drones, differ from other aircraft in that they do not have a pilot or crew onboard.</w:t>
            </w:r>
          </w:p>
        </w:tc>
      </w:tr>
    </w:tbl>
    <w:p w14:paraId="4FFD39BE" w14:textId="713AB5CD" w:rsidR="005C2ADE" w:rsidRPr="00A91CD9" w:rsidRDefault="00E80BA9" w:rsidP="00F11619">
      <w:pPr>
        <w:pStyle w:val="Heading3"/>
      </w:pPr>
      <w:bookmarkStart w:id="116" w:name="_Toc230270042"/>
      <w:r>
        <w:lastRenderedPageBreak/>
        <w:t>C.2</w:t>
      </w:r>
      <w:r w:rsidR="00F11619">
        <w:t>—</w:t>
      </w:r>
      <w:r w:rsidR="005C2ADE" w:rsidRPr="00A91CD9">
        <w:t>Abbreviations and Acronyms</w:t>
      </w:r>
      <w:bookmarkEnd w:id="116"/>
    </w:p>
    <w:tbl>
      <w:tblPr>
        <w:tblStyle w:val="DefaultTable1"/>
        <w:tblW w:w="0" w:type="auto"/>
        <w:tblLook w:val="04A0" w:firstRow="1" w:lastRow="0" w:firstColumn="1" w:lastColumn="0" w:noHBand="0" w:noVBand="1"/>
        <w:tblCaption w:val="C.2—Abbreviations and Acronyms"/>
        <w:tblDescription w:val="C.2—Abbreviations and Acronyms"/>
      </w:tblPr>
      <w:tblGrid>
        <w:gridCol w:w="2520"/>
        <w:gridCol w:w="6127"/>
      </w:tblGrid>
      <w:tr w:rsidR="005C2ADE" w:rsidRPr="008C13D8" w14:paraId="36E8E714" w14:textId="77777777" w:rsidTr="00F1161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ED662F"/>
            </w:tcBorders>
            <w:shd w:val="clear" w:color="auto" w:fill="4D148C"/>
          </w:tcPr>
          <w:p w14:paraId="409CFF2C" w14:textId="77777777" w:rsidR="005C2ADE" w:rsidRPr="00B70E3A" w:rsidRDefault="005C2ADE" w:rsidP="00ED1700">
            <w:r w:rsidRPr="00B70E3A">
              <w:t>Abbreviation / acronym</w:t>
            </w:r>
          </w:p>
        </w:tc>
        <w:tc>
          <w:tcPr>
            <w:tcW w:w="6127" w:type="dxa"/>
            <w:tcBorders>
              <w:bottom w:val="single" w:sz="4" w:space="0" w:color="ED662F"/>
            </w:tcBorders>
            <w:shd w:val="clear" w:color="auto" w:fill="4D148C"/>
          </w:tcPr>
          <w:p w14:paraId="61F609F5" w14:textId="77777777" w:rsidR="005C2ADE" w:rsidRPr="00B70E3A" w:rsidRDefault="005C2ADE" w:rsidP="00ED1700">
            <w:pPr>
              <w:cnfStyle w:val="100000000000" w:firstRow="1" w:lastRow="0" w:firstColumn="0" w:lastColumn="0" w:oddVBand="0" w:evenVBand="0" w:oddHBand="0" w:evenHBand="0" w:firstRowFirstColumn="0" w:firstRowLastColumn="0" w:lastRowFirstColumn="0" w:lastRowLastColumn="0"/>
            </w:pPr>
            <w:r w:rsidRPr="00B70E3A">
              <w:t>Details</w:t>
            </w:r>
          </w:p>
        </w:tc>
      </w:tr>
      <w:tr w:rsidR="005C2ADE" w:rsidRPr="00773D6E" w14:paraId="27623775"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1FF5B366" w14:textId="77777777" w:rsidR="005C2ADE" w:rsidRPr="00A91CD9" w:rsidRDefault="005C2ADE" w:rsidP="00ED1700">
            <w:pPr>
              <w:rPr>
                <w:bCs/>
              </w:rPr>
            </w:pPr>
            <w:r w:rsidRPr="00A91CD9">
              <w:t>Airservices</w:t>
            </w:r>
          </w:p>
        </w:tc>
        <w:tc>
          <w:tcPr>
            <w:tcW w:w="6127" w:type="dxa"/>
            <w:tcBorders>
              <w:top w:val="single" w:sz="4" w:space="0" w:color="ED662F"/>
              <w:bottom w:val="single" w:sz="4" w:space="0" w:color="ED662F"/>
            </w:tcBorders>
          </w:tcPr>
          <w:p w14:paraId="2FF00E52"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rPr>
                <w:b/>
              </w:rPr>
            </w:pPr>
            <w:r w:rsidRPr="00A91CD9">
              <w:rPr>
                <w:b/>
              </w:rPr>
              <w:t>Airservices Australia</w:t>
            </w:r>
          </w:p>
        </w:tc>
      </w:tr>
      <w:tr w:rsidR="005C2ADE" w:rsidRPr="008C13D8" w14:paraId="042C0DDE"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7DF64AE8" w14:textId="77777777" w:rsidR="005C2ADE" w:rsidRPr="00A91CD9" w:rsidRDefault="005C2ADE" w:rsidP="00ED1700">
            <w:r w:rsidRPr="00A91CD9">
              <w:t>AMSA</w:t>
            </w:r>
          </w:p>
        </w:tc>
        <w:tc>
          <w:tcPr>
            <w:tcW w:w="6127" w:type="dxa"/>
            <w:tcBorders>
              <w:top w:val="single" w:sz="4" w:space="0" w:color="ED662F"/>
              <w:bottom w:val="single" w:sz="4" w:space="0" w:color="ED662F"/>
            </w:tcBorders>
          </w:tcPr>
          <w:p w14:paraId="6CA4AA74"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Australian Maritime Safety Authority</w:t>
            </w:r>
          </w:p>
        </w:tc>
      </w:tr>
      <w:tr w:rsidR="005C2ADE" w:rsidRPr="008C13D8" w14:paraId="0CCF1E62"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291CBC84" w14:textId="77777777" w:rsidR="005C2ADE" w:rsidRPr="00A91CD9" w:rsidRDefault="005C2ADE" w:rsidP="00ED1700">
            <w:r w:rsidRPr="00A91CD9">
              <w:t>APAC</w:t>
            </w:r>
          </w:p>
        </w:tc>
        <w:tc>
          <w:tcPr>
            <w:tcW w:w="6127" w:type="dxa"/>
            <w:tcBorders>
              <w:top w:val="single" w:sz="4" w:space="0" w:color="ED662F"/>
              <w:bottom w:val="single" w:sz="4" w:space="0" w:color="ED662F"/>
            </w:tcBorders>
          </w:tcPr>
          <w:p w14:paraId="4E78D6A4"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Asia Pacific</w:t>
            </w:r>
          </w:p>
        </w:tc>
      </w:tr>
      <w:tr w:rsidR="005C2ADE" w:rsidRPr="008C13D8" w14:paraId="7F772968"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00CD500D" w14:textId="77777777" w:rsidR="005C2ADE" w:rsidRPr="00A91CD9" w:rsidRDefault="005C2ADE" w:rsidP="00ED1700">
            <w:r w:rsidRPr="00A91CD9">
              <w:t>AP-RASP</w:t>
            </w:r>
          </w:p>
        </w:tc>
        <w:tc>
          <w:tcPr>
            <w:tcW w:w="6127" w:type="dxa"/>
            <w:tcBorders>
              <w:top w:val="single" w:sz="4" w:space="0" w:color="ED662F"/>
              <w:bottom w:val="single" w:sz="4" w:space="0" w:color="ED662F"/>
            </w:tcBorders>
          </w:tcPr>
          <w:p w14:paraId="5F84A9E9"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Asia Pacific Regional Aviation Safety Plan</w:t>
            </w:r>
          </w:p>
        </w:tc>
      </w:tr>
      <w:tr w:rsidR="005C2ADE" w:rsidRPr="008C13D8" w14:paraId="51ECA3D5"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197C7751" w14:textId="77777777" w:rsidR="005C2ADE" w:rsidRPr="00A91CD9" w:rsidRDefault="005C2ADE" w:rsidP="00ED1700">
            <w:r w:rsidRPr="00A91CD9">
              <w:t>ARC</w:t>
            </w:r>
          </w:p>
        </w:tc>
        <w:tc>
          <w:tcPr>
            <w:tcW w:w="6127" w:type="dxa"/>
            <w:tcBorders>
              <w:top w:val="single" w:sz="4" w:space="0" w:color="ED662F"/>
              <w:bottom w:val="single" w:sz="4" w:space="0" w:color="ED662F"/>
            </w:tcBorders>
          </w:tcPr>
          <w:p w14:paraId="56FA0DB4"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Abnormal Runway Contact</w:t>
            </w:r>
          </w:p>
        </w:tc>
      </w:tr>
      <w:tr w:rsidR="005C2ADE" w:rsidRPr="008C13D8" w14:paraId="24E1C0A0"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7E55FC5D" w14:textId="77777777" w:rsidR="005C2ADE" w:rsidRPr="00A91CD9" w:rsidRDefault="005C2ADE" w:rsidP="00ED1700">
            <w:r w:rsidRPr="00A91CD9">
              <w:t>ATSB</w:t>
            </w:r>
          </w:p>
        </w:tc>
        <w:tc>
          <w:tcPr>
            <w:tcW w:w="6127" w:type="dxa"/>
            <w:tcBorders>
              <w:top w:val="single" w:sz="4" w:space="0" w:color="ED662F"/>
              <w:bottom w:val="single" w:sz="4" w:space="0" w:color="ED662F"/>
            </w:tcBorders>
          </w:tcPr>
          <w:p w14:paraId="43BF81C2"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Australian Transport Safety Bureau</w:t>
            </w:r>
          </w:p>
        </w:tc>
      </w:tr>
      <w:tr w:rsidR="005C2ADE" w:rsidRPr="008C13D8" w14:paraId="2F0C1AAA"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03A7891A" w14:textId="77777777" w:rsidR="005C2ADE" w:rsidRPr="00A91CD9" w:rsidRDefault="005C2ADE" w:rsidP="00ED1700">
            <w:r w:rsidRPr="00A91CD9">
              <w:t>BITRE</w:t>
            </w:r>
          </w:p>
        </w:tc>
        <w:tc>
          <w:tcPr>
            <w:tcW w:w="6127" w:type="dxa"/>
            <w:tcBorders>
              <w:top w:val="single" w:sz="4" w:space="0" w:color="ED662F"/>
              <w:bottom w:val="single" w:sz="4" w:space="0" w:color="ED662F"/>
            </w:tcBorders>
          </w:tcPr>
          <w:p w14:paraId="4D436F27"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Bureau of Infrastructure, Transport and Regional Economics</w:t>
            </w:r>
          </w:p>
        </w:tc>
      </w:tr>
      <w:tr w:rsidR="005C2ADE" w:rsidRPr="008C13D8" w14:paraId="171F6F64"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7E67AA05" w14:textId="77777777" w:rsidR="005C2ADE" w:rsidRPr="00A91CD9" w:rsidRDefault="005C2ADE" w:rsidP="00ED1700">
            <w:r w:rsidRPr="00A91CD9">
              <w:t>BoM</w:t>
            </w:r>
          </w:p>
        </w:tc>
        <w:tc>
          <w:tcPr>
            <w:tcW w:w="6127" w:type="dxa"/>
            <w:tcBorders>
              <w:top w:val="single" w:sz="4" w:space="0" w:color="ED662F"/>
              <w:bottom w:val="single" w:sz="4" w:space="0" w:color="ED662F"/>
            </w:tcBorders>
          </w:tcPr>
          <w:p w14:paraId="69F27FD8"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Bureau of Meteorology</w:t>
            </w:r>
          </w:p>
        </w:tc>
      </w:tr>
      <w:tr w:rsidR="005C2ADE" w:rsidRPr="008C13D8" w14:paraId="3320B27C"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2C0114B7" w14:textId="77777777" w:rsidR="005C2ADE" w:rsidRPr="00A91CD9" w:rsidRDefault="005C2ADE" w:rsidP="00ED1700">
            <w:r w:rsidRPr="00A91CD9">
              <w:t>CASA</w:t>
            </w:r>
          </w:p>
        </w:tc>
        <w:tc>
          <w:tcPr>
            <w:tcW w:w="6127" w:type="dxa"/>
            <w:tcBorders>
              <w:top w:val="single" w:sz="4" w:space="0" w:color="ED662F"/>
              <w:bottom w:val="single" w:sz="4" w:space="0" w:color="ED662F"/>
            </w:tcBorders>
          </w:tcPr>
          <w:p w14:paraId="40846B99"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Civil Aviation Safety Authority</w:t>
            </w:r>
          </w:p>
        </w:tc>
      </w:tr>
      <w:tr w:rsidR="005C2ADE" w:rsidRPr="008C13D8" w14:paraId="25D74C5B"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086C1A17" w14:textId="77777777" w:rsidR="005C2ADE" w:rsidRPr="00A91CD9" w:rsidRDefault="005C2ADE" w:rsidP="00ED1700">
            <w:r w:rsidRPr="00A91CD9">
              <w:t>CA</w:t>
            </w:r>
          </w:p>
        </w:tc>
        <w:tc>
          <w:tcPr>
            <w:tcW w:w="6127" w:type="dxa"/>
            <w:tcBorders>
              <w:top w:val="single" w:sz="4" w:space="0" w:color="ED662F"/>
              <w:bottom w:val="single" w:sz="4" w:space="0" w:color="ED662F"/>
            </w:tcBorders>
          </w:tcPr>
          <w:p w14:paraId="36318C12"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Commercial aviation</w:t>
            </w:r>
          </w:p>
        </w:tc>
      </w:tr>
      <w:tr w:rsidR="005C2ADE" w:rsidRPr="008C13D8" w14:paraId="1F63E1AA"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4F991347" w14:textId="77777777" w:rsidR="005C2ADE" w:rsidRPr="00A91CD9" w:rsidRDefault="005C2ADE" w:rsidP="00ED1700">
            <w:r w:rsidRPr="00A91CD9">
              <w:t>CAT</w:t>
            </w:r>
          </w:p>
        </w:tc>
        <w:tc>
          <w:tcPr>
            <w:tcW w:w="6127" w:type="dxa"/>
            <w:tcBorders>
              <w:top w:val="single" w:sz="4" w:space="0" w:color="ED662F"/>
              <w:bottom w:val="single" w:sz="4" w:space="0" w:color="ED662F"/>
            </w:tcBorders>
          </w:tcPr>
          <w:p w14:paraId="3E856AED"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Commercial Air Transport</w:t>
            </w:r>
          </w:p>
        </w:tc>
      </w:tr>
      <w:tr w:rsidR="005C2ADE" w:rsidRPr="008C13D8" w14:paraId="18BF4FF4"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55D4E8E2" w14:textId="77777777" w:rsidR="005C2ADE" w:rsidRPr="00A91CD9" w:rsidRDefault="005C2ADE" w:rsidP="00ED1700">
            <w:r w:rsidRPr="00A91CD9">
              <w:t>CFIT</w:t>
            </w:r>
          </w:p>
        </w:tc>
        <w:tc>
          <w:tcPr>
            <w:tcW w:w="6127" w:type="dxa"/>
            <w:tcBorders>
              <w:top w:val="single" w:sz="4" w:space="0" w:color="ED662F"/>
              <w:bottom w:val="single" w:sz="4" w:space="0" w:color="ED662F"/>
            </w:tcBorders>
          </w:tcPr>
          <w:p w14:paraId="63F713CB"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Controlled Flight into Terrain</w:t>
            </w:r>
          </w:p>
        </w:tc>
      </w:tr>
      <w:tr w:rsidR="005C2ADE" w:rsidRPr="008C13D8" w14:paraId="09142A50"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7E6B0B1E" w14:textId="77777777" w:rsidR="005C2ADE" w:rsidRPr="00A91CD9" w:rsidRDefault="005C2ADE" w:rsidP="00ED1700">
            <w:r w:rsidRPr="00A91CD9">
              <w:t>CMA</w:t>
            </w:r>
          </w:p>
        </w:tc>
        <w:tc>
          <w:tcPr>
            <w:tcW w:w="6127" w:type="dxa"/>
            <w:tcBorders>
              <w:top w:val="single" w:sz="4" w:space="0" w:color="ED662F"/>
              <w:bottom w:val="single" w:sz="4" w:space="0" w:color="ED662F"/>
            </w:tcBorders>
          </w:tcPr>
          <w:p w14:paraId="6B96890A"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Continuous Monitoring Approach</w:t>
            </w:r>
          </w:p>
        </w:tc>
      </w:tr>
      <w:tr w:rsidR="005C2ADE" w:rsidRPr="008C13D8" w14:paraId="7C7B45E3"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65A80545" w14:textId="77777777" w:rsidR="005C2ADE" w:rsidRPr="00A91CD9" w:rsidRDefault="005C2ADE" w:rsidP="00ED1700">
            <w:r w:rsidRPr="00A91CD9">
              <w:t>DASA</w:t>
            </w:r>
          </w:p>
        </w:tc>
        <w:tc>
          <w:tcPr>
            <w:tcW w:w="6127" w:type="dxa"/>
            <w:tcBorders>
              <w:top w:val="single" w:sz="4" w:space="0" w:color="ED662F"/>
              <w:bottom w:val="single" w:sz="4" w:space="0" w:color="ED662F"/>
            </w:tcBorders>
          </w:tcPr>
          <w:p w14:paraId="79DF0978"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Defence Aviation Safety Authority</w:t>
            </w:r>
          </w:p>
        </w:tc>
      </w:tr>
      <w:tr w:rsidR="005C2ADE" w:rsidRPr="008C13D8" w14:paraId="55E77722"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20351B10" w14:textId="77777777" w:rsidR="005C2ADE" w:rsidRPr="00A91CD9" w:rsidRDefault="005C2ADE" w:rsidP="00ED1700">
            <w:r w:rsidRPr="00A91CD9">
              <w:t>Defence</w:t>
            </w:r>
          </w:p>
        </w:tc>
        <w:tc>
          <w:tcPr>
            <w:tcW w:w="6127" w:type="dxa"/>
            <w:tcBorders>
              <w:top w:val="single" w:sz="4" w:space="0" w:color="ED662F"/>
              <w:bottom w:val="single" w:sz="4" w:space="0" w:color="ED662F"/>
            </w:tcBorders>
          </w:tcPr>
          <w:p w14:paraId="305C098F"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 xml:space="preserve">Department of Defence </w:t>
            </w:r>
          </w:p>
        </w:tc>
      </w:tr>
      <w:tr w:rsidR="005C2ADE" w:rsidRPr="008C13D8" w14:paraId="330840F2"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2BD2386E" w14:textId="77777777" w:rsidR="005C2ADE" w:rsidRPr="00A91CD9" w:rsidRDefault="005C2ADE" w:rsidP="00ED1700">
            <w:r w:rsidRPr="00A91CD9">
              <w:t>DGCA</w:t>
            </w:r>
          </w:p>
        </w:tc>
        <w:tc>
          <w:tcPr>
            <w:tcW w:w="6127" w:type="dxa"/>
            <w:tcBorders>
              <w:top w:val="single" w:sz="4" w:space="0" w:color="ED662F"/>
              <w:bottom w:val="single" w:sz="4" w:space="0" w:color="ED662F"/>
            </w:tcBorders>
          </w:tcPr>
          <w:p w14:paraId="3ACBAF13"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Director General Civil Aviation</w:t>
            </w:r>
          </w:p>
        </w:tc>
      </w:tr>
      <w:tr w:rsidR="005C2ADE" w:rsidRPr="008C13D8" w14:paraId="5C58FB55"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5EB063F8" w14:textId="77777777" w:rsidR="005C2ADE" w:rsidRPr="00A91CD9" w:rsidRDefault="005C2ADE" w:rsidP="00ED1700">
            <w:r w:rsidRPr="00A91CD9">
              <w:t>EI</w:t>
            </w:r>
          </w:p>
        </w:tc>
        <w:tc>
          <w:tcPr>
            <w:tcW w:w="6127" w:type="dxa"/>
            <w:tcBorders>
              <w:top w:val="single" w:sz="4" w:space="0" w:color="ED662F"/>
              <w:bottom w:val="single" w:sz="4" w:space="0" w:color="ED662F"/>
            </w:tcBorders>
          </w:tcPr>
          <w:p w14:paraId="2FF81C0D"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Effective Implementation</w:t>
            </w:r>
          </w:p>
        </w:tc>
      </w:tr>
      <w:tr w:rsidR="005C2ADE" w:rsidRPr="008C13D8" w14:paraId="3ED22DEA"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5CAED933" w14:textId="77777777" w:rsidR="005C2ADE" w:rsidRPr="00A91CD9" w:rsidRDefault="005C2ADE" w:rsidP="00ED1700">
            <w:r w:rsidRPr="00A91CD9">
              <w:t>FIR</w:t>
            </w:r>
          </w:p>
        </w:tc>
        <w:tc>
          <w:tcPr>
            <w:tcW w:w="6127" w:type="dxa"/>
            <w:tcBorders>
              <w:top w:val="single" w:sz="4" w:space="0" w:color="ED662F"/>
              <w:bottom w:val="single" w:sz="4" w:space="0" w:color="ED662F"/>
            </w:tcBorders>
          </w:tcPr>
          <w:p w14:paraId="3ACF53E4"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Flight Information Region</w:t>
            </w:r>
          </w:p>
        </w:tc>
      </w:tr>
      <w:tr w:rsidR="005C2ADE" w:rsidRPr="008C13D8" w14:paraId="27481406"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20384CEA" w14:textId="77777777" w:rsidR="005C2ADE" w:rsidRPr="00A91CD9" w:rsidRDefault="005C2ADE" w:rsidP="00ED1700">
            <w:r w:rsidRPr="00A91CD9">
              <w:t>GASP</w:t>
            </w:r>
          </w:p>
        </w:tc>
        <w:tc>
          <w:tcPr>
            <w:tcW w:w="6127" w:type="dxa"/>
            <w:tcBorders>
              <w:top w:val="single" w:sz="4" w:space="0" w:color="ED662F"/>
              <w:bottom w:val="single" w:sz="4" w:space="0" w:color="ED662F"/>
            </w:tcBorders>
          </w:tcPr>
          <w:p w14:paraId="2AEB7DDB"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Global Aviation Safety Plan</w:t>
            </w:r>
          </w:p>
        </w:tc>
      </w:tr>
      <w:tr w:rsidR="005C2ADE" w:rsidRPr="008C13D8" w14:paraId="7219C093"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1334FF60" w14:textId="77777777" w:rsidR="005C2ADE" w:rsidRPr="00A91CD9" w:rsidRDefault="005C2ADE" w:rsidP="00ED1700">
            <w:r w:rsidRPr="00A91CD9">
              <w:t>G-HRC</w:t>
            </w:r>
          </w:p>
        </w:tc>
        <w:tc>
          <w:tcPr>
            <w:tcW w:w="6127" w:type="dxa"/>
            <w:tcBorders>
              <w:top w:val="single" w:sz="4" w:space="0" w:color="ED662F"/>
              <w:bottom w:val="single" w:sz="4" w:space="0" w:color="ED662F"/>
            </w:tcBorders>
          </w:tcPr>
          <w:p w14:paraId="7335CD81"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Global high-risk category of occurrences</w:t>
            </w:r>
          </w:p>
        </w:tc>
      </w:tr>
      <w:tr w:rsidR="005C2ADE" w:rsidRPr="008C13D8" w14:paraId="7A4F6F31"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60FDCB33" w14:textId="77777777" w:rsidR="005C2ADE" w:rsidRPr="00A91CD9" w:rsidRDefault="005C2ADE" w:rsidP="00ED1700">
            <w:r w:rsidRPr="00A91CD9">
              <w:t>GNSS</w:t>
            </w:r>
          </w:p>
        </w:tc>
        <w:tc>
          <w:tcPr>
            <w:tcW w:w="6127" w:type="dxa"/>
            <w:tcBorders>
              <w:top w:val="single" w:sz="4" w:space="0" w:color="ED662F"/>
              <w:bottom w:val="single" w:sz="4" w:space="0" w:color="ED662F"/>
            </w:tcBorders>
          </w:tcPr>
          <w:p w14:paraId="036950DA"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Global Navigation Satellite System</w:t>
            </w:r>
          </w:p>
        </w:tc>
      </w:tr>
      <w:tr w:rsidR="005C2ADE" w:rsidRPr="008C13D8" w14:paraId="270DD640"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5469AD40" w14:textId="77777777" w:rsidR="005C2ADE" w:rsidRPr="00A91CD9" w:rsidRDefault="005C2ADE" w:rsidP="00ED1700">
            <w:r w:rsidRPr="00A91CD9">
              <w:t>Home Affairs</w:t>
            </w:r>
          </w:p>
        </w:tc>
        <w:tc>
          <w:tcPr>
            <w:tcW w:w="6127" w:type="dxa"/>
            <w:tcBorders>
              <w:top w:val="single" w:sz="4" w:space="0" w:color="ED662F"/>
              <w:bottom w:val="single" w:sz="4" w:space="0" w:color="ED662F"/>
            </w:tcBorders>
          </w:tcPr>
          <w:p w14:paraId="7528533A"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Department of Home Affairs</w:t>
            </w:r>
          </w:p>
        </w:tc>
      </w:tr>
      <w:tr w:rsidR="005C2ADE" w:rsidRPr="008C13D8" w14:paraId="1B0EAF7F"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58E12A98" w14:textId="77777777" w:rsidR="005C2ADE" w:rsidRPr="00A91CD9" w:rsidRDefault="005C2ADE" w:rsidP="00ED1700">
            <w:r w:rsidRPr="00A91CD9">
              <w:t>IATA</w:t>
            </w:r>
          </w:p>
        </w:tc>
        <w:tc>
          <w:tcPr>
            <w:tcW w:w="6127" w:type="dxa"/>
            <w:tcBorders>
              <w:top w:val="single" w:sz="4" w:space="0" w:color="ED662F"/>
              <w:bottom w:val="single" w:sz="4" w:space="0" w:color="ED662F"/>
            </w:tcBorders>
          </w:tcPr>
          <w:p w14:paraId="512BDEC9"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International Air Transport Association</w:t>
            </w:r>
          </w:p>
        </w:tc>
      </w:tr>
      <w:tr w:rsidR="005C2ADE" w:rsidRPr="008C13D8" w14:paraId="6513C2E9"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1D6F52E3" w14:textId="77777777" w:rsidR="005C2ADE" w:rsidRPr="00A91CD9" w:rsidRDefault="005C2ADE" w:rsidP="00ED1700">
            <w:r w:rsidRPr="00A91CD9">
              <w:t>ICAO</w:t>
            </w:r>
          </w:p>
        </w:tc>
        <w:tc>
          <w:tcPr>
            <w:tcW w:w="6127" w:type="dxa"/>
            <w:tcBorders>
              <w:top w:val="single" w:sz="4" w:space="0" w:color="ED662F"/>
              <w:bottom w:val="single" w:sz="4" w:space="0" w:color="ED662F"/>
            </w:tcBorders>
          </w:tcPr>
          <w:p w14:paraId="52CB8756"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International Civil Aviation Organization</w:t>
            </w:r>
          </w:p>
        </w:tc>
      </w:tr>
      <w:tr w:rsidR="005C2ADE" w:rsidRPr="008C13D8" w14:paraId="459DEE05"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42294839" w14:textId="77777777" w:rsidR="005C2ADE" w:rsidRPr="00A91CD9" w:rsidRDefault="005C2ADE" w:rsidP="00ED1700">
            <w:r w:rsidRPr="00A91CD9">
              <w:t>Infrastructure</w:t>
            </w:r>
          </w:p>
        </w:tc>
        <w:tc>
          <w:tcPr>
            <w:tcW w:w="6127" w:type="dxa"/>
            <w:tcBorders>
              <w:top w:val="single" w:sz="4" w:space="0" w:color="ED662F"/>
              <w:bottom w:val="single" w:sz="4" w:space="0" w:color="ED662F"/>
            </w:tcBorders>
          </w:tcPr>
          <w:p w14:paraId="44C49BE8"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Department of Infrastructure, Transport, Regional Development, Communications, Sport and the Arts</w:t>
            </w:r>
          </w:p>
        </w:tc>
      </w:tr>
      <w:tr w:rsidR="005C2ADE" w:rsidRPr="008C13D8" w14:paraId="1FA3D7A4"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56C10E61" w14:textId="77777777" w:rsidR="005C2ADE" w:rsidRPr="00A91CD9" w:rsidRDefault="005C2ADE" w:rsidP="00ED1700">
            <w:r w:rsidRPr="00A91CD9">
              <w:t>JAASACG</w:t>
            </w:r>
          </w:p>
        </w:tc>
        <w:tc>
          <w:tcPr>
            <w:tcW w:w="6127" w:type="dxa"/>
            <w:tcBorders>
              <w:top w:val="single" w:sz="4" w:space="0" w:color="ED662F"/>
              <w:bottom w:val="single" w:sz="4" w:space="0" w:color="ED662F"/>
            </w:tcBorders>
          </w:tcPr>
          <w:p w14:paraId="475193E7"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Joint Aviation Agency Safety Analysis Coordination Group</w:t>
            </w:r>
          </w:p>
        </w:tc>
      </w:tr>
      <w:tr w:rsidR="005C2ADE" w:rsidRPr="008C13D8" w14:paraId="72FC6246"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6B94766F" w14:textId="77777777" w:rsidR="005C2ADE" w:rsidRPr="00A91CD9" w:rsidRDefault="005C2ADE" w:rsidP="00ED1700">
            <w:r w:rsidRPr="00A91CD9">
              <w:t>LOC-I</w:t>
            </w:r>
          </w:p>
        </w:tc>
        <w:tc>
          <w:tcPr>
            <w:tcW w:w="6127" w:type="dxa"/>
            <w:tcBorders>
              <w:top w:val="single" w:sz="4" w:space="0" w:color="ED662F"/>
              <w:bottom w:val="single" w:sz="4" w:space="0" w:color="ED662F"/>
            </w:tcBorders>
          </w:tcPr>
          <w:p w14:paraId="39906195"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Loss of Control In-flight</w:t>
            </w:r>
          </w:p>
        </w:tc>
      </w:tr>
      <w:tr w:rsidR="005C2ADE" w:rsidRPr="008C13D8" w14:paraId="14867AAB"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57530CC4" w14:textId="77777777" w:rsidR="005C2ADE" w:rsidRPr="00A91CD9" w:rsidRDefault="005C2ADE" w:rsidP="00ED1700">
            <w:r w:rsidRPr="00A91CD9">
              <w:t>MAC</w:t>
            </w:r>
          </w:p>
        </w:tc>
        <w:tc>
          <w:tcPr>
            <w:tcW w:w="6127" w:type="dxa"/>
            <w:tcBorders>
              <w:top w:val="single" w:sz="4" w:space="0" w:color="ED662F"/>
              <w:bottom w:val="single" w:sz="4" w:space="0" w:color="ED662F"/>
            </w:tcBorders>
          </w:tcPr>
          <w:p w14:paraId="281DA66D"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Mid-Air Collision</w:t>
            </w:r>
          </w:p>
        </w:tc>
      </w:tr>
      <w:tr w:rsidR="005C2ADE" w:rsidRPr="008C13D8" w14:paraId="78159748"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061CA826" w14:textId="77777777" w:rsidR="005C2ADE" w:rsidRPr="00A91CD9" w:rsidRDefault="005C2ADE" w:rsidP="00ED1700">
            <w:r w:rsidRPr="00A91CD9">
              <w:t>NASP</w:t>
            </w:r>
          </w:p>
        </w:tc>
        <w:tc>
          <w:tcPr>
            <w:tcW w:w="6127" w:type="dxa"/>
            <w:tcBorders>
              <w:top w:val="single" w:sz="4" w:space="0" w:color="ED662F"/>
              <w:bottom w:val="single" w:sz="4" w:space="0" w:color="ED662F"/>
            </w:tcBorders>
          </w:tcPr>
          <w:p w14:paraId="146B6BDC"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National Aviation Safety Plan</w:t>
            </w:r>
          </w:p>
        </w:tc>
      </w:tr>
      <w:tr w:rsidR="005C2ADE" w:rsidRPr="008C13D8" w14:paraId="1416424A"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6F59A67B" w14:textId="77777777" w:rsidR="005C2ADE" w:rsidRPr="00A91CD9" w:rsidRDefault="005C2ADE" w:rsidP="00ED1700">
            <w:r w:rsidRPr="00A91CD9">
              <w:t>NCP</w:t>
            </w:r>
          </w:p>
        </w:tc>
        <w:tc>
          <w:tcPr>
            <w:tcW w:w="6127" w:type="dxa"/>
            <w:tcBorders>
              <w:top w:val="single" w:sz="4" w:space="0" w:color="ED662F"/>
              <w:bottom w:val="single" w:sz="4" w:space="0" w:color="ED662F"/>
            </w:tcBorders>
          </w:tcPr>
          <w:p w14:paraId="5D54AA4D"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National Compliance Plan</w:t>
            </w:r>
          </w:p>
        </w:tc>
      </w:tr>
      <w:tr w:rsidR="005C2ADE" w:rsidRPr="008C13D8" w14:paraId="57DD85B6"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34F9BD17" w14:textId="77777777" w:rsidR="005C2ADE" w:rsidRPr="00A91CD9" w:rsidRDefault="005C2ADE" w:rsidP="00ED1700">
            <w:r w:rsidRPr="00A91CD9">
              <w:lastRenderedPageBreak/>
              <w:t>NDDS</w:t>
            </w:r>
          </w:p>
        </w:tc>
        <w:tc>
          <w:tcPr>
            <w:tcW w:w="6127" w:type="dxa"/>
            <w:tcBorders>
              <w:top w:val="single" w:sz="4" w:space="0" w:color="ED662F"/>
              <w:bottom w:val="single" w:sz="4" w:space="0" w:color="ED662F"/>
            </w:tcBorders>
          </w:tcPr>
          <w:p w14:paraId="6BD7FBA3"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National Drone Detection System (being Australia’s drone detection capability)</w:t>
            </w:r>
          </w:p>
        </w:tc>
      </w:tr>
      <w:tr w:rsidR="005C2ADE" w:rsidRPr="008C13D8" w14:paraId="3892F441"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685F8DBA" w14:textId="77777777" w:rsidR="005C2ADE" w:rsidRPr="00A91CD9" w:rsidRDefault="005C2ADE" w:rsidP="00ED1700">
            <w:r w:rsidRPr="00A91CD9">
              <w:t>NFZ</w:t>
            </w:r>
          </w:p>
        </w:tc>
        <w:tc>
          <w:tcPr>
            <w:tcW w:w="6127" w:type="dxa"/>
            <w:tcBorders>
              <w:top w:val="single" w:sz="4" w:space="0" w:color="ED662F"/>
              <w:bottom w:val="single" w:sz="4" w:space="0" w:color="ED662F"/>
            </w:tcBorders>
          </w:tcPr>
          <w:p w14:paraId="34CD0704"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No-Fly Zone</w:t>
            </w:r>
          </w:p>
        </w:tc>
      </w:tr>
      <w:tr w:rsidR="005C2ADE" w:rsidRPr="008C13D8" w14:paraId="2995CFF9"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78B1263F" w14:textId="77777777" w:rsidR="005C2ADE" w:rsidRPr="00A91CD9" w:rsidRDefault="005C2ADE" w:rsidP="00ED1700">
            <w:r w:rsidRPr="00A91CD9">
              <w:t>NOP</w:t>
            </w:r>
          </w:p>
        </w:tc>
        <w:tc>
          <w:tcPr>
            <w:tcW w:w="6127" w:type="dxa"/>
            <w:tcBorders>
              <w:top w:val="single" w:sz="4" w:space="0" w:color="ED662F"/>
              <w:bottom w:val="single" w:sz="4" w:space="0" w:color="ED662F"/>
            </w:tcBorders>
          </w:tcPr>
          <w:p w14:paraId="3F152769"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National Oversight Plan</w:t>
            </w:r>
          </w:p>
        </w:tc>
      </w:tr>
      <w:tr w:rsidR="005C2ADE" w:rsidRPr="008C13D8" w14:paraId="18318927"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73583B5A" w14:textId="77777777" w:rsidR="005C2ADE" w:rsidRPr="00A91CD9" w:rsidRDefault="005C2ADE" w:rsidP="00ED1700">
            <w:r w:rsidRPr="00A91CD9">
              <w:t>NCA</w:t>
            </w:r>
          </w:p>
        </w:tc>
        <w:tc>
          <w:tcPr>
            <w:tcW w:w="6127" w:type="dxa"/>
            <w:tcBorders>
              <w:top w:val="single" w:sz="4" w:space="0" w:color="ED662F"/>
              <w:bottom w:val="single" w:sz="4" w:space="0" w:color="ED662F"/>
            </w:tcBorders>
          </w:tcPr>
          <w:p w14:paraId="1AE9D8DE"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Non-Commercial Aviation</w:t>
            </w:r>
          </w:p>
        </w:tc>
      </w:tr>
      <w:tr w:rsidR="005C2ADE" w:rsidRPr="008C13D8" w14:paraId="26AE0FF3"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3F67621A" w14:textId="77777777" w:rsidR="005C2ADE" w:rsidRPr="00A91CD9" w:rsidRDefault="005C2ADE" w:rsidP="00ED1700">
            <w:r w:rsidRPr="00A91CD9">
              <w:t>PQ</w:t>
            </w:r>
          </w:p>
        </w:tc>
        <w:tc>
          <w:tcPr>
            <w:tcW w:w="6127" w:type="dxa"/>
            <w:tcBorders>
              <w:top w:val="single" w:sz="4" w:space="0" w:color="ED662F"/>
              <w:bottom w:val="single" w:sz="4" w:space="0" w:color="ED662F"/>
            </w:tcBorders>
          </w:tcPr>
          <w:p w14:paraId="7C2B5D7A"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Protocol Question</w:t>
            </w:r>
          </w:p>
        </w:tc>
      </w:tr>
      <w:tr w:rsidR="005C2ADE" w:rsidRPr="008C13D8" w14:paraId="660082E3"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7EA6B637" w14:textId="77777777" w:rsidR="005C2ADE" w:rsidRPr="00A91CD9" w:rsidRDefault="005C2ADE" w:rsidP="00ED1700">
            <w:r w:rsidRPr="00A91CD9">
              <w:t>RE</w:t>
            </w:r>
          </w:p>
        </w:tc>
        <w:tc>
          <w:tcPr>
            <w:tcW w:w="6127" w:type="dxa"/>
            <w:tcBorders>
              <w:top w:val="single" w:sz="4" w:space="0" w:color="ED662F"/>
              <w:bottom w:val="single" w:sz="4" w:space="0" w:color="ED662F"/>
            </w:tcBorders>
          </w:tcPr>
          <w:p w14:paraId="5CA94D1F"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Runway Excursion</w:t>
            </w:r>
          </w:p>
        </w:tc>
      </w:tr>
      <w:tr w:rsidR="005C2ADE" w:rsidRPr="008C13D8" w14:paraId="425F014E"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3CAA3C7F" w14:textId="77777777" w:rsidR="005C2ADE" w:rsidRPr="00A91CD9" w:rsidRDefault="005C2ADE" w:rsidP="00ED1700">
            <w:r w:rsidRPr="00A91CD9">
              <w:t>RI</w:t>
            </w:r>
          </w:p>
        </w:tc>
        <w:tc>
          <w:tcPr>
            <w:tcW w:w="6127" w:type="dxa"/>
            <w:tcBorders>
              <w:top w:val="single" w:sz="4" w:space="0" w:color="ED662F"/>
              <w:bottom w:val="single" w:sz="4" w:space="0" w:color="ED662F"/>
            </w:tcBorders>
          </w:tcPr>
          <w:p w14:paraId="69DF9B8B"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Runway Incursion</w:t>
            </w:r>
          </w:p>
        </w:tc>
      </w:tr>
      <w:tr w:rsidR="005C2ADE" w:rsidRPr="008C13D8" w14:paraId="5CA1F906"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51C1F70F" w14:textId="77777777" w:rsidR="005C2ADE" w:rsidRPr="00A91CD9" w:rsidRDefault="005C2ADE" w:rsidP="00ED1700">
            <w:r w:rsidRPr="00A91CD9">
              <w:t>RPA</w:t>
            </w:r>
          </w:p>
        </w:tc>
        <w:tc>
          <w:tcPr>
            <w:tcW w:w="6127" w:type="dxa"/>
            <w:tcBorders>
              <w:top w:val="single" w:sz="4" w:space="0" w:color="ED662F"/>
              <w:bottom w:val="single" w:sz="4" w:space="0" w:color="ED662F"/>
            </w:tcBorders>
          </w:tcPr>
          <w:p w14:paraId="192FDF9B"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Remotely Piloted Aircraft</w:t>
            </w:r>
          </w:p>
        </w:tc>
      </w:tr>
      <w:tr w:rsidR="005C2ADE" w:rsidRPr="008C13D8" w14:paraId="75E96DD4"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4CDB5277" w14:textId="77777777" w:rsidR="005C2ADE" w:rsidRPr="00A91CD9" w:rsidRDefault="005C2ADE" w:rsidP="00ED1700">
            <w:r w:rsidRPr="00A91CD9">
              <w:t>RPAS</w:t>
            </w:r>
          </w:p>
        </w:tc>
        <w:tc>
          <w:tcPr>
            <w:tcW w:w="6127" w:type="dxa"/>
            <w:tcBorders>
              <w:top w:val="single" w:sz="4" w:space="0" w:color="ED662F"/>
              <w:bottom w:val="single" w:sz="4" w:space="0" w:color="ED662F"/>
            </w:tcBorders>
          </w:tcPr>
          <w:p w14:paraId="14F77FAB"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Remotely Piloted Aircraft System</w:t>
            </w:r>
          </w:p>
        </w:tc>
      </w:tr>
      <w:tr w:rsidR="005C2ADE" w:rsidRPr="008C13D8" w14:paraId="72A14CBC"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17274C63" w14:textId="77777777" w:rsidR="005C2ADE" w:rsidRPr="00A91CD9" w:rsidRDefault="005C2ADE" w:rsidP="00ED1700">
            <w:r w:rsidRPr="00A91CD9">
              <w:t>SAR</w:t>
            </w:r>
          </w:p>
        </w:tc>
        <w:tc>
          <w:tcPr>
            <w:tcW w:w="6127" w:type="dxa"/>
            <w:tcBorders>
              <w:top w:val="single" w:sz="4" w:space="0" w:color="ED662F"/>
              <w:bottom w:val="single" w:sz="4" w:space="0" w:color="ED662F"/>
            </w:tcBorders>
          </w:tcPr>
          <w:p w14:paraId="59AA3ADE"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 xml:space="preserve">Search and </w:t>
            </w:r>
            <w:r w:rsidRPr="008C5AA2">
              <w:t>rescue</w:t>
            </w:r>
          </w:p>
        </w:tc>
      </w:tr>
      <w:tr w:rsidR="005C2ADE" w:rsidRPr="008C13D8" w14:paraId="2FA0D25B"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3109AC54" w14:textId="77777777" w:rsidR="005C2ADE" w:rsidRPr="00A91CD9" w:rsidRDefault="005C2ADE" w:rsidP="00ED1700">
            <w:r w:rsidRPr="00A91CD9">
              <w:t>SARP</w:t>
            </w:r>
            <w:r>
              <w:t>S</w:t>
            </w:r>
          </w:p>
        </w:tc>
        <w:tc>
          <w:tcPr>
            <w:tcW w:w="6127" w:type="dxa"/>
            <w:tcBorders>
              <w:top w:val="single" w:sz="4" w:space="0" w:color="ED662F"/>
              <w:bottom w:val="single" w:sz="4" w:space="0" w:color="ED662F"/>
            </w:tcBorders>
          </w:tcPr>
          <w:p w14:paraId="5B24D8DF"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Standards and Recommended Practices</w:t>
            </w:r>
            <w:r>
              <w:t xml:space="preserve"> </w:t>
            </w:r>
          </w:p>
        </w:tc>
      </w:tr>
      <w:tr w:rsidR="005C2ADE" w:rsidRPr="008C13D8" w14:paraId="6A17260D"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47B2C3C0" w14:textId="77777777" w:rsidR="005C2ADE" w:rsidRPr="00A91CD9" w:rsidRDefault="005C2ADE" w:rsidP="00ED1700">
            <w:r w:rsidRPr="00A91CD9">
              <w:t>SEI</w:t>
            </w:r>
          </w:p>
        </w:tc>
        <w:tc>
          <w:tcPr>
            <w:tcW w:w="6127" w:type="dxa"/>
            <w:tcBorders>
              <w:top w:val="single" w:sz="4" w:space="0" w:color="ED662F"/>
              <w:bottom w:val="single" w:sz="4" w:space="0" w:color="ED662F"/>
            </w:tcBorders>
          </w:tcPr>
          <w:p w14:paraId="300C7CA9"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Safety Enhancement Initiative</w:t>
            </w:r>
          </w:p>
        </w:tc>
      </w:tr>
      <w:tr w:rsidR="005C2ADE" w:rsidRPr="008C13D8" w14:paraId="3D7C05DD"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151BA594" w14:textId="77777777" w:rsidR="005C2ADE" w:rsidRPr="00A91CD9" w:rsidRDefault="005C2ADE" w:rsidP="00ED1700">
            <w:r w:rsidRPr="00A91CD9">
              <w:t>SM ICG</w:t>
            </w:r>
          </w:p>
        </w:tc>
        <w:tc>
          <w:tcPr>
            <w:tcW w:w="6127" w:type="dxa"/>
            <w:tcBorders>
              <w:top w:val="single" w:sz="4" w:space="0" w:color="ED662F"/>
              <w:bottom w:val="single" w:sz="4" w:space="0" w:color="ED662F"/>
            </w:tcBorders>
          </w:tcPr>
          <w:p w14:paraId="60ABE4F9"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Safety Management International Collaboration Group</w:t>
            </w:r>
          </w:p>
        </w:tc>
      </w:tr>
      <w:tr w:rsidR="005C2ADE" w:rsidRPr="008C13D8" w14:paraId="5E043790"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59F9CE38" w14:textId="77777777" w:rsidR="005C2ADE" w:rsidRPr="00A91CD9" w:rsidRDefault="005C2ADE" w:rsidP="00ED1700">
            <w:r w:rsidRPr="00A91CD9">
              <w:t>SMS</w:t>
            </w:r>
          </w:p>
        </w:tc>
        <w:tc>
          <w:tcPr>
            <w:tcW w:w="6127" w:type="dxa"/>
            <w:tcBorders>
              <w:top w:val="single" w:sz="4" w:space="0" w:color="ED662F"/>
              <w:bottom w:val="single" w:sz="4" w:space="0" w:color="ED662F"/>
            </w:tcBorders>
          </w:tcPr>
          <w:p w14:paraId="5F691980"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Safety Management System</w:t>
            </w:r>
          </w:p>
        </w:tc>
      </w:tr>
      <w:tr w:rsidR="005C2ADE" w:rsidRPr="008C13D8" w14:paraId="28386D45"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62D47703" w14:textId="77777777" w:rsidR="005C2ADE" w:rsidRPr="00A91CD9" w:rsidRDefault="005C2ADE" w:rsidP="00ED1700">
            <w:r w:rsidRPr="00A91CD9">
              <w:t>SPI</w:t>
            </w:r>
          </w:p>
        </w:tc>
        <w:tc>
          <w:tcPr>
            <w:tcW w:w="6127" w:type="dxa"/>
            <w:tcBorders>
              <w:top w:val="single" w:sz="4" w:space="0" w:color="ED662F"/>
              <w:bottom w:val="single" w:sz="4" w:space="0" w:color="ED662F"/>
            </w:tcBorders>
          </w:tcPr>
          <w:p w14:paraId="0BE696EB"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Safety Performance Indicator</w:t>
            </w:r>
          </w:p>
        </w:tc>
      </w:tr>
      <w:tr w:rsidR="005C2ADE" w:rsidRPr="008C13D8" w14:paraId="0AA24BCE"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17C4B6E0" w14:textId="77777777" w:rsidR="005C2ADE" w:rsidRPr="00A91CD9" w:rsidRDefault="005C2ADE" w:rsidP="00ED1700">
            <w:r w:rsidRPr="00A91CD9">
              <w:t>SPT</w:t>
            </w:r>
          </w:p>
        </w:tc>
        <w:tc>
          <w:tcPr>
            <w:tcW w:w="6127" w:type="dxa"/>
            <w:tcBorders>
              <w:top w:val="single" w:sz="4" w:space="0" w:color="ED662F"/>
              <w:bottom w:val="single" w:sz="4" w:space="0" w:color="ED662F"/>
            </w:tcBorders>
          </w:tcPr>
          <w:p w14:paraId="70A87BCD"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Safety Performance Target</w:t>
            </w:r>
          </w:p>
        </w:tc>
      </w:tr>
      <w:tr w:rsidR="005C2ADE" w:rsidRPr="008C13D8" w14:paraId="1F514871" w14:textId="77777777" w:rsidTr="00F11619">
        <w:trPr>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0F42D9B5" w14:textId="77777777" w:rsidR="005C2ADE" w:rsidRPr="00A91CD9" w:rsidRDefault="005C2ADE" w:rsidP="00ED1700">
            <w:r w:rsidRPr="00A91CD9">
              <w:t>SSP</w:t>
            </w:r>
          </w:p>
        </w:tc>
        <w:tc>
          <w:tcPr>
            <w:tcW w:w="6127" w:type="dxa"/>
            <w:tcBorders>
              <w:top w:val="single" w:sz="4" w:space="0" w:color="ED662F"/>
              <w:bottom w:val="single" w:sz="4" w:space="0" w:color="ED662F"/>
            </w:tcBorders>
          </w:tcPr>
          <w:p w14:paraId="12A6AD41" w14:textId="77777777" w:rsidR="005C2ADE" w:rsidRPr="00A91CD9" w:rsidRDefault="005C2ADE" w:rsidP="00ED1700">
            <w:pPr>
              <w:cnfStyle w:val="000000000000" w:firstRow="0" w:lastRow="0" w:firstColumn="0" w:lastColumn="0" w:oddVBand="0" w:evenVBand="0" w:oddHBand="0" w:evenHBand="0" w:firstRowFirstColumn="0" w:firstRowLastColumn="0" w:lastRowFirstColumn="0" w:lastRowLastColumn="0"/>
            </w:pPr>
            <w:r w:rsidRPr="00A91CD9">
              <w:t>State Safety Programme</w:t>
            </w:r>
          </w:p>
        </w:tc>
      </w:tr>
      <w:tr w:rsidR="005C2ADE" w:rsidRPr="008C13D8" w14:paraId="510BC196" w14:textId="77777777" w:rsidTr="00F1161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ED662F"/>
              <w:bottom w:val="single" w:sz="4" w:space="0" w:color="ED662F"/>
            </w:tcBorders>
          </w:tcPr>
          <w:p w14:paraId="0C54E8E0" w14:textId="77777777" w:rsidR="005C2ADE" w:rsidRPr="00A91CD9" w:rsidRDefault="005C2ADE" w:rsidP="00ED1700">
            <w:r w:rsidRPr="00A91CD9">
              <w:t>SSP-CAT</w:t>
            </w:r>
          </w:p>
        </w:tc>
        <w:tc>
          <w:tcPr>
            <w:tcW w:w="6127" w:type="dxa"/>
            <w:tcBorders>
              <w:top w:val="single" w:sz="4" w:space="0" w:color="ED662F"/>
              <w:bottom w:val="single" w:sz="4" w:space="0" w:color="ED662F"/>
            </w:tcBorders>
          </w:tcPr>
          <w:p w14:paraId="30769A57" w14:textId="77777777" w:rsidR="005C2ADE" w:rsidRPr="00A91CD9" w:rsidRDefault="005C2ADE" w:rsidP="00ED1700">
            <w:pPr>
              <w:cnfStyle w:val="000000010000" w:firstRow="0" w:lastRow="0" w:firstColumn="0" w:lastColumn="0" w:oddVBand="0" w:evenVBand="0" w:oddHBand="0" w:evenHBand="1" w:firstRowFirstColumn="0" w:firstRowLastColumn="0" w:lastRowFirstColumn="0" w:lastRowLastColumn="0"/>
            </w:pPr>
            <w:r w:rsidRPr="00A91CD9">
              <w:t>State Safety Programme Cross</w:t>
            </w:r>
            <w:r>
              <w:t>-</w:t>
            </w:r>
            <w:r w:rsidRPr="00A91CD9">
              <w:t>Agency Team</w:t>
            </w:r>
          </w:p>
        </w:tc>
      </w:tr>
    </w:tbl>
    <w:p w14:paraId="4B0E8A5B" w14:textId="77777777" w:rsidR="005C2ADE" w:rsidRPr="005A6DAA" w:rsidRDefault="005C2ADE" w:rsidP="005C2ADE"/>
    <w:p w14:paraId="579ECA3B" w14:textId="77777777" w:rsidR="00892CF8" w:rsidRDefault="00892CF8" w:rsidP="00BB3D46"/>
    <w:sectPr w:rsidR="00892CF8" w:rsidSect="00796AB4">
      <w:headerReference w:type="default" r:id="rId63"/>
      <w:headerReference w:type="first" r:id="rId64"/>
      <w:footerReference w:type="first" r:id="rId65"/>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73E0C" w14:textId="77777777" w:rsidR="001F362F" w:rsidRDefault="001F362F" w:rsidP="00FC413F">
      <w:pPr>
        <w:spacing w:after="0"/>
      </w:pPr>
      <w:r>
        <w:separator/>
      </w:r>
    </w:p>
  </w:endnote>
  <w:endnote w:type="continuationSeparator" w:id="0">
    <w:p w14:paraId="07B5DAED" w14:textId="77777777" w:rsidR="001F362F" w:rsidRDefault="001F362F"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500" w14:textId="5A03AF57" w:rsidR="007B0826" w:rsidRDefault="00E466BE">
    <w:pPr>
      <w:pStyle w:val="Footer"/>
    </w:pPr>
    <w:r>
      <w:rPr>
        <w:noProof/>
      </w:rPr>
      <mc:AlternateContent>
        <mc:Choice Requires="wps">
          <w:drawing>
            <wp:anchor distT="0" distB="0" distL="0" distR="0" simplePos="0" relativeHeight="251658240" behindDoc="0" locked="0" layoutInCell="1" allowOverlap="1" wp14:anchorId="5A6A7FCF" wp14:editId="2512C396">
              <wp:simplePos x="635" y="635"/>
              <wp:positionH relativeFrom="page">
                <wp:align>center</wp:align>
              </wp:positionH>
              <wp:positionV relativeFrom="page">
                <wp:align>bottom</wp:align>
              </wp:positionV>
              <wp:extent cx="726440" cy="407670"/>
              <wp:effectExtent l="0" t="0" r="16510" b="0"/>
              <wp:wrapNone/>
              <wp:docPr id="179288626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5B03C52C" w14:textId="3AB008E5" w:rsidR="00E466BE" w:rsidRPr="00E466BE" w:rsidRDefault="00E466BE" w:rsidP="00E466BE">
                          <w:pPr>
                            <w:spacing w:after="0"/>
                            <w:rPr>
                              <w:rFonts w:ascii="Aptos" w:eastAsia="Aptos" w:hAnsi="Aptos" w:cs="Aptos"/>
                              <w:noProof/>
                              <w:color w:val="FF0000"/>
                              <w:sz w:val="28"/>
                              <w:szCs w:val="28"/>
                            </w:rPr>
                          </w:pPr>
                          <w:r w:rsidRPr="00E466BE">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6A7FCF" id="_x0000_t202" coordsize="21600,21600" o:spt="202" path="m,l,21600r21600,l21600,xe">
              <v:stroke joinstyle="miter"/>
              <v:path gradientshapeok="t" o:connecttype="rect"/>
            </v:shapetype>
            <v:shape id="Text Box 7" o:spid="_x0000_s1027" type="#_x0000_t202" alt="OFFICIAL" style="position:absolute;margin-left:0;margin-top:0;width:57.2pt;height:32.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" filled="f" stroked="f">
              <v:textbox style="mso-fit-shape-to-text:t" inset="0,0,0,15pt">
                <w:txbxContent>
                  <w:p w14:paraId="5B03C52C" w14:textId="3AB008E5" w:rsidR="00E466BE" w:rsidRPr="00E466BE" w:rsidRDefault="00E466BE" w:rsidP="00E466BE">
                    <w:pPr>
                      <w:spacing w:after="0"/>
                      <w:rPr>
                        <w:rFonts w:ascii="Aptos" w:eastAsia="Aptos" w:hAnsi="Aptos" w:cs="Aptos"/>
                        <w:noProof/>
                        <w:color w:val="FF0000"/>
                        <w:sz w:val="28"/>
                        <w:szCs w:val="28"/>
                      </w:rPr>
                    </w:pPr>
                    <w:r w:rsidRPr="00E466BE">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501" w14:textId="25C62853" w:rsidR="00C30A4B" w:rsidRDefault="00E466BE" w:rsidP="00953CCD">
    <w:pPr>
      <w:pStyle w:val="Footer"/>
      <w:tabs>
        <w:tab w:val="clear" w:pos="4513"/>
        <w:tab w:val="clear" w:pos="9026"/>
        <w:tab w:val="right" w:pos="9475"/>
      </w:tabs>
      <w:spacing w:after="120"/>
      <w:rPr>
        <w:rFonts w:cs="Segoe UI"/>
        <w:noProof/>
        <w:szCs w:val="18"/>
      </w:rPr>
    </w:pPr>
    <w:r>
      <w:rPr>
        <w:rFonts w:cs="Segoe UI"/>
        <w:noProof/>
        <w:szCs w:val="18"/>
      </w:rPr>
      <mc:AlternateContent>
        <mc:Choice Requires="wps">
          <w:drawing>
            <wp:anchor distT="0" distB="0" distL="0" distR="0" simplePos="0" relativeHeight="251660288" behindDoc="0" locked="0" layoutInCell="1" allowOverlap="1" wp14:anchorId="3E05B43F" wp14:editId="15698834">
              <wp:simplePos x="635" y="635"/>
              <wp:positionH relativeFrom="page">
                <wp:align>center</wp:align>
              </wp:positionH>
              <wp:positionV relativeFrom="page">
                <wp:align>bottom</wp:align>
              </wp:positionV>
              <wp:extent cx="726440" cy="407670"/>
              <wp:effectExtent l="0" t="0" r="16510" b="0"/>
              <wp:wrapNone/>
              <wp:docPr id="24984810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775A650F" w14:textId="61E3F3A6" w:rsidR="00E466BE" w:rsidRPr="00E466BE" w:rsidRDefault="00E466BE" w:rsidP="00E466BE">
                          <w:pPr>
                            <w:spacing w:after="0"/>
                            <w:rPr>
                              <w:rFonts w:ascii="Aptos" w:eastAsia="Aptos" w:hAnsi="Aptos" w:cs="Aptos"/>
                              <w:noProof/>
                              <w:color w:val="FF0000"/>
                              <w:sz w:val="28"/>
                              <w:szCs w:val="28"/>
                            </w:rPr>
                          </w:pPr>
                          <w:r w:rsidRPr="00E466BE">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05B43F" id="_x0000_t202" coordsize="21600,21600" o:spt="202" path="m,l,21600r21600,l21600,xe">
              <v:stroke joinstyle="miter"/>
              <v:path gradientshapeok="t" o:connecttype="rect"/>
            </v:shapetype>
            <v:shape id="Text Box 8" o:spid="_x0000_s1028" type="#_x0000_t202" alt="OFFICIAL" style="position:absolute;margin-left:0;margin-top:0;width:57.2pt;height:32.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" filled="f" stroked="f">
              <v:textbox style="mso-fit-shape-to-text:t" inset="0,0,0,15pt">
                <w:txbxContent>
                  <w:p w14:paraId="775A650F" w14:textId="61E3F3A6" w:rsidR="00E466BE" w:rsidRPr="00E466BE" w:rsidRDefault="00E466BE" w:rsidP="00E466BE">
                    <w:pPr>
                      <w:spacing w:after="0"/>
                      <w:rPr>
                        <w:rFonts w:ascii="Aptos" w:eastAsia="Aptos" w:hAnsi="Aptos" w:cs="Aptos"/>
                        <w:noProof/>
                        <w:color w:val="FF0000"/>
                        <w:sz w:val="28"/>
                        <w:szCs w:val="28"/>
                      </w:rPr>
                    </w:pPr>
                    <w:r w:rsidRPr="00E466BE">
                      <w:rPr>
                        <w:rFonts w:ascii="Aptos" w:eastAsia="Aptos" w:hAnsi="Aptos" w:cs="Aptos"/>
                        <w:noProof/>
                        <w:color w:val="FF0000"/>
                        <w:sz w:val="28"/>
                        <w:szCs w:val="28"/>
                      </w:rPr>
                      <w:t>OFFICIAL</w:t>
                    </w:r>
                  </w:p>
                </w:txbxContent>
              </v:textbox>
              <w10:wrap anchorx="page" anchory="page"/>
            </v:shape>
          </w:pict>
        </mc:Fallback>
      </mc:AlternateContent>
    </w:r>
    <w:r w:rsidR="00C30A4B">
      <w:rPr>
        <w:rFonts w:cs="Segoe UI"/>
        <w:noProof/>
        <w:szCs w:val="18"/>
      </w:rPr>
      <w:fldChar w:fldCharType="begin"/>
    </w:r>
    <w:r w:rsidR="00C30A4B">
      <w:rPr>
        <w:rFonts w:cs="Segoe UI"/>
        <w:noProof/>
        <w:szCs w:val="18"/>
      </w:rPr>
      <w:instrText xml:space="preserve"> STYLEREF  "Heading 1"  \* MERGEFORMAT </w:instrText>
    </w:r>
    <w:r w:rsidR="00C30A4B">
      <w:rPr>
        <w:rFonts w:cs="Segoe UI"/>
        <w:noProof/>
        <w:szCs w:val="18"/>
      </w:rPr>
      <w:fldChar w:fldCharType="separate"/>
    </w:r>
    <w:r w:rsidR="00C30A4B">
      <w:rPr>
        <w:rFonts w:cs="Segoe UI"/>
        <w:noProof/>
        <w:szCs w:val="18"/>
      </w:rPr>
      <w:t>[H1]Title—subtitle</w:t>
    </w:r>
    <w:r w:rsidR="00C30A4B">
      <w:rPr>
        <w:rFonts w:cs="Segoe UI"/>
        <w:noProof/>
        <w:szCs w:val="18"/>
      </w:rPr>
      <w:fldChar w:fldCharType="end"/>
    </w:r>
    <w:r w:rsidR="00C30A4B">
      <w:rPr>
        <w:rFonts w:cs="Segoe UI"/>
        <w:szCs w:val="18"/>
      </w:rPr>
      <w:tab/>
    </w:r>
    <w:r w:rsidR="00C30A4B">
      <w:rPr>
        <w:rFonts w:cs="Segoe UI"/>
        <w:szCs w:val="18"/>
      </w:rPr>
      <w:fldChar w:fldCharType="begin"/>
    </w:r>
    <w:r w:rsidR="00C30A4B">
      <w:rPr>
        <w:rFonts w:cs="Segoe UI"/>
        <w:szCs w:val="18"/>
      </w:rPr>
      <w:instrText xml:space="preserve"> PAGE  \* Arabic  \* MERGEFORMAT </w:instrText>
    </w:r>
    <w:r w:rsidR="00C30A4B">
      <w:rPr>
        <w:rFonts w:cs="Segoe UI"/>
        <w:szCs w:val="18"/>
      </w:rPr>
      <w:fldChar w:fldCharType="separate"/>
    </w:r>
    <w:r w:rsidR="00C30A4B">
      <w:rPr>
        <w:rFonts w:cs="Segoe UI"/>
        <w:szCs w:val="18"/>
      </w:rPr>
      <w:t>2</w:t>
    </w:r>
    <w:r w:rsidR="00C30A4B">
      <w:rPr>
        <w:rFonts w:cs="Segoe UI"/>
        <w:szCs w:val="18"/>
      </w:rPr>
      <w:fldChar w:fldCharType="end"/>
    </w:r>
    <w:r w:rsidR="00C30A4B" w:rsidRPr="00FC413F">
      <w:rPr>
        <w:rFonts w:cs="Segoe UI"/>
        <w:noProof/>
        <w:szCs w:val="18"/>
      </w:rPr>
      <w:t>.</w:t>
    </w:r>
  </w:p>
  <w:p w14:paraId="31473502" w14:textId="77777777" w:rsidR="00C30A4B" w:rsidRPr="00FC413F" w:rsidRDefault="00C30A4B" w:rsidP="00953CCD">
    <w:pPr>
      <w:pStyle w:val="Footer"/>
      <w:tabs>
        <w:tab w:val="clear" w:pos="4513"/>
        <w:tab w:val="clear" w:pos="9026"/>
      </w:tabs>
      <w:ind w:left="-1418"/>
      <w:rPr>
        <w:rFonts w:cs="Segoe UI"/>
        <w:szCs w:val="18"/>
      </w:rPr>
    </w:pPr>
    <w:r>
      <w:rPr>
        <w:noProof/>
        <w:lang w:eastAsia="en-AU"/>
      </w:rPr>
      <w:drawing>
        <wp:inline distT="0" distB="0" distL="0" distR="0" wp14:anchorId="3147350D" wp14:editId="3147350E">
          <wp:extent cx="7559650" cy="150641"/>
          <wp:effectExtent l="0" t="0" r="0" b="1905"/>
          <wp:docPr id="845092615" name="Picture 8450926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504" w14:textId="3054FA73" w:rsidR="00C30A4B" w:rsidRPr="00FC413F" w:rsidRDefault="00C30A4B" w:rsidP="00113A03">
    <w:pPr>
      <w:pStyle w:val="Footer"/>
      <w:tabs>
        <w:tab w:val="clear" w:pos="4513"/>
        <w:tab w:val="clear" w:pos="9026"/>
      </w:tabs>
      <w:ind w:left="-1418"/>
      <w:rPr>
        <w:rFonts w:cs="Segoe UI"/>
        <w:szCs w:val="18"/>
      </w:rPr>
    </w:pPr>
    <w:r>
      <w:rPr>
        <w:noProof/>
        <w:lang w:eastAsia="en-AU"/>
      </w:rPr>
      <w:drawing>
        <wp:inline distT="0" distB="0" distL="0" distR="0" wp14:anchorId="3147350F" wp14:editId="4718DC27">
          <wp:extent cx="7562047" cy="2757268"/>
          <wp:effectExtent l="0" t="0" r="1270" b="5080"/>
          <wp:docPr id="1572156295" name="Picture 1572156295"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1371" cy="27825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505" w14:textId="26B0EBCB" w:rsidR="00C30A4B" w:rsidRDefault="00C30A4B"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B2FEC">
      <w:rPr>
        <w:rFonts w:cs="Segoe UI"/>
        <w:noProof/>
        <w:szCs w:val="18"/>
      </w:rPr>
      <w:t>Australian National Aviation Safety Plan Annual Report—Financial Year 2024–2025</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31473506" w14:textId="5E285552" w:rsidR="00C30A4B" w:rsidRPr="00FC413F" w:rsidRDefault="00C522D5" w:rsidP="00953CCD">
    <w:pPr>
      <w:pStyle w:val="Footer"/>
      <w:tabs>
        <w:tab w:val="clear" w:pos="4513"/>
        <w:tab w:val="clear" w:pos="9026"/>
      </w:tabs>
      <w:ind w:left="-1418"/>
      <w:rPr>
        <w:rFonts w:cs="Segoe UI"/>
        <w:szCs w:val="18"/>
      </w:rPr>
    </w:pPr>
    <w:r>
      <w:rPr>
        <w:noProof/>
        <w:lang w:eastAsia="en-AU"/>
      </w:rPr>
      <w:drawing>
        <wp:inline distT="0" distB="0" distL="0" distR="0" wp14:anchorId="4C5E0A3F" wp14:editId="18007CFD">
          <wp:extent cx="7531100" cy="181621"/>
          <wp:effectExtent l="0" t="0" r="0" b="8890"/>
          <wp:docPr id="1003091809" name="Picture 1003091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74281" name="Picture 201827428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3475" cy="191084"/>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50B" w14:textId="037FDCF9" w:rsidR="00C30A4B" w:rsidRDefault="00C30A4B"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B2FEC">
      <w:rPr>
        <w:rFonts w:cs="Segoe UI"/>
        <w:noProof/>
        <w:szCs w:val="18"/>
      </w:rPr>
      <w:t>Australian National Aviation Safety Plan Annual Report—Financial Year 2024–2025</w:t>
    </w:r>
    <w:r>
      <w:rPr>
        <w:rFonts w:cs="Segoe UI"/>
        <w:noProof/>
        <w:szCs w:val="18"/>
      </w:rPr>
      <w:fldChar w:fldCharType="end"/>
    </w:r>
    <w:r>
      <w:rPr>
        <w:rFonts w:cs="Segoe UI"/>
        <w:szCs w:val="18"/>
      </w:rPr>
      <w:tab/>
    </w:r>
    <w:r w:rsidR="007B0826" w:rsidRPr="00654E6E">
      <w:rPr>
        <w:szCs w:val="18"/>
        <w:lang w:val="en-US"/>
      </w:rPr>
      <w:t xml:space="preserve">Page </w:t>
    </w:r>
    <w:r w:rsidR="007B0826" w:rsidRPr="00654E6E">
      <w:rPr>
        <w:szCs w:val="18"/>
        <w:lang w:val="en-US"/>
      </w:rPr>
      <w:fldChar w:fldCharType="begin"/>
    </w:r>
    <w:r w:rsidR="007B0826" w:rsidRPr="00654E6E">
      <w:rPr>
        <w:szCs w:val="18"/>
        <w:lang w:val="en-US"/>
      </w:rPr>
      <w:instrText xml:space="preserve"> PAGE   \* MERGEFORMAT </w:instrText>
    </w:r>
    <w:r w:rsidR="007B0826" w:rsidRPr="00654E6E">
      <w:rPr>
        <w:szCs w:val="18"/>
        <w:lang w:val="en-US"/>
      </w:rPr>
      <w:fldChar w:fldCharType="separate"/>
    </w:r>
    <w:r w:rsidR="007B0826">
      <w:rPr>
        <w:szCs w:val="18"/>
        <w:lang w:val="en-US"/>
      </w:rPr>
      <w:t>9</w:t>
    </w:r>
    <w:r w:rsidR="007B0826" w:rsidRPr="00654E6E">
      <w:rPr>
        <w:noProof/>
        <w:szCs w:val="18"/>
        <w:lang w:val="en-US"/>
      </w:rPr>
      <w:fldChar w:fldCharType="end"/>
    </w:r>
    <w:r w:rsidR="007B0826" w:rsidRPr="00654E6E">
      <w:rPr>
        <w:noProof/>
        <w:szCs w:val="18"/>
        <w:lang w:val="en-US"/>
      </w:rPr>
      <w:t xml:space="preserve"> of </w:t>
    </w:r>
    <w:r w:rsidR="007B0826" w:rsidRPr="00654E6E">
      <w:rPr>
        <w:noProof/>
        <w:szCs w:val="18"/>
        <w:lang w:val="en-US"/>
      </w:rPr>
      <w:fldChar w:fldCharType="begin"/>
    </w:r>
    <w:r w:rsidR="007B0826" w:rsidRPr="00654E6E">
      <w:rPr>
        <w:noProof/>
        <w:szCs w:val="18"/>
        <w:lang w:val="en-US"/>
      </w:rPr>
      <w:instrText xml:space="preserve"> NUMPAGES   \* MERGEFORMAT </w:instrText>
    </w:r>
    <w:r w:rsidR="007B0826" w:rsidRPr="00654E6E">
      <w:rPr>
        <w:noProof/>
        <w:szCs w:val="18"/>
        <w:lang w:val="en-US"/>
      </w:rPr>
      <w:fldChar w:fldCharType="separate"/>
    </w:r>
    <w:r w:rsidR="007B0826">
      <w:rPr>
        <w:noProof/>
        <w:szCs w:val="18"/>
        <w:lang w:val="en-US"/>
      </w:rPr>
      <w:t>80</w:t>
    </w:r>
    <w:r w:rsidR="007B0826" w:rsidRPr="00654E6E">
      <w:rPr>
        <w:noProof/>
        <w:szCs w:val="18"/>
        <w:lang w:val="en-US"/>
      </w:rPr>
      <w:fldChar w:fldCharType="end"/>
    </w:r>
  </w:p>
  <w:p w14:paraId="3147350C" w14:textId="77777777" w:rsidR="00C30A4B" w:rsidRPr="00FC413F" w:rsidRDefault="00C30A4B" w:rsidP="00796AB4">
    <w:pPr>
      <w:pStyle w:val="Footer"/>
      <w:tabs>
        <w:tab w:val="clear" w:pos="4513"/>
        <w:tab w:val="clear" w:pos="9026"/>
      </w:tabs>
      <w:ind w:left="-1418"/>
      <w:rPr>
        <w:rFonts w:cs="Segoe UI"/>
        <w:szCs w:val="18"/>
      </w:rPr>
    </w:pPr>
    <w:r>
      <w:rPr>
        <w:noProof/>
        <w:lang w:eastAsia="en-AU"/>
      </w:rPr>
      <w:drawing>
        <wp:inline distT="0" distB="0" distL="0" distR="0" wp14:anchorId="31473513" wp14:editId="31473514">
          <wp:extent cx="7559650" cy="150641"/>
          <wp:effectExtent l="0" t="0" r="0" b="1905"/>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E54C1" w14:textId="77777777" w:rsidR="001F362F" w:rsidRDefault="001F362F" w:rsidP="00FC413F">
      <w:pPr>
        <w:spacing w:after="0"/>
      </w:pPr>
      <w:r>
        <w:separator/>
      </w:r>
    </w:p>
  </w:footnote>
  <w:footnote w:type="continuationSeparator" w:id="0">
    <w:p w14:paraId="63D4DE0E" w14:textId="77777777" w:rsidR="001F362F" w:rsidRDefault="001F362F" w:rsidP="00FC413F">
      <w:pPr>
        <w:spacing w:after="0"/>
      </w:pPr>
      <w:r>
        <w:continuationSeparator/>
      </w:r>
    </w:p>
  </w:footnote>
  <w:footnote w:id="1">
    <w:p w14:paraId="617BFBF9" w14:textId="77777777" w:rsidR="005C2ADE" w:rsidRPr="005165ED" w:rsidRDefault="005C2ADE" w:rsidP="005C2ADE">
      <w:pPr>
        <w:pStyle w:val="FootnoteText"/>
      </w:pPr>
      <w:r>
        <w:rPr>
          <w:rStyle w:val="FootnoteReference"/>
        </w:rPr>
        <w:footnoteRef/>
      </w:r>
      <w:r>
        <w:t xml:space="preserve"> </w:t>
      </w:r>
      <w:r w:rsidRPr="005165ED">
        <w:rPr>
          <w:rFonts w:cstheme="minorHAnsi"/>
        </w:rPr>
        <w:t xml:space="preserve">The Mann-Kendall </w:t>
      </w:r>
      <w:r>
        <w:rPr>
          <w:rFonts w:cstheme="minorHAnsi"/>
        </w:rPr>
        <w:t xml:space="preserve">is a statistical </w:t>
      </w:r>
      <w:r w:rsidRPr="005165ED">
        <w:rPr>
          <w:rFonts w:cstheme="minorHAnsi"/>
        </w:rPr>
        <w:t>trend test</w:t>
      </w:r>
      <w:r>
        <w:rPr>
          <w:rFonts w:cstheme="minorHAnsi"/>
        </w:rPr>
        <w:t xml:space="preserve"> that is used to analyse data collected over time to determine any consistently decreasing or increasing trends. Statistical significance testing is used to determine whether observed data trends are unlikely to have occurred just by chance.</w:t>
      </w:r>
      <w:r>
        <w:t xml:space="preserve"> </w:t>
      </w:r>
    </w:p>
  </w:footnote>
  <w:footnote w:id="2">
    <w:p w14:paraId="6C7E5A0B" w14:textId="65F44748" w:rsidR="005C2ADE" w:rsidRPr="00BC7A4D" w:rsidRDefault="005C2ADE" w:rsidP="005C2ADE">
      <w:pPr>
        <w:pStyle w:val="FootnoteText"/>
        <w:rPr>
          <w:rFonts w:cstheme="minorHAnsi"/>
        </w:rPr>
      </w:pPr>
      <w:r w:rsidRPr="00BC7A4D">
        <w:rPr>
          <w:rStyle w:val="FootnoteReference"/>
          <w:rFonts w:cstheme="minorHAnsi"/>
        </w:rPr>
        <w:footnoteRef/>
      </w:r>
      <w:r w:rsidRPr="00BC7A4D">
        <w:rPr>
          <w:rFonts w:cstheme="minorHAnsi"/>
        </w:rPr>
        <w:t xml:space="preserve"> </w:t>
      </w:r>
      <w:hyperlink r:id="rId1" w:history="1">
        <w:r w:rsidRPr="00BC7A4D">
          <w:rPr>
            <w:rStyle w:val="Hyperlink"/>
            <w:rFonts w:cstheme="minorHAnsi"/>
          </w:rPr>
          <w:t>Part 101 (Unmanned Aircraft and Rockets) Manual of Standards 2019</w:t>
        </w:r>
        <w:r w:rsidR="006D2C5C">
          <w:rPr>
            <w:rStyle w:val="Hyperlink"/>
            <w:rFonts w:cstheme="minorHAnsi"/>
          </w:rPr>
          <w:t>—</w:t>
        </w:r>
        <w:r w:rsidRPr="00BC7A4D">
          <w:rPr>
            <w:rStyle w:val="Hyperlink"/>
            <w:rFonts w:cstheme="minorHAnsi"/>
          </w:rPr>
          <w:t>Federal Register of Legislation</w:t>
        </w:r>
      </w:hyperlink>
    </w:p>
  </w:footnote>
  <w:footnote w:id="3">
    <w:p w14:paraId="465148FD" w14:textId="2ACAEFC0" w:rsidR="005C2ADE" w:rsidRPr="00283C1F" w:rsidRDefault="005C2ADE" w:rsidP="005C2ADE">
      <w:pPr>
        <w:pStyle w:val="FootnoteText"/>
      </w:pPr>
      <w:r>
        <w:rPr>
          <w:rStyle w:val="FootnoteReference"/>
        </w:rPr>
        <w:footnoteRef/>
      </w:r>
      <w:r>
        <w:t xml:space="preserve"> </w:t>
      </w:r>
      <w:r w:rsidRPr="00C50335">
        <w:rPr>
          <w:rFonts w:cstheme="minorHAnsi"/>
        </w:rPr>
        <w:t>Runway safety-related events are as per the ATSB occurrence taxonomy of Runway Events</w:t>
      </w:r>
      <w:r>
        <w:rPr>
          <w:rFonts w:cstheme="minorHAnsi"/>
        </w:rPr>
        <w:t>. This includes the</w:t>
      </w:r>
      <w:r w:rsidRPr="00C50335">
        <w:rPr>
          <w:rFonts w:cstheme="minorHAnsi"/>
        </w:rPr>
        <w:t xml:space="preserve"> following: Runway excursions, Runway incursions, Depart/Approach/Land wrong runway, Runway undershoot</w:t>
      </w:r>
      <w:r>
        <w:rPr>
          <w:rFonts w:cstheme="minorHAnsi"/>
        </w:rPr>
        <w:t xml:space="preserve"> and Runway events</w:t>
      </w:r>
      <w:r w:rsidR="00340487">
        <w:rPr>
          <w:rFonts w:cstheme="minorHAnsi"/>
        </w:rPr>
        <w:t>—</w:t>
      </w:r>
      <w:r>
        <w:rPr>
          <w:rFonts w:cstheme="minorHAnsi"/>
        </w:rPr>
        <w:t>Other.</w:t>
      </w:r>
    </w:p>
  </w:footnote>
  <w:footnote w:id="4">
    <w:p w14:paraId="3769E874" w14:textId="77777777" w:rsidR="005C2ADE" w:rsidRPr="00CF50BF" w:rsidRDefault="005C2ADE" w:rsidP="005C2ADE">
      <w:pPr>
        <w:pStyle w:val="FootnoteText"/>
      </w:pPr>
      <w:r>
        <w:rPr>
          <w:rStyle w:val="FootnoteReference"/>
        </w:rPr>
        <w:footnoteRef/>
      </w:r>
      <w:r>
        <w:t xml:space="preserve"> </w:t>
      </w:r>
      <w:r w:rsidRPr="00CF50BF">
        <w:rPr>
          <w:rFonts w:cstheme="minorHAnsi"/>
        </w:rPr>
        <w:t>Includes Australian VH registered, Australian non-VH registered crewed and uncrewed RPAs and foreign aircraft accidents in Australia.</w:t>
      </w:r>
    </w:p>
  </w:footnote>
  <w:footnote w:id="5">
    <w:p w14:paraId="75077C1C" w14:textId="77777777" w:rsidR="005C2ADE" w:rsidRPr="00CF50BF" w:rsidRDefault="005C2ADE" w:rsidP="005C2ADE">
      <w:pPr>
        <w:pStyle w:val="FootnoteText"/>
      </w:pPr>
      <w:r>
        <w:rPr>
          <w:rStyle w:val="FootnoteReference"/>
        </w:rPr>
        <w:footnoteRef/>
      </w:r>
      <w:r>
        <w:t xml:space="preserve"> The Uncrewed</w:t>
      </w:r>
      <w:r w:rsidRPr="00F56137">
        <w:t xml:space="preserve"> </w:t>
      </w:r>
      <w:r>
        <w:t>(RPA) accident rate SPI is based on the number of registered commercial drones.</w:t>
      </w:r>
    </w:p>
  </w:footnote>
  <w:footnote w:id="6">
    <w:p w14:paraId="24EF8F0E" w14:textId="77777777" w:rsidR="00FD548B" w:rsidRPr="001564E2" w:rsidRDefault="00FD548B" w:rsidP="005C2ADE">
      <w:pPr>
        <w:pStyle w:val="FootnoteText"/>
        <w:rPr>
          <w:rFonts w:cstheme="minorHAnsi"/>
          <w:szCs w:val="18"/>
        </w:rPr>
      </w:pPr>
      <w:r w:rsidRPr="00F05809">
        <w:rPr>
          <w:rStyle w:val="FootnoteReference"/>
          <w:rFonts w:cstheme="minorHAnsi"/>
        </w:rPr>
        <w:footnoteRef/>
      </w:r>
      <w:r w:rsidRPr="00F05809">
        <w:rPr>
          <w:rFonts w:cstheme="minorHAnsi"/>
        </w:rPr>
        <w:t xml:space="preserve"> One fatal accident in October 2024 involved two aircraft from both CA and NCA sectors. This fatal accident is only counted once for cumulative (total) reporting but is counted in each sector for the purpose of sector reporting.</w:t>
      </w:r>
    </w:p>
  </w:footnote>
  <w:footnote w:id="7">
    <w:p w14:paraId="02612C99" w14:textId="77777777" w:rsidR="00FD548B" w:rsidRDefault="00FD548B" w:rsidP="005C2ADE">
      <w:pPr>
        <w:pStyle w:val="FootnoteText"/>
      </w:pPr>
      <w:r>
        <w:rPr>
          <w:rStyle w:val="FootnoteReference"/>
        </w:rPr>
        <w:footnoteRef/>
      </w:r>
      <w:r>
        <w:t xml:space="preserve"> </w:t>
      </w:r>
      <w:r w:rsidRPr="00F05809">
        <w:rPr>
          <w:rFonts w:cstheme="minorHAnsi"/>
        </w:rPr>
        <w:t>One fatal accident in October 2024 involved two aircraft from both CA and NCA sectors. This fatal accident is only counted once for cumulative (total) reporting but is counted in each sector for the purpose of sector reporting.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4FD" w14:textId="7E2444B5" w:rsidR="007B0826" w:rsidRDefault="00E466BE">
    <w:pPr>
      <w:pStyle w:val="Header"/>
    </w:pPr>
    <w:r>
      <w:rPr>
        <w:noProof/>
      </w:rPr>
      <mc:AlternateContent>
        <mc:Choice Requires="wps">
          <w:drawing>
            <wp:anchor distT="0" distB="0" distL="0" distR="0" simplePos="0" relativeHeight="251656192" behindDoc="0" locked="0" layoutInCell="1" allowOverlap="1" wp14:anchorId="506CDF1F" wp14:editId="13734DDD">
              <wp:simplePos x="635" y="635"/>
              <wp:positionH relativeFrom="page">
                <wp:align>center</wp:align>
              </wp:positionH>
              <wp:positionV relativeFrom="page">
                <wp:align>top</wp:align>
              </wp:positionV>
              <wp:extent cx="726440" cy="407670"/>
              <wp:effectExtent l="0" t="0" r="16510" b="11430"/>
              <wp:wrapNone/>
              <wp:docPr id="158960442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083E75C0" w14:textId="5F380683" w:rsidR="00E466BE" w:rsidRPr="00E466BE" w:rsidRDefault="00E466BE" w:rsidP="00E466BE">
                          <w:pPr>
                            <w:spacing w:after="0"/>
                            <w:rPr>
                              <w:rFonts w:ascii="Aptos" w:eastAsia="Aptos" w:hAnsi="Aptos" w:cs="Aptos"/>
                              <w:noProof/>
                              <w:color w:val="FF0000"/>
                              <w:sz w:val="28"/>
                              <w:szCs w:val="28"/>
                            </w:rPr>
                          </w:pPr>
                          <w:r w:rsidRPr="00E466BE">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CDF1F" id="_x0000_t202" coordsize="21600,21600" o:spt="202" path="m,l,21600r21600,l21600,xe">
              <v:stroke joinstyle="miter"/>
              <v:path gradientshapeok="t" o:connecttype="rect"/>
            </v:shapetype>
            <v:shape id="Text Box 2" o:spid="_x0000_s1026" type="#_x0000_t202" alt="OFFICIAL" style="position:absolute;margin-left:0;margin-top:0;width:57.2pt;height:32.1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" filled="f" stroked="f">
              <v:textbox style="mso-fit-shape-to-text:t" inset="0,15pt,0,0">
                <w:txbxContent>
                  <w:p w14:paraId="083E75C0" w14:textId="5F380683" w:rsidR="00E466BE" w:rsidRPr="00E466BE" w:rsidRDefault="00E466BE" w:rsidP="00E466BE">
                    <w:pPr>
                      <w:spacing w:after="0"/>
                      <w:rPr>
                        <w:rFonts w:ascii="Aptos" w:eastAsia="Aptos" w:hAnsi="Aptos" w:cs="Aptos"/>
                        <w:noProof/>
                        <w:color w:val="FF0000"/>
                        <w:sz w:val="28"/>
                        <w:szCs w:val="28"/>
                      </w:rPr>
                    </w:pPr>
                    <w:r w:rsidRPr="00E466BE">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4FF" w14:textId="1195E6D4" w:rsidR="00C30A4B" w:rsidRPr="00D56936" w:rsidRDefault="00C30A4B" w:rsidP="00C817A5">
    <w:pPr>
      <w:pStyle w:val="Header"/>
      <w:tabs>
        <w:tab w:val="clear" w:pos="4678"/>
      </w:tabs>
      <w:spacing w:after="100" w:afterAutospacing="1"/>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EB2FEC">
      <w:rPr>
        <w:rFonts w:cs="Segoe UI Light"/>
        <w:noProof/>
        <w:color w:val="001C40"/>
        <w:sz w:val="20"/>
        <w:szCs w:val="20"/>
      </w:rPr>
      <w:t>List of figures and tables</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508" w14:textId="1A51513E" w:rsidR="00C30A4B" w:rsidRPr="00D56936" w:rsidRDefault="00C30A4B" w:rsidP="00C817A5">
    <w:pPr>
      <w:pStyle w:val="Header"/>
      <w:tabs>
        <w:tab w:val="clear" w:pos="4678"/>
      </w:tabs>
      <w:spacing w:after="240"/>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EB2FEC">
      <w:rPr>
        <w:rFonts w:cs="Segoe UI Light"/>
        <w:noProof/>
        <w:color w:val="001C40"/>
        <w:sz w:val="20"/>
        <w:szCs w:val="20"/>
      </w:rPr>
      <w:t>3. Organisational safety objectives</w:t>
    </w:r>
    <w:r>
      <w:rPr>
        <w:rFonts w:cs="Segoe UI Light"/>
        <w:color w:val="001C4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50A" w14:textId="3D3E802A" w:rsidR="00C30A4B" w:rsidRPr="00290C8C" w:rsidRDefault="00C30A4B" w:rsidP="00C817A5">
    <w:pPr>
      <w:pStyle w:val="Header"/>
      <w:tabs>
        <w:tab w:val="clear" w:pos="4678"/>
      </w:tabs>
      <w:spacing w:after="240"/>
      <w:jc w:val="right"/>
      <w:rPr>
        <w:rFonts w:cs="Segoe UI Light"/>
        <w:color w:val="001C40"/>
        <w:sz w:val="20"/>
        <w:szCs w:val="20"/>
      </w:rPr>
    </w:pPr>
    <w:r w:rsidRPr="00290C8C">
      <w:rPr>
        <w:rFonts w:cs="Segoe UI Light"/>
        <w:color w:val="001C40"/>
        <w:sz w:val="20"/>
        <w:szCs w:val="20"/>
      </w:rPr>
      <w:fldChar w:fldCharType="begin"/>
    </w:r>
    <w:r w:rsidRPr="00290C8C">
      <w:rPr>
        <w:rFonts w:cs="Segoe UI Light"/>
        <w:color w:val="001C40"/>
        <w:sz w:val="20"/>
        <w:szCs w:val="20"/>
      </w:rPr>
      <w:instrText xml:space="preserve"> STYLEREF  "Heading 2"  \* MERGEFORMAT </w:instrText>
    </w:r>
    <w:r w:rsidRPr="00290C8C">
      <w:rPr>
        <w:rFonts w:cs="Segoe UI Light"/>
        <w:color w:val="001C40"/>
        <w:sz w:val="20"/>
        <w:szCs w:val="20"/>
      </w:rPr>
      <w:fldChar w:fldCharType="separate"/>
    </w:r>
    <w:r w:rsidR="00EB2FEC" w:rsidRPr="00EB2FEC">
      <w:rPr>
        <w:rFonts w:cs="Segoe UI Light"/>
        <w:bCs/>
        <w:noProof/>
        <w:color w:val="001C40"/>
        <w:sz w:val="20"/>
        <w:szCs w:val="20"/>
        <w:lang w:val="en-US"/>
      </w:rPr>
      <w:t>Executive summary</w:t>
    </w:r>
    <w:r w:rsidRPr="00290C8C">
      <w:rPr>
        <w:rFonts w:cs="Segoe UI Light"/>
        <w:color w:val="001C4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DA50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A90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AC7B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DE0D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5290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0D8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2C6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BADE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466F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94C1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A51938"/>
    <w:multiLevelType w:val="multilevel"/>
    <w:tmpl w:val="298C34E4"/>
    <w:numStyleLink w:val="AppendixNumbers"/>
  </w:abstractNum>
  <w:abstractNum w:abstractNumId="1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A5533A"/>
    <w:multiLevelType w:val="multilevel"/>
    <w:tmpl w:val="B3682916"/>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8827E7D"/>
    <w:multiLevelType w:val="hybridMultilevel"/>
    <w:tmpl w:val="79D0BA36"/>
    <w:lvl w:ilvl="0" w:tplc="446AE6B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756948115">
    <w:abstractNumId w:val="22"/>
  </w:num>
  <w:num w:numId="2" w16cid:durableId="633759042">
    <w:abstractNumId w:val="13"/>
  </w:num>
  <w:num w:numId="3" w16cid:durableId="697126228">
    <w:abstractNumId w:val="18"/>
  </w:num>
  <w:num w:numId="4" w16cid:durableId="69694092">
    <w:abstractNumId w:val="9"/>
  </w:num>
  <w:num w:numId="5" w16cid:durableId="151485153">
    <w:abstractNumId w:val="7"/>
  </w:num>
  <w:num w:numId="6" w16cid:durableId="497043208">
    <w:abstractNumId w:val="6"/>
  </w:num>
  <w:num w:numId="7" w16cid:durableId="846166825">
    <w:abstractNumId w:val="5"/>
  </w:num>
  <w:num w:numId="8" w16cid:durableId="1854764578">
    <w:abstractNumId w:val="4"/>
  </w:num>
  <w:num w:numId="9" w16cid:durableId="804544411">
    <w:abstractNumId w:val="8"/>
  </w:num>
  <w:num w:numId="10" w16cid:durableId="425002937">
    <w:abstractNumId w:val="3"/>
  </w:num>
  <w:num w:numId="11" w16cid:durableId="762264765">
    <w:abstractNumId w:val="2"/>
  </w:num>
  <w:num w:numId="12" w16cid:durableId="580141043">
    <w:abstractNumId w:val="1"/>
  </w:num>
  <w:num w:numId="13" w16cid:durableId="1935702002">
    <w:abstractNumId w:val="0"/>
  </w:num>
  <w:num w:numId="14" w16cid:durableId="1287154507">
    <w:abstractNumId w:val="23"/>
  </w:num>
  <w:num w:numId="15" w16cid:durableId="2946818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7236450">
    <w:abstractNumId w:val="12"/>
  </w:num>
  <w:num w:numId="17" w16cid:durableId="801846948">
    <w:abstractNumId w:val="12"/>
    <w:lvlOverride w:ilvl="0">
      <w:startOverride w:val="1"/>
    </w:lvlOverride>
  </w:num>
  <w:num w:numId="18" w16cid:durableId="305160845">
    <w:abstractNumId w:val="17"/>
  </w:num>
  <w:num w:numId="19" w16cid:durableId="428549927">
    <w:abstractNumId w:val="10"/>
  </w:num>
  <w:num w:numId="20" w16cid:durableId="1229535720">
    <w:abstractNumId w:val="16"/>
  </w:num>
  <w:num w:numId="21" w16cid:durableId="1288243895">
    <w:abstractNumId w:val="11"/>
  </w:num>
  <w:num w:numId="22" w16cid:durableId="931205562">
    <w:abstractNumId w:val="14"/>
  </w:num>
  <w:num w:numId="23" w16cid:durableId="69229569">
    <w:abstractNumId w:val="15"/>
    <w:lvlOverride w:ilvl="0">
      <w:lvl w:ilvl="0">
        <w:start w:val="1"/>
        <w:numFmt w:val="upperLetter"/>
        <w:pStyle w:val="AppendixHeading1"/>
        <w:suff w:val="space"/>
        <w:lvlText w:val="Appendix %1 –"/>
        <w:lvlJc w:val="left"/>
        <w:pPr>
          <w:ind w:left="0" w:firstLine="0"/>
        </w:pPr>
        <w:rPr>
          <w:b/>
          <w:bCs/>
        </w:rPr>
      </w:lvl>
    </w:lvlOverride>
    <w:lvlOverride w:ilvl="1">
      <w:lvl w:ilvl="1">
        <w:start w:val="1"/>
        <w:numFmt w:val="decimal"/>
        <w:pStyle w:val="AppendixHeading2"/>
        <w:lvlText w:val="%1.%2"/>
        <w:lvlJc w:val="left"/>
        <w:pPr>
          <w:ind w:left="851" w:hanging="851"/>
        </w:pPr>
        <w:rPr>
          <w:rFonts w:hint="default"/>
        </w:rPr>
      </w:lvl>
    </w:lvlOverride>
  </w:num>
  <w:num w:numId="24" w16cid:durableId="2041663387">
    <w:abstractNumId w:val="20"/>
  </w:num>
  <w:num w:numId="25" w16cid:durableId="167140192">
    <w:abstractNumId w:val="21"/>
  </w:num>
  <w:num w:numId="26" w16cid:durableId="5844148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0441"/>
    <w:rsid w:val="00000D9A"/>
    <w:rsid w:val="0000270B"/>
    <w:rsid w:val="00012D3A"/>
    <w:rsid w:val="00025651"/>
    <w:rsid w:val="0003502E"/>
    <w:rsid w:val="000434DE"/>
    <w:rsid w:val="000522EB"/>
    <w:rsid w:val="0005758A"/>
    <w:rsid w:val="00062908"/>
    <w:rsid w:val="00072195"/>
    <w:rsid w:val="00072D19"/>
    <w:rsid w:val="000740FB"/>
    <w:rsid w:val="0008152B"/>
    <w:rsid w:val="00081ADE"/>
    <w:rsid w:val="00081C7E"/>
    <w:rsid w:val="00090E62"/>
    <w:rsid w:val="00093E11"/>
    <w:rsid w:val="000A4F7B"/>
    <w:rsid w:val="000B049E"/>
    <w:rsid w:val="000B1E86"/>
    <w:rsid w:val="000C0244"/>
    <w:rsid w:val="000C331F"/>
    <w:rsid w:val="000D268D"/>
    <w:rsid w:val="000D26BD"/>
    <w:rsid w:val="000D4B3B"/>
    <w:rsid w:val="000D6FE4"/>
    <w:rsid w:val="000E1F26"/>
    <w:rsid w:val="000E29BE"/>
    <w:rsid w:val="001010B6"/>
    <w:rsid w:val="00105DA4"/>
    <w:rsid w:val="00113A03"/>
    <w:rsid w:val="00120659"/>
    <w:rsid w:val="001243CA"/>
    <w:rsid w:val="001244B5"/>
    <w:rsid w:val="00131F3F"/>
    <w:rsid w:val="00133645"/>
    <w:rsid w:val="00133A45"/>
    <w:rsid w:val="00134539"/>
    <w:rsid w:val="00135C09"/>
    <w:rsid w:val="00143894"/>
    <w:rsid w:val="00157151"/>
    <w:rsid w:val="00157159"/>
    <w:rsid w:val="00174EE1"/>
    <w:rsid w:val="00190A0C"/>
    <w:rsid w:val="001C52B2"/>
    <w:rsid w:val="001C6134"/>
    <w:rsid w:val="001D3C6E"/>
    <w:rsid w:val="001D583B"/>
    <w:rsid w:val="001D5B5A"/>
    <w:rsid w:val="001E2CF8"/>
    <w:rsid w:val="001E4471"/>
    <w:rsid w:val="001E7AC4"/>
    <w:rsid w:val="001F362F"/>
    <w:rsid w:val="002037A9"/>
    <w:rsid w:val="00204A64"/>
    <w:rsid w:val="0020678C"/>
    <w:rsid w:val="0021303A"/>
    <w:rsid w:val="00217C11"/>
    <w:rsid w:val="0022154B"/>
    <w:rsid w:val="0022544B"/>
    <w:rsid w:val="002274BD"/>
    <w:rsid w:val="0022771A"/>
    <w:rsid w:val="00236F1B"/>
    <w:rsid w:val="002512C8"/>
    <w:rsid w:val="00256202"/>
    <w:rsid w:val="00261FFA"/>
    <w:rsid w:val="00263D78"/>
    <w:rsid w:val="002700AC"/>
    <w:rsid w:val="00272982"/>
    <w:rsid w:val="00280950"/>
    <w:rsid w:val="002826D7"/>
    <w:rsid w:val="00287C7E"/>
    <w:rsid w:val="00290C8C"/>
    <w:rsid w:val="002A5AB5"/>
    <w:rsid w:val="002C6061"/>
    <w:rsid w:val="002E0AC7"/>
    <w:rsid w:val="002F1A23"/>
    <w:rsid w:val="00300077"/>
    <w:rsid w:val="00303819"/>
    <w:rsid w:val="00310148"/>
    <w:rsid w:val="00323710"/>
    <w:rsid w:val="003276FE"/>
    <w:rsid w:val="00337629"/>
    <w:rsid w:val="00340487"/>
    <w:rsid w:val="00342348"/>
    <w:rsid w:val="003508A8"/>
    <w:rsid w:val="0036481F"/>
    <w:rsid w:val="00371F4D"/>
    <w:rsid w:val="00373171"/>
    <w:rsid w:val="00373C37"/>
    <w:rsid w:val="00381BDA"/>
    <w:rsid w:val="003969B6"/>
    <w:rsid w:val="003A16C9"/>
    <w:rsid w:val="003A207C"/>
    <w:rsid w:val="003A6416"/>
    <w:rsid w:val="003B4139"/>
    <w:rsid w:val="003B6D01"/>
    <w:rsid w:val="003C575A"/>
    <w:rsid w:val="003D71C5"/>
    <w:rsid w:val="003E48A0"/>
    <w:rsid w:val="003F3CB7"/>
    <w:rsid w:val="0040552F"/>
    <w:rsid w:val="0041162F"/>
    <w:rsid w:val="00412016"/>
    <w:rsid w:val="00416734"/>
    <w:rsid w:val="00422620"/>
    <w:rsid w:val="004230A9"/>
    <w:rsid w:val="0043549B"/>
    <w:rsid w:val="00436898"/>
    <w:rsid w:val="00445017"/>
    <w:rsid w:val="00453BDB"/>
    <w:rsid w:val="00454343"/>
    <w:rsid w:val="004729CA"/>
    <w:rsid w:val="00477F85"/>
    <w:rsid w:val="00485524"/>
    <w:rsid w:val="00492D9D"/>
    <w:rsid w:val="00496F2D"/>
    <w:rsid w:val="004A3207"/>
    <w:rsid w:val="004A5AF6"/>
    <w:rsid w:val="004B0B3A"/>
    <w:rsid w:val="004C6BC9"/>
    <w:rsid w:val="004E3CD3"/>
    <w:rsid w:val="00521544"/>
    <w:rsid w:val="0052714B"/>
    <w:rsid w:val="005413E7"/>
    <w:rsid w:val="00544206"/>
    <w:rsid w:val="00553189"/>
    <w:rsid w:val="00564756"/>
    <w:rsid w:val="00584DC3"/>
    <w:rsid w:val="00585B03"/>
    <w:rsid w:val="00590314"/>
    <w:rsid w:val="005941FC"/>
    <w:rsid w:val="0059543B"/>
    <w:rsid w:val="00595EF8"/>
    <w:rsid w:val="005B0974"/>
    <w:rsid w:val="005B52D6"/>
    <w:rsid w:val="005B5812"/>
    <w:rsid w:val="005C0459"/>
    <w:rsid w:val="005C0881"/>
    <w:rsid w:val="005C2ADE"/>
    <w:rsid w:val="005C37D2"/>
    <w:rsid w:val="005D038B"/>
    <w:rsid w:val="005E12E8"/>
    <w:rsid w:val="005E55BD"/>
    <w:rsid w:val="005E7929"/>
    <w:rsid w:val="005F335B"/>
    <w:rsid w:val="00600A37"/>
    <w:rsid w:val="00610225"/>
    <w:rsid w:val="00630D43"/>
    <w:rsid w:val="006452B1"/>
    <w:rsid w:val="00645C56"/>
    <w:rsid w:val="006542FA"/>
    <w:rsid w:val="00654F9E"/>
    <w:rsid w:val="00670726"/>
    <w:rsid w:val="00670C91"/>
    <w:rsid w:val="00674F41"/>
    <w:rsid w:val="006766D7"/>
    <w:rsid w:val="00691FA2"/>
    <w:rsid w:val="006A166D"/>
    <w:rsid w:val="006B704F"/>
    <w:rsid w:val="006C11A2"/>
    <w:rsid w:val="006D2C5C"/>
    <w:rsid w:val="006D43C7"/>
    <w:rsid w:val="006E139E"/>
    <w:rsid w:val="006E5902"/>
    <w:rsid w:val="006E5952"/>
    <w:rsid w:val="00723439"/>
    <w:rsid w:val="00731351"/>
    <w:rsid w:val="007352EF"/>
    <w:rsid w:val="007367BB"/>
    <w:rsid w:val="00744CD2"/>
    <w:rsid w:val="00762403"/>
    <w:rsid w:val="00772C27"/>
    <w:rsid w:val="00780DDB"/>
    <w:rsid w:val="007851B4"/>
    <w:rsid w:val="0078630B"/>
    <w:rsid w:val="00790F25"/>
    <w:rsid w:val="00793843"/>
    <w:rsid w:val="00796AB4"/>
    <w:rsid w:val="00796FD9"/>
    <w:rsid w:val="0079788A"/>
    <w:rsid w:val="007A00DC"/>
    <w:rsid w:val="007A2F76"/>
    <w:rsid w:val="007B0826"/>
    <w:rsid w:val="007B68AB"/>
    <w:rsid w:val="007B718C"/>
    <w:rsid w:val="00804203"/>
    <w:rsid w:val="00807362"/>
    <w:rsid w:val="00811A5E"/>
    <w:rsid w:val="008224DB"/>
    <w:rsid w:val="00822DBF"/>
    <w:rsid w:val="008234C0"/>
    <w:rsid w:val="00853FE5"/>
    <w:rsid w:val="0086496C"/>
    <w:rsid w:val="008776AE"/>
    <w:rsid w:val="00892CF8"/>
    <w:rsid w:val="008A7B93"/>
    <w:rsid w:val="008B3568"/>
    <w:rsid w:val="008B7158"/>
    <w:rsid w:val="008C36D4"/>
    <w:rsid w:val="008C57D8"/>
    <w:rsid w:val="008D2748"/>
    <w:rsid w:val="008D4156"/>
    <w:rsid w:val="008D5D15"/>
    <w:rsid w:val="008E0025"/>
    <w:rsid w:val="008E534F"/>
    <w:rsid w:val="008E615D"/>
    <w:rsid w:val="008F1C18"/>
    <w:rsid w:val="008F24DE"/>
    <w:rsid w:val="008F4E39"/>
    <w:rsid w:val="00912D17"/>
    <w:rsid w:val="00923F1E"/>
    <w:rsid w:val="009276A3"/>
    <w:rsid w:val="009279AE"/>
    <w:rsid w:val="00931212"/>
    <w:rsid w:val="00935A30"/>
    <w:rsid w:val="00944067"/>
    <w:rsid w:val="00953CCD"/>
    <w:rsid w:val="00955D03"/>
    <w:rsid w:val="00956894"/>
    <w:rsid w:val="009630FD"/>
    <w:rsid w:val="00985DD5"/>
    <w:rsid w:val="009A16B8"/>
    <w:rsid w:val="009A3707"/>
    <w:rsid w:val="009C1ECD"/>
    <w:rsid w:val="009E5B72"/>
    <w:rsid w:val="009F6E8F"/>
    <w:rsid w:val="00A03EF9"/>
    <w:rsid w:val="00A22DD6"/>
    <w:rsid w:val="00A24200"/>
    <w:rsid w:val="00A310FE"/>
    <w:rsid w:val="00A31E98"/>
    <w:rsid w:val="00A32D82"/>
    <w:rsid w:val="00A44E4B"/>
    <w:rsid w:val="00A4759C"/>
    <w:rsid w:val="00A52EAC"/>
    <w:rsid w:val="00A5401E"/>
    <w:rsid w:val="00A5600C"/>
    <w:rsid w:val="00A63390"/>
    <w:rsid w:val="00A633EE"/>
    <w:rsid w:val="00A70CD7"/>
    <w:rsid w:val="00A72954"/>
    <w:rsid w:val="00A82DAF"/>
    <w:rsid w:val="00A86AF3"/>
    <w:rsid w:val="00AA30EC"/>
    <w:rsid w:val="00AB58C7"/>
    <w:rsid w:val="00AC6195"/>
    <w:rsid w:val="00AC7B8C"/>
    <w:rsid w:val="00AD353E"/>
    <w:rsid w:val="00AD4AAE"/>
    <w:rsid w:val="00AE61A6"/>
    <w:rsid w:val="00AE6D90"/>
    <w:rsid w:val="00AF79A7"/>
    <w:rsid w:val="00B00397"/>
    <w:rsid w:val="00B041CB"/>
    <w:rsid w:val="00B12FAD"/>
    <w:rsid w:val="00B12FC1"/>
    <w:rsid w:val="00B22325"/>
    <w:rsid w:val="00B368C7"/>
    <w:rsid w:val="00B3785F"/>
    <w:rsid w:val="00B43F55"/>
    <w:rsid w:val="00B5393D"/>
    <w:rsid w:val="00B56D52"/>
    <w:rsid w:val="00B62097"/>
    <w:rsid w:val="00B7078F"/>
    <w:rsid w:val="00B74715"/>
    <w:rsid w:val="00B75995"/>
    <w:rsid w:val="00B76D03"/>
    <w:rsid w:val="00BA7CE8"/>
    <w:rsid w:val="00BA7D5E"/>
    <w:rsid w:val="00BB1B21"/>
    <w:rsid w:val="00BB3D46"/>
    <w:rsid w:val="00BC0598"/>
    <w:rsid w:val="00BE5B5F"/>
    <w:rsid w:val="00BF5FA4"/>
    <w:rsid w:val="00BF633F"/>
    <w:rsid w:val="00BF6425"/>
    <w:rsid w:val="00BF7571"/>
    <w:rsid w:val="00BF75F1"/>
    <w:rsid w:val="00C02452"/>
    <w:rsid w:val="00C04990"/>
    <w:rsid w:val="00C06E40"/>
    <w:rsid w:val="00C104C4"/>
    <w:rsid w:val="00C12F31"/>
    <w:rsid w:val="00C205EE"/>
    <w:rsid w:val="00C22651"/>
    <w:rsid w:val="00C30A4B"/>
    <w:rsid w:val="00C31DB1"/>
    <w:rsid w:val="00C32353"/>
    <w:rsid w:val="00C337F1"/>
    <w:rsid w:val="00C36E40"/>
    <w:rsid w:val="00C522D5"/>
    <w:rsid w:val="00C5703D"/>
    <w:rsid w:val="00C62177"/>
    <w:rsid w:val="00C76811"/>
    <w:rsid w:val="00C817A5"/>
    <w:rsid w:val="00C82E35"/>
    <w:rsid w:val="00C93097"/>
    <w:rsid w:val="00C960EA"/>
    <w:rsid w:val="00CA24E0"/>
    <w:rsid w:val="00CA4B36"/>
    <w:rsid w:val="00CA5147"/>
    <w:rsid w:val="00CC4B37"/>
    <w:rsid w:val="00CD0046"/>
    <w:rsid w:val="00D05FEE"/>
    <w:rsid w:val="00D0659B"/>
    <w:rsid w:val="00D10954"/>
    <w:rsid w:val="00D36B96"/>
    <w:rsid w:val="00D4014E"/>
    <w:rsid w:val="00D47BFD"/>
    <w:rsid w:val="00D56936"/>
    <w:rsid w:val="00D61BEE"/>
    <w:rsid w:val="00D64922"/>
    <w:rsid w:val="00D658CF"/>
    <w:rsid w:val="00D708D1"/>
    <w:rsid w:val="00D752D0"/>
    <w:rsid w:val="00D76248"/>
    <w:rsid w:val="00D83EAF"/>
    <w:rsid w:val="00D85DEB"/>
    <w:rsid w:val="00DA0783"/>
    <w:rsid w:val="00DA57C6"/>
    <w:rsid w:val="00DB08AF"/>
    <w:rsid w:val="00DB2A67"/>
    <w:rsid w:val="00DC5DC8"/>
    <w:rsid w:val="00DD6301"/>
    <w:rsid w:val="00DF0739"/>
    <w:rsid w:val="00DF1934"/>
    <w:rsid w:val="00DF6DAD"/>
    <w:rsid w:val="00E140C3"/>
    <w:rsid w:val="00E14DE3"/>
    <w:rsid w:val="00E15E9A"/>
    <w:rsid w:val="00E23B71"/>
    <w:rsid w:val="00E35BE4"/>
    <w:rsid w:val="00E36E0B"/>
    <w:rsid w:val="00E466BE"/>
    <w:rsid w:val="00E645F4"/>
    <w:rsid w:val="00E6589B"/>
    <w:rsid w:val="00E7227D"/>
    <w:rsid w:val="00E76BC6"/>
    <w:rsid w:val="00E80626"/>
    <w:rsid w:val="00E80BA9"/>
    <w:rsid w:val="00E80E04"/>
    <w:rsid w:val="00E83872"/>
    <w:rsid w:val="00E96F42"/>
    <w:rsid w:val="00EA415A"/>
    <w:rsid w:val="00EB2FEC"/>
    <w:rsid w:val="00EC2141"/>
    <w:rsid w:val="00EC63E4"/>
    <w:rsid w:val="00EC7052"/>
    <w:rsid w:val="00ED761D"/>
    <w:rsid w:val="00EE6EE8"/>
    <w:rsid w:val="00EF5B98"/>
    <w:rsid w:val="00EF605C"/>
    <w:rsid w:val="00F11619"/>
    <w:rsid w:val="00F13A6F"/>
    <w:rsid w:val="00F26036"/>
    <w:rsid w:val="00F27706"/>
    <w:rsid w:val="00F33BE1"/>
    <w:rsid w:val="00F35B85"/>
    <w:rsid w:val="00F41576"/>
    <w:rsid w:val="00F52396"/>
    <w:rsid w:val="00F54C1D"/>
    <w:rsid w:val="00F57665"/>
    <w:rsid w:val="00F60041"/>
    <w:rsid w:val="00F61FA1"/>
    <w:rsid w:val="00F7065E"/>
    <w:rsid w:val="00F76F3D"/>
    <w:rsid w:val="00F814AD"/>
    <w:rsid w:val="00FA64C7"/>
    <w:rsid w:val="00FA6D25"/>
    <w:rsid w:val="00FC413F"/>
    <w:rsid w:val="00FC7DDF"/>
    <w:rsid w:val="00FD3DAB"/>
    <w:rsid w:val="00FD548B"/>
    <w:rsid w:val="00FD77FD"/>
    <w:rsid w:val="00FE4169"/>
    <w:rsid w:val="00FE648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73359"/>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7BB"/>
    <w:pPr>
      <w:spacing w:line="240" w:lineRule="auto"/>
    </w:pPr>
    <w:rPr>
      <w:rFonts w:ascii="Calibri" w:hAnsi="Calibri"/>
    </w:rPr>
  </w:style>
  <w:style w:type="paragraph" w:styleId="Heading1">
    <w:name w:val="heading 1"/>
    <w:basedOn w:val="Normal"/>
    <w:next w:val="Normal"/>
    <w:link w:val="Heading1Char"/>
    <w:uiPriority w:val="9"/>
    <w:qFormat/>
    <w:rsid w:val="00C817A5"/>
    <w:pPr>
      <w:numPr>
        <w:ilvl w:val="1"/>
      </w:numPr>
      <w:suppressAutoHyphens/>
      <w:spacing w:before="240"/>
      <w:ind w:left="1134"/>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B368C7"/>
    <w:pPr>
      <w:keepNext/>
      <w:keepLines/>
      <w:suppressAutoHyphens/>
      <w:spacing w:before="320"/>
      <w:outlineLvl w:val="1"/>
    </w:pPr>
    <w:rPr>
      <w:rFonts w:eastAsia="SimSun" w:cs="Times New Roman"/>
      <w:b/>
      <w:color w:val="4D148C"/>
      <w:kern w:val="12"/>
      <w:sz w:val="36"/>
      <w:szCs w:val="26"/>
    </w:rPr>
  </w:style>
  <w:style w:type="paragraph" w:styleId="Heading3">
    <w:name w:val="heading 3"/>
    <w:basedOn w:val="Normal"/>
    <w:next w:val="Normal"/>
    <w:link w:val="Heading3Char"/>
    <w:uiPriority w:val="9"/>
    <w:unhideWhenUsed/>
    <w:qFormat/>
    <w:rsid w:val="00B368C7"/>
    <w:pPr>
      <w:keepNext/>
      <w:keepLines/>
      <w:suppressAutoHyphens/>
      <w:spacing w:before="240"/>
      <w:outlineLvl w:val="2"/>
    </w:pPr>
    <w:rPr>
      <w:rFonts w:eastAsia="SimSun" w:cs="Times New Roman"/>
      <w:b/>
      <w:color w:val="4D148C"/>
      <w:kern w:val="12"/>
      <w:sz w:val="32"/>
      <w:szCs w:val="24"/>
    </w:rPr>
  </w:style>
  <w:style w:type="paragraph" w:styleId="Heading4">
    <w:name w:val="heading 4"/>
    <w:basedOn w:val="Normal"/>
    <w:next w:val="Normal"/>
    <w:link w:val="Heading4Char"/>
    <w:uiPriority w:val="9"/>
    <w:unhideWhenUsed/>
    <w:qFormat/>
    <w:rsid w:val="003276FE"/>
    <w:pPr>
      <w:keepNext/>
      <w:keepLines/>
      <w:suppressAutoHyphens/>
      <w:spacing w:before="240"/>
      <w:outlineLvl w:val="3"/>
    </w:pPr>
    <w:rPr>
      <w:rFonts w:eastAsia="SimSun" w:cs="Times New Roman"/>
      <w:b/>
      <w:iCs/>
      <w:color w:val="4D148C"/>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F60041"/>
    <w:pPr>
      <w:numPr>
        <w:numId w:val="1"/>
      </w:numPr>
      <w:spacing w:before="8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C817A5"/>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B368C7"/>
    <w:rPr>
      <w:rFonts w:ascii="Calibri" w:eastAsia="SimSun" w:hAnsi="Calibri" w:cs="Times New Roman"/>
      <w:b/>
      <w:color w:val="4D148C"/>
      <w:kern w:val="12"/>
      <w:sz w:val="36"/>
      <w:szCs w:val="26"/>
    </w:rPr>
  </w:style>
  <w:style w:type="character" w:customStyle="1" w:styleId="Heading3Char">
    <w:name w:val="Heading 3 Char"/>
    <w:basedOn w:val="DefaultParagraphFont"/>
    <w:link w:val="Heading3"/>
    <w:uiPriority w:val="9"/>
    <w:rsid w:val="00B368C7"/>
    <w:rPr>
      <w:rFonts w:ascii="Calibri" w:eastAsia="SimSun" w:hAnsi="Calibri" w:cs="Times New Roman"/>
      <w:b/>
      <w:color w:val="4D148C"/>
      <w:kern w:val="12"/>
      <w:sz w:val="32"/>
      <w:szCs w:val="24"/>
    </w:rPr>
  </w:style>
  <w:style w:type="character" w:customStyle="1" w:styleId="Heading4Char">
    <w:name w:val="Heading 4 Char"/>
    <w:basedOn w:val="DefaultParagraphFont"/>
    <w:link w:val="Heading4"/>
    <w:uiPriority w:val="9"/>
    <w:rsid w:val="003276FE"/>
    <w:rPr>
      <w:rFonts w:ascii="Calibri" w:eastAsia="SimSun" w:hAnsi="Calibri" w:cs="Times New Roman"/>
      <w:b/>
      <w:iCs/>
      <w:color w:val="4D148C"/>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ImprintHeading"/>
    <w:next w:val="Normal"/>
    <w:uiPriority w:val="99"/>
    <w:qFormat/>
    <w:rsid w:val="001243CA"/>
    <w:pPr>
      <w:keepNext/>
      <w:spacing w:before="120" w:after="80"/>
    </w:p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3B4139"/>
    <w:pPr>
      <w:pBdr>
        <w:left w:val="single" w:sz="48" w:space="22" w:color="4BB3B5"/>
      </w:pBdr>
      <w:suppressAutoHyphens/>
      <w:spacing w:before="160"/>
      <w:ind w:left="567" w:right="567"/>
    </w:pPr>
    <w:rPr>
      <w:rFonts w:eastAsia="Calibri" w:cs="Times New Roman"/>
      <w:b/>
      <w:iCs/>
      <w:color w:val="404040"/>
    </w:rPr>
  </w:style>
  <w:style w:type="character" w:customStyle="1" w:styleId="QuoteChar">
    <w:name w:val="Quote Char"/>
    <w:basedOn w:val="DefaultParagraphFont"/>
    <w:link w:val="Quote"/>
    <w:uiPriority w:val="29"/>
    <w:rsid w:val="003B4139"/>
    <w:rPr>
      <w:rFonts w:ascii="Calibri" w:eastAsia="Calibri" w:hAnsi="Calibri" w:cs="Times New Roman"/>
      <w:b/>
      <w:iCs/>
      <w:color w:val="40404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A22DD6"/>
    <w:pPr>
      <w:numPr>
        <w:numId w:val="2"/>
      </w:numPr>
      <w:ind w:left="567" w:hanging="567"/>
      <w:contextualSpacing w:val="0"/>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B22325"/>
    <w:pPr>
      <w:shd w:val="clear" w:color="auto" w:fill="4D148C"/>
      <w:spacing w:before="60" w:after="60"/>
    </w:pPr>
    <w:rPr>
      <w:b/>
      <w:color w:val="FFFFFF" w:themeColor="background1"/>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uiPriority w:val="99"/>
    <w:qFormat/>
    <w:rsid w:val="002C6061"/>
    <w:pPr>
      <w:keepNext/>
      <w:spacing w:after="0"/>
    </w:pPr>
    <w:rPr>
      <w:b/>
      <w:color w:val="4D148C"/>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C817A5"/>
    <w:pPr>
      <w:numPr>
        <w:ilvl w:val="1"/>
      </w:numPr>
      <w:suppressAutoHyphens/>
      <w:spacing w:before="240"/>
      <w:ind w:left="1134"/>
    </w:pPr>
    <w:rPr>
      <w:rFonts w:eastAsia="SimSun" w:cs="Times New Roman"/>
      <w:color w:val="377B88"/>
      <w:kern w:val="12"/>
      <w:sz w:val="44"/>
    </w:rPr>
  </w:style>
  <w:style w:type="character" w:customStyle="1" w:styleId="SubtitleChar">
    <w:name w:val="Subtitle Char"/>
    <w:basedOn w:val="DefaultParagraphFont"/>
    <w:link w:val="Subtitle"/>
    <w:uiPriority w:val="18"/>
    <w:rsid w:val="00C817A5"/>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1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1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ind w:left="1134"/>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35"/>
    <w:unhideWhenUsed/>
    <w:qFormat/>
    <w:rsid w:val="00A32D8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76811"/>
    <w:rPr>
      <w:color w:val="954F72" w:themeColor="followedHyperlink"/>
      <w:u w:val="single"/>
    </w:rPr>
  </w:style>
  <w:style w:type="paragraph" w:customStyle="1" w:styleId="Introduction">
    <w:name w:val="Introduction"/>
    <w:basedOn w:val="Normal"/>
    <w:uiPriority w:val="2"/>
    <w:qFormat/>
    <w:rsid w:val="00B75995"/>
    <w:pPr>
      <w:suppressAutoHyphens/>
      <w:spacing w:before="240" w:after="240"/>
    </w:pPr>
    <w:rPr>
      <w:rFonts w:asciiTheme="minorHAnsi" w:hAnsiTheme="minorHAnsi"/>
      <w:color w:val="377B88"/>
      <w:sz w:val="26"/>
      <w:lang w:val="x-none"/>
    </w:rPr>
  </w:style>
  <w:style w:type="paragraph" w:customStyle="1" w:styleId="Bullet1">
    <w:name w:val="Bullet 1"/>
    <w:basedOn w:val="Normal"/>
    <w:uiPriority w:val="3"/>
    <w:qFormat/>
    <w:rsid w:val="00C30A4B"/>
    <w:pPr>
      <w:numPr>
        <w:numId w:val="18"/>
      </w:numPr>
      <w:suppressAutoHyphens/>
      <w:spacing w:before="80" w:after="80"/>
    </w:pPr>
    <w:rPr>
      <w:rFonts w:asciiTheme="minorHAnsi" w:hAnsiTheme="minorHAnsi"/>
      <w:color w:val="000000" w:themeColor="text1"/>
      <w:lang w:val="x-none"/>
    </w:rPr>
  </w:style>
  <w:style w:type="paragraph" w:customStyle="1" w:styleId="Bullet2">
    <w:name w:val="Bullet 2"/>
    <w:basedOn w:val="Bullet1"/>
    <w:uiPriority w:val="3"/>
    <w:rsid w:val="00C30A4B"/>
    <w:pPr>
      <w:numPr>
        <w:ilvl w:val="1"/>
      </w:numPr>
    </w:pPr>
  </w:style>
  <w:style w:type="paragraph" w:customStyle="1" w:styleId="Bullet3">
    <w:name w:val="Bullet 3"/>
    <w:basedOn w:val="Bullet2"/>
    <w:uiPriority w:val="3"/>
    <w:rsid w:val="00C30A4B"/>
    <w:pPr>
      <w:numPr>
        <w:ilvl w:val="2"/>
      </w:numPr>
    </w:pPr>
  </w:style>
  <w:style w:type="table" w:customStyle="1" w:styleId="IconBoxTable">
    <w:name w:val="Icon Box Table"/>
    <w:basedOn w:val="TableNormal"/>
    <w:uiPriority w:val="99"/>
    <w:rsid w:val="00C30A4B"/>
    <w:pPr>
      <w:spacing w:before="80" w:after="80" w:line="240" w:lineRule="auto"/>
    </w:pPr>
    <w:rPr>
      <w:color w:val="000000" w:themeColor="text1"/>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C30A4B"/>
    <w:pPr>
      <w:numPr>
        <w:numId w:val="18"/>
      </w:numPr>
    </w:pPr>
  </w:style>
  <w:style w:type="paragraph" w:styleId="Title">
    <w:name w:val="Title"/>
    <w:basedOn w:val="Normal"/>
    <w:next w:val="Normal"/>
    <w:link w:val="TitleChar"/>
    <w:uiPriority w:val="17"/>
    <w:qFormat/>
    <w:rsid w:val="0041162F"/>
    <w:pPr>
      <w:suppressAutoHyphens/>
      <w:spacing w:before="800" w:after="480"/>
      <w:ind w:left="1276"/>
    </w:pPr>
    <w:rPr>
      <w:rFonts w:asciiTheme="majorHAnsi" w:eastAsiaTheme="majorEastAsia" w:hAnsiTheme="majorHAnsi" w:cstheme="majorBidi"/>
      <w:b/>
      <w:color w:val="000000" w:themeColor="text1"/>
      <w:sz w:val="60"/>
      <w:szCs w:val="56"/>
    </w:rPr>
  </w:style>
  <w:style w:type="character" w:customStyle="1" w:styleId="TitleChar">
    <w:name w:val="Title Char"/>
    <w:basedOn w:val="DefaultParagraphFont"/>
    <w:link w:val="Title"/>
    <w:uiPriority w:val="17"/>
    <w:rsid w:val="0041162F"/>
    <w:rPr>
      <w:rFonts w:asciiTheme="majorHAnsi" w:eastAsiaTheme="majorEastAsia" w:hAnsiTheme="majorHAnsi" w:cstheme="majorBidi"/>
      <w:b/>
      <w:color w:val="000000" w:themeColor="text1"/>
      <w:sz w:val="60"/>
      <w:szCs w:val="56"/>
    </w:rPr>
  </w:style>
  <w:style w:type="paragraph" w:customStyle="1" w:styleId="Heading2-Copyright">
    <w:name w:val="Heading 2 - Copyright"/>
    <w:basedOn w:val="Normal"/>
    <w:qFormat/>
    <w:rsid w:val="0043549B"/>
    <w:pPr>
      <w:keepNext/>
      <w:keepLines/>
      <w:suppressAutoHyphens/>
      <w:outlineLvl w:val="1"/>
    </w:pPr>
    <w:rPr>
      <w:rFonts w:eastAsia="SimSun" w:cs="Times New Roman"/>
      <w:b/>
      <w:color w:val="4C5564"/>
      <w:kern w:val="12"/>
      <w:sz w:val="24"/>
      <w:szCs w:val="26"/>
    </w:rPr>
  </w:style>
  <w:style w:type="character" w:styleId="PlaceholderText">
    <w:name w:val="Placeholder Text"/>
    <w:basedOn w:val="DefaultParagraphFont"/>
    <w:uiPriority w:val="99"/>
    <w:semiHidden/>
    <w:rsid w:val="005C2ADE"/>
    <w:rPr>
      <w:color w:val="808080"/>
    </w:rPr>
  </w:style>
  <w:style w:type="paragraph" w:customStyle="1" w:styleId="CoverDate">
    <w:name w:val="Cover Date"/>
    <w:basedOn w:val="Normal"/>
    <w:uiPriority w:val="19"/>
    <w:qFormat/>
    <w:rsid w:val="005C2ADE"/>
    <w:pPr>
      <w:suppressAutoHyphens/>
      <w:spacing w:before="160" w:after="80"/>
    </w:pPr>
    <w:rPr>
      <w:rFonts w:asciiTheme="minorHAnsi" w:hAnsiTheme="minorHAnsi"/>
      <w:b/>
      <w:color w:val="000000" w:themeColor="text1"/>
    </w:rPr>
  </w:style>
  <w:style w:type="character" w:styleId="PageNumber">
    <w:name w:val="page number"/>
    <w:basedOn w:val="DefaultParagraphFont"/>
    <w:uiPriority w:val="99"/>
    <w:semiHidden/>
    <w:rsid w:val="005C2ADE"/>
    <w:rPr>
      <w:b/>
      <w:sz w:val="20"/>
    </w:rPr>
  </w:style>
  <w:style w:type="paragraph" w:customStyle="1" w:styleId="CoverPhoto">
    <w:name w:val="Cover Photo"/>
    <w:basedOn w:val="Normal"/>
    <w:uiPriority w:val="19"/>
    <w:qFormat/>
    <w:rsid w:val="005C2ADE"/>
    <w:pPr>
      <w:suppressAutoHyphens/>
      <w:spacing w:before="1240"/>
    </w:pPr>
    <w:rPr>
      <w:rFonts w:asciiTheme="minorHAnsi" w:hAnsiTheme="minorHAnsi"/>
      <w:color w:val="000000" w:themeColor="text1"/>
    </w:rPr>
  </w:style>
  <w:style w:type="paragraph" w:customStyle="1" w:styleId="Sourcenotes">
    <w:name w:val="Source notes"/>
    <w:basedOn w:val="Normal"/>
    <w:uiPriority w:val="15"/>
    <w:qFormat/>
    <w:rsid w:val="005C2ADE"/>
    <w:pPr>
      <w:suppressAutoHyphens/>
      <w:spacing w:before="120" w:after="80"/>
    </w:pPr>
    <w:rPr>
      <w:rFonts w:asciiTheme="minorHAnsi" w:hAnsiTheme="minorHAnsi"/>
      <w:color w:val="000000" w:themeColor="text1"/>
      <w:sz w:val="16"/>
      <w:lang w:val="x-none"/>
    </w:rPr>
  </w:style>
  <w:style w:type="paragraph" w:customStyle="1" w:styleId="Sourcenotesnumbered">
    <w:name w:val="Source notes numbered"/>
    <w:basedOn w:val="Sourcenotes"/>
    <w:uiPriority w:val="15"/>
    <w:qFormat/>
    <w:rsid w:val="005C2ADE"/>
    <w:pPr>
      <w:spacing w:before="80"/>
    </w:pPr>
  </w:style>
  <w:style w:type="paragraph" w:customStyle="1" w:styleId="ListNumbered1">
    <w:name w:val="List Numbered 1"/>
    <w:basedOn w:val="Normal"/>
    <w:uiPriority w:val="3"/>
    <w:qFormat/>
    <w:rsid w:val="005C2ADE"/>
    <w:pPr>
      <w:numPr>
        <w:numId w:val="19"/>
      </w:numPr>
      <w:suppressAutoHyphens/>
      <w:spacing w:before="80" w:after="80"/>
    </w:pPr>
    <w:rPr>
      <w:rFonts w:asciiTheme="minorHAnsi" w:hAnsiTheme="minorHAnsi"/>
      <w:color w:val="000000" w:themeColor="text1"/>
      <w:lang w:val="x-none"/>
    </w:rPr>
  </w:style>
  <w:style w:type="paragraph" w:customStyle="1" w:styleId="ListNumbered21">
    <w:name w:val="List Numbered 2.1"/>
    <w:basedOn w:val="ListNumbered1"/>
    <w:uiPriority w:val="3"/>
    <w:rsid w:val="005C2ADE"/>
    <w:pPr>
      <w:numPr>
        <w:ilvl w:val="1"/>
      </w:numPr>
    </w:pPr>
  </w:style>
  <w:style w:type="paragraph" w:customStyle="1" w:styleId="ListNumbered311">
    <w:name w:val="List Numbered 3.1.1"/>
    <w:basedOn w:val="ListNumbered21"/>
    <w:uiPriority w:val="3"/>
    <w:rsid w:val="005C2ADE"/>
    <w:pPr>
      <w:numPr>
        <w:ilvl w:val="2"/>
      </w:numPr>
    </w:pPr>
  </w:style>
  <w:style w:type="paragraph" w:customStyle="1" w:styleId="Box1Text">
    <w:name w:val="Box 1 Text"/>
    <w:basedOn w:val="Normal"/>
    <w:uiPriority w:val="23"/>
    <w:qFormat/>
    <w:rsid w:val="005C2ADE"/>
    <w:pPr>
      <w:pBdr>
        <w:top w:val="single" w:sz="4" w:space="14" w:color="ED7D31" w:themeColor="accent2"/>
        <w:left w:val="single" w:sz="4" w:space="14" w:color="ED7D31" w:themeColor="accent2"/>
        <w:bottom w:val="single" w:sz="4" w:space="14" w:color="ED7D31" w:themeColor="accent2"/>
        <w:right w:val="single" w:sz="4" w:space="14" w:color="ED7D31" w:themeColor="accent2"/>
      </w:pBdr>
      <w:suppressAutoHyphens/>
      <w:spacing w:before="160" w:after="80"/>
      <w:ind w:left="284" w:right="284"/>
    </w:pPr>
    <w:rPr>
      <w:rFonts w:asciiTheme="minorHAnsi" w:hAnsiTheme="minorHAnsi"/>
      <w:color w:val="000000" w:themeColor="text1"/>
      <w:lang w:val="x-none"/>
    </w:rPr>
  </w:style>
  <w:style w:type="paragraph" w:customStyle="1" w:styleId="Box1Heading">
    <w:name w:val="Box 1 Heading"/>
    <w:basedOn w:val="Box1Text"/>
    <w:uiPriority w:val="23"/>
    <w:qFormat/>
    <w:rsid w:val="005C2ADE"/>
    <w:rPr>
      <w:b/>
    </w:rPr>
  </w:style>
  <w:style w:type="paragraph" w:customStyle="1" w:styleId="Box1Bullet1">
    <w:name w:val="Box 1 Bullet 1"/>
    <w:basedOn w:val="Box1Text"/>
    <w:uiPriority w:val="24"/>
    <w:qFormat/>
    <w:rsid w:val="005C2ADE"/>
    <w:pPr>
      <w:numPr>
        <w:numId w:val="25"/>
      </w:numPr>
      <w:spacing w:before="80"/>
    </w:pPr>
    <w:rPr>
      <w:kern w:val="12"/>
      <w:sz w:val="20"/>
      <w:szCs w:val="20"/>
    </w:rPr>
  </w:style>
  <w:style w:type="paragraph" w:customStyle="1" w:styleId="Box2Text">
    <w:name w:val="Box 2 Text"/>
    <w:basedOn w:val="Normal"/>
    <w:uiPriority w:val="24"/>
    <w:qFormat/>
    <w:rsid w:val="007A00DC"/>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F6B298"/>
      <w:suppressAutoHyphens/>
      <w:spacing w:before="160" w:after="80"/>
      <w:ind w:left="284" w:right="284"/>
    </w:pPr>
    <w:rPr>
      <w:rFonts w:asciiTheme="minorHAnsi" w:hAnsiTheme="minorHAnsi"/>
      <w:i/>
      <w:iCs/>
      <w:color w:val="000000" w:themeColor="text1"/>
      <w:lang w:val="x-none"/>
    </w:rPr>
  </w:style>
  <w:style w:type="paragraph" w:customStyle="1" w:styleId="Box2Heading">
    <w:name w:val="Box 2 Heading"/>
    <w:basedOn w:val="Box2Text"/>
    <w:uiPriority w:val="24"/>
    <w:qFormat/>
    <w:rsid w:val="005C2ADE"/>
    <w:rPr>
      <w:b/>
    </w:rPr>
  </w:style>
  <w:style w:type="paragraph" w:customStyle="1" w:styleId="Box2Bullet1">
    <w:name w:val="Box 2 Bullet 1"/>
    <w:basedOn w:val="Box2Text"/>
    <w:uiPriority w:val="25"/>
    <w:qFormat/>
    <w:rsid w:val="005C2ADE"/>
    <w:pPr>
      <w:numPr>
        <w:ilvl w:val="1"/>
        <w:numId w:val="25"/>
      </w:numPr>
      <w:spacing w:before="80"/>
    </w:pPr>
    <w:rPr>
      <w:kern w:val="12"/>
      <w:sz w:val="20"/>
      <w:szCs w:val="20"/>
    </w:rPr>
  </w:style>
  <w:style w:type="numbering" w:customStyle="1" w:styleId="ListNumbered">
    <w:name w:val="List Numbered"/>
    <w:uiPriority w:val="99"/>
    <w:rsid w:val="005C2ADE"/>
    <w:pPr>
      <w:numPr>
        <w:numId w:val="19"/>
      </w:numPr>
    </w:pPr>
  </w:style>
  <w:style w:type="paragraph" w:customStyle="1" w:styleId="Heading1Numbered">
    <w:name w:val="Heading 1 Numbered"/>
    <w:basedOn w:val="Heading1"/>
    <w:uiPriority w:val="10"/>
    <w:rsid w:val="005C2ADE"/>
    <w:pPr>
      <w:keepNext/>
      <w:keepLines/>
      <w:numPr>
        <w:ilvl w:val="0"/>
        <w:numId w:val="21"/>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Heading2Numbered">
    <w:name w:val="Heading 2 Numbered"/>
    <w:basedOn w:val="Heading2"/>
    <w:uiPriority w:val="10"/>
    <w:rsid w:val="005C2ADE"/>
    <w:pPr>
      <w:numPr>
        <w:ilvl w:val="1"/>
        <w:numId w:val="21"/>
      </w:numPr>
    </w:pPr>
    <w:rPr>
      <w:rFonts w:asciiTheme="majorHAnsi" w:eastAsiaTheme="majorEastAsia" w:hAnsiTheme="majorHAnsi" w:cstheme="majorBidi"/>
      <w:color w:val="44546A" w:themeColor="text2"/>
      <w:kern w:val="0"/>
    </w:rPr>
  </w:style>
  <w:style w:type="paragraph" w:customStyle="1" w:styleId="Heading3Numbered">
    <w:name w:val="Heading 3 Numbered"/>
    <w:basedOn w:val="Heading3"/>
    <w:uiPriority w:val="10"/>
    <w:rsid w:val="005C2ADE"/>
    <w:pPr>
      <w:numPr>
        <w:ilvl w:val="2"/>
        <w:numId w:val="21"/>
      </w:numPr>
    </w:pPr>
    <w:rPr>
      <w:rFonts w:asciiTheme="majorHAnsi" w:eastAsiaTheme="majorEastAsia" w:hAnsiTheme="majorHAnsi" w:cstheme="majorBidi"/>
      <w:color w:val="4472C4" w:themeColor="accent5"/>
      <w:kern w:val="0"/>
    </w:rPr>
  </w:style>
  <w:style w:type="paragraph" w:customStyle="1" w:styleId="Heading4Numbered">
    <w:name w:val="Heading 4 Numbered"/>
    <w:basedOn w:val="Heading4"/>
    <w:uiPriority w:val="10"/>
    <w:rsid w:val="005C2ADE"/>
    <w:pPr>
      <w:numPr>
        <w:ilvl w:val="3"/>
        <w:numId w:val="21"/>
      </w:numPr>
    </w:pPr>
    <w:rPr>
      <w:rFonts w:asciiTheme="majorHAnsi" w:eastAsiaTheme="majorEastAsia" w:hAnsiTheme="majorHAnsi" w:cstheme="majorBidi"/>
      <w:color w:val="806000" w:themeColor="accent4" w:themeShade="80"/>
      <w:kern w:val="0"/>
      <w:szCs w:val="22"/>
    </w:rPr>
  </w:style>
  <w:style w:type="paragraph" w:customStyle="1" w:styleId="Heading5Numbered">
    <w:name w:val="Heading 5 Numbered"/>
    <w:basedOn w:val="Heading5"/>
    <w:uiPriority w:val="10"/>
    <w:rsid w:val="005C2ADE"/>
    <w:pPr>
      <w:keepLines/>
      <w:numPr>
        <w:ilvl w:val="4"/>
        <w:numId w:val="21"/>
      </w:numPr>
      <w:suppressAutoHyphens/>
      <w:spacing w:before="240" w:after="160"/>
    </w:pPr>
    <w:rPr>
      <w:rFonts w:asciiTheme="majorHAnsi" w:eastAsiaTheme="majorEastAsia" w:hAnsiTheme="majorHAnsi" w:cstheme="majorBidi"/>
      <w:color w:val="44546A" w:themeColor="text2"/>
      <w:sz w:val="22"/>
      <w:szCs w:val="22"/>
    </w:rPr>
  </w:style>
  <w:style w:type="numbering" w:customStyle="1" w:styleId="NumberedHeadings">
    <w:name w:val="Numbered Headings"/>
    <w:uiPriority w:val="99"/>
    <w:rsid w:val="005C2ADE"/>
    <w:pPr>
      <w:numPr>
        <w:numId w:val="20"/>
      </w:numPr>
    </w:pPr>
  </w:style>
  <w:style w:type="paragraph" w:customStyle="1" w:styleId="AppendixHeading1">
    <w:name w:val="Appendix Heading 1"/>
    <w:basedOn w:val="Heading1"/>
    <w:uiPriority w:val="11"/>
    <w:qFormat/>
    <w:rsid w:val="005C2ADE"/>
    <w:pPr>
      <w:keepNext/>
      <w:keepLines/>
      <w:numPr>
        <w:ilvl w:val="0"/>
        <w:numId w:val="23"/>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ppendixHeading2">
    <w:name w:val="Appendix Heading 2"/>
    <w:basedOn w:val="Heading2"/>
    <w:uiPriority w:val="11"/>
    <w:rsid w:val="005C2ADE"/>
    <w:pPr>
      <w:numPr>
        <w:ilvl w:val="1"/>
        <w:numId w:val="23"/>
      </w:numPr>
    </w:pPr>
    <w:rPr>
      <w:rFonts w:asciiTheme="majorHAnsi" w:eastAsiaTheme="majorEastAsia" w:hAnsiTheme="majorHAnsi" w:cstheme="majorBidi"/>
      <w:color w:val="44546A" w:themeColor="text2"/>
      <w:kern w:val="0"/>
    </w:rPr>
  </w:style>
  <w:style w:type="paragraph" w:customStyle="1" w:styleId="AttachmentHeading1">
    <w:name w:val="Attachment Heading 1"/>
    <w:basedOn w:val="Heading1"/>
    <w:uiPriority w:val="11"/>
    <w:qFormat/>
    <w:rsid w:val="005C2ADE"/>
    <w:pPr>
      <w:keepNext/>
      <w:keepLines/>
      <w:numPr>
        <w:ilvl w:val="0"/>
        <w:numId w:val="24"/>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ttachmentHeading2">
    <w:name w:val="Attachment Heading 2"/>
    <w:basedOn w:val="Heading2"/>
    <w:uiPriority w:val="11"/>
    <w:rsid w:val="005C2ADE"/>
    <w:pPr>
      <w:numPr>
        <w:ilvl w:val="1"/>
        <w:numId w:val="24"/>
      </w:numPr>
    </w:pPr>
    <w:rPr>
      <w:rFonts w:asciiTheme="majorHAnsi" w:eastAsiaTheme="majorEastAsia" w:hAnsiTheme="majorHAnsi" w:cstheme="majorBidi"/>
      <w:color w:val="44546A" w:themeColor="text2"/>
      <w:kern w:val="0"/>
    </w:rPr>
  </w:style>
  <w:style w:type="numbering" w:customStyle="1" w:styleId="AppendixNumbers">
    <w:name w:val="Appendix Numbers"/>
    <w:uiPriority w:val="99"/>
    <w:rsid w:val="005C2ADE"/>
    <w:pPr>
      <w:numPr>
        <w:numId w:val="22"/>
      </w:numPr>
    </w:pPr>
  </w:style>
  <w:style w:type="numbering" w:customStyle="1" w:styleId="AttachmentNumbers">
    <w:name w:val="Attachment Numbers"/>
    <w:uiPriority w:val="99"/>
    <w:rsid w:val="005C2ADE"/>
    <w:pPr>
      <w:numPr>
        <w:numId w:val="24"/>
      </w:numPr>
    </w:pPr>
  </w:style>
  <w:style w:type="paragraph" w:customStyle="1" w:styleId="Box2Checklist">
    <w:name w:val="Box 2 Checklist"/>
    <w:basedOn w:val="Box2Text"/>
    <w:uiPriority w:val="26"/>
    <w:qFormat/>
    <w:rsid w:val="005C2ADE"/>
    <w:pPr>
      <w:numPr>
        <w:ilvl w:val="2"/>
        <w:numId w:val="25"/>
      </w:numPr>
    </w:pPr>
    <w:rPr>
      <w:kern w:val="12"/>
      <w:sz w:val="20"/>
      <w:szCs w:val="20"/>
    </w:rPr>
  </w:style>
  <w:style w:type="numbering" w:customStyle="1" w:styleId="BoxedBullets">
    <w:name w:val="Boxed Bullets"/>
    <w:uiPriority w:val="99"/>
    <w:rsid w:val="005C2ADE"/>
    <w:pPr>
      <w:numPr>
        <w:numId w:val="25"/>
      </w:numPr>
    </w:pPr>
  </w:style>
  <w:style w:type="paragraph" w:customStyle="1" w:styleId="SecurityMarker">
    <w:name w:val="Security Marker"/>
    <w:basedOn w:val="Normal"/>
    <w:qFormat/>
    <w:rsid w:val="005C2ADE"/>
    <w:pPr>
      <w:suppressAutoHyphens/>
      <w:spacing w:before="60" w:after="60"/>
      <w:ind w:left="-1247"/>
      <w:jc w:val="center"/>
    </w:pPr>
    <w:rPr>
      <w:rFonts w:asciiTheme="minorHAnsi" w:hAnsiTheme="minorHAnsi"/>
      <w:b/>
      <w:bCs/>
      <w:caps/>
      <w:color w:val="E10000"/>
      <w:sz w:val="28"/>
      <w:szCs w:val="28"/>
    </w:rPr>
  </w:style>
  <w:style w:type="character" w:styleId="CommentReference">
    <w:name w:val="annotation reference"/>
    <w:basedOn w:val="DefaultParagraphFont"/>
    <w:uiPriority w:val="99"/>
    <w:semiHidden/>
    <w:unhideWhenUsed/>
    <w:rsid w:val="005C2ADE"/>
    <w:rPr>
      <w:sz w:val="16"/>
      <w:szCs w:val="16"/>
    </w:rPr>
  </w:style>
  <w:style w:type="paragraph" w:styleId="CommentText">
    <w:name w:val="annotation text"/>
    <w:basedOn w:val="Normal"/>
    <w:link w:val="CommentTextChar"/>
    <w:uiPriority w:val="99"/>
    <w:unhideWhenUsed/>
    <w:rsid w:val="005C2ADE"/>
    <w:pPr>
      <w:suppressAutoHyphens/>
      <w:spacing w:before="160" w:after="80"/>
    </w:pPr>
    <w:rPr>
      <w:rFonts w:asciiTheme="minorHAnsi" w:hAnsiTheme="minorHAnsi"/>
      <w:color w:val="000000" w:themeColor="text1"/>
      <w:sz w:val="20"/>
      <w:szCs w:val="20"/>
    </w:rPr>
  </w:style>
  <w:style w:type="character" w:customStyle="1" w:styleId="CommentTextChar">
    <w:name w:val="Comment Text Char"/>
    <w:basedOn w:val="DefaultParagraphFont"/>
    <w:link w:val="CommentText"/>
    <w:uiPriority w:val="99"/>
    <w:rsid w:val="005C2ADE"/>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C2ADE"/>
    <w:rPr>
      <w:b/>
      <w:bCs/>
    </w:rPr>
  </w:style>
  <w:style w:type="character" w:customStyle="1" w:styleId="CommentSubjectChar">
    <w:name w:val="Comment Subject Char"/>
    <w:basedOn w:val="CommentTextChar"/>
    <w:link w:val="CommentSubject"/>
    <w:uiPriority w:val="99"/>
    <w:semiHidden/>
    <w:rsid w:val="005C2ADE"/>
    <w:rPr>
      <w:b/>
      <w:bCs/>
      <w:color w:val="000000" w:themeColor="text1"/>
      <w:sz w:val="20"/>
      <w:szCs w:val="20"/>
    </w:rPr>
  </w:style>
  <w:style w:type="paragraph" w:styleId="BalloonText">
    <w:name w:val="Balloon Text"/>
    <w:basedOn w:val="Normal"/>
    <w:link w:val="BalloonTextChar"/>
    <w:uiPriority w:val="99"/>
    <w:semiHidden/>
    <w:unhideWhenUsed/>
    <w:rsid w:val="005C2ADE"/>
    <w:pPr>
      <w:suppressAutoHyphens/>
      <w:spacing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5C2ADE"/>
    <w:rPr>
      <w:rFonts w:ascii="Segoe UI" w:hAnsi="Segoe UI" w:cs="Segoe UI"/>
      <w:color w:val="000000" w:themeColor="text1"/>
      <w:sz w:val="18"/>
      <w:szCs w:val="18"/>
    </w:rPr>
  </w:style>
  <w:style w:type="paragraph" w:customStyle="1" w:styleId="Default">
    <w:name w:val="Default"/>
    <w:rsid w:val="005C2ADE"/>
    <w:pPr>
      <w:autoSpaceDE w:val="0"/>
      <w:autoSpaceDN w:val="0"/>
      <w:adjustRightInd w:val="0"/>
      <w:spacing w:after="0" w:line="240" w:lineRule="auto"/>
    </w:pPr>
    <w:rPr>
      <w:rFonts w:ascii="Symbol" w:hAnsi="Symbol" w:cs="Symbol"/>
      <w:color w:val="000000"/>
      <w:sz w:val="24"/>
      <w:szCs w:val="24"/>
    </w:rPr>
  </w:style>
  <w:style w:type="character" w:customStyle="1" w:styleId="UnresolvedMention1">
    <w:name w:val="Unresolved Mention1"/>
    <w:basedOn w:val="DefaultParagraphFont"/>
    <w:uiPriority w:val="99"/>
    <w:semiHidden/>
    <w:unhideWhenUsed/>
    <w:rsid w:val="005C2ADE"/>
    <w:rPr>
      <w:color w:val="605E5C"/>
      <w:shd w:val="clear" w:color="auto" w:fill="E1DFDD"/>
    </w:rPr>
  </w:style>
  <w:style w:type="paragraph" w:styleId="Revision">
    <w:name w:val="Revision"/>
    <w:hidden/>
    <w:uiPriority w:val="99"/>
    <w:semiHidden/>
    <w:rsid w:val="005C2ADE"/>
    <w:pPr>
      <w:spacing w:after="0" w:line="240" w:lineRule="auto"/>
    </w:pPr>
  </w:style>
  <w:style w:type="character" w:styleId="Emphasis">
    <w:name w:val="Emphasis"/>
    <w:basedOn w:val="DefaultParagraphFont"/>
    <w:uiPriority w:val="20"/>
    <w:qFormat/>
    <w:rsid w:val="005C2ADE"/>
    <w:rPr>
      <w:i/>
      <w:iCs/>
    </w:rPr>
  </w:style>
  <w:style w:type="numbering" w:customStyle="1" w:styleId="CurrentList1">
    <w:name w:val="Current List1"/>
    <w:uiPriority w:val="99"/>
    <w:rsid w:val="005C2ADE"/>
    <w:pPr>
      <w:numPr>
        <w:numId w:val="26"/>
      </w:numPr>
    </w:pPr>
  </w:style>
  <w:style w:type="paragraph" w:styleId="EndnoteText">
    <w:name w:val="endnote text"/>
    <w:basedOn w:val="Normal"/>
    <w:link w:val="EndnoteTextChar"/>
    <w:uiPriority w:val="99"/>
    <w:semiHidden/>
    <w:unhideWhenUsed/>
    <w:rsid w:val="005C2ADE"/>
    <w:pPr>
      <w:spacing w:after="0"/>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5C2ADE"/>
    <w:rPr>
      <w:sz w:val="20"/>
      <w:szCs w:val="20"/>
    </w:rPr>
  </w:style>
  <w:style w:type="character" w:styleId="EndnoteReference">
    <w:name w:val="endnote reference"/>
    <w:basedOn w:val="DefaultParagraphFont"/>
    <w:uiPriority w:val="99"/>
    <w:semiHidden/>
    <w:unhideWhenUsed/>
    <w:rsid w:val="005C2ADE"/>
    <w:rPr>
      <w:vertAlign w:val="superscript"/>
    </w:rPr>
  </w:style>
  <w:style w:type="character" w:customStyle="1" w:styleId="UnresolvedMention2">
    <w:name w:val="Unresolved Mention2"/>
    <w:basedOn w:val="DefaultParagraphFont"/>
    <w:uiPriority w:val="99"/>
    <w:semiHidden/>
    <w:unhideWhenUsed/>
    <w:rsid w:val="005C2ADE"/>
    <w:rPr>
      <w:color w:val="605E5C"/>
      <w:shd w:val="clear" w:color="auto" w:fill="E1DFDD"/>
    </w:rPr>
  </w:style>
  <w:style w:type="paragraph" w:customStyle="1" w:styleId="pf0">
    <w:name w:val="pf0"/>
    <w:basedOn w:val="Normal"/>
    <w:rsid w:val="005C2AD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5C2ADE"/>
    <w:rPr>
      <w:rFonts w:ascii="Segoe UI" w:hAnsi="Segoe UI" w:cs="Segoe UI" w:hint="default"/>
      <w:sz w:val="18"/>
      <w:szCs w:val="18"/>
    </w:rPr>
  </w:style>
  <w:style w:type="paragraph" w:styleId="IntenseQuote">
    <w:name w:val="Intense Quote"/>
    <w:basedOn w:val="Normal"/>
    <w:next w:val="Normal"/>
    <w:link w:val="IntenseQuoteChar"/>
    <w:uiPriority w:val="30"/>
    <w:qFormat/>
    <w:rsid w:val="005C2ADE"/>
    <w:pPr>
      <w:pBdr>
        <w:top w:val="single" w:sz="4" w:space="10" w:color="5B9BD5" w:themeColor="accent1"/>
        <w:bottom w:val="single" w:sz="4" w:space="10" w:color="5B9BD5" w:themeColor="accent1"/>
      </w:pBdr>
      <w:spacing w:before="360" w:after="360" w:line="259" w:lineRule="auto"/>
      <w:ind w:left="864" w:right="864"/>
      <w:jc w:val="center"/>
    </w:pPr>
    <w:rPr>
      <w:rFonts w:asciiTheme="minorHAnsi" w:hAnsiTheme="minorHAnsi"/>
      <w:i/>
      <w:iCs/>
      <w:color w:val="5B9BD5" w:themeColor="accent1"/>
    </w:rPr>
  </w:style>
  <w:style w:type="character" w:customStyle="1" w:styleId="IntenseQuoteChar">
    <w:name w:val="Intense Quote Char"/>
    <w:basedOn w:val="DefaultParagraphFont"/>
    <w:link w:val="IntenseQuote"/>
    <w:uiPriority w:val="30"/>
    <w:rsid w:val="005C2ADE"/>
    <w:rPr>
      <w:i/>
      <w:iCs/>
      <w:color w:val="5B9BD5" w:themeColor="accent1"/>
    </w:rPr>
  </w:style>
  <w:style w:type="character" w:styleId="IntenseEmphasis">
    <w:name w:val="Intense Emphasis"/>
    <w:basedOn w:val="DefaultParagraphFont"/>
    <w:uiPriority w:val="21"/>
    <w:qFormat/>
    <w:rsid w:val="005C2ADE"/>
    <w:rPr>
      <w:i/>
      <w:iCs/>
      <w:color w:val="5B9BD5" w:themeColor="accent1"/>
    </w:rPr>
  </w:style>
  <w:style w:type="table" w:styleId="GridTable5Dark-Accent1">
    <w:name w:val="Grid Table 5 Dark Accent 1"/>
    <w:basedOn w:val="TableNormal"/>
    <w:uiPriority w:val="50"/>
    <w:rsid w:val="005C2ADE"/>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5C2A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Mention">
    <w:name w:val="Mention"/>
    <w:basedOn w:val="DefaultParagraphFont"/>
    <w:uiPriority w:val="99"/>
    <w:unhideWhenUsed/>
    <w:rsid w:val="005C2ADE"/>
    <w:rPr>
      <w:color w:val="2B579A"/>
      <w:shd w:val="clear" w:color="auto" w:fill="E1DFDD"/>
    </w:rPr>
  </w:style>
  <w:style w:type="table" w:styleId="GridTable1Light-Accent1">
    <w:name w:val="Grid Table 1 Light Accent 1"/>
    <w:basedOn w:val="TableNormal"/>
    <w:uiPriority w:val="46"/>
    <w:rsid w:val="005C2AD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C2A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C2A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4-notshowing">
    <w:name w:val="heading 4 - not showing"/>
    <w:basedOn w:val="Heading4"/>
    <w:link w:val="heading4-notshowingChar"/>
    <w:qFormat/>
    <w:rsid w:val="005C2ADE"/>
    <w:rPr>
      <w:color w:val="622B7F"/>
    </w:rPr>
  </w:style>
  <w:style w:type="character" w:customStyle="1" w:styleId="heading4-notshowingChar">
    <w:name w:val="heading 4 - not showing Char"/>
    <w:basedOn w:val="Heading4Char"/>
    <w:link w:val="heading4-notshowing"/>
    <w:rsid w:val="005C2ADE"/>
    <w:rPr>
      <w:rFonts w:ascii="Calibri" w:eastAsia="SimSun" w:hAnsi="Calibri" w:cs="Times New Roman"/>
      <w:b/>
      <w:iCs/>
      <w:color w:val="622B7F"/>
      <w:kern w:val="12"/>
      <w:sz w:val="26"/>
      <w:szCs w:val="20"/>
    </w:rPr>
  </w:style>
  <w:style w:type="table" w:styleId="GridTable4">
    <w:name w:val="Grid Table 4"/>
    <w:basedOn w:val="TableNormal"/>
    <w:uiPriority w:val="49"/>
    <w:rsid w:val="005C2A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5C2A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2">
    <w:name w:val="List Table 2"/>
    <w:basedOn w:val="TableNormal"/>
    <w:uiPriority w:val="47"/>
    <w:rsid w:val="005C2AD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infrastructure.gov.au/department/media/publications/australian-national-aviation-safety-plan-2024-2027"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engage.airservicesaustralia.com/hub-page/industryhub" TargetMode="External"/><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airservicesaustralia.com/industry-info/pilot-tools/pilot-and-airside-safety/runway-safety/" TargetMode="External"/><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hyperlink" Target="http://www.infrastructure.gov.au/" TargetMode="External"/><Relationship Id="rId14" Type="http://schemas.openxmlformats.org/officeDocument/2006/relationships/image" Target="media/image4.jpg"/><Relationship Id="rId22" Type="http://schemas.openxmlformats.org/officeDocument/2006/relationships/hyperlink" Target="https://www.infrastructure.gov.au/infrastructure-transport-vehicles/aviation/aviation-safety/australias-aviation-state-safety-programme-and-national-aviation-safety-plan"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casa.gov.au/about-us/who-we-work/national-runway-safety-group" TargetMode="External"/><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pmc.gov.a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glossaryDocument" Target="glossary/document.xml"/><Relationship Id="rId20" Type="http://schemas.openxmlformats.org/officeDocument/2006/relationships/footer" Target="footer4.xml"/><Relationship Id="rId41" Type="http://schemas.openxmlformats.org/officeDocument/2006/relationships/image" Target="media/image25.png"/><Relationship Id="rId54" Type="http://schemas.openxmlformats.org/officeDocument/2006/relationships/hyperlink" Target="https://aus01.safelinks.protection.outlook.com/?url=https%3A%2F%2Fengage.airservicesaustralia.com%2F&amp;data=05%7C02%7CYOSEF.ZAMORA%40casa.gov.au%7C9f123e91cbaf4a94be7908de262cda9e%7C70a593b6906447f5992539d2dc35261c%7C0%7C0%7C638990171422989331%7CUnknown%7CTWFpbGZsb3d8eyJFbXB0eU1hcGkiOnRydWUsIlYiOiIwLjAuMDAwMCIsIlAiOiJXaW4zMiIsIkFOIjoiTWFpbCIsIldUIjoyfQ%3D%3D%7C0%7C%7C%7C&amp;sdata=GR%2BYkWAD1PZIEcNRH7stdw%2BlDj29NRW56FGFLJipvvk%3D&amp;reserved=0" TargetMode="External"/><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engage.airservicesaustralia.com/" TargetMode="External"/><Relationship Id="rId60" Type="http://schemas.openxmlformats.org/officeDocument/2006/relationships/image" Target="media/image39.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nternationalICAO@infrastructure.gov.au" TargetMode="External"/><Relationship Id="rId3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F2019L00593/latest/tex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A577F939A7B4915BC80D1A296B2E5F5"/>
        <w:category>
          <w:name w:val="General"/>
          <w:gallery w:val="placeholder"/>
        </w:category>
        <w:types>
          <w:type w:val="bbPlcHdr"/>
        </w:types>
        <w:behaviors>
          <w:behavior w:val="content"/>
        </w:behaviors>
        <w:guid w:val="{B7248829-1AC6-4196-AA43-2232C8116BE5}"/>
      </w:docPartPr>
      <w:docPartBody>
        <w:p w:rsidR="006848AD" w:rsidRDefault="006848AD" w:rsidP="006848AD">
          <w:pPr>
            <w:pStyle w:val="9A577F939A7B4915BC80D1A296B2E5F5"/>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AD"/>
    <w:rsid w:val="00144E7A"/>
    <w:rsid w:val="0021303A"/>
    <w:rsid w:val="00422620"/>
    <w:rsid w:val="005B0974"/>
    <w:rsid w:val="006848AD"/>
    <w:rsid w:val="006C008F"/>
    <w:rsid w:val="00802FD1"/>
    <w:rsid w:val="00811187"/>
    <w:rsid w:val="00B61EA7"/>
    <w:rsid w:val="00B86766"/>
    <w:rsid w:val="00D06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577F939A7B4915BC80D1A296B2E5F5">
    <w:name w:val="9A577F939A7B4915BC80D1A296B2E5F5"/>
    <w:rsid w:val="006848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DC5F8-41D3-4B24-B97B-B85AE350A1F9}">
  <ds:schemaRefs>
    <ds:schemaRef ds:uri="http://schemas.openxmlformats.org/officeDocument/2006/bibliography"/>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Normal.dotm</Template>
  <TotalTime>45</TotalTime>
  <Pages>40</Pages>
  <Words>11836</Words>
  <Characters>71017</Characters>
  <Application>Microsoft Office Word</Application>
  <DocSecurity>0</DocSecurity>
  <Lines>2029</Lines>
  <Paragraphs>910</Paragraphs>
  <ScaleCrop>false</ScaleCrop>
  <HeadingPairs>
    <vt:vector size="2" baseType="variant">
      <vt:variant>
        <vt:lpstr>Title</vt:lpstr>
      </vt:variant>
      <vt:variant>
        <vt:i4>1</vt:i4>
      </vt:variant>
    </vt:vector>
  </HeadingPairs>
  <TitlesOfParts>
    <vt:vector size="1" baseType="lpstr">
      <vt:lpstr>Xjsdjdjfj dshjdsuwe3u dueuw3—kferfeofv odfvoero</vt:lpstr>
    </vt:vector>
  </TitlesOfParts>
  <Company>Australian Government, Department of Infrastructure, Transport, Regional Development, Communications, Sport and the Arts</Company>
  <LinksUpToDate>false</LinksUpToDate>
  <CharactersWithSpaces>81943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National Aviation Safety Plan Annual Report—Financial Year 2024–2025—April 2026</dc:title>
  <dc:subject/>
  <dc:creator>Australian Government, Department of Infrastructure, Transport, Regional Development, Communications, Sport and the Arts</dc:creator>
  <cp:keywords/>
  <dc:description>20 January 2026</dc:description>
  <cp:lastModifiedBy>Hall, Theresa</cp:lastModifiedBy>
  <cp:revision>5</cp:revision>
  <dcterms:created xsi:type="dcterms:W3CDTF">2026-05-21T05:27:00Z</dcterms:created>
  <dcterms:modified xsi:type="dcterms:W3CDTF">2026-05-21T05:33:00Z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4239095f,5ebf704b,26e1e252,784446ce,5995aca</vt:lpwstr>
  </property>
  <property fmtid="{D5CDD505-2E9C-101B-9397-08002B2CF9AE}" pid="3" name="ClassificationContentMarkingHeaderFontProps">
    <vt:lpwstr>#ff0000,14,Aptos</vt:lpwstr>
  </property>
  <property fmtid="{D5CDD505-2E9C-101B-9397-08002B2CF9AE}" pid="4" name="ClassificationContentMarkingHeaderText">
    <vt:lpwstr>OFFICIAL</vt:lpwstr>
  </property>
  <property fmtid="{D5CDD505-2E9C-101B-9397-08002B2CF9AE}" pid="5" name="ClassificationContentMarkingFooterShapeIds">
    <vt:lpwstr>7d13029e,6add45f5,ee4612d,a52c73a,6dedb8f6</vt:lpwstr>
  </property>
  <property fmtid="{D5CDD505-2E9C-101B-9397-08002B2CF9AE}" pid="6" name="ClassificationContentMarkingFooterFontProps">
    <vt:lpwstr>#ff0000,14,Aptos</vt:lpwstr>
  </property>
  <property fmtid="{D5CDD505-2E9C-101B-9397-08002B2CF9AE}" pid="7" name="ClassificationContentMarkingFooterText">
    <vt:lpwstr>OFFICIAL</vt:lpwstr>
  </property>
</Properties>
</file>