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B41CE" w14:textId="77777777" w:rsidR="002A619D" w:rsidRDefault="002A619D" w:rsidP="002A619D">
      <w:pPr>
        <w:jc w:val="center"/>
      </w:pPr>
      <w:r>
        <w:rPr>
          <w:noProof/>
          <w:lang w:eastAsia="en-AU"/>
        </w:rPr>
        <w:drawing>
          <wp:inline distT="0" distB="0" distL="0" distR="0" wp14:anchorId="26EE5A98" wp14:editId="21164606">
            <wp:extent cx="2470150" cy="1371600"/>
            <wp:effectExtent l="0" t="0" r="6350" b="0"/>
            <wp:docPr id="1" name="Picture 1" descr="Logo: 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0150" cy="1371600"/>
                    </a:xfrm>
                    <a:prstGeom prst="rect">
                      <a:avLst/>
                    </a:prstGeom>
                    <a:noFill/>
                    <a:ln>
                      <a:noFill/>
                    </a:ln>
                  </pic:spPr>
                </pic:pic>
              </a:graphicData>
            </a:graphic>
          </wp:inline>
        </w:drawing>
      </w:r>
    </w:p>
    <w:p w14:paraId="204841BF" w14:textId="77777777" w:rsidR="002A619D" w:rsidRDefault="002A619D" w:rsidP="002A619D">
      <w:pPr>
        <w:spacing w:after="0"/>
        <w:sectPr w:rsidR="002A619D" w:rsidSect="00733E0A">
          <w:headerReference w:type="even" r:id="rId9"/>
          <w:headerReference w:type="default" r:id="rId10"/>
          <w:footerReference w:type="even" r:id="rId11"/>
          <w:footerReference w:type="default" r:id="rId12"/>
          <w:headerReference w:type="first" r:id="rId13"/>
          <w:footerReference w:type="first" r:id="rId14"/>
          <w:pgSz w:w="11906" w:h="16838"/>
          <w:pgMar w:top="1418" w:right="1440" w:bottom="1440" w:left="1440" w:header="0" w:footer="346" w:gutter="0"/>
          <w:cols w:space="720"/>
          <w:titlePg/>
          <w:docGrid w:linePitch="299"/>
        </w:sectPr>
      </w:pPr>
    </w:p>
    <w:p w14:paraId="0F0F01EC" w14:textId="77777777" w:rsidR="002A619D" w:rsidRDefault="002A619D" w:rsidP="002A619D">
      <w:pPr>
        <w:pStyle w:val="Heading1"/>
      </w:pPr>
      <w:r>
        <w:t xml:space="preserve">Australian Government response to the </w:t>
      </w:r>
      <w:r w:rsidR="001C503E" w:rsidRPr="001C503E">
        <w:t>House of Representatives Standing Committee on Regional Development, Infrastructure and Transport report:</w:t>
      </w:r>
    </w:p>
    <w:p w14:paraId="4DC983CA" w14:textId="3728769A" w:rsidR="002A619D" w:rsidRDefault="001C503E" w:rsidP="00012EBD">
      <w:pPr>
        <w:pStyle w:val="reporttitle"/>
        <w:rPr>
          <w:lang w:eastAsia="en-US"/>
        </w:rPr>
      </w:pPr>
      <w:r w:rsidRPr="001C503E">
        <w:rPr>
          <w:rFonts w:cstheme="minorHAnsi"/>
        </w:rPr>
        <w:t>Inquiry into the implication</w:t>
      </w:r>
      <w:r>
        <w:rPr>
          <w:rFonts w:cstheme="minorHAnsi"/>
        </w:rPr>
        <w:t>s</w:t>
      </w:r>
      <w:r w:rsidRPr="001C503E">
        <w:rPr>
          <w:rFonts w:cstheme="minorHAnsi"/>
        </w:rPr>
        <w:t xml:space="preserve"> of severe weather events on the national regional, rural and remote road network</w:t>
      </w:r>
      <w:r w:rsidR="00012EBD">
        <w:rPr>
          <w:rFonts w:cstheme="minorHAnsi"/>
        </w:rPr>
        <w:br/>
      </w:r>
      <w:r w:rsidR="00012EBD">
        <w:rPr>
          <w:rFonts w:cstheme="minorHAnsi"/>
        </w:rPr>
        <w:br/>
      </w:r>
      <w:r w:rsidR="00012EBD">
        <w:rPr>
          <w:rFonts w:cstheme="minorHAnsi"/>
        </w:rPr>
        <w:br/>
      </w:r>
      <w:r w:rsidR="00012EBD">
        <w:rPr>
          <w:rFonts w:cstheme="minorHAnsi"/>
        </w:rPr>
        <w:br/>
      </w:r>
      <w:r w:rsidR="00F24270">
        <w:t>January 2026</w:t>
      </w:r>
      <w:r w:rsidR="002A619D">
        <w:rPr>
          <w:lang w:eastAsia="en-US"/>
        </w:rPr>
        <w:br w:type="page"/>
      </w:r>
    </w:p>
    <w:p w14:paraId="46D1BA0B" w14:textId="77777777" w:rsidR="002A619D" w:rsidRDefault="002A619D" w:rsidP="002A619D">
      <w:pPr>
        <w:pStyle w:val="Heading2-notshowing"/>
      </w:pPr>
      <w:r>
        <w:lastRenderedPageBreak/>
        <w:t>Contents</w:t>
      </w:r>
    </w:p>
    <w:p w14:paraId="086A9684" w14:textId="22203FBE" w:rsidR="00076ACB" w:rsidRDefault="002A619D">
      <w:pPr>
        <w:pStyle w:val="TOC1"/>
        <w:rPr>
          <w:b w:val="0"/>
          <w:noProof/>
          <w:kern w:val="2"/>
          <w:szCs w:val="24"/>
          <w:lang w:eastAsia="en-AU"/>
          <w14:ligatures w14:val="standardContextual"/>
        </w:rPr>
      </w:pPr>
      <w:r>
        <w:rPr>
          <w:color w:val="0F293A"/>
          <w:lang w:eastAsia="en-US"/>
        </w:rPr>
        <w:fldChar w:fldCharType="begin"/>
      </w:r>
      <w:r>
        <w:rPr>
          <w:lang w:eastAsia="en-US"/>
        </w:rPr>
        <w:instrText xml:space="preserve"> TOC \h \z \t "Heading 2,1,Heading 3,2,Heading 4,3" </w:instrText>
      </w:r>
      <w:r>
        <w:rPr>
          <w:color w:val="0F293A"/>
          <w:lang w:eastAsia="en-US"/>
        </w:rPr>
        <w:fldChar w:fldCharType="separate"/>
      </w:r>
      <w:hyperlink w:anchor="_Toc219188288" w:history="1">
        <w:r w:rsidR="00076ACB" w:rsidRPr="002D063D">
          <w:rPr>
            <w:rStyle w:val="Hyperlink"/>
            <w:noProof/>
          </w:rPr>
          <w:t>Overview</w:t>
        </w:r>
        <w:r w:rsidR="00076ACB">
          <w:rPr>
            <w:noProof/>
            <w:webHidden/>
          </w:rPr>
          <w:tab/>
        </w:r>
        <w:r w:rsidR="00076ACB">
          <w:rPr>
            <w:noProof/>
            <w:webHidden/>
          </w:rPr>
          <w:fldChar w:fldCharType="begin"/>
        </w:r>
        <w:r w:rsidR="00076ACB">
          <w:rPr>
            <w:noProof/>
            <w:webHidden/>
          </w:rPr>
          <w:instrText xml:space="preserve"> PAGEREF _Toc219188288 \h </w:instrText>
        </w:r>
        <w:r w:rsidR="00076ACB">
          <w:rPr>
            <w:noProof/>
            <w:webHidden/>
          </w:rPr>
        </w:r>
        <w:r w:rsidR="00076ACB">
          <w:rPr>
            <w:noProof/>
            <w:webHidden/>
          </w:rPr>
          <w:fldChar w:fldCharType="separate"/>
        </w:r>
        <w:r w:rsidR="009C0BD3">
          <w:rPr>
            <w:noProof/>
            <w:webHidden/>
          </w:rPr>
          <w:t>3</w:t>
        </w:r>
        <w:r w:rsidR="00076ACB">
          <w:rPr>
            <w:noProof/>
            <w:webHidden/>
          </w:rPr>
          <w:fldChar w:fldCharType="end"/>
        </w:r>
      </w:hyperlink>
    </w:p>
    <w:p w14:paraId="7C1D021E" w14:textId="34E97B9B" w:rsidR="00076ACB" w:rsidRDefault="00076ACB">
      <w:pPr>
        <w:pStyle w:val="TOC1"/>
        <w:rPr>
          <w:b w:val="0"/>
          <w:noProof/>
          <w:kern w:val="2"/>
          <w:szCs w:val="24"/>
          <w:lang w:eastAsia="en-AU"/>
          <w14:ligatures w14:val="standardContextual"/>
        </w:rPr>
      </w:pPr>
      <w:hyperlink w:anchor="_Toc219188289" w:history="1">
        <w:r w:rsidRPr="002D063D">
          <w:rPr>
            <w:rStyle w:val="Hyperlink"/>
            <w:noProof/>
          </w:rPr>
          <w:t>Australian Government response</w:t>
        </w:r>
        <w:r>
          <w:rPr>
            <w:noProof/>
            <w:webHidden/>
          </w:rPr>
          <w:tab/>
        </w:r>
        <w:r>
          <w:rPr>
            <w:noProof/>
            <w:webHidden/>
          </w:rPr>
          <w:fldChar w:fldCharType="begin"/>
        </w:r>
        <w:r>
          <w:rPr>
            <w:noProof/>
            <w:webHidden/>
          </w:rPr>
          <w:instrText xml:space="preserve"> PAGEREF _Toc219188289 \h </w:instrText>
        </w:r>
        <w:r>
          <w:rPr>
            <w:noProof/>
            <w:webHidden/>
          </w:rPr>
        </w:r>
        <w:r>
          <w:rPr>
            <w:noProof/>
            <w:webHidden/>
          </w:rPr>
          <w:fldChar w:fldCharType="separate"/>
        </w:r>
        <w:r w:rsidR="009C0BD3">
          <w:rPr>
            <w:noProof/>
            <w:webHidden/>
          </w:rPr>
          <w:t>4</w:t>
        </w:r>
        <w:r>
          <w:rPr>
            <w:noProof/>
            <w:webHidden/>
          </w:rPr>
          <w:fldChar w:fldCharType="end"/>
        </w:r>
      </w:hyperlink>
    </w:p>
    <w:p w14:paraId="7FE733A1" w14:textId="7EFC205E" w:rsidR="00076ACB" w:rsidRDefault="00076ACB">
      <w:pPr>
        <w:pStyle w:val="TOC2"/>
        <w:rPr>
          <w:noProof/>
          <w:kern w:val="2"/>
          <w:sz w:val="24"/>
          <w:szCs w:val="24"/>
          <w:lang w:eastAsia="en-AU"/>
          <w14:ligatures w14:val="standardContextual"/>
        </w:rPr>
      </w:pPr>
      <w:hyperlink w:anchor="_Toc219188290" w:history="1">
        <w:r w:rsidRPr="002D063D">
          <w:rPr>
            <w:rStyle w:val="Hyperlink"/>
            <w:noProof/>
          </w:rPr>
          <w:t>Recommendation 1:</w:t>
        </w:r>
        <w:r>
          <w:rPr>
            <w:noProof/>
            <w:webHidden/>
          </w:rPr>
          <w:tab/>
        </w:r>
        <w:r>
          <w:rPr>
            <w:noProof/>
            <w:webHidden/>
          </w:rPr>
          <w:fldChar w:fldCharType="begin"/>
        </w:r>
        <w:r>
          <w:rPr>
            <w:noProof/>
            <w:webHidden/>
          </w:rPr>
          <w:instrText xml:space="preserve"> PAGEREF _Toc219188290 \h </w:instrText>
        </w:r>
        <w:r>
          <w:rPr>
            <w:noProof/>
            <w:webHidden/>
          </w:rPr>
        </w:r>
        <w:r>
          <w:rPr>
            <w:noProof/>
            <w:webHidden/>
          </w:rPr>
          <w:fldChar w:fldCharType="separate"/>
        </w:r>
        <w:r w:rsidR="009C0BD3">
          <w:rPr>
            <w:noProof/>
            <w:webHidden/>
          </w:rPr>
          <w:t>4</w:t>
        </w:r>
        <w:r>
          <w:rPr>
            <w:noProof/>
            <w:webHidden/>
          </w:rPr>
          <w:fldChar w:fldCharType="end"/>
        </w:r>
      </w:hyperlink>
    </w:p>
    <w:p w14:paraId="63B495B5" w14:textId="2DB6CFE1" w:rsidR="00076ACB" w:rsidRDefault="00076ACB">
      <w:pPr>
        <w:pStyle w:val="TOC2"/>
        <w:rPr>
          <w:noProof/>
          <w:kern w:val="2"/>
          <w:sz w:val="24"/>
          <w:szCs w:val="24"/>
          <w:lang w:eastAsia="en-AU"/>
          <w14:ligatures w14:val="standardContextual"/>
        </w:rPr>
      </w:pPr>
      <w:hyperlink w:anchor="_Toc219188291" w:history="1">
        <w:r w:rsidRPr="002D063D">
          <w:rPr>
            <w:rStyle w:val="Hyperlink"/>
            <w:noProof/>
          </w:rPr>
          <w:t>Recommendation 2:</w:t>
        </w:r>
        <w:r>
          <w:rPr>
            <w:noProof/>
            <w:webHidden/>
          </w:rPr>
          <w:tab/>
        </w:r>
        <w:r>
          <w:rPr>
            <w:noProof/>
            <w:webHidden/>
          </w:rPr>
          <w:fldChar w:fldCharType="begin"/>
        </w:r>
        <w:r>
          <w:rPr>
            <w:noProof/>
            <w:webHidden/>
          </w:rPr>
          <w:instrText xml:space="preserve"> PAGEREF _Toc219188291 \h </w:instrText>
        </w:r>
        <w:r>
          <w:rPr>
            <w:noProof/>
            <w:webHidden/>
          </w:rPr>
        </w:r>
        <w:r>
          <w:rPr>
            <w:noProof/>
            <w:webHidden/>
          </w:rPr>
          <w:fldChar w:fldCharType="separate"/>
        </w:r>
        <w:r w:rsidR="009C0BD3">
          <w:rPr>
            <w:noProof/>
            <w:webHidden/>
          </w:rPr>
          <w:t>5</w:t>
        </w:r>
        <w:r>
          <w:rPr>
            <w:noProof/>
            <w:webHidden/>
          </w:rPr>
          <w:fldChar w:fldCharType="end"/>
        </w:r>
      </w:hyperlink>
    </w:p>
    <w:p w14:paraId="21E02217" w14:textId="2EA7ADB1" w:rsidR="00076ACB" w:rsidRDefault="00076ACB">
      <w:pPr>
        <w:pStyle w:val="TOC2"/>
        <w:rPr>
          <w:noProof/>
          <w:kern w:val="2"/>
          <w:sz w:val="24"/>
          <w:szCs w:val="24"/>
          <w:lang w:eastAsia="en-AU"/>
          <w14:ligatures w14:val="standardContextual"/>
        </w:rPr>
      </w:pPr>
      <w:hyperlink w:anchor="_Toc219188292" w:history="1">
        <w:r w:rsidRPr="002D063D">
          <w:rPr>
            <w:rStyle w:val="Hyperlink"/>
            <w:noProof/>
          </w:rPr>
          <w:t>Recommendation 3:</w:t>
        </w:r>
        <w:r>
          <w:rPr>
            <w:noProof/>
            <w:webHidden/>
          </w:rPr>
          <w:tab/>
        </w:r>
        <w:r>
          <w:rPr>
            <w:noProof/>
            <w:webHidden/>
          </w:rPr>
          <w:fldChar w:fldCharType="begin"/>
        </w:r>
        <w:r>
          <w:rPr>
            <w:noProof/>
            <w:webHidden/>
          </w:rPr>
          <w:instrText xml:space="preserve"> PAGEREF _Toc219188292 \h </w:instrText>
        </w:r>
        <w:r>
          <w:rPr>
            <w:noProof/>
            <w:webHidden/>
          </w:rPr>
        </w:r>
        <w:r>
          <w:rPr>
            <w:noProof/>
            <w:webHidden/>
          </w:rPr>
          <w:fldChar w:fldCharType="separate"/>
        </w:r>
        <w:r w:rsidR="009C0BD3">
          <w:rPr>
            <w:noProof/>
            <w:webHidden/>
          </w:rPr>
          <w:t>6</w:t>
        </w:r>
        <w:r>
          <w:rPr>
            <w:noProof/>
            <w:webHidden/>
          </w:rPr>
          <w:fldChar w:fldCharType="end"/>
        </w:r>
      </w:hyperlink>
    </w:p>
    <w:p w14:paraId="2E887DF6" w14:textId="4ED21954" w:rsidR="00076ACB" w:rsidRDefault="00076ACB">
      <w:pPr>
        <w:pStyle w:val="TOC2"/>
        <w:rPr>
          <w:noProof/>
          <w:kern w:val="2"/>
          <w:sz w:val="24"/>
          <w:szCs w:val="24"/>
          <w:lang w:eastAsia="en-AU"/>
          <w14:ligatures w14:val="standardContextual"/>
        </w:rPr>
      </w:pPr>
      <w:hyperlink w:anchor="_Toc219188293" w:history="1">
        <w:r w:rsidRPr="002D063D">
          <w:rPr>
            <w:rStyle w:val="Hyperlink"/>
            <w:noProof/>
          </w:rPr>
          <w:t>Recommendation 4:</w:t>
        </w:r>
        <w:r>
          <w:rPr>
            <w:noProof/>
            <w:webHidden/>
          </w:rPr>
          <w:tab/>
        </w:r>
        <w:r>
          <w:rPr>
            <w:noProof/>
            <w:webHidden/>
          </w:rPr>
          <w:fldChar w:fldCharType="begin"/>
        </w:r>
        <w:r>
          <w:rPr>
            <w:noProof/>
            <w:webHidden/>
          </w:rPr>
          <w:instrText xml:space="preserve"> PAGEREF _Toc219188293 \h </w:instrText>
        </w:r>
        <w:r>
          <w:rPr>
            <w:noProof/>
            <w:webHidden/>
          </w:rPr>
        </w:r>
        <w:r>
          <w:rPr>
            <w:noProof/>
            <w:webHidden/>
          </w:rPr>
          <w:fldChar w:fldCharType="separate"/>
        </w:r>
        <w:r w:rsidR="009C0BD3">
          <w:rPr>
            <w:noProof/>
            <w:webHidden/>
          </w:rPr>
          <w:t>7</w:t>
        </w:r>
        <w:r>
          <w:rPr>
            <w:noProof/>
            <w:webHidden/>
          </w:rPr>
          <w:fldChar w:fldCharType="end"/>
        </w:r>
      </w:hyperlink>
    </w:p>
    <w:p w14:paraId="45550349" w14:textId="61EF73E2" w:rsidR="00076ACB" w:rsidRDefault="00076ACB">
      <w:pPr>
        <w:pStyle w:val="TOC2"/>
        <w:rPr>
          <w:noProof/>
          <w:kern w:val="2"/>
          <w:sz w:val="24"/>
          <w:szCs w:val="24"/>
          <w:lang w:eastAsia="en-AU"/>
          <w14:ligatures w14:val="standardContextual"/>
        </w:rPr>
      </w:pPr>
      <w:hyperlink w:anchor="_Toc219188294" w:history="1">
        <w:r w:rsidRPr="002D063D">
          <w:rPr>
            <w:rStyle w:val="Hyperlink"/>
            <w:noProof/>
          </w:rPr>
          <w:t>Recommendation 5:</w:t>
        </w:r>
        <w:r>
          <w:rPr>
            <w:noProof/>
            <w:webHidden/>
          </w:rPr>
          <w:tab/>
        </w:r>
        <w:r>
          <w:rPr>
            <w:noProof/>
            <w:webHidden/>
          </w:rPr>
          <w:fldChar w:fldCharType="begin"/>
        </w:r>
        <w:r>
          <w:rPr>
            <w:noProof/>
            <w:webHidden/>
          </w:rPr>
          <w:instrText xml:space="preserve"> PAGEREF _Toc219188294 \h </w:instrText>
        </w:r>
        <w:r>
          <w:rPr>
            <w:noProof/>
            <w:webHidden/>
          </w:rPr>
        </w:r>
        <w:r>
          <w:rPr>
            <w:noProof/>
            <w:webHidden/>
          </w:rPr>
          <w:fldChar w:fldCharType="separate"/>
        </w:r>
        <w:r w:rsidR="009C0BD3">
          <w:rPr>
            <w:noProof/>
            <w:webHidden/>
          </w:rPr>
          <w:t>9</w:t>
        </w:r>
        <w:r>
          <w:rPr>
            <w:noProof/>
            <w:webHidden/>
          </w:rPr>
          <w:fldChar w:fldCharType="end"/>
        </w:r>
      </w:hyperlink>
    </w:p>
    <w:p w14:paraId="696BD4D8" w14:textId="652D2A5B" w:rsidR="00076ACB" w:rsidRDefault="00076ACB">
      <w:pPr>
        <w:pStyle w:val="TOC2"/>
        <w:rPr>
          <w:noProof/>
          <w:kern w:val="2"/>
          <w:sz w:val="24"/>
          <w:szCs w:val="24"/>
          <w:lang w:eastAsia="en-AU"/>
          <w14:ligatures w14:val="standardContextual"/>
        </w:rPr>
      </w:pPr>
      <w:hyperlink w:anchor="_Toc219188295" w:history="1">
        <w:r w:rsidRPr="002D063D">
          <w:rPr>
            <w:rStyle w:val="Hyperlink"/>
            <w:noProof/>
          </w:rPr>
          <w:t>Recommendation 6:</w:t>
        </w:r>
        <w:r>
          <w:rPr>
            <w:noProof/>
            <w:webHidden/>
          </w:rPr>
          <w:tab/>
        </w:r>
        <w:r>
          <w:rPr>
            <w:noProof/>
            <w:webHidden/>
          </w:rPr>
          <w:fldChar w:fldCharType="begin"/>
        </w:r>
        <w:r>
          <w:rPr>
            <w:noProof/>
            <w:webHidden/>
          </w:rPr>
          <w:instrText xml:space="preserve"> PAGEREF _Toc219188295 \h </w:instrText>
        </w:r>
        <w:r>
          <w:rPr>
            <w:noProof/>
            <w:webHidden/>
          </w:rPr>
        </w:r>
        <w:r>
          <w:rPr>
            <w:noProof/>
            <w:webHidden/>
          </w:rPr>
          <w:fldChar w:fldCharType="separate"/>
        </w:r>
        <w:r w:rsidR="009C0BD3">
          <w:rPr>
            <w:noProof/>
            <w:webHidden/>
          </w:rPr>
          <w:t>10</w:t>
        </w:r>
        <w:r>
          <w:rPr>
            <w:noProof/>
            <w:webHidden/>
          </w:rPr>
          <w:fldChar w:fldCharType="end"/>
        </w:r>
      </w:hyperlink>
    </w:p>
    <w:p w14:paraId="68D14DB0" w14:textId="063A4F58" w:rsidR="00076ACB" w:rsidRDefault="00076ACB">
      <w:pPr>
        <w:pStyle w:val="TOC2"/>
        <w:rPr>
          <w:noProof/>
          <w:kern w:val="2"/>
          <w:sz w:val="24"/>
          <w:szCs w:val="24"/>
          <w:lang w:eastAsia="en-AU"/>
          <w14:ligatures w14:val="standardContextual"/>
        </w:rPr>
      </w:pPr>
      <w:hyperlink w:anchor="_Toc219188296" w:history="1">
        <w:r w:rsidRPr="002D063D">
          <w:rPr>
            <w:rStyle w:val="Hyperlink"/>
            <w:noProof/>
          </w:rPr>
          <w:t>Recommendation 7:</w:t>
        </w:r>
        <w:r>
          <w:rPr>
            <w:noProof/>
            <w:webHidden/>
          </w:rPr>
          <w:tab/>
        </w:r>
        <w:r>
          <w:rPr>
            <w:noProof/>
            <w:webHidden/>
          </w:rPr>
          <w:fldChar w:fldCharType="begin"/>
        </w:r>
        <w:r>
          <w:rPr>
            <w:noProof/>
            <w:webHidden/>
          </w:rPr>
          <w:instrText xml:space="preserve"> PAGEREF _Toc219188296 \h </w:instrText>
        </w:r>
        <w:r>
          <w:rPr>
            <w:noProof/>
            <w:webHidden/>
          </w:rPr>
        </w:r>
        <w:r>
          <w:rPr>
            <w:noProof/>
            <w:webHidden/>
          </w:rPr>
          <w:fldChar w:fldCharType="separate"/>
        </w:r>
        <w:r w:rsidR="009C0BD3">
          <w:rPr>
            <w:noProof/>
            <w:webHidden/>
          </w:rPr>
          <w:t>11</w:t>
        </w:r>
        <w:r>
          <w:rPr>
            <w:noProof/>
            <w:webHidden/>
          </w:rPr>
          <w:fldChar w:fldCharType="end"/>
        </w:r>
      </w:hyperlink>
    </w:p>
    <w:p w14:paraId="409E565E" w14:textId="2BDF6A43" w:rsidR="00076ACB" w:rsidRDefault="00076ACB">
      <w:pPr>
        <w:pStyle w:val="TOC2"/>
        <w:rPr>
          <w:noProof/>
          <w:kern w:val="2"/>
          <w:sz w:val="24"/>
          <w:szCs w:val="24"/>
          <w:lang w:eastAsia="en-AU"/>
          <w14:ligatures w14:val="standardContextual"/>
        </w:rPr>
      </w:pPr>
      <w:hyperlink w:anchor="_Toc219188297" w:history="1">
        <w:r w:rsidRPr="002D063D">
          <w:rPr>
            <w:rStyle w:val="Hyperlink"/>
            <w:noProof/>
          </w:rPr>
          <w:t>Recommendation 8:</w:t>
        </w:r>
        <w:r>
          <w:rPr>
            <w:noProof/>
            <w:webHidden/>
          </w:rPr>
          <w:tab/>
        </w:r>
        <w:r>
          <w:rPr>
            <w:noProof/>
            <w:webHidden/>
          </w:rPr>
          <w:fldChar w:fldCharType="begin"/>
        </w:r>
        <w:r>
          <w:rPr>
            <w:noProof/>
            <w:webHidden/>
          </w:rPr>
          <w:instrText xml:space="preserve"> PAGEREF _Toc219188297 \h </w:instrText>
        </w:r>
        <w:r>
          <w:rPr>
            <w:noProof/>
            <w:webHidden/>
          </w:rPr>
        </w:r>
        <w:r>
          <w:rPr>
            <w:noProof/>
            <w:webHidden/>
          </w:rPr>
          <w:fldChar w:fldCharType="separate"/>
        </w:r>
        <w:r w:rsidR="009C0BD3">
          <w:rPr>
            <w:noProof/>
            <w:webHidden/>
          </w:rPr>
          <w:t>12</w:t>
        </w:r>
        <w:r>
          <w:rPr>
            <w:noProof/>
            <w:webHidden/>
          </w:rPr>
          <w:fldChar w:fldCharType="end"/>
        </w:r>
      </w:hyperlink>
    </w:p>
    <w:p w14:paraId="1564308A" w14:textId="4DCCB3B7" w:rsidR="00076ACB" w:rsidRDefault="00076ACB">
      <w:pPr>
        <w:pStyle w:val="TOC2"/>
        <w:rPr>
          <w:noProof/>
          <w:kern w:val="2"/>
          <w:sz w:val="24"/>
          <w:szCs w:val="24"/>
          <w:lang w:eastAsia="en-AU"/>
          <w14:ligatures w14:val="standardContextual"/>
        </w:rPr>
      </w:pPr>
      <w:hyperlink w:anchor="_Toc219188298" w:history="1">
        <w:r w:rsidRPr="002D063D">
          <w:rPr>
            <w:rStyle w:val="Hyperlink"/>
            <w:noProof/>
          </w:rPr>
          <w:t>Recommendation 9:</w:t>
        </w:r>
        <w:r>
          <w:rPr>
            <w:noProof/>
            <w:webHidden/>
          </w:rPr>
          <w:tab/>
        </w:r>
        <w:r>
          <w:rPr>
            <w:noProof/>
            <w:webHidden/>
          </w:rPr>
          <w:fldChar w:fldCharType="begin"/>
        </w:r>
        <w:r>
          <w:rPr>
            <w:noProof/>
            <w:webHidden/>
          </w:rPr>
          <w:instrText xml:space="preserve"> PAGEREF _Toc219188298 \h </w:instrText>
        </w:r>
        <w:r>
          <w:rPr>
            <w:noProof/>
            <w:webHidden/>
          </w:rPr>
        </w:r>
        <w:r>
          <w:rPr>
            <w:noProof/>
            <w:webHidden/>
          </w:rPr>
          <w:fldChar w:fldCharType="separate"/>
        </w:r>
        <w:r w:rsidR="009C0BD3">
          <w:rPr>
            <w:noProof/>
            <w:webHidden/>
          </w:rPr>
          <w:t>13</w:t>
        </w:r>
        <w:r>
          <w:rPr>
            <w:noProof/>
            <w:webHidden/>
          </w:rPr>
          <w:fldChar w:fldCharType="end"/>
        </w:r>
      </w:hyperlink>
    </w:p>
    <w:p w14:paraId="3FA6D02F" w14:textId="37BE8049" w:rsidR="00076ACB" w:rsidRDefault="00076ACB">
      <w:pPr>
        <w:pStyle w:val="TOC2"/>
        <w:rPr>
          <w:noProof/>
          <w:kern w:val="2"/>
          <w:sz w:val="24"/>
          <w:szCs w:val="24"/>
          <w:lang w:eastAsia="en-AU"/>
          <w14:ligatures w14:val="standardContextual"/>
        </w:rPr>
      </w:pPr>
      <w:hyperlink w:anchor="_Toc219188299" w:history="1">
        <w:r w:rsidRPr="002D063D">
          <w:rPr>
            <w:rStyle w:val="Hyperlink"/>
            <w:noProof/>
          </w:rPr>
          <w:t>Recommendation 10:</w:t>
        </w:r>
        <w:r>
          <w:rPr>
            <w:noProof/>
            <w:webHidden/>
          </w:rPr>
          <w:tab/>
        </w:r>
        <w:r>
          <w:rPr>
            <w:noProof/>
            <w:webHidden/>
          </w:rPr>
          <w:fldChar w:fldCharType="begin"/>
        </w:r>
        <w:r>
          <w:rPr>
            <w:noProof/>
            <w:webHidden/>
          </w:rPr>
          <w:instrText xml:space="preserve"> PAGEREF _Toc219188299 \h </w:instrText>
        </w:r>
        <w:r>
          <w:rPr>
            <w:noProof/>
            <w:webHidden/>
          </w:rPr>
        </w:r>
        <w:r>
          <w:rPr>
            <w:noProof/>
            <w:webHidden/>
          </w:rPr>
          <w:fldChar w:fldCharType="separate"/>
        </w:r>
        <w:r w:rsidR="009C0BD3">
          <w:rPr>
            <w:noProof/>
            <w:webHidden/>
          </w:rPr>
          <w:t>14</w:t>
        </w:r>
        <w:r>
          <w:rPr>
            <w:noProof/>
            <w:webHidden/>
          </w:rPr>
          <w:fldChar w:fldCharType="end"/>
        </w:r>
      </w:hyperlink>
    </w:p>
    <w:p w14:paraId="7D8D81CC" w14:textId="6520ADD5" w:rsidR="00076ACB" w:rsidRDefault="00076ACB">
      <w:pPr>
        <w:pStyle w:val="TOC2"/>
        <w:rPr>
          <w:noProof/>
          <w:kern w:val="2"/>
          <w:sz w:val="24"/>
          <w:szCs w:val="24"/>
          <w:lang w:eastAsia="en-AU"/>
          <w14:ligatures w14:val="standardContextual"/>
        </w:rPr>
      </w:pPr>
      <w:hyperlink w:anchor="_Toc219188300" w:history="1">
        <w:r w:rsidRPr="002D063D">
          <w:rPr>
            <w:rStyle w:val="Hyperlink"/>
            <w:noProof/>
          </w:rPr>
          <w:t>Recommendation 11:</w:t>
        </w:r>
        <w:r>
          <w:rPr>
            <w:noProof/>
            <w:webHidden/>
          </w:rPr>
          <w:tab/>
        </w:r>
        <w:r>
          <w:rPr>
            <w:noProof/>
            <w:webHidden/>
          </w:rPr>
          <w:fldChar w:fldCharType="begin"/>
        </w:r>
        <w:r>
          <w:rPr>
            <w:noProof/>
            <w:webHidden/>
          </w:rPr>
          <w:instrText xml:space="preserve"> PAGEREF _Toc219188300 \h </w:instrText>
        </w:r>
        <w:r>
          <w:rPr>
            <w:noProof/>
            <w:webHidden/>
          </w:rPr>
        </w:r>
        <w:r>
          <w:rPr>
            <w:noProof/>
            <w:webHidden/>
          </w:rPr>
          <w:fldChar w:fldCharType="separate"/>
        </w:r>
        <w:r w:rsidR="009C0BD3">
          <w:rPr>
            <w:noProof/>
            <w:webHidden/>
          </w:rPr>
          <w:t>15</w:t>
        </w:r>
        <w:r>
          <w:rPr>
            <w:noProof/>
            <w:webHidden/>
          </w:rPr>
          <w:fldChar w:fldCharType="end"/>
        </w:r>
      </w:hyperlink>
    </w:p>
    <w:p w14:paraId="38B97070" w14:textId="3AC38753" w:rsidR="00076ACB" w:rsidRDefault="00076ACB">
      <w:pPr>
        <w:pStyle w:val="TOC2"/>
        <w:rPr>
          <w:noProof/>
          <w:kern w:val="2"/>
          <w:sz w:val="24"/>
          <w:szCs w:val="24"/>
          <w:lang w:eastAsia="en-AU"/>
          <w14:ligatures w14:val="standardContextual"/>
        </w:rPr>
      </w:pPr>
      <w:hyperlink w:anchor="_Toc219188301" w:history="1">
        <w:r w:rsidRPr="002D063D">
          <w:rPr>
            <w:rStyle w:val="Hyperlink"/>
            <w:noProof/>
          </w:rPr>
          <w:t>Recommendation 12:</w:t>
        </w:r>
        <w:r>
          <w:rPr>
            <w:noProof/>
            <w:webHidden/>
          </w:rPr>
          <w:tab/>
        </w:r>
        <w:r>
          <w:rPr>
            <w:noProof/>
            <w:webHidden/>
          </w:rPr>
          <w:fldChar w:fldCharType="begin"/>
        </w:r>
        <w:r>
          <w:rPr>
            <w:noProof/>
            <w:webHidden/>
          </w:rPr>
          <w:instrText xml:space="preserve"> PAGEREF _Toc219188301 \h </w:instrText>
        </w:r>
        <w:r>
          <w:rPr>
            <w:noProof/>
            <w:webHidden/>
          </w:rPr>
        </w:r>
        <w:r>
          <w:rPr>
            <w:noProof/>
            <w:webHidden/>
          </w:rPr>
          <w:fldChar w:fldCharType="separate"/>
        </w:r>
        <w:r w:rsidR="009C0BD3">
          <w:rPr>
            <w:noProof/>
            <w:webHidden/>
          </w:rPr>
          <w:t>17</w:t>
        </w:r>
        <w:r>
          <w:rPr>
            <w:noProof/>
            <w:webHidden/>
          </w:rPr>
          <w:fldChar w:fldCharType="end"/>
        </w:r>
      </w:hyperlink>
    </w:p>
    <w:p w14:paraId="3D1B3FF2" w14:textId="6A433322" w:rsidR="00076ACB" w:rsidRDefault="00076ACB">
      <w:pPr>
        <w:pStyle w:val="TOC2"/>
        <w:rPr>
          <w:noProof/>
          <w:kern w:val="2"/>
          <w:sz w:val="24"/>
          <w:szCs w:val="24"/>
          <w:lang w:eastAsia="en-AU"/>
          <w14:ligatures w14:val="standardContextual"/>
        </w:rPr>
      </w:pPr>
      <w:hyperlink w:anchor="_Toc219188302" w:history="1">
        <w:r w:rsidRPr="002D063D">
          <w:rPr>
            <w:rStyle w:val="Hyperlink"/>
            <w:noProof/>
          </w:rPr>
          <w:t>Recommendation 13:</w:t>
        </w:r>
        <w:r>
          <w:rPr>
            <w:noProof/>
            <w:webHidden/>
          </w:rPr>
          <w:tab/>
        </w:r>
        <w:r>
          <w:rPr>
            <w:noProof/>
            <w:webHidden/>
          </w:rPr>
          <w:fldChar w:fldCharType="begin"/>
        </w:r>
        <w:r>
          <w:rPr>
            <w:noProof/>
            <w:webHidden/>
          </w:rPr>
          <w:instrText xml:space="preserve"> PAGEREF _Toc219188302 \h </w:instrText>
        </w:r>
        <w:r>
          <w:rPr>
            <w:noProof/>
            <w:webHidden/>
          </w:rPr>
        </w:r>
        <w:r>
          <w:rPr>
            <w:noProof/>
            <w:webHidden/>
          </w:rPr>
          <w:fldChar w:fldCharType="separate"/>
        </w:r>
        <w:r w:rsidR="009C0BD3">
          <w:rPr>
            <w:noProof/>
            <w:webHidden/>
          </w:rPr>
          <w:t>18</w:t>
        </w:r>
        <w:r>
          <w:rPr>
            <w:noProof/>
            <w:webHidden/>
          </w:rPr>
          <w:fldChar w:fldCharType="end"/>
        </w:r>
      </w:hyperlink>
    </w:p>
    <w:p w14:paraId="5970F6C9" w14:textId="385E5FE1" w:rsidR="00076ACB" w:rsidRDefault="00076ACB">
      <w:pPr>
        <w:pStyle w:val="TOC2"/>
        <w:rPr>
          <w:noProof/>
          <w:kern w:val="2"/>
          <w:sz w:val="24"/>
          <w:szCs w:val="24"/>
          <w:lang w:eastAsia="en-AU"/>
          <w14:ligatures w14:val="standardContextual"/>
        </w:rPr>
      </w:pPr>
      <w:hyperlink w:anchor="_Toc219188303" w:history="1">
        <w:r w:rsidRPr="002D063D">
          <w:rPr>
            <w:rStyle w:val="Hyperlink"/>
            <w:noProof/>
          </w:rPr>
          <w:t>Recommendation 14:</w:t>
        </w:r>
        <w:r>
          <w:rPr>
            <w:noProof/>
            <w:webHidden/>
          </w:rPr>
          <w:tab/>
        </w:r>
        <w:r>
          <w:rPr>
            <w:noProof/>
            <w:webHidden/>
          </w:rPr>
          <w:fldChar w:fldCharType="begin"/>
        </w:r>
        <w:r>
          <w:rPr>
            <w:noProof/>
            <w:webHidden/>
          </w:rPr>
          <w:instrText xml:space="preserve"> PAGEREF _Toc219188303 \h </w:instrText>
        </w:r>
        <w:r>
          <w:rPr>
            <w:noProof/>
            <w:webHidden/>
          </w:rPr>
        </w:r>
        <w:r>
          <w:rPr>
            <w:noProof/>
            <w:webHidden/>
          </w:rPr>
          <w:fldChar w:fldCharType="separate"/>
        </w:r>
        <w:r w:rsidR="009C0BD3">
          <w:rPr>
            <w:noProof/>
            <w:webHidden/>
          </w:rPr>
          <w:t>19</w:t>
        </w:r>
        <w:r>
          <w:rPr>
            <w:noProof/>
            <w:webHidden/>
          </w:rPr>
          <w:fldChar w:fldCharType="end"/>
        </w:r>
      </w:hyperlink>
    </w:p>
    <w:p w14:paraId="5DB86EFC" w14:textId="33C983B2" w:rsidR="00076ACB" w:rsidRDefault="00076ACB">
      <w:pPr>
        <w:pStyle w:val="TOC2"/>
        <w:rPr>
          <w:noProof/>
          <w:kern w:val="2"/>
          <w:sz w:val="24"/>
          <w:szCs w:val="24"/>
          <w:lang w:eastAsia="en-AU"/>
          <w14:ligatures w14:val="standardContextual"/>
        </w:rPr>
      </w:pPr>
      <w:hyperlink w:anchor="_Toc219188304" w:history="1">
        <w:r w:rsidRPr="002D063D">
          <w:rPr>
            <w:rStyle w:val="Hyperlink"/>
            <w:noProof/>
          </w:rPr>
          <w:t>Recommendation 15:</w:t>
        </w:r>
        <w:r>
          <w:rPr>
            <w:noProof/>
            <w:webHidden/>
          </w:rPr>
          <w:tab/>
        </w:r>
        <w:r>
          <w:rPr>
            <w:noProof/>
            <w:webHidden/>
          </w:rPr>
          <w:fldChar w:fldCharType="begin"/>
        </w:r>
        <w:r>
          <w:rPr>
            <w:noProof/>
            <w:webHidden/>
          </w:rPr>
          <w:instrText xml:space="preserve"> PAGEREF _Toc219188304 \h </w:instrText>
        </w:r>
        <w:r>
          <w:rPr>
            <w:noProof/>
            <w:webHidden/>
          </w:rPr>
        </w:r>
        <w:r>
          <w:rPr>
            <w:noProof/>
            <w:webHidden/>
          </w:rPr>
          <w:fldChar w:fldCharType="separate"/>
        </w:r>
        <w:r w:rsidR="009C0BD3">
          <w:rPr>
            <w:noProof/>
            <w:webHidden/>
          </w:rPr>
          <w:t>20</w:t>
        </w:r>
        <w:r>
          <w:rPr>
            <w:noProof/>
            <w:webHidden/>
          </w:rPr>
          <w:fldChar w:fldCharType="end"/>
        </w:r>
      </w:hyperlink>
    </w:p>
    <w:p w14:paraId="07869DF4" w14:textId="0379A217" w:rsidR="00076ACB" w:rsidRDefault="00076ACB">
      <w:pPr>
        <w:pStyle w:val="TOC2"/>
        <w:rPr>
          <w:noProof/>
          <w:kern w:val="2"/>
          <w:sz w:val="24"/>
          <w:szCs w:val="24"/>
          <w:lang w:eastAsia="en-AU"/>
          <w14:ligatures w14:val="standardContextual"/>
        </w:rPr>
      </w:pPr>
      <w:hyperlink w:anchor="_Toc219188305" w:history="1">
        <w:r w:rsidRPr="002D063D">
          <w:rPr>
            <w:rStyle w:val="Hyperlink"/>
            <w:noProof/>
          </w:rPr>
          <w:t>Recommendation 16:</w:t>
        </w:r>
        <w:r>
          <w:rPr>
            <w:noProof/>
            <w:webHidden/>
          </w:rPr>
          <w:tab/>
        </w:r>
        <w:r>
          <w:rPr>
            <w:noProof/>
            <w:webHidden/>
          </w:rPr>
          <w:fldChar w:fldCharType="begin"/>
        </w:r>
        <w:r>
          <w:rPr>
            <w:noProof/>
            <w:webHidden/>
          </w:rPr>
          <w:instrText xml:space="preserve"> PAGEREF _Toc219188305 \h </w:instrText>
        </w:r>
        <w:r>
          <w:rPr>
            <w:noProof/>
            <w:webHidden/>
          </w:rPr>
        </w:r>
        <w:r>
          <w:rPr>
            <w:noProof/>
            <w:webHidden/>
          </w:rPr>
          <w:fldChar w:fldCharType="separate"/>
        </w:r>
        <w:r w:rsidR="009C0BD3">
          <w:rPr>
            <w:noProof/>
            <w:webHidden/>
          </w:rPr>
          <w:t>22</w:t>
        </w:r>
        <w:r>
          <w:rPr>
            <w:noProof/>
            <w:webHidden/>
          </w:rPr>
          <w:fldChar w:fldCharType="end"/>
        </w:r>
      </w:hyperlink>
    </w:p>
    <w:p w14:paraId="52665C67" w14:textId="39942C35" w:rsidR="00076ACB" w:rsidRDefault="00076ACB">
      <w:pPr>
        <w:pStyle w:val="TOC2"/>
        <w:rPr>
          <w:noProof/>
          <w:kern w:val="2"/>
          <w:sz w:val="24"/>
          <w:szCs w:val="24"/>
          <w:lang w:eastAsia="en-AU"/>
          <w14:ligatures w14:val="standardContextual"/>
        </w:rPr>
      </w:pPr>
      <w:hyperlink w:anchor="_Toc219188306" w:history="1">
        <w:r w:rsidRPr="002D063D">
          <w:rPr>
            <w:rStyle w:val="Hyperlink"/>
            <w:noProof/>
          </w:rPr>
          <w:t>Recommendation 17:</w:t>
        </w:r>
        <w:r>
          <w:rPr>
            <w:noProof/>
            <w:webHidden/>
          </w:rPr>
          <w:tab/>
        </w:r>
        <w:r>
          <w:rPr>
            <w:noProof/>
            <w:webHidden/>
          </w:rPr>
          <w:fldChar w:fldCharType="begin"/>
        </w:r>
        <w:r>
          <w:rPr>
            <w:noProof/>
            <w:webHidden/>
          </w:rPr>
          <w:instrText xml:space="preserve"> PAGEREF _Toc219188306 \h </w:instrText>
        </w:r>
        <w:r>
          <w:rPr>
            <w:noProof/>
            <w:webHidden/>
          </w:rPr>
        </w:r>
        <w:r>
          <w:rPr>
            <w:noProof/>
            <w:webHidden/>
          </w:rPr>
          <w:fldChar w:fldCharType="separate"/>
        </w:r>
        <w:r w:rsidR="009C0BD3">
          <w:rPr>
            <w:noProof/>
            <w:webHidden/>
          </w:rPr>
          <w:t>23</w:t>
        </w:r>
        <w:r>
          <w:rPr>
            <w:noProof/>
            <w:webHidden/>
          </w:rPr>
          <w:fldChar w:fldCharType="end"/>
        </w:r>
      </w:hyperlink>
    </w:p>
    <w:p w14:paraId="3BF3AF30" w14:textId="76112FB3" w:rsidR="00076ACB" w:rsidRDefault="00076ACB">
      <w:pPr>
        <w:pStyle w:val="TOC2"/>
        <w:rPr>
          <w:noProof/>
          <w:kern w:val="2"/>
          <w:sz w:val="24"/>
          <w:szCs w:val="24"/>
          <w:lang w:eastAsia="en-AU"/>
          <w14:ligatures w14:val="standardContextual"/>
        </w:rPr>
      </w:pPr>
      <w:hyperlink w:anchor="_Toc219188307" w:history="1">
        <w:r w:rsidRPr="002D063D">
          <w:rPr>
            <w:rStyle w:val="Hyperlink"/>
            <w:noProof/>
          </w:rPr>
          <w:t>Recommendation 18:</w:t>
        </w:r>
        <w:r>
          <w:rPr>
            <w:noProof/>
            <w:webHidden/>
          </w:rPr>
          <w:tab/>
        </w:r>
        <w:r>
          <w:rPr>
            <w:noProof/>
            <w:webHidden/>
          </w:rPr>
          <w:fldChar w:fldCharType="begin"/>
        </w:r>
        <w:r>
          <w:rPr>
            <w:noProof/>
            <w:webHidden/>
          </w:rPr>
          <w:instrText xml:space="preserve"> PAGEREF _Toc219188307 \h </w:instrText>
        </w:r>
        <w:r>
          <w:rPr>
            <w:noProof/>
            <w:webHidden/>
          </w:rPr>
        </w:r>
        <w:r>
          <w:rPr>
            <w:noProof/>
            <w:webHidden/>
          </w:rPr>
          <w:fldChar w:fldCharType="separate"/>
        </w:r>
        <w:r w:rsidR="009C0BD3">
          <w:rPr>
            <w:noProof/>
            <w:webHidden/>
          </w:rPr>
          <w:t>24</w:t>
        </w:r>
        <w:r>
          <w:rPr>
            <w:noProof/>
            <w:webHidden/>
          </w:rPr>
          <w:fldChar w:fldCharType="end"/>
        </w:r>
      </w:hyperlink>
    </w:p>
    <w:p w14:paraId="0E94A121" w14:textId="51D1A811" w:rsidR="00076ACB" w:rsidRDefault="00076ACB">
      <w:pPr>
        <w:pStyle w:val="TOC2"/>
        <w:rPr>
          <w:noProof/>
          <w:kern w:val="2"/>
          <w:sz w:val="24"/>
          <w:szCs w:val="24"/>
          <w:lang w:eastAsia="en-AU"/>
          <w14:ligatures w14:val="standardContextual"/>
        </w:rPr>
      </w:pPr>
      <w:hyperlink w:anchor="_Toc219188308" w:history="1">
        <w:r w:rsidRPr="002D063D">
          <w:rPr>
            <w:rStyle w:val="Hyperlink"/>
            <w:noProof/>
          </w:rPr>
          <w:t>Recommendation 19:</w:t>
        </w:r>
        <w:r>
          <w:rPr>
            <w:noProof/>
            <w:webHidden/>
          </w:rPr>
          <w:tab/>
        </w:r>
        <w:r>
          <w:rPr>
            <w:noProof/>
            <w:webHidden/>
          </w:rPr>
          <w:fldChar w:fldCharType="begin"/>
        </w:r>
        <w:r>
          <w:rPr>
            <w:noProof/>
            <w:webHidden/>
          </w:rPr>
          <w:instrText xml:space="preserve"> PAGEREF _Toc219188308 \h </w:instrText>
        </w:r>
        <w:r>
          <w:rPr>
            <w:noProof/>
            <w:webHidden/>
          </w:rPr>
        </w:r>
        <w:r>
          <w:rPr>
            <w:noProof/>
            <w:webHidden/>
          </w:rPr>
          <w:fldChar w:fldCharType="separate"/>
        </w:r>
        <w:r w:rsidR="009C0BD3">
          <w:rPr>
            <w:noProof/>
            <w:webHidden/>
          </w:rPr>
          <w:t>25</w:t>
        </w:r>
        <w:r>
          <w:rPr>
            <w:noProof/>
            <w:webHidden/>
          </w:rPr>
          <w:fldChar w:fldCharType="end"/>
        </w:r>
      </w:hyperlink>
    </w:p>
    <w:p w14:paraId="76F6168C" w14:textId="1623D000" w:rsidR="00076ACB" w:rsidRDefault="00076ACB">
      <w:pPr>
        <w:pStyle w:val="TOC2"/>
        <w:rPr>
          <w:noProof/>
          <w:kern w:val="2"/>
          <w:sz w:val="24"/>
          <w:szCs w:val="24"/>
          <w:lang w:eastAsia="en-AU"/>
          <w14:ligatures w14:val="standardContextual"/>
        </w:rPr>
      </w:pPr>
      <w:hyperlink w:anchor="_Toc219188309" w:history="1">
        <w:r w:rsidRPr="002D063D">
          <w:rPr>
            <w:rStyle w:val="Hyperlink"/>
            <w:noProof/>
          </w:rPr>
          <w:t>Recommendation 20:</w:t>
        </w:r>
        <w:r>
          <w:rPr>
            <w:noProof/>
            <w:webHidden/>
          </w:rPr>
          <w:tab/>
        </w:r>
        <w:r>
          <w:rPr>
            <w:noProof/>
            <w:webHidden/>
          </w:rPr>
          <w:fldChar w:fldCharType="begin"/>
        </w:r>
        <w:r>
          <w:rPr>
            <w:noProof/>
            <w:webHidden/>
          </w:rPr>
          <w:instrText xml:space="preserve"> PAGEREF _Toc219188309 \h </w:instrText>
        </w:r>
        <w:r>
          <w:rPr>
            <w:noProof/>
            <w:webHidden/>
          </w:rPr>
        </w:r>
        <w:r>
          <w:rPr>
            <w:noProof/>
            <w:webHidden/>
          </w:rPr>
          <w:fldChar w:fldCharType="separate"/>
        </w:r>
        <w:r w:rsidR="009C0BD3">
          <w:rPr>
            <w:noProof/>
            <w:webHidden/>
          </w:rPr>
          <w:t>26</w:t>
        </w:r>
        <w:r>
          <w:rPr>
            <w:noProof/>
            <w:webHidden/>
          </w:rPr>
          <w:fldChar w:fldCharType="end"/>
        </w:r>
      </w:hyperlink>
    </w:p>
    <w:p w14:paraId="59CBF577" w14:textId="55F65A3B" w:rsidR="00076ACB" w:rsidRDefault="00076ACB">
      <w:pPr>
        <w:pStyle w:val="TOC2"/>
        <w:rPr>
          <w:noProof/>
          <w:kern w:val="2"/>
          <w:sz w:val="24"/>
          <w:szCs w:val="24"/>
          <w:lang w:eastAsia="en-AU"/>
          <w14:ligatures w14:val="standardContextual"/>
        </w:rPr>
      </w:pPr>
      <w:hyperlink w:anchor="_Toc219188310" w:history="1">
        <w:r w:rsidRPr="002D063D">
          <w:rPr>
            <w:rStyle w:val="Hyperlink"/>
            <w:noProof/>
          </w:rPr>
          <w:t>Recommendation 21:</w:t>
        </w:r>
        <w:r>
          <w:rPr>
            <w:noProof/>
            <w:webHidden/>
          </w:rPr>
          <w:tab/>
        </w:r>
        <w:r>
          <w:rPr>
            <w:noProof/>
            <w:webHidden/>
          </w:rPr>
          <w:fldChar w:fldCharType="begin"/>
        </w:r>
        <w:r>
          <w:rPr>
            <w:noProof/>
            <w:webHidden/>
          </w:rPr>
          <w:instrText xml:space="preserve"> PAGEREF _Toc219188310 \h </w:instrText>
        </w:r>
        <w:r>
          <w:rPr>
            <w:noProof/>
            <w:webHidden/>
          </w:rPr>
        </w:r>
        <w:r>
          <w:rPr>
            <w:noProof/>
            <w:webHidden/>
          </w:rPr>
          <w:fldChar w:fldCharType="separate"/>
        </w:r>
        <w:r w:rsidR="009C0BD3">
          <w:rPr>
            <w:noProof/>
            <w:webHidden/>
          </w:rPr>
          <w:t>27</w:t>
        </w:r>
        <w:r>
          <w:rPr>
            <w:noProof/>
            <w:webHidden/>
          </w:rPr>
          <w:fldChar w:fldCharType="end"/>
        </w:r>
      </w:hyperlink>
    </w:p>
    <w:p w14:paraId="0094B2C5" w14:textId="2F9BC06A" w:rsidR="00076ACB" w:rsidRDefault="00076ACB">
      <w:pPr>
        <w:pStyle w:val="TOC2"/>
        <w:rPr>
          <w:noProof/>
          <w:kern w:val="2"/>
          <w:sz w:val="24"/>
          <w:szCs w:val="24"/>
          <w:lang w:eastAsia="en-AU"/>
          <w14:ligatures w14:val="standardContextual"/>
        </w:rPr>
      </w:pPr>
      <w:hyperlink w:anchor="_Toc219188311" w:history="1">
        <w:r w:rsidRPr="002D063D">
          <w:rPr>
            <w:rStyle w:val="Hyperlink"/>
            <w:noProof/>
          </w:rPr>
          <w:t>Recommendation 22:</w:t>
        </w:r>
        <w:r>
          <w:rPr>
            <w:noProof/>
            <w:webHidden/>
          </w:rPr>
          <w:tab/>
        </w:r>
        <w:r>
          <w:rPr>
            <w:noProof/>
            <w:webHidden/>
          </w:rPr>
          <w:fldChar w:fldCharType="begin"/>
        </w:r>
        <w:r>
          <w:rPr>
            <w:noProof/>
            <w:webHidden/>
          </w:rPr>
          <w:instrText xml:space="preserve"> PAGEREF _Toc219188311 \h </w:instrText>
        </w:r>
        <w:r>
          <w:rPr>
            <w:noProof/>
            <w:webHidden/>
          </w:rPr>
        </w:r>
        <w:r>
          <w:rPr>
            <w:noProof/>
            <w:webHidden/>
          </w:rPr>
          <w:fldChar w:fldCharType="separate"/>
        </w:r>
        <w:r w:rsidR="009C0BD3">
          <w:rPr>
            <w:noProof/>
            <w:webHidden/>
          </w:rPr>
          <w:t>28</w:t>
        </w:r>
        <w:r>
          <w:rPr>
            <w:noProof/>
            <w:webHidden/>
          </w:rPr>
          <w:fldChar w:fldCharType="end"/>
        </w:r>
      </w:hyperlink>
    </w:p>
    <w:p w14:paraId="639AEF8E" w14:textId="523DA4E3" w:rsidR="00076ACB" w:rsidRDefault="00076ACB">
      <w:pPr>
        <w:pStyle w:val="TOC2"/>
        <w:rPr>
          <w:noProof/>
          <w:kern w:val="2"/>
          <w:sz w:val="24"/>
          <w:szCs w:val="24"/>
          <w:lang w:eastAsia="en-AU"/>
          <w14:ligatures w14:val="standardContextual"/>
        </w:rPr>
      </w:pPr>
      <w:hyperlink w:anchor="_Toc219188312" w:history="1">
        <w:r w:rsidRPr="002D063D">
          <w:rPr>
            <w:rStyle w:val="Hyperlink"/>
            <w:noProof/>
          </w:rPr>
          <w:t>Recommendation 23:</w:t>
        </w:r>
        <w:r>
          <w:rPr>
            <w:noProof/>
            <w:webHidden/>
          </w:rPr>
          <w:tab/>
        </w:r>
        <w:r>
          <w:rPr>
            <w:noProof/>
            <w:webHidden/>
          </w:rPr>
          <w:fldChar w:fldCharType="begin"/>
        </w:r>
        <w:r>
          <w:rPr>
            <w:noProof/>
            <w:webHidden/>
          </w:rPr>
          <w:instrText xml:space="preserve"> PAGEREF _Toc219188312 \h </w:instrText>
        </w:r>
        <w:r>
          <w:rPr>
            <w:noProof/>
            <w:webHidden/>
          </w:rPr>
        </w:r>
        <w:r>
          <w:rPr>
            <w:noProof/>
            <w:webHidden/>
          </w:rPr>
          <w:fldChar w:fldCharType="separate"/>
        </w:r>
        <w:r w:rsidR="009C0BD3">
          <w:rPr>
            <w:noProof/>
            <w:webHidden/>
          </w:rPr>
          <w:t>29</w:t>
        </w:r>
        <w:r>
          <w:rPr>
            <w:noProof/>
            <w:webHidden/>
          </w:rPr>
          <w:fldChar w:fldCharType="end"/>
        </w:r>
      </w:hyperlink>
    </w:p>
    <w:p w14:paraId="49E4F912" w14:textId="63F6C4B1" w:rsidR="00076ACB" w:rsidRDefault="00076ACB">
      <w:pPr>
        <w:pStyle w:val="TOC2"/>
        <w:rPr>
          <w:noProof/>
          <w:kern w:val="2"/>
          <w:sz w:val="24"/>
          <w:szCs w:val="24"/>
          <w:lang w:eastAsia="en-AU"/>
          <w14:ligatures w14:val="standardContextual"/>
        </w:rPr>
      </w:pPr>
      <w:hyperlink w:anchor="_Toc219188313" w:history="1">
        <w:r w:rsidRPr="002D063D">
          <w:rPr>
            <w:rStyle w:val="Hyperlink"/>
            <w:noProof/>
          </w:rPr>
          <w:t>Recommendation 24:</w:t>
        </w:r>
        <w:r>
          <w:rPr>
            <w:noProof/>
            <w:webHidden/>
          </w:rPr>
          <w:tab/>
        </w:r>
        <w:r>
          <w:rPr>
            <w:noProof/>
            <w:webHidden/>
          </w:rPr>
          <w:fldChar w:fldCharType="begin"/>
        </w:r>
        <w:r>
          <w:rPr>
            <w:noProof/>
            <w:webHidden/>
          </w:rPr>
          <w:instrText xml:space="preserve"> PAGEREF _Toc219188313 \h </w:instrText>
        </w:r>
        <w:r>
          <w:rPr>
            <w:noProof/>
            <w:webHidden/>
          </w:rPr>
        </w:r>
        <w:r>
          <w:rPr>
            <w:noProof/>
            <w:webHidden/>
          </w:rPr>
          <w:fldChar w:fldCharType="separate"/>
        </w:r>
        <w:r w:rsidR="009C0BD3">
          <w:rPr>
            <w:noProof/>
            <w:webHidden/>
          </w:rPr>
          <w:t>30</w:t>
        </w:r>
        <w:r>
          <w:rPr>
            <w:noProof/>
            <w:webHidden/>
          </w:rPr>
          <w:fldChar w:fldCharType="end"/>
        </w:r>
      </w:hyperlink>
    </w:p>
    <w:p w14:paraId="70340EB6" w14:textId="39FCA4C4" w:rsidR="00076ACB" w:rsidRDefault="00076ACB">
      <w:pPr>
        <w:pStyle w:val="TOC2"/>
        <w:rPr>
          <w:noProof/>
          <w:kern w:val="2"/>
          <w:sz w:val="24"/>
          <w:szCs w:val="24"/>
          <w:lang w:eastAsia="en-AU"/>
          <w14:ligatures w14:val="standardContextual"/>
        </w:rPr>
      </w:pPr>
      <w:hyperlink w:anchor="_Toc219188314" w:history="1">
        <w:r w:rsidRPr="002D063D">
          <w:rPr>
            <w:rStyle w:val="Hyperlink"/>
            <w:noProof/>
          </w:rPr>
          <w:t>Recommendation 25:</w:t>
        </w:r>
        <w:r>
          <w:rPr>
            <w:noProof/>
            <w:webHidden/>
          </w:rPr>
          <w:tab/>
        </w:r>
        <w:r>
          <w:rPr>
            <w:noProof/>
            <w:webHidden/>
          </w:rPr>
          <w:fldChar w:fldCharType="begin"/>
        </w:r>
        <w:r>
          <w:rPr>
            <w:noProof/>
            <w:webHidden/>
          </w:rPr>
          <w:instrText xml:space="preserve"> PAGEREF _Toc219188314 \h </w:instrText>
        </w:r>
        <w:r>
          <w:rPr>
            <w:noProof/>
            <w:webHidden/>
          </w:rPr>
        </w:r>
        <w:r>
          <w:rPr>
            <w:noProof/>
            <w:webHidden/>
          </w:rPr>
          <w:fldChar w:fldCharType="separate"/>
        </w:r>
        <w:r w:rsidR="009C0BD3">
          <w:rPr>
            <w:noProof/>
            <w:webHidden/>
          </w:rPr>
          <w:t>31</w:t>
        </w:r>
        <w:r>
          <w:rPr>
            <w:noProof/>
            <w:webHidden/>
          </w:rPr>
          <w:fldChar w:fldCharType="end"/>
        </w:r>
      </w:hyperlink>
    </w:p>
    <w:p w14:paraId="182560E5" w14:textId="24B982C7" w:rsidR="00076ACB" w:rsidRDefault="00076ACB">
      <w:pPr>
        <w:pStyle w:val="TOC2"/>
        <w:rPr>
          <w:noProof/>
          <w:kern w:val="2"/>
          <w:sz w:val="24"/>
          <w:szCs w:val="24"/>
          <w:lang w:eastAsia="en-AU"/>
          <w14:ligatures w14:val="standardContextual"/>
        </w:rPr>
      </w:pPr>
      <w:hyperlink w:anchor="_Toc219188315" w:history="1">
        <w:r w:rsidRPr="002D063D">
          <w:rPr>
            <w:rStyle w:val="Hyperlink"/>
            <w:noProof/>
          </w:rPr>
          <w:t>Recommendation 26:</w:t>
        </w:r>
        <w:r>
          <w:rPr>
            <w:noProof/>
            <w:webHidden/>
          </w:rPr>
          <w:tab/>
        </w:r>
        <w:r>
          <w:rPr>
            <w:noProof/>
            <w:webHidden/>
          </w:rPr>
          <w:fldChar w:fldCharType="begin"/>
        </w:r>
        <w:r>
          <w:rPr>
            <w:noProof/>
            <w:webHidden/>
          </w:rPr>
          <w:instrText xml:space="preserve"> PAGEREF _Toc219188315 \h </w:instrText>
        </w:r>
        <w:r>
          <w:rPr>
            <w:noProof/>
            <w:webHidden/>
          </w:rPr>
        </w:r>
        <w:r>
          <w:rPr>
            <w:noProof/>
            <w:webHidden/>
          </w:rPr>
          <w:fldChar w:fldCharType="separate"/>
        </w:r>
        <w:r w:rsidR="009C0BD3">
          <w:rPr>
            <w:noProof/>
            <w:webHidden/>
          </w:rPr>
          <w:t>32</w:t>
        </w:r>
        <w:r>
          <w:rPr>
            <w:noProof/>
            <w:webHidden/>
          </w:rPr>
          <w:fldChar w:fldCharType="end"/>
        </w:r>
      </w:hyperlink>
    </w:p>
    <w:p w14:paraId="2C8D39D5" w14:textId="6D02DF92" w:rsidR="002A619D" w:rsidRDefault="002A619D" w:rsidP="002A619D">
      <w:pPr>
        <w:rPr>
          <w:lang w:eastAsia="en-US"/>
        </w:rPr>
      </w:pPr>
      <w:r>
        <w:rPr>
          <w:lang w:eastAsia="en-US"/>
        </w:rPr>
        <w:fldChar w:fldCharType="end"/>
      </w:r>
    </w:p>
    <w:p w14:paraId="40F07C8A" w14:textId="77777777" w:rsidR="002A619D" w:rsidRDefault="002A619D" w:rsidP="002A619D">
      <w:pPr>
        <w:rPr>
          <w:lang w:eastAsia="en-US"/>
        </w:rPr>
      </w:pPr>
    </w:p>
    <w:p w14:paraId="64E6A401" w14:textId="77777777" w:rsidR="002A619D" w:rsidRDefault="002A619D" w:rsidP="002A619D">
      <w:pPr>
        <w:spacing w:after="0"/>
        <w:rPr>
          <w:lang w:eastAsia="en-US"/>
        </w:rPr>
        <w:sectPr w:rsidR="002A619D" w:rsidSect="00B549DE">
          <w:footerReference w:type="default" r:id="rId15"/>
          <w:type w:val="continuous"/>
          <w:pgSz w:w="11906" w:h="16838"/>
          <w:pgMar w:top="1418" w:right="1133" w:bottom="709" w:left="1440" w:header="510" w:footer="510" w:gutter="0"/>
          <w:cols w:space="720"/>
        </w:sectPr>
      </w:pPr>
    </w:p>
    <w:p w14:paraId="7F2EAD73" w14:textId="77777777" w:rsidR="002A619D" w:rsidRDefault="002A619D" w:rsidP="009E0ABC">
      <w:pPr>
        <w:pStyle w:val="Heading2-notshowing"/>
      </w:pPr>
      <w:bookmarkStart w:id="0" w:name="_Toc499905942"/>
      <w:bookmarkStart w:id="1" w:name="_Toc219188288"/>
      <w:bookmarkStart w:id="2" w:name="_Toc412126163"/>
      <w:bookmarkStart w:id="3" w:name="_Toc382493211"/>
      <w:r>
        <w:lastRenderedPageBreak/>
        <w:t>Overview</w:t>
      </w:r>
      <w:bookmarkEnd w:id="0"/>
      <w:bookmarkEnd w:id="1"/>
    </w:p>
    <w:p w14:paraId="3CC114FB" w14:textId="3729B390" w:rsidR="002A619D" w:rsidRDefault="002A619D" w:rsidP="002A619D">
      <w:r>
        <w:t xml:space="preserve">The Australian Government notes the report by the </w:t>
      </w:r>
      <w:r w:rsidR="001C503E" w:rsidRPr="001C503E">
        <w:t xml:space="preserve">House of Representatives Standing Committee on Regional Development, Infrastructure and Transport </w:t>
      </w:r>
      <w:r>
        <w:t xml:space="preserve">(the </w:t>
      </w:r>
      <w:r w:rsidR="007B5556">
        <w:t>Committee</w:t>
      </w:r>
      <w:r>
        <w:t xml:space="preserve">) </w:t>
      </w:r>
      <w:r w:rsidR="00226E12">
        <w:t>on</w:t>
      </w:r>
      <w:r>
        <w:t xml:space="preserve"> </w:t>
      </w:r>
      <w:r w:rsidR="001C503E" w:rsidRPr="001C503E">
        <w:t>the Inquiry into the implications of severe weather events on the national regional, rural and remote road network</w:t>
      </w:r>
      <w:r>
        <w:t>.</w:t>
      </w:r>
    </w:p>
    <w:p w14:paraId="564EB2EE" w14:textId="644E9CC1" w:rsidR="00944A67" w:rsidRDefault="00FA646E" w:rsidP="00944A67">
      <w:r>
        <w:t xml:space="preserve">The response reflects the Australian Government’s commitment to safeguarding Australia’s critical </w:t>
      </w:r>
      <w:r w:rsidR="009668E3">
        <w:t xml:space="preserve">road </w:t>
      </w:r>
      <w:r>
        <w:t>infrastructure against the growing threat of severe weather events.</w:t>
      </w:r>
      <w:r w:rsidR="002E6972">
        <w:t xml:space="preserve"> </w:t>
      </w:r>
      <w:r w:rsidR="00944A67">
        <w:t xml:space="preserve">The </w:t>
      </w:r>
      <w:r w:rsidR="00860923">
        <w:t xml:space="preserve">number </w:t>
      </w:r>
      <w:r w:rsidR="00860923" w:rsidRPr="00800B98">
        <w:t xml:space="preserve">of </w:t>
      </w:r>
      <w:r w:rsidR="00E8124A" w:rsidRPr="00800B98">
        <w:t xml:space="preserve">Australian Government </w:t>
      </w:r>
      <w:r w:rsidR="00944A67" w:rsidRPr="00800B98">
        <w:t>departments and agencies</w:t>
      </w:r>
      <w:r w:rsidR="00860923" w:rsidRPr="00800B98">
        <w:t xml:space="preserve"> providing input to the response reflects the</w:t>
      </w:r>
      <w:r w:rsidR="00860923">
        <w:t xml:space="preserve"> complexity of the issues considered by the </w:t>
      </w:r>
      <w:r w:rsidR="00A64C50">
        <w:t>C</w:t>
      </w:r>
      <w:r w:rsidR="00860923">
        <w:t>ommittee</w:t>
      </w:r>
      <w:r w:rsidR="00F4524A">
        <w:t xml:space="preserve">, and included: </w:t>
      </w:r>
    </w:p>
    <w:p w14:paraId="243334D2" w14:textId="77777777" w:rsidR="00BD1111" w:rsidRPr="00BD1111" w:rsidRDefault="00BD1111" w:rsidP="00BD1111">
      <w:pPr>
        <w:pStyle w:val="ListParagraph"/>
        <w:numPr>
          <w:ilvl w:val="0"/>
          <w:numId w:val="17"/>
        </w:numPr>
        <w:spacing w:after="0" w:line="240" w:lineRule="auto"/>
      </w:pPr>
      <w:bookmarkStart w:id="4" w:name="_Hlk176255866"/>
      <w:r w:rsidRPr="00BD1111">
        <w:t>Austrade</w:t>
      </w:r>
    </w:p>
    <w:p w14:paraId="5B7E2664" w14:textId="77777777" w:rsidR="00BD1111" w:rsidRPr="00BD1111" w:rsidRDefault="00BD1111" w:rsidP="00BD1111">
      <w:pPr>
        <w:pStyle w:val="ListParagraph"/>
        <w:numPr>
          <w:ilvl w:val="0"/>
          <w:numId w:val="17"/>
        </w:numPr>
        <w:spacing w:after="0" w:line="240" w:lineRule="auto"/>
      </w:pPr>
      <w:r w:rsidRPr="00BD1111">
        <w:t xml:space="preserve">Australian Climate Service </w:t>
      </w:r>
    </w:p>
    <w:p w14:paraId="1193BCD2" w14:textId="77777777" w:rsidR="00BD1111" w:rsidRPr="00BD1111" w:rsidRDefault="00BD1111" w:rsidP="00BD1111">
      <w:pPr>
        <w:pStyle w:val="ListParagraph"/>
        <w:numPr>
          <w:ilvl w:val="0"/>
          <w:numId w:val="17"/>
        </w:numPr>
        <w:spacing w:after="0" w:line="240" w:lineRule="auto"/>
      </w:pPr>
      <w:r w:rsidRPr="00BD1111">
        <w:t>Bureau of Meteorology</w:t>
      </w:r>
    </w:p>
    <w:p w14:paraId="6BBF8CBE" w14:textId="77777777" w:rsidR="00BD1111" w:rsidRPr="00BD1111" w:rsidRDefault="00BD1111" w:rsidP="00BD1111">
      <w:pPr>
        <w:pStyle w:val="ListParagraph"/>
        <w:numPr>
          <w:ilvl w:val="0"/>
          <w:numId w:val="17"/>
        </w:numPr>
        <w:spacing w:after="0" w:line="240" w:lineRule="auto"/>
      </w:pPr>
      <w:r w:rsidRPr="00BD1111">
        <w:t>Commonwealth Scientific and Industrial Research Organisation</w:t>
      </w:r>
    </w:p>
    <w:p w14:paraId="2E8747AA" w14:textId="227EE438" w:rsidR="00A23699" w:rsidRPr="00BD1111" w:rsidRDefault="00A23699" w:rsidP="00A23699">
      <w:pPr>
        <w:pStyle w:val="ListParagraph"/>
        <w:numPr>
          <w:ilvl w:val="0"/>
          <w:numId w:val="17"/>
        </w:numPr>
        <w:spacing w:after="0" w:line="240" w:lineRule="auto"/>
      </w:pPr>
      <w:r w:rsidRPr="00BD1111">
        <w:t>D</w:t>
      </w:r>
      <w:r w:rsidR="00800B98" w:rsidRPr="00BD1111">
        <w:t>epartment of Climate Change, Energy, the Environment and Water</w:t>
      </w:r>
      <w:bookmarkEnd w:id="4"/>
    </w:p>
    <w:p w14:paraId="16D51B4E" w14:textId="77777777" w:rsidR="00A23699" w:rsidRPr="00BD1111" w:rsidRDefault="00800B98" w:rsidP="00A23699">
      <w:pPr>
        <w:pStyle w:val="ListParagraph"/>
        <w:numPr>
          <w:ilvl w:val="0"/>
          <w:numId w:val="17"/>
        </w:numPr>
        <w:spacing w:after="0" w:line="240" w:lineRule="auto"/>
      </w:pPr>
      <w:bookmarkStart w:id="5" w:name="_Hlk176255915"/>
      <w:r w:rsidRPr="00BD1111">
        <w:t>Department of Employment and Workplace Relations</w:t>
      </w:r>
      <w:bookmarkEnd w:id="5"/>
    </w:p>
    <w:p w14:paraId="08852AF3" w14:textId="77777777" w:rsidR="00BD1111" w:rsidRPr="00BD1111" w:rsidRDefault="00BD1111" w:rsidP="00BD1111">
      <w:pPr>
        <w:pStyle w:val="ListParagraph"/>
        <w:numPr>
          <w:ilvl w:val="0"/>
          <w:numId w:val="17"/>
        </w:numPr>
        <w:spacing w:after="0" w:line="240" w:lineRule="auto"/>
      </w:pPr>
      <w:r w:rsidRPr="00BD1111">
        <w:t>Department of Foreign Affairs and Trade</w:t>
      </w:r>
    </w:p>
    <w:p w14:paraId="77CD54CF" w14:textId="77777777" w:rsidR="00944A67" w:rsidRPr="00BD1111" w:rsidRDefault="00944A67" w:rsidP="00E8124A">
      <w:pPr>
        <w:pStyle w:val="ListParagraph"/>
        <w:numPr>
          <w:ilvl w:val="0"/>
          <w:numId w:val="17"/>
        </w:numPr>
        <w:spacing w:after="0" w:line="240" w:lineRule="auto"/>
      </w:pPr>
      <w:r w:rsidRPr="00BD1111">
        <w:t>Department of Industry</w:t>
      </w:r>
      <w:r w:rsidR="00E8124A" w:rsidRPr="00BD1111">
        <w:t xml:space="preserve">, </w:t>
      </w:r>
      <w:r w:rsidRPr="00BD1111">
        <w:t>Science and Resources</w:t>
      </w:r>
    </w:p>
    <w:p w14:paraId="1B3B93AB" w14:textId="7C7ABB6D" w:rsidR="00A23699" w:rsidRDefault="00A23699" w:rsidP="00A23699">
      <w:pPr>
        <w:pStyle w:val="ListParagraph"/>
        <w:numPr>
          <w:ilvl w:val="0"/>
          <w:numId w:val="17"/>
        </w:numPr>
        <w:spacing w:after="0" w:line="240" w:lineRule="auto"/>
      </w:pPr>
      <w:r w:rsidRPr="00BD1111">
        <w:t>Department of Infrastructure, Transport, Regional Development, Communications</w:t>
      </w:r>
      <w:r w:rsidR="00503004">
        <w:t>, Sport</w:t>
      </w:r>
      <w:r w:rsidRPr="00BD1111">
        <w:t xml:space="preserve"> and the Arts</w:t>
      </w:r>
    </w:p>
    <w:p w14:paraId="579CD45F" w14:textId="77777777" w:rsidR="000D02F4" w:rsidRPr="00BD1111" w:rsidRDefault="000D02F4" w:rsidP="000D02F4">
      <w:pPr>
        <w:pStyle w:val="ListParagraph"/>
        <w:numPr>
          <w:ilvl w:val="0"/>
          <w:numId w:val="17"/>
        </w:numPr>
        <w:spacing w:after="0" w:line="240" w:lineRule="auto"/>
      </w:pPr>
      <w:r>
        <w:t>Department of the Prime Minister and Cabinet</w:t>
      </w:r>
    </w:p>
    <w:p w14:paraId="368C24C4" w14:textId="77777777" w:rsidR="00A23699" w:rsidRDefault="00800B98" w:rsidP="00A23699">
      <w:pPr>
        <w:pStyle w:val="ListParagraph"/>
        <w:numPr>
          <w:ilvl w:val="0"/>
          <w:numId w:val="17"/>
        </w:numPr>
        <w:spacing w:after="0" w:line="240" w:lineRule="auto"/>
      </w:pPr>
      <w:r w:rsidRPr="00BD1111">
        <w:t xml:space="preserve">Department of the </w:t>
      </w:r>
      <w:r w:rsidR="00A23699" w:rsidRPr="00BD1111">
        <w:t>Treasury</w:t>
      </w:r>
    </w:p>
    <w:p w14:paraId="396B4E64" w14:textId="77777777" w:rsidR="000D02F4" w:rsidRPr="00BD1111" w:rsidRDefault="000D02F4" w:rsidP="000D02F4">
      <w:pPr>
        <w:pStyle w:val="ListParagraph"/>
        <w:numPr>
          <w:ilvl w:val="0"/>
          <w:numId w:val="17"/>
        </w:numPr>
        <w:spacing w:after="0" w:line="240" w:lineRule="auto"/>
      </w:pPr>
      <w:r>
        <w:t>Infrastructure Australia</w:t>
      </w:r>
    </w:p>
    <w:p w14:paraId="64AB2E57" w14:textId="77777777" w:rsidR="00A23699" w:rsidRPr="00BD1111" w:rsidRDefault="00A23699" w:rsidP="00A23699">
      <w:pPr>
        <w:pStyle w:val="ListParagraph"/>
        <w:numPr>
          <w:ilvl w:val="0"/>
          <w:numId w:val="17"/>
        </w:numPr>
        <w:spacing w:after="0" w:line="240" w:lineRule="auto"/>
      </w:pPr>
      <w:r w:rsidRPr="00BD1111">
        <w:t>National Emergency Management Agency</w:t>
      </w:r>
      <w:r w:rsidR="00447568" w:rsidRPr="00BD1111">
        <w:t>.</w:t>
      </w:r>
    </w:p>
    <w:p w14:paraId="161D9B8C" w14:textId="77777777" w:rsidR="00E8124A" w:rsidRDefault="00E8124A" w:rsidP="00E8124A">
      <w:pPr>
        <w:pStyle w:val="ListParagraph"/>
        <w:spacing w:after="0" w:line="240" w:lineRule="auto"/>
      </w:pPr>
    </w:p>
    <w:p w14:paraId="08E4F878" w14:textId="77777777" w:rsidR="009E6563" w:rsidRDefault="00A401E5" w:rsidP="00E8124A">
      <w:pPr>
        <w:spacing w:after="0"/>
      </w:pPr>
      <w:r>
        <w:t>The response identifies the</w:t>
      </w:r>
      <w:r w:rsidR="00944A67">
        <w:t xml:space="preserve"> </w:t>
      </w:r>
      <w:r w:rsidR="009E6563">
        <w:t>key s</w:t>
      </w:r>
      <w:r w:rsidR="00944A67">
        <w:t xml:space="preserve">trategies </w:t>
      </w:r>
      <w:r w:rsidR="00760DCC">
        <w:t xml:space="preserve">being </w:t>
      </w:r>
      <w:r w:rsidR="00DC1A0E">
        <w:t xml:space="preserve">used </w:t>
      </w:r>
      <w:r w:rsidR="00944A67">
        <w:t>to strengthen the resilience of road infrastructure across regional and remote Australia</w:t>
      </w:r>
      <w:r w:rsidR="009E6563">
        <w:t xml:space="preserve">, </w:t>
      </w:r>
      <w:r w:rsidR="003A6473">
        <w:t xml:space="preserve">including </w:t>
      </w:r>
      <w:r w:rsidR="00944A67">
        <w:t>increasing investment in infrastructure resilience</w:t>
      </w:r>
      <w:r w:rsidR="00FA646E">
        <w:t xml:space="preserve"> in alignment with the Australian Government’s Infrastructure Policy Statement</w:t>
      </w:r>
      <w:r w:rsidR="00944A67">
        <w:t xml:space="preserve">, </w:t>
      </w:r>
      <w:r w:rsidR="003A6473">
        <w:t xml:space="preserve">enhancing predictive weather modelling, </w:t>
      </w:r>
      <w:r w:rsidR="00944A67">
        <w:t xml:space="preserve">integrating climate adaptation into road planning, and strengthening emergency management coordination. </w:t>
      </w:r>
    </w:p>
    <w:p w14:paraId="531CC652" w14:textId="77777777" w:rsidR="00FA646E" w:rsidRDefault="00FA646E" w:rsidP="00E8124A">
      <w:pPr>
        <w:spacing w:after="0"/>
      </w:pPr>
    </w:p>
    <w:p w14:paraId="11F11082" w14:textId="2CE78727" w:rsidR="009E6563" w:rsidRDefault="00FA646E" w:rsidP="00E8124A">
      <w:pPr>
        <w:spacing w:after="0"/>
        <w:rPr>
          <w:rFonts w:ascii="Calibri" w:hAnsi="Calibri" w:cs="Calibri"/>
        </w:rPr>
      </w:pPr>
      <w:r>
        <w:t xml:space="preserve">These strategies have been informed by reviews such as </w:t>
      </w:r>
      <w:r>
        <w:rPr>
          <w:iCs/>
        </w:rPr>
        <w:t xml:space="preserve">Phase One of </w:t>
      </w:r>
      <w:r w:rsidRPr="007B06DF">
        <w:rPr>
          <w:iCs/>
        </w:rPr>
        <w:t>the Road and Rail Supply Chain Resilience Review</w:t>
      </w:r>
      <w:r w:rsidR="003939E1">
        <w:rPr>
          <w:iCs/>
        </w:rPr>
        <w:t xml:space="preserve"> and</w:t>
      </w:r>
      <w:r>
        <w:rPr>
          <w:iCs/>
        </w:rPr>
        <w:t xml:space="preserve"> the</w:t>
      </w:r>
      <w:r w:rsidRPr="00FA646E">
        <w:t xml:space="preserve"> </w:t>
      </w:r>
      <w:r w:rsidR="00F4524A">
        <w:t xml:space="preserve">Independent Review of the </w:t>
      </w:r>
      <w:r>
        <w:t>Australian Climate Service</w:t>
      </w:r>
      <w:r>
        <w:rPr>
          <w:rFonts w:ascii="Calibri" w:hAnsi="Calibri" w:cs="Calibri"/>
        </w:rPr>
        <w:t>.</w:t>
      </w:r>
    </w:p>
    <w:p w14:paraId="68130119" w14:textId="77777777" w:rsidR="00FA646E" w:rsidRDefault="00FA646E" w:rsidP="00E8124A">
      <w:pPr>
        <w:spacing w:after="0"/>
      </w:pPr>
    </w:p>
    <w:p w14:paraId="3C1E0CED" w14:textId="6828A86D" w:rsidR="009C5C35" w:rsidRDefault="00944A67" w:rsidP="00FA646E">
      <w:pPr>
        <w:spacing w:after="0"/>
      </w:pPr>
      <w:r>
        <w:t xml:space="preserve">The response underscores the importance of collaboration </w:t>
      </w:r>
      <w:r w:rsidR="00760DCC">
        <w:t xml:space="preserve">and data sharing across all levels of government, </w:t>
      </w:r>
      <w:r>
        <w:t>and the need for continuous monitoring and assessment</w:t>
      </w:r>
      <w:r w:rsidR="002E6972">
        <w:t>. T</w:t>
      </w:r>
      <w:r w:rsidR="00FA646E">
        <w:t xml:space="preserve">he </w:t>
      </w:r>
      <w:r w:rsidR="002E6972">
        <w:t>effective use</w:t>
      </w:r>
      <w:r w:rsidR="00FA646E">
        <w:t xml:space="preserve"> of existing cross-government forums </w:t>
      </w:r>
      <w:r w:rsidR="002E6972">
        <w:t xml:space="preserve">such as </w:t>
      </w:r>
      <w:r w:rsidR="002E6972" w:rsidRPr="00716898">
        <w:t xml:space="preserve">the Infrastructure and Transport Ministers’ Meeting, the </w:t>
      </w:r>
      <w:r w:rsidR="002E6972" w:rsidRPr="005F6085">
        <w:t>National Emergency Management Ministers’ Meeting</w:t>
      </w:r>
      <w:r w:rsidR="002E6972">
        <w:t xml:space="preserve"> and the Local Government Ministers</w:t>
      </w:r>
      <w:r w:rsidR="00E83A4E">
        <w:t>’</w:t>
      </w:r>
      <w:r w:rsidR="002E6972">
        <w:t xml:space="preserve"> Forum will enable all levels of government to work together to adapt to climate challenges</w:t>
      </w:r>
      <w:r w:rsidR="00DC1A0E">
        <w:t xml:space="preserve"> to Australia’s road infrastructure</w:t>
      </w:r>
      <w:r w:rsidR="002E6972">
        <w:t>.</w:t>
      </w:r>
    </w:p>
    <w:p w14:paraId="67E2A8B3" w14:textId="77777777" w:rsidR="002A619D" w:rsidRDefault="002A619D" w:rsidP="002A619D">
      <w:pPr>
        <w:spacing w:after="160" w:line="256" w:lineRule="auto"/>
      </w:pPr>
      <w:r>
        <w:br w:type="page"/>
      </w:r>
    </w:p>
    <w:p w14:paraId="7D6EDB9A" w14:textId="77777777" w:rsidR="002A619D" w:rsidRDefault="002A619D" w:rsidP="009E0ABC">
      <w:pPr>
        <w:pStyle w:val="Heading2-notshowing"/>
      </w:pPr>
      <w:bookmarkStart w:id="6" w:name="_Toc499905943"/>
      <w:bookmarkStart w:id="7" w:name="_Toc219188289"/>
      <w:r>
        <w:lastRenderedPageBreak/>
        <w:t>Australian Government response</w:t>
      </w:r>
      <w:bookmarkEnd w:id="6"/>
      <w:bookmarkEnd w:id="7"/>
    </w:p>
    <w:p w14:paraId="20EB9776" w14:textId="77777777" w:rsidR="002A619D" w:rsidRDefault="002A619D" w:rsidP="002A619D">
      <w:r>
        <w:t xml:space="preserve">The Australian Government’s response to </w:t>
      </w:r>
      <w:r w:rsidR="001C503E" w:rsidRPr="001C503E">
        <w:t>the Inquiry into the implications of severe weather events on the national regional, rural and remote road network</w:t>
      </w:r>
      <w:r w:rsidR="001C503E">
        <w:t xml:space="preserve"> </w:t>
      </w:r>
      <w:r>
        <w:t>is set out in detail below.</w:t>
      </w:r>
    </w:p>
    <w:p w14:paraId="091E4EBB" w14:textId="77777777" w:rsidR="002A619D" w:rsidRDefault="002A619D" w:rsidP="002A619D">
      <w:pPr>
        <w:pStyle w:val="Heading3"/>
        <w:pBdr>
          <w:top w:val="single" w:sz="4" w:space="1" w:color="auto"/>
          <w:left w:val="single" w:sz="4" w:space="4" w:color="auto"/>
          <w:bottom w:val="single" w:sz="4" w:space="1" w:color="auto"/>
          <w:right w:val="single" w:sz="4" w:space="4" w:color="auto"/>
        </w:pBdr>
      </w:pPr>
      <w:bookmarkStart w:id="8" w:name="_Toc219188290"/>
      <w:r>
        <w:t>Recommendation 1:</w:t>
      </w:r>
      <w:bookmarkEnd w:id="8"/>
    </w:p>
    <w:p w14:paraId="6ABF0CA2" w14:textId="77777777" w:rsidR="001C503E" w:rsidRDefault="007F3F21" w:rsidP="002A619D">
      <w:pPr>
        <w:pBdr>
          <w:top w:val="single" w:sz="4" w:space="1" w:color="auto"/>
          <w:left w:val="single" w:sz="4" w:space="4" w:color="auto"/>
          <w:bottom w:val="single" w:sz="4" w:space="1" w:color="auto"/>
          <w:right w:val="single" w:sz="4" w:space="4" w:color="auto"/>
        </w:pBdr>
        <w:shd w:val="clear" w:color="auto" w:fill="E4E4E4"/>
        <w:ind w:left="567" w:hanging="567"/>
      </w:pPr>
      <w:r>
        <w:t>2.66</w:t>
      </w:r>
      <w:r>
        <w:tab/>
      </w:r>
      <w:r w:rsidR="001C503E" w:rsidRPr="00C07D24">
        <w:t xml:space="preserve">The Committee recommends that the Commonwealth Scientific and Industrial Research </w:t>
      </w:r>
      <w:r w:rsidR="001C503E" w:rsidRPr="00300AAF">
        <w:t xml:space="preserve">Organisation’s Transport Network Strategic Investment Tool be utilised by the </w:t>
      </w:r>
      <w:bookmarkStart w:id="9" w:name="_Hlk173232731"/>
      <w:r w:rsidR="001C503E" w:rsidRPr="00300AAF">
        <w:t xml:space="preserve">Australian Climate Service </w:t>
      </w:r>
      <w:bookmarkEnd w:id="9"/>
      <w:r w:rsidR="001C503E" w:rsidRPr="00300AAF">
        <w:t>to examine projected impacts on strategic road network routes</w:t>
      </w:r>
    </w:p>
    <w:p w14:paraId="3E54A59A" w14:textId="77777777" w:rsidR="002A619D" w:rsidRDefault="002A619D" w:rsidP="002A619D">
      <w:r>
        <w:t xml:space="preserve">The </w:t>
      </w:r>
      <w:r w:rsidR="005E17D4">
        <w:t xml:space="preserve">Australian </w:t>
      </w:r>
      <w:r>
        <w:t xml:space="preserve">Government </w:t>
      </w:r>
      <w:r w:rsidR="006B0280">
        <w:rPr>
          <w:b/>
        </w:rPr>
        <w:t>supports</w:t>
      </w:r>
      <w:r w:rsidR="006B0280">
        <w:t xml:space="preserve"> </w:t>
      </w:r>
      <w:r>
        <w:t>this recommendation.</w:t>
      </w:r>
    </w:p>
    <w:p w14:paraId="5061DD5C" w14:textId="77777777" w:rsidR="00F00B2F" w:rsidRPr="008A0A40" w:rsidRDefault="00F00B2F" w:rsidP="00F00B2F">
      <w:pPr>
        <w:spacing w:after="0"/>
        <w:rPr>
          <w:rFonts w:ascii="Calibri" w:hAnsi="Calibri"/>
        </w:rPr>
      </w:pPr>
      <w:r w:rsidRPr="00C07D24">
        <w:t xml:space="preserve">The Commonwealth Scientific and Industrial Research Organisation (CSIRO) </w:t>
      </w:r>
      <w:r>
        <w:t>Transport Network Strategic Investment Tool (</w:t>
      </w:r>
      <w:proofErr w:type="spellStart"/>
      <w:r>
        <w:t>TraNSIT</w:t>
      </w:r>
      <w:proofErr w:type="spellEnd"/>
      <w:r>
        <w:t xml:space="preserve">) </w:t>
      </w:r>
      <w:r w:rsidRPr="00B02294">
        <w:rPr>
          <w:rFonts w:ascii="Calibri" w:hAnsi="Calibri"/>
        </w:rPr>
        <w:t>shows the impact from current road closures to freight and supply chains</w:t>
      </w:r>
      <w:r>
        <w:rPr>
          <w:rFonts w:ascii="Calibri" w:hAnsi="Calibri"/>
        </w:rPr>
        <w:t xml:space="preserve"> and provides </w:t>
      </w:r>
      <w:r w:rsidRPr="008A0A40">
        <w:rPr>
          <w:rFonts w:ascii="Calibri" w:hAnsi="Calibri"/>
        </w:rPr>
        <w:t>a scenario planning tool that allows stakeholders and users to test future disruption scenarios of road closures</w:t>
      </w:r>
      <w:r w:rsidR="00111F8C">
        <w:rPr>
          <w:rFonts w:ascii="Calibri" w:hAnsi="Calibri"/>
        </w:rPr>
        <w:t>.</w:t>
      </w:r>
    </w:p>
    <w:p w14:paraId="5575F926" w14:textId="09ADEC68" w:rsidR="00F00B2F" w:rsidRDefault="00F00B2F" w:rsidP="00F00B2F">
      <w:pPr>
        <w:spacing w:before="100" w:beforeAutospacing="1" w:after="100" w:afterAutospacing="1"/>
        <w:rPr>
          <w:color w:val="000000"/>
        </w:rPr>
      </w:pPr>
      <w:r w:rsidRPr="00334A6B">
        <w:rPr>
          <w:color w:val="000000"/>
        </w:rPr>
        <w:t xml:space="preserve">The Government has provided $3.8m funding </w:t>
      </w:r>
      <w:r w:rsidR="00D029D6">
        <w:rPr>
          <w:color w:val="000000"/>
        </w:rPr>
        <w:t xml:space="preserve">over </w:t>
      </w:r>
      <w:r w:rsidR="00474BB1">
        <w:rPr>
          <w:color w:val="000000"/>
        </w:rPr>
        <w:t xml:space="preserve">4 </w:t>
      </w:r>
      <w:r w:rsidR="00D029D6">
        <w:rPr>
          <w:color w:val="000000"/>
        </w:rPr>
        <w:t xml:space="preserve">years from 2022-23 to </w:t>
      </w:r>
      <w:r w:rsidR="0045211F">
        <w:rPr>
          <w:color w:val="000000"/>
        </w:rPr>
        <w:t>2025</w:t>
      </w:r>
      <w:r w:rsidR="00D029D6">
        <w:rPr>
          <w:color w:val="000000"/>
        </w:rPr>
        <w:t>-</w:t>
      </w:r>
      <w:r w:rsidR="0045211F">
        <w:rPr>
          <w:color w:val="000000"/>
        </w:rPr>
        <w:t xml:space="preserve">26 </w:t>
      </w:r>
      <w:r w:rsidRPr="00334A6B">
        <w:rPr>
          <w:color w:val="000000"/>
        </w:rPr>
        <w:t xml:space="preserve">to enhance </w:t>
      </w:r>
      <w:proofErr w:type="spellStart"/>
      <w:r w:rsidRPr="00334A6B">
        <w:rPr>
          <w:color w:val="000000"/>
        </w:rPr>
        <w:t>TraNSIT</w:t>
      </w:r>
      <w:proofErr w:type="spellEnd"/>
      <w:r w:rsidRPr="00334A6B">
        <w:rPr>
          <w:color w:val="000000"/>
        </w:rPr>
        <w:t xml:space="preserve"> with supply chain resilience modelling capabilities. This will improve reporting on disruptions, including the impacts to communities, along with scenario planning to identify future network pressures and improve evidence for investment decision-making. </w:t>
      </w:r>
    </w:p>
    <w:p w14:paraId="29E401C5" w14:textId="3E19EE56" w:rsidR="00F00B2F" w:rsidRPr="001149E0" w:rsidRDefault="00F00B2F" w:rsidP="00F00B2F">
      <w:pPr>
        <w:spacing w:before="100" w:beforeAutospacing="1" w:after="100" w:afterAutospacing="1"/>
        <w:rPr>
          <w:color w:val="000000"/>
        </w:rPr>
      </w:pPr>
      <w:r w:rsidRPr="001149E0">
        <w:rPr>
          <w:color w:val="000000"/>
        </w:rPr>
        <w:t xml:space="preserve">The </w:t>
      </w:r>
      <w:proofErr w:type="spellStart"/>
      <w:r w:rsidRPr="001149E0">
        <w:rPr>
          <w:color w:val="000000"/>
        </w:rPr>
        <w:t>TraNSIT</w:t>
      </w:r>
      <w:proofErr w:type="spellEnd"/>
      <w:r w:rsidRPr="001149E0">
        <w:rPr>
          <w:color w:val="000000"/>
        </w:rPr>
        <w:t xml:space="preserve"> tool </w:t>
      </w:r>
      <w:r w:rsidR="000566E2">
        <w:rPr>
          <w:color w:val="000000"/>
        </w:rPr>
        <w:t>provided</w:t>
      </w:r>
      <w:r w:rsidRPr="001149E0">
        <w:rPr>
          <w:color w:val="000000"/>
        </w:rPr>
        <w:t xml:space="preserve"> analysis to the </w:t>
      </w:r>
      <w:r>
        <w:rPr>
          <w:color w:val="000000"/>
        </w:rPr>
        <w:t>Australian Climate Service</w:t>
      </w:r>
      <w:r w:rsidRPr="001149E0">
        <w:rPr>
          <w:color w:val="000000"/>
        </w:rPr>
        <w:t xml:space="preserve"> </w:t>
      </w:r>
      <w:r w:rsidR="00FA646E">
        <w:rPr>
          <w:color w:val="000000"/>
        </w:rPr>
        <w:t xml:space="preserve">(ACS) </w:t>
      </w:r>
      <w:r w:rsidRPr="001149E0">
        <w:rPr>
          <w:color w:val="000000"/>
        </w:rPr>
        <w:t>as part of the National Climate Risk Assessment evidence base. This analysis examine</w:t>
      </w:r>
      <w:r w:rsidR="000566E2">
        <w:rPr>
          <w:color w:val="000000"/>
        </w:rPr>
        <w:t>d</w:t>
      </w:r>
      <w:r w:rsidRPr="001149E0">
        <w:rPr>
          <w:color w:val="000000"/>
        </w:rPr>
        <w:t>:</w:t>
      </w:r>
    </w:p>
    <w:p w14:paraId="2B24A9AD" w14:textId="77777777" w:rsidR="00F00B2F" w:rsidRPr="001149E0" w:rsidRDefault="00F00B2F" w:rsidP="00111F8C">
      <w:pPr>
        <w:numPr>
          <w:ilvl w:val="0"/>
          <w:numId w:val="3"/>
        </w:numPr>
        <w:spacing w:after="0" w:line="259" w:lineRule="auto"/>
        <w:ind w:left="714" w:hanging="357"/>
        <w:rPr>
          <w:color w:val="000000"/>
        </w:rPr>
      </w:pPr>
      <w:r w:rsidRPr="001149E0">
        <w:rPr>
          <w:color w:val="000000"/>
        </w:rPr>
        <w:t xml:space="preserve">How supply chains </w:t>
      </w:r>
      <w:r>
        <w:rPr>
          <w:color w:val="000000"/>
        </w:rPr>
        <w:t xml:space="preserve">are </w:t>
      </w:r>
      <w:r w:rsidRPr="001149E0">
        <w:rPr>
          <w:color w:val="000000"/>
        </w:rPr>
        <w:t xml:space="preserve">at risk from climate change </w:t>
      </w:r>
      <w:r>
        <w:rPr>
          <w:color w:val="000000"/>
        </w:rPr>
        <w:t>in</w:t>
      </w:r>
      <w:r w:rsidRPr="001149E0">
        <w:rPr>
          <w:color w:val="000000"/>
        </w:rPr>
        <w:t xml:space="preserve"> 2050 and 2090 </w:t>
      </w:r>
      <w:r>
        <w:rPr>
          <w:color w:val="000000"/>
        </w:rPr>
        <w:t>for different levels of global warming</w:t>
      </w:r>
    </w:p>
    <w:p w14:paraId="388E13C9" w14:textId="77777777" w:rsidR="00F00B2F" w:rsidRPr="001149E0" w:rsidRDefault="00F00B2F" w:rsidP="00111F8C">
      <w:pPr>
        <w:numPr>
          <w:ilvl w:val="0"/>
          <w:numId w:val="4"/>
        </w:numPr>
        <w:spacing w:after="100" w:afterAutospacing="1" w:line="259" w:lineRule="auto"/>
        <w:ind w:left="1077" w:hanging="357"/>
        <w:rPr>
          <w:color w:val="000000"/>
        </w:rPr>
      </w:pPr>
      <w:r w:rsidRPr="001149E0">
        <w:rPr>
          <w:color w:val="000000"/>
        </w:rPr>
        <w:t>how and where are they exposed</w:t>
      </w:r>
    </w:p>
    <w:p w14:paraId="3D99D9DD" w14:textId="77777777" w:rsidR="00F00B2F" w:rsidRPr="001149E0" w:rsidRDefault="00F00B2F" w:rsidP="00F00B2F">
      <w:pPr>
        <w:numPr>
          <w:ilvl w:val="0"/>
          <w:numId w:val="4"/>
        </w:numPr>
        <w:spacing w:before="100" w:beforeAutospacing="1" w:after="100" w:afterAutospacing="1" w:line="259" w:lineRule="auto"/>
        <w:rPr>
          <w:color w:val="000000"/>
        </w:rPr>
      </w:pPr>
      <w:r w:rsidRPr="001149E0">
        <w:rPr>
          <w:color w:val="000000"/>
        </w:rPr>
        <w:t>the most important vulnerabilities – both physical and in terms of critical points of network vulnerability</w:t>
      </w:r>
    </w:p>
    <w:p w14:paraId="5247D6F0" w14:textId="77777777" w:rsidR="00F00B2F" w:rsidRPr="001149E0" w:rsidRDefault="00F00B2F" w:rsidP="00111F8C">
      <w:pPr>
        <w:numPr>
          <w:ilvl w:val="0"/>
          <w:numId w:val="4"/>
        </w:numPr>
        <w:spacing w:after="0" w:line="259" w:lineRule="auto"/>
        <w:ind w:left="1077" w:hanging="357"/>
        <w:rPr>
          <w:color w:val="000000"/>
        </w:rPr>
      </w:pPr>
      <w:r>
        <w:rPr>
          <w:color w:val="000000"/>
        </w:rPr>
        <w:t>The extent to which</w:t>
      </w:r>
      <w:r w:rsidRPr="001149E0">
        <w:rPr>
          <w:color w:val="000000"/>
        </w:rPr>
        <w:t xml:space="preserve"> the projected risks</w:t>
      </w:r>
      <w:r>
        <w:rPr>
          <w:color w:val="000000"/>
        </w:rPr>
        <w:t xml:space="preserve"> are</w:t>
      </w:r>
      <w:r w:rsidRPr="001149E0">
        <w:rPr>
          <w:color w:val="000000"/>
        </w:rPr>
        <w:t xml:space="preserve"> being managed</w:t>
      </w:r>
    </w:p>
    <w:p w14:paraId="290DA55B" w14:textId="77777777" w:rsidR="00F00B2F" w:rsidRPr="001149E0" w:rsidRDefault="00F00B2F" w:rsidP="00111F8C">
      <w:pPr>
        <w:numPr>
          <w:ilvl w:val="0"/>
          <w:numId w:val="3"/>
        </w:numPr>
        <w:spacing w:after="0" w:line="259" w:lineRule="auto"/>
        <w:ind w:left="714" w:hanging="357"/>
        <w:rPr>
          <w:color w:val="000000"/>
        </w:rPr>
      </w:pPr>
      <w:r w:rsidRPr="001149E0">
        <w:rPr>
          <w:color w:val="000000"/>
        </w:rPr>
        <w:t>Which communities or sectors are likely to be most directly affected by impacts on future supply chains</w:t>
      </w:r>
    </w:p>
    <w:p w14:paraId="0B8D6AAE" w14:textId="77777777" w:rsidR="00F00B2F" w:rsidRPr="001149E0" w:rsidRDefault="00F00B2F" w:rsidP="00F00B2F">
      <w:pPr>
        <w:numPr>
          <w:ilvl w:val="0"/>
          <w:numId w:val="3"/>
        </w:numPr>
        <w:spacing w:before="100" w:beforeAutospacing="1" w:after="100" w:afterAutospacing="1" w:line="259" w:lineRule="auto"/>
        <w:rPr>
          <w:color w:val="000000"/>
        </w:rPr>
      </w:pPr>
      <w:r w:rsidRPr="001149E0">
        <w:rPr>
          <w:color w:val="000000"/>
        </w:rPr>
        <w:t xml:space="preserve">What </w:t>
      </w:r>
      <w:r>
        <w:rPr>
          <w:color w:val="000000"/>
        </w:rPr>
        <w:t>Local Government Areas</w:t>
      </w:r>
      <w:r w:rsidRPr="001149E0">
        <w:rPr>
          <w:color w:val="000000"/>
        </w:rPr>
        <w:t xml:space="preserve"> become more vulnerable to disasters due to extreme events and supply chain impacts in a different part of the country</w:t>
      </w:r>
      <w:r w:rsidR="00111F8C">
        <w:rPr>
          <w:color w:val="000000"/>
        </w:rPr>
        <w:t>.</w:t>
      </w:r>
    </w:p>
    <w:p w14:paraId="4B4247CA" w14:textId="77777777" w:rsidR="002A619D" w:rsidRDefault="002A619D" w:rsidP="007F3F21"/>
    <w:p w14:paraId="48C8DB29" w14:textId="77777777" w:rsidR="002A619D" w:rsidRDefault="002A619D" w:rsidP="002A619D">
      <w:r>
        <w:br w:type="page"/>
      </w:r>
    </w:p>
    <w:p w14:paraId="5C8C985F" w14:textId="77777777" w:rsidR="002A619D" w:rsidRDefault="002A619D" w:rsidP="002A619D">
      <w:pPr>
        <w:pStyle w:val="Heading3"/>
        <w:pBdr>
          <w:top w:val="single" w:sz="4" w:space="1" w:color="auto"/>
          <w:left w:val="single" w:sz="4" w:space="4" w:color="auto"/>
          <w:bottom w:val="single" w:sz="4" w:space="1" w:color="auto"/>
          <w:right w:val="single" w:sz="4" w:space="4" w:color="auto"/>
        </w:pBdr>
      </w:pPr>
      <w:bookmarkStart w:id="10" w:name="_Toc219188291"/>
      <w:r>
        <w:lastRenderedPageBreak/>
        <w:t>Recommendation 2:</w:t>
      </w:r>
      <w:bookmarkEnd w:id="10"/>
    </w:p>
    <w:p w14:paraId="18BE649B" w14:textId="77777777" w:rsidR="002A619D" w:rsidRDefault="00604981" w:rsidP="00604981">
      <w:pPr>
        <w:pBdr>
          <w:top w:val="single" w:sz="4" w:space="1" w:color="auto"/>
          <w:left w:val="single" w:sz="4" w:space="4" w:color="auto"/>
          <w:bottom w:val="single" w:sz="4" w:space="1" w:color="auto"/>
          <w:right w:val="single" w:sz="4" w:space="4" w:color="auto"/>
        </w:pBdr>
        <w:shd w:val="clear" w:color="auto" w:fill="E4E4E4"/>
        <w:ind w:left="567" w:hanging="567"/>
      </w:pPr>
      <w:r>
        <w:t>2.68</w:t>
      </w:r>
      <w:r w:rsidR="002A619D">
        <w:tab/>
      </w:r>
      <w:r w:rsidRPr="00604981">
        <w:t>The Committee recommends that clearer demarcation of climate data and sharing responsibilities between the Bureau of Meteorology and the Commonwealth Scientific and Industrial Research Organisation and state and territory and local governments be established to facilitate adequate warning and risk mitigation</w:t>
      </w:r>
      <w:r w:rsidR="002A619D">
        <w:t>.</w:t>
      </w:r>
    </w:p>
    <w:p w14:paraId="5B265DF5" w14:textId="77777777" w:rsidR="002A619D" w:rsidRDefault="002A619D" w:rsidP="002A619D">
      <w:r>
        <w:t xml:space="preserve">The </w:t>
      </w:r>
      <w:r w:rsidR="005E17D4">
        <w:t xml:space="preserve">Australian </w:t>
      </w:r>
      <w:r>
        <w:t xml:space="preserve">Government </w:t>
      </w:r>
      <w:r w:rsidR="00526C25">
        <w:rPr>
          <w:b/>
        </w:rPr>
        <w:t>notes</w:t>
      </w:r>
      <w:r w:rsidR="00BB7F26">
        <w:t xml:space="preserve"> </w:t>
      </w:r>
      <w:r>
        <w:t>this recommendation.</w:t>
      </w:r>
    </w:p>
    <w:p w14:paraId="69EF5D10" w14:textId="77777777" w:rsidR="00BB7F26" w:rsidRDefault="00BB7F26" w:rsidP="00BB7F26">
      <w:pPr>
        <w:rPr>
          <w:rFonts w:ascii="Calibri" w:hAnsi="Calibri" w:cs="Calibri"/>
        </w:rPr>
      </w:pPr>
      <w:r>
        <w:rPr>
          <w:rFonts w:cstheme="minorHAnsi"/>
        </w:rPr>
        <w:t xml:space="preserve">The </w:t>
      </w:r>
      <w:r w:rsidRPr="00344E97">
        <w:rPr>
          <w:rFonts w:cstheme="minorHAnsi"/>
        </w:rPr>
        <w:t>Australian Government</w:t>
      </w:r>
      <w:r>
        <w:rPr>
          <w:rFonts w:cstheme="minorHAnsi"/>
        </w:rPr>
        <w:t xml:space="preserve"> supports </w:t>
      </w:r>
      <w:r w:rsidRPr="00C418F1">
        <w:rPr>
          <w:rFonts w:ascii="Calibri" w:hAnsi="Calibri" w:cs="Calibri"/>
        </w:rPr>
        <w:t>improved climate data sharing between all relevant stakeholders.</w:t>
      </w:r>
    </w:p>
    <w:p w14:paraId="1ED21F95" w14:textId="2B344B38" w:rsidR="00C14814" w:rsidRPr="001F72B8" w:rsidRDefault="00C14814" w:rsidP="00C14814">
      <w:pPr>
        <w:rPr>
          <w:rStyle w:val="Hyperlink"/>
          <w:rFonts w:cstheme="minorHAnsi"/>
        </w:rPr>
      </w:pPr>
      <w:r w:rsidRPr="0006729C">
        <w:rPr>
          <w:rFonts w:cstheme="minorHAnsi"/>
        </w:rPr>
        <w:t xml:space="preserve">Since 2022, the </w:t>
      </w:r>
      <w:r w:rsidR="00141A69" w:rsidRPr="00BD1111">
        <w:t>Department of Climate Change, Energy, the Environment and Water</w:t>
      </w:r>
      <w:r w:rsidR="00141A69">
        <w:t xml:space="preserve"> </w:t>
      </w:r>
      <w:r w:rsidRPr="0006729C">
        <w:rPr>
          <w:rFonts w:cstheme="minorHAnsi"/>
        </w:rPr>
        <w:t xml:space="preserve">has </w:t>
      </w:r>
      <w:r w:rsidR="000566E2">
        <w:rPr>
          <w:rFonts w:cstheme="minorHAnsi"/>
        </w:rPr>
        <w:t>established and served as the secretariat of</w:t>
      </w:r>
      <w:r w:rsidRPr="0006729C">
        <w:rPr>
          <w:rFonts w:cstheme="minorHAnsi"/>
        </w:rPr>
        <w:t xml:space="preserve"> the National Partnership for Climate Projections (NPCP).</w:t>
      </w:r>
      <w:r w:rsidRPr="002245B5">
        <w:rPr>
          <w:rFonts w:cstheme="minorHAnsi"/>
        </w:rPr>
        <w:t xml:space="preserve"> </w:t>
      </w:r>
      <w:r w:rsidRPr="0006729C">
        <w:rPr>
          <w:rFonts w:cstheme="minorHAnsi"/>
        </w:rPr>
        <w:t xml:space="preserve">The partnership arrangement is designed to </w:t>
      </w:r>
      <w:r w:rsidRPr="009D5C15">
        <w:rPr>
          <w:rFonts w:cstheme="minorHAnsi"/>
        </w:rPr>
        <w:t>enhance federal to state collaboration</w:t>
      </w:r>
      <w:r w:rsidR="000566E2" w:rsidRPr="000566E2">
        <w:rPr>
          <w:rFonts w:cstheme="minorHAnsi"/>
        </w:rPr>
        <w:t xml:space="preserve"> </w:t>
      </w:r>
      <w:r w:rsidR="000566E2">
        <w:rPr>
          <w:rFonts w:cstheme="minorHAnsi"/>
        </w:rPr>
        <w:t>on climate data and data sharing.</w:t>
      </w:r>
      <w:r w:rsidRPr="0006729C">
        <w:rPr>
          <w:rFonts w:cstheme="minorHAnsi"/>
        </w:rPr>
        <w:t xml:space="preserve"> It is a voluntary collaboration that aims to develop a consistent approach to deliver comparable, robust</w:t>
      </w:r>
      <w:r>
        <w:rPr>
          <w:rFonts w:cstheme="minorHAnsi"/>
        </w:rPr>
        <w:t>,</w:t>
      </w:r>
      <w:r w:rsidRPr="0006729C">
        <w:rPr>
          <w:rFonts w:cstheme="minorHAnsi"/>
        </w:rPr>
        <w:t xml:space="preserve"> fit-</w:t>
      </w:r>
      <w:r w:rsidRPr="00B54509">
        <w:rPr>
          <w:rFonts w:cstheme="minorHAnsi"/>
        </w:rPr>
        <w:t xml:space="preserve">for purpose future climate information to assess climate risks and inform adaptation planning. </w:t>
      </w:r>
    </w:p>
    <w:p w14:paraId="7E1258C3" w14:textId="79B18AC8" w:rsidR="00C14814" w:rsidRPr="00E001E6" w:rsidRDefault="00C14814" w:rsidP="00C14814">
      <w:pPr>
        <w:rPr>
          <w:rStyle w:val="Hyperlink"/>
          <w:rFonts w:cstheme="minorHAnsi"/>
          <w:color w:val="auto"/>
          <w:u w:val="none"/>
        </w:rPr>
      </w:pPr>
      <w:r>
        <w:rPr>
          <w:rFonts w:cstheme="minorHAnsi"/>
        </w:rPr>
        <w:t xml:space="preserve">The ACS is supporting an uplift of natural climate and hazard data </w:t>
      </w:r>
      <w:r w:rsidR="000566E2">
        <w:rPr>
          <w:rFonts w:cstheme="minorHAnsi"/>
        </w:rPr>
        <w:t>through the</w:t>
      </w:r>
      <w:r>
        <w:rPr>
          <w:rFonts w:cstheme="minorHAnsi"/>
        </w:rPr>
        <w:t xml:space="preserve"> </w:t>
      </w:r>
      <w:r>
        <w:t xml:space="preserve">Bureau of Meteorology and CSIRO </w:t>
      </w:r>
      <w:r w:rsidR="000566E2">
        <w:t>as partners in the ACS. The ACS supports national adaptation and disaster risk reduction by providing climate risk data, insights and resources to enable effective risk monitoring and adaptation across sectors</w:t>
      </w:r>
      <w:r>
        <w:t>.</w:t>
      </w:r>
    </w:p>
    <w:p w14:paraId="20E4358A" w14:textId="77777777" w:rsidR="00BB7F26" w:rsidRDefault="00C14814" w:rsidP="00BB7F26">
      <w:pPr>
        <w:rPr>
          <w:rFonts w:cstheme="minorHAnsi"/>
        </w:rPr>
      </w:pPr>
      <w:r>
        <w:t>In addition, whilst</w:t>
      </w:r>
      <w:r w:rsidR="00BB7F26">
        <w:t xml:space="preserve"> noting</w:t>
      </w:r>
      <w:r w:rsidR="00BB7F26" w:rsidRPr="0006729C">
        <w:rPr>
          <w:rFonts w:cstheme="minorHAnsi"/>
        </w:rPr>
        <w:t xml:space="preserve"> it would not be CSIRO’s role to provide a warning system, CSIRO has developed a suite of decision support tools to support planning, preparation and response across multiple hazards that would impact on a road network. As well as </w:t>
      </w:r>
      <w:proofErr w:type="spellStart"/>
      <w:r w:rsidR="00BB7F26" w:rsidRPr="0006729C">
        <w:rPr>
          <w:rFonts w:cstheme="minorHAnsi"/>
        </w:rPr>
        <w:t>TraNSIT</w:t>
      </w:r>
      <w:proofErr w:type="spellEnd"/>
      <w:r w:rsidR="00BB7F26" w:rsidRPr="0006729C">
        <w:rPr>
          <w:rFonts w:cstheme="minorHAnsi"/>
        </w:rPr>
        <w:t xml:space="preserve">, these include the </w:t>
      </w:r>
      <w:hyperlink r:id="rId16" w:history="1">
        <w:r w:rsidR="00BB7F26" w:rsidRPr="00E001E6">
          <w:rPr>
            <w:rStyle w:val="Hyperlink"/>
            <w:rFonts w:cstheme="minorHAnsi"/>
          </w:rPr>
          <w:t>National Bushfire Intelligence Capability</w:t>
        </w:r>
      </w:hyperlink>
      <w:r w:rsidR="00E001E6">
        <w:rPr>
          <w:rFonts w:cstheme="minorHAnsi"/>
        </w:rPr>
        <w:t xml:space="preserve"> </w:t>
      </w:r>
      <w:r w:rsidR="00BB7F26" w:rsidRPr="0006729C">
        <w:rPr>
          <w:rFonts w:cstheme="minorHAnsi"/>
        </w:rPr>
        <w:t xml:space="preserve">and </w:t>
      </w:r>
      <w:hyperlink r:id="rId17" w:history="1">
        <w:proofErr w:type="spellStart"/>
        <w:r w:rsidR="00BB7F26" w:rsidRPr="00E001E6">
          <w:rPr>
            <w:rStyle w:val="Hyperlink"/>
            <w:rFonts w:cstheme="minorHAnsi"/>
          </w:rPr>
          <w:t>AQFx</w:t>
        </w:r>
        <w:proofErr w:type="spellEnd"/>
      </w:hyperlink>
      <w:r w:rsidR="00BB7F26" w:rsidRPr="0006729C">
        <w:rPr>
          <w:rFonts w:cstheme="minorHAnsi"/>
        </w:rPr>
        <w:t>.</w:t>
      </w:r>
    </w:p>
    <w:bookmarkEnd w:id="2"/>
    <w:bookmarkEnd w:id="3"/>
    <w:p w14:paraId="6DE6BCFB" w14:textId="77777777" w:rsidR="007F3F21" w:rsidRDefault="007F3F21">
      <w:pPr>
        <w:spacing w:after="160" w:line="259" w:lineRule="auto"/>
      </w:pPr>
      <w:r>
        <w:br w:type="page"/>
      </w:r>
    </w:p>
    <w:p w14:paraId="47ECDED2" w14:textId="77777777" w:rsidR="007F3F21" w:rsidRDefault="007F3F21" w:rsidP="007F3F21">
      <w:pPr>
        <w:pStyle w:val="Heading3"/>
        <w:pBdr>
          <w:top w:val="single" w:sz="4" w:space="1" w:color="auto"/>
          <w:left w:val="single" w:sz="4" w:space="4" w:color="auto"/>
          <w:bottom w:val="single" w:sz="4" w:space="1" w:color="auto"/>
          <w:right w:val="single" w:sz="4" w:space="4" w:color="auto"/>
        </w:pBdr>
      </w:pPr>
      <w:bookmarkStart w:id="11" w:name="_Toc219188292"/>
      <w:r>
        <w:lastRenderedPageBreak/>
        <w:t>Recommendation 3:</w:t>
      </w:r>
      <w:bookmarkEnd w:id="11"/>
    </w:p>
    <w:p w14:paraId="652CFF05" w14:textId="77777777" w:rsidR="007F3F21" w:rsidRDefault="008E526A" w:rsidP="008E526A">
      <w:pPr>
        <w:pBdr>
          <w:top w:val="single" w:sz="4" w:space="1" w:color="auto"/>
          <w:left w:val="single" w:sz="4" w:space="4" w:color="auto"/>
          <w:bottom w:val="single" w:sz="4" w:space="1" w:color="auto"/>
          <w:right w:val="single" w:sz="4" w:space="4" w:color="auto"/>
        </w:pBdr>
        <w:shd w:val="clear" w:color="auto" w:fill="E4E4E4"/>
        <w:ind w:left="567" w:hanging="567"/>
      </w:pPr>
      <w:r>
        <w:t>3.186</w:t>
      </w:r>
      <w:r w:rsidR="007F3F21">
        <w:tab/>
      </w:r>
      <w:r w:rsidRPr="008E526A">
        <w:t>The Committee recommends that the Australian Government propose that road asset infrastructure resilience planning and investment frameworks be made a standing item on the Infrastructure and Transport Senior Officials’ Committee meeting agenda.</w:t>
      </w:r>
      <w:r>
        <w:t xml:space="preserve"> </w:t>
      </w:r>
    </w:p>
    <w:p w14:paraId="0A404FC4" w14:textId="77777777" w:rsidR="007F3F21" w:rsidRDefault="007F3F21" w:rsidP="007F3F21">
      <w:r>
        <w:t xml:space="preserve">The </w:t>
      </w:r>
      <w:r w:rsidR="005E17D4">
        <w:t xml:space="preserve">Australian </w:t>
      </w:r>
      <w:r>
        <w:t xml:space="preserve">Government </w:t>
      </w:r>
      <w:r w:rsidR="003F1EB0">
        <w:rPr>
          <w:b/>
        </w:rPr>
        <w:t>agrees in principle</w:t>
      </w:r>
      <w:r w:rsidR="003F1EB0">
        <w:t xml:space="preserve"> with </w:t>
      </w:r>
      <w:r>
        <w:t>this recommendation.</w:t>
      </w:r>
    </w:p>
    <w:p w14:paraId="6040C9B9" w14:textId="748528BB" w:rsidR="004915A7" w:rsidRDefault="004915A7" w:rsidP="004915A7">
      <w:r>
        <w:t xml:space="preserve">Infrastructure sustainability and resilience, including for road assets, is one of the three core strategic themes of the </w:t>
      </w:r>
      <w:hyperlink r:id="rId18" w:history="1">
        <w:r w:rsidRPr="00E3486E">
          <w:rPr>
            <w:rStyle w:val="Hyperlink"/>
          </w:rPr>
          <w:t>Infrastructure Policy Statement</w:t>
        </w:r>
      </w:hyperlink>
      <w:r>
        <w:t xml:space="preserve"> (IPS). The IPS sets out the Australian Government’s intention to invest in projects that improve the resilience of critical road and rail corridors, including through upgrading existing assets that are vulnerable to risks</w:t>
      </w:r>
      <w:r w:rsidR="00B54509">
        <w:t>;</w:t>
      </w:r>
      <w:r>
        <w:t xml:space="preserve"> enhancing networks to achieve greater redundancy</w:t>
      </w:r>
      <w:r w:rsidR="00B54509">
        <w:t xml:space="preserve">; </w:t>
      </w:r>
      <w:r>
        <w:t>as well as building and maintaining networks to a higher standard</w:t>
      </w:r>
      <w:r w:rsidR="001A3BF7">
        <w:t>,</w:t>
      </w:r>
      <w:r>
        <w:t xml:space="preserve"> where appropriate</w:t>
      </w:r>
      <w:r w:rsidR="001A3BF7">
        <w:t>,</w:t>
      </w:r>
      <w:r>
        <w:t xml:space="preserve"> to create more resilient infrastructure following extreme weather events. </w:t>
      </w:r>
    </w:p>
    <w:p w14:paraId="3087AEE7" w14:textId="3A565B77" w:rsidR="004915A7" w:rsidRDefault="004915A7" w:rsidP="004915A7">
      <w:r>
        <w:t xml:space="preserve">The IPS and its strategic theme of resilience is embedded in the </w:t>
      </w:r>
      <w:hyperlink r:id="rId19" w:history="1">
        <w:r w:rsidR="00166666" w:rsidRPr="00D85F09">
          <w:rPr>
            <w:rStyle w:val="Hyperlink"/>
          </w:rPr>
          <w:t>Federation Funding Agreement Schedule for Land Transport Infrastructure Projects (2024-2029)</w:t>
        </w:r>
      </w:hyperlink>
      <w:r w:rsidR="003803E9">
        <w:t>(FFAS)</w:t>
      </w:r>
      <w:r>
        <w:t xml:space="preserve">, and will guide decisions by the Australian Government regarding infrastructure planning and investment. </w:t>
      </w:r>
    </w:p>
    <w:p w14:paraId="604D8E96" w14:textId="7509EF02" w:rsidR="004915A7" w:rsidRPr="00716898" w:rsidRDefault="004915A7" w:rsidP="004915A7">
      <w:r w:rsidDel="00A008BB">
        <w:t xml:space="preserve">The Australian Government is committed to working in partnership with the states and territories to address critical resilience issues across roads in Australia. </w:t>
      </w:r>
      <w:r>
        <w:t xml:space="preserve">Given the importance of the issue, road resilience will continue to be an item which is regularly discussed and progressed at both the </w:t>
      </w:r>
      <w:bookmarkStart w:id="12" w:name="_Hlk175903348"/>
      <w:r>
        <w:t xml:space="preserve">Infrastructure and Transport Senior Officials’ Committee (ITSOC) </w:t>
      </w:r>
      <w:r w:rsidRPr="00102CC0">
        <w:t xml:space="preserve">and </w:t>
      </w:r>
      <w:r w:rsidRPr="00716898">
        <w:t>the Infrastructure and Transport Ministers’ Meeting (ITMM)</w:t>
      </w:r>
      <w:bookmarkEnd w:id="12"/>
      <w:r w:rsidRPr="00716898">
        <w:t>.</w:t>
      </w:r>
    </w:p>
    <w:p w14:paraId="1A63F2F3" w14:textId="77777777" w:rsidR="00604981" w:rsidRDefault="00604981">
      <w:pPr>
        <w:spacing w:after="160" w:line="259" w:lineRule="auto"/>
      </w:pPr>
      <w:r>
        <w:br w:type="page"/>
      </w:r>
    </w:p>
    <w:p w14:paraId="076C21AF" w14:textId="77777777" w:rsidR="00604981" w:rsidRDefault="00604981" w:rsidP="00604981">
      <w:pPr>
        <w:pStyle w:val="Heading3"/>
        <w:pBdr>
          <w:top w:val="single" w:sz="4" w:space="1" w:color="auto"/>
          <w:left w:val="single" w:sz="4" w:space="4" w:color="auto"/>
          <w:bottom w:val="single" w:sz="4" w:space="1" w:color="auto"/>
          <w:right w:val="single" w:sz="4" w:space="4" w:color="auto"/>
        </w:pBdr>
      </w:pPr>
      <w:bookmarkStart w:id="13" w:name="_Toc219188293"/>
      <w:r>
        <w:lastRenderedPageBreak/>
        <w:t>Recommendation 4:</w:t>
      </w:r>
      <w:bookmarkEnd w:id="13"/>
    </w:p>
    <w:p w14:paraId="5A54DC09" w14:textId="77777777" w:rsidR="00604981" w:rsidRDefault="00444BAF">
      <w:pPr>
        <w:pBdr>
          <w:top w:val="single" w:sz="4" w:space="1" w:color="auto"/>
          <w:left w:val="single" w:sz="4" w:space="4" w:color="auto"/>
          <w:bottom w:val="single" w:sz="4" w:space="1" w:color="auto"/>
          <w:right w:val="single" w:sz="4" w:space="4" w:color="auto"/>
        </w:pBdr>
        <w:shd w:val="clear" w:color="auto" w:fill="E4E4E4"/>
        <w:ind w:left="567" w:hanging="567"/>
      </w:pPr>
      <w:r>
        <w:t>3.188</w:t>
      </w:r>
      <w:r w:rsidR="00604981">
        <w:tab/>
      </w:r>
      <w:r w:rsidRPr="00444BAF">
        <w:t>The Committee recommends that the Australian Government propose that the Infrastructure and Transport Senior Officials’ Committee, in consultation with Austroads and other relevant stakeholders, progress the development of national road infrastructure resilience guidelines to inform asset management and project investment.</w:t>
      </w:r>
    </w:p>
    <w:p w14:paraId="048A3E95" w14:textId="77777777" w:rsidR="00604981" w:rsidRDefault="00604981" w:rsidP="00604981">
      <w:r>
        <w:t>The</w:t>
      </w:r>
      <w:r w:rsidR="005E17D4">
        <w:t xml:space="preserve"> Australian</w:t>
      </w:r>
      <w:r>
        <w:t xml:space="preserve"> Government </w:t>
      </w:r>
      <w:r>
        <w:rPr>
          <w:b/>
        </w:rPr>
        <w:t>agrees in principle</w:t>
      </w:r>
      <w:r>
        <w:t xml:space="preserve"> </w:t>
      </w:r>
      <w:r w:rsidR="008B6270">
        <w:t xml:space="preserve">with </w:t>
      </w:r>
      <w:r>
        <w:t>this recommendation.</w:t>
      </w:r>
    </w:p>
    <w:p w14:paraId="468F9087" w14:textId="77777777" w:rsidR="008B6270" w:rsidRDefault="008B6270" w:rsidP="008B6270">
      <w:r>
        <w:t>T</w:t>
      </w:r>
      <w:r w:rsidRPr="000516C4">
        <w:t xml:space="preserve">he Australian Government </w:t>
      </w:r>
      <w:r>
        <w:t xml:space="preserve">recognises </w:t>
      </w:r>
      <w:r w:rsidRPr="000516C4">
        <w:t xml:space="preserve">the importance of incorporating risk management and disaster resilience in </w:t>
      </w:r>
      <w:r>
        <w:t xml:space="preserve">road </w:t>
      </w:r>
      <w:r w:rsidRPr="000516C4">
        <w:t>infrastructure project design</w:t>
      </w:r>
      <w:r>
        <w:t xml:space="preserve"> and asset management, </w:t>
      </w:r>
      <w:proofErr w:type="gramStart"/>
      <w:r>
        <w:t>in light of</w:t>
      </w:r>
      <w:proofErr w:type="gramEnd"/>
      <w:r>
        <w:t xml:space="preserve"> the </w:t>
      </w:r>
      <w:r w:rsidRPr="000516C4">
        <w:t xml:space="preserve">increasing frequency of severe weather events. Significant work is </w:t>
      </w:r>
      <w:r>
        <w:t xml:space="preserve">already underway </w:t>
      </w:r>
      <w:r w:rsidRPr="000516C4">
        <w:t xml:space="preserve">to </w:t>
      </w:r>
      <w:r>
        <w:t xml:space="preserve">develop and improve guidance and knowledge on </w:t>
      </w:r>
      <w:r w:rsidRPr="000516C4">
        <w:t>road asset</w:t>
      </w:r>
      <w:r>
        <w:t xml:space="preserve"> resilience in response to a changing climate</w:t>
      </w:r>
      <w:r w:rsidRPr="000516C4">
        <w:t xml:space="preserve">. </w:t>
      </w:r>
    </w:p>
    <w:p w14:paraId="0CA85FF1" w14:textId="0D607B41" w:rsidR="00371DAA" w:rsidRDefault="00371DAA" w:rsidP="00257915">
      <w:pPr>
        <w:spacing w:line="252" w:lineRule="auto"/>
      </w:pPr>
      <w:r>
        <w:t xml:space="preserve">The Australian Government </w:t>
      </w:r>
      <w:r w:rsidR="001A616F">
        <w:t>has</w:t>
      </w:r>
      <w:r>
        <w:t xml:space="preserve"> </w:t>
      </w:r>
      <w:r w:rsidR="001A616F">
        <w:t xml:space="preserve">undertaken </w:t>
      </w:r>
      <w:r>
        <w:t xml:space="preserve">Australia's first </w:t>
      </w:r>
      <w:r w:rsidR="00304228">
        <w:t xml:space="preserve">National </w:t>
      </w:r>
      <w:r>
        <w:t>Climate Risk Assessment. This risk assessment provide</w:t>
      </w:r>
      <w:r w:rsidR="001A616F">
        <w:t>s</w:t>
      </w:r>
      <w:r>
        <w:t xml:space="preserve"> a national picture of risks and includes analysis on infrastructure and the built environment. </w:t>
      </w:r>
    </w:p>
    <w:p w14:paraId="32754C4F" w14:textId="77777777" w:rsidR="008B6270" w:rsidRDefault="008B6270" w:rsidP="008B6270">
      <w:pPr>
        <w:spacing w:line="254" w:lineRule="auto"/>
      </w:pPr>
      <w:r>
        <w:t xml:space="preserve">Through Austroads, the Australian Government is </w:t>
      </w:r>
      <w:r w:rsidR="00371DAA">
        <w:t xml:space="preserve">also </w:t>
      </w:r>
      <w:r>
        <w:t>supporting several projects that will contribute towards more resilient asset management across all levels of government. This includes:</w:t>
      </w:r>
    </w:p>
    <w:p w14:paraId="58FD4F89" w14:textId="6B36EB90" w:rsidR="008B6270" w:rsidRPr="007F03D4" w:rsidRDefault="008B6270" w:rsidP="007F03D4">
      <w:pPr>
        <w:numPr>
          <w:ilvl w:val="0"/>
          <w:numId w:val="3"/>
        </w:numPr>
        <w:spacing w:after="0" w:line="259" w:lineRule="auto"/>
        <w:ind w:left="714" w:hanging="357"/>
        <w:rPr>
          <w:color w:val="000000"/>
        </w:rPr>
      </w:pPr>
      <w:hyperlink r:id="rId20" w:history="1">
        <w:r w:rsidRPr="00FC7640">
          <w:rPr>
            <w:rStyle w:val="Hyperlink"/>
            <w:i/>
          </w:rPr>
          <w:t>Climate Change and Natural Hazards Risk Assessment and Adaptation Planning</w:t>
        </w:r>
      </w:hyperlink>
      <w:r w:rsidRPr="007F03D4">
        <w:rPr>
          <w:color w:val="000000"/>
        </w:rPr>
        <w:t xml:space="preserve">: This project </w:t>
      </w:r>
      <w:r w:rsidR="00FC7640" w:rsidRPr="007F03D4">
        <w:rPr>
          <w:color w:val="000000"/>
        </w:rPr>
        <w:t>develop</w:t>
      </w:r>
      <w:r w:rsidR="00FC7640">
        <w:rPr>
          <w:color w:val="000000"/>
        </w:rPr>
        <w:t>ed</w:t>
      </w:r>
      <w:r w:rsidR="00FC7640" w:rsidRPr="007F03D4">
        <w:rPr>
          <w:color w:val="000000"/>
        </w:rPr>
        <w:t xml:space="preserve"> </w:t>
      </w:r>
      <w:r w:rsidRPr="007F03D4">
        <w:rPr>
          <w:color w:val="000000"/>
        </w:rPr>
        <w:t xml:space="preserve">a framework for undertaking climate change and natural hazard risk assessments and developing adaptation plans. The guidelines draw on leading practice within Austroads transport agencies and internationally. </w:t>
      </w:r>
      <w:r w:rsidR="00FC7640">
        <w:rPr>
          <w:color w:val="000000"/>
        </w:rPr>
        <w:t>The guidelines were published in November 2024</w:t>
      </w:r>
      <w:r w:rsidR="00FC7640" w:rsidRPr="007F03D4">
        <w:rPr>
          <w:color w:val="000000"/>
        </w:rPr>
        <w:t>.</w:t>
      </w:r>
    </w:p>
    <w:p w14:paraId="08E116A3" w14:textId="77777777" w:rsidR="008B6270" w:rsidRPr="007F03D4" w:rsidRDefault="008B6270" w:rsidP="007F03D4">
      <w:pPr>
        <w:numPr>
          <w:ilvl w:val="0"/>
          <w:numId w:val="3"/>
        </w:numPr>
        <w:spacing w:after="0" w:line="259" w:lineRule="auto"/>
        <w:ind w:left="714" w:hanging="357"/>
        <w:rPr>
          <w:color w:val="000000"/>
        </w:rPr>
      </w:pPr>
      <w:hyperlink r:id="rId21" w:history="1">
        <w:r w:rsidRPr="00FC7640">
          <w:rPr>
            <w:rStyle w:val="Hyperlink"/>
            <w:i/>
          </w:rPr>
          <w:t>Incorporating climate change resilience in asset management</w:t>
        </w:r>
      </w:hyperlink>
      <w:r w:rsidRPr="007F03D4">
        <w:rPr>
          <w:i/>
          <w:color w:val="000000"/>
        </w:rPr>
        <w:t xml:space="preserve">: </w:t>
      </w:r>
      <w:r w:rsidR="00FC7640" w:rsidRPr="007F03D4">
        <w:rPr>
          <w:color w:val="000000"/>
        </w:rPr>
        <w:t>Th</w:t>
      </w:r>
      <w:r w:rsidR="00FC7640">
        <w:rPr>
          <w:color w:val="000000"/>
        </w:rPr>
        <w:t>e report</w:t>
      </w:r>
      <w:r w:rsidR="00FC7640" w:rsidRPr="007F03D4">
        <w:rPr>
          <w:color w:val="000000"/>
        </w:rPr>
        <w:t xml:space="preserve"> </w:t>
      </w:r>
      <w:r w:rsidR="00FC7640" w:rsidRPr="00FC7640">
        <w:rPr>
          <w:color w:val="000000"/>
        </w:rPr>
        <w:t>provides practical guidance and user cases for asset managers within the transport sector to embed consideration of climate resilience into asset management.</w:t>
      </w:r>
      <w:r w:rsidRPr="007F03D4">
        <w:rPr>
          <w:color w:val="000000"/>
        </w:rPr>
        <w:t xml:space="preserve"> The </w:t>
      </w:r>
      <w:r w:rsidR="00FC7640">
        <w:rPr>
          <w:color w:val="000000"/>
        </w:rPr>
        <w:t>report was published in November 2024</w:t>
      </w:r>
      <w:r w:rsidRPr="007F03D4">
        <w:rPr>
          <w:color w:val="000000"/>
        </w:rPr>
        <w:t>.</w:t>
      </w:r>
    </w:p>
    <w:p w14:paraId="3E2E12DA" w14:textId="50FE6B38" w:rsidR="008B6270" w:rsidRPr="007F03D4" w:rsidRDefault="008B6270" w:rsidP="007F03D4">
      <w:pPr>
        <w:numPr>
          <w:ilvl w:val="0"/>
          <w:numId w:val="3"/>
        </w:numPr>
        <w:spacing w:after="0" w:line="259" w:lineRule="auto"/>
        <w:ind w:left="714" w:hanging="357"/>
        <w:rPr>
          <w:color w:val="000000"/>
        </w:rPr>
      </w:pPr>
      <w:hyperlink r:id="rId22" w:history="1">
        <w:r w:rsidRPr="00BF7A03">
          <w:rPr>
            <w:rStyle w:val="Hyperlink"/>
            <w:i/>
          </w:rPr>
          <w:t>Identify, Prioritise and Deploy Adaptation Actions</w:t>
        </w:r>
      </w:hyperlink>
      <w:r w:rsidRPr="007F03D4">
        <w:rPr>
          <w:i/>
          <w:color w:val="000000"/>
        </w:rPr>
        <w:t xml:space="preserve">: </w:t>
      </w:r>
      <w:r w:rsidRPr="007F03D4">
        <w:rPr>
          <w:color w:val="000000"/>
        </w:rPr>
        <w:t>This project will provide a detailed database of prove</w:t>
      </w:r>
      <w:r w:rsidR="00DE4D78">
        <w:rPr>
          <w:color w:val="000000"/>
        </w:rPr>
        <w:t>n</w:t>
      </w:r>
      <w:r w:rsidRPr="007F03D4">
        <w:rPr>
          <w:color w:val="000000"/>
        </w:rPr>
        <w:t xml:space="preserve"> and potential prioritised adaptation actions, activities, and controls for the transport sector. The database will support prioritisation and rapid deployment of best value adaptation actions across transport projects and operations. The project commence</w:t>
      </w:r>
      <w:r w:rsidR="00BF7A03">
        <w:rPr>
          <w:color w:val="000000"/>
        </w:rPr>
        <w:t>d</w:t>
      </w:r>
      <w:r w:rsidRPr="007F03D4">
        <w:rPr>
          <w:color w:val="000000"/>
        </w:rPr>
        <w:t xml:space="preserve"> in </w:t>
      </w:r>
      <w:r w:rsidR="00BF7A03">
        <w:rPr>
          <w:color w:val="000000"/>
        </w:rPr>
        <w:t>October 2024</w:t>
      </w:r>
      <w:r w:rsidRPr="007F03D4">
        <w:rPr>
          <w:color w:val="000000"/>
        </w:rPr>
        <w:t>.</w:t>
      </w:r>
    </w:p>
    <w:p w14:paraId="08961269" w14:textId="3B2315EE" w:rsidR="008B6270" w:rsidRPr="007F03D4" w:rsidRDefault="008B6270" w:rsidP="007F03D4">
      <w:pPr>
        <w:numPr>
          <w:ilvl w:val="0"/>
          <w:numId w:val="3"/>
        </w:numPr>
        <w:spacing w:after="0" w:line="259" w:lineRule="auto"/>
        <w:ind w:left="714" w:hanging="357"/>
        <w:rPr>
          <w:color w:val="000000"/>
        </w:rPr>
      </w:pPr>
      <w:hyperlink r:id="rId23" w:history="1">
        <w:r w:rsidRPr="00E47DC8">
          <w:rPr>
            <w:rStyle w:val="Hyperlink"/>
            <w:i/>
          </w:rPr>
          <w:t>Develop Climate Resilience and Adaptation Metrics for Transport Assets and Services</w:t>
        </w:r>
      </w:hyperlink>
      <w:r w:rsidRPr="007F03D4">
        <w:rPr>
          <w:i/>
          <w:color w:val="000000"/>
        </w:rPr>
        <w:t xml:space="preserve">: </w:t>
      </w:r>
      <w:r w:rsidRPr="007F03D4">
        <w:rPr>
          <w:color w:val="000000"/>
        </w:rPr>
        <w:t>This project will develop climate resilience and adaptation measurement metrics that can be used to monitor the performance of transport assets and services to climate-related hazards. The project commence</w:t>
      </w:r>
      <w:r w:rsidR="00E47DC8">
        <w:rPr>
          <w:color w:val="000000"/>
        </w:rPr>
        <w:t>d in February 2025.</w:t>
      </w:r>
    </w:p>
    <w:p w14:paraId="004CF820" w14:textId="2878D6FA" w:rsidR="008B6270" w:rsidRPr="007F03D4" w:rsidRDefault="008B6270" w:rsidP="007F03D4">
      <w:pPr>
        <w:numPr>
          <w:ilvl w:val="0"/>
          <w:numId w:val="3"/>
        </w:numPr>
        <w:spacing w:after="0" w:line="259" w:lineRule="auto"/>
        <w:ind w:left="714" w:hanging="357"/>
        <w:rPr>
          <w:color w:val="000000"/>
        </w:rPr>
      </w:pPr>
      <w:hyperlink r:id="rId24" w:history="1">
        <w:r w:rsidRPr="00E47DC8">
          <w:rPr>
            <w:rStyle w:val="Hyperlink"/>
            <w:i/>
          </w:rPr>
          <w:t>Research Climate Resilience Needs and Guidance Approaches</w:t>
        </w:r>
      </w:hyperlink>
      <w:r w:rsidRPr="007F03D4">
        <w:rPr>
          <w:i/>
          <w:color w:val="000000"/>
        </w:rPr>
        <w:t xml:space="preserve">: </w:t>
      </w:r>
      <w:r w:rsidRPr="007F03D4">
        <w:rPr>
          <w:color w:val="000000"/>
        </w:rPr>
        <w:t>This project will examine the need for and nature of guidance for climate change resilience of transport assets, network management and operations, and plan for its development and approach to delivery. The project commence</w:t>
      </w:r>
      <w:r w:rsidR="00E47DC8">
        <w:rPr>
          <w:color w:val="000000"/>
        </w:rPr>
        <w:t>d</w:t>
      </w:r>
      <w:r w:rsidRPr="007F03D4">
        <w:rPr>
          <w:color w:val="000000"/>
        </w:rPr>
        <w:t xml:space="preserve"> in </w:t>
      </w:r>
      <w:r w:rsidR="00E47DC8">
        <w:rPr>
          <w:color w:val="000000"/>
        </w:rPr>
        <w:t>November 2024.</w:t>
      </w:r>
    </w:p>
    <w:p w14:paraId="23D79D06" w14:textId="77777777" w:rsidR="008B6270" w:rsidRDefault="008B6270" w:rsidP="007F03D4">
      <w:pPr>
        <w:spacing w:before="120"/>
      </w:pPr>
      <w:r>
        <w:t xml:space="preserve">Separately, Infrastructure Australia provides resources for improving infrastructure resilience throughout the planning, delivery and operation of assets. Two advisory papers, released as part of the </w:t>
      </w:r>
      <w:r w:rsidRPr="00116F9C">
        <w:rPr>
          <w:i/>
        </w:rPr>
        <w:t>A Pathway to Infrastructure Resilience</w:t>
      </w:r>
      <w:r w:rsidRPr="004E2B32">
        <w:t xml:space="preserve"> </w:t>
      </w:r>
      <w:r>
        <w:t xml:space="preserve">program, set out </w:t>
      </w:r>
      <w:r w:rsidRPr="004E2B32">
        <w:t>a whole-of-system, all-hazards approach to resilience planning</w:t>
      </w:r>
      <w:r>
        <w:t>:</w:t>
      </w:r>
    </w:p>
    <w:p w14:paraId="21AFA7E7" w14:textId="77777777" w:rsidR="008B6270" w:rsidRPr="007F03D4" w:rsidRDefault="00284E5C" w:rsidP="007F03D4">
      <w:pPr>
        <w:numPr>
          <w:ilvl w:val="0"/>
          <w:numId w:val="3"/>
        </w:numPr>
        <w:spacing w:after="0" w:line="259" w:lineRule="auto"/>
        <w:ind w:left="714" w:hanging="357"/>
        <w:rPr>
          <w:color w:val="000000"/>
        </w:rPr>
      </w:pPr>
      <w:hyperlink r:id="rId25" w:history="1">
        <w:r w:rsidRPr="00F73F7B">
          <w:rPr>
            <w:rStyle w:val="Hyperlink"/>
          </w:rPr>
          <w:t>Advisory Paper 1: Opportunities for Systematic Change</w:t>
        </w:r>
      </w:hyperlink>
      <w:r w:rsidR="008B6270" w:rsidRPr="007F03D4">
        <w:rPr>
          <w:color w:val="000000"/>
        </w:rPr>
        <w:t xml:space="preserve"> </w:t>
      </w:r>
      <w:r w:rsidR="00F73F7B">
        <w:rPr>
          <w:color w:val="000000"/>
        </w:rPr>
        <w:t xml:space="preserve">identifies </w:t>
      </w:r>
      <w:r w:rsidR="008B6270" w:rsidRPr="007F03D4">
        <w:rPr>
          <w:color w:val="000000"/>
        </w:rPr>
        <w:t xml:space="preserve">long-term directions for transformational and systemic change in infrastructure planning to achieve infrastructure for resilience. </w:t>
      </w:r>
    </w:p>
    <w:p w14:paraId="6AC91E09" w14:textId="77777777" w:rsidR="00604981" w:rsidRDefault="008B6270" w:rsidP="007F03D4">
      <w:pPr>
        <w:numPr>
          <w:ilvl w:val="0"/>
          <w:numId w:val="3"/>
        </w:numPr>
        <w:spacing w:after="0" w:line="259" w:lineRule="auto"/>
        <w:ind w:left="714" w:hanging="357"/>
      </w:pPr>
      <w:hyperlink r:id="rId26" w:history="1">
        <w:r w:rsidRPr="00284E5C">
          <w:rPr>
            <w:rStyle w:val="Hyperlink"/>
          </w:rPr>
          <w:t>Advisory Paper 2</w:t>
        </w:r>
        <w:r w:rsidR="00284E5C" w:rsidRPr="00284E5C">
          <w:rPr>
            <w:rStyle w:val="Hyperlink"/>
          </w:rPr>
          <w:t>: Guidance for asset owners and operators in the short term</w:t>
        </w:r>
      </w:hyperlink>
      <w:r w:rsidR="00F73F7B">
        <w:rPr>
          <w:color w:val="000000"/>
        </w:rPr>
        <w:t xml:space="preserve"> o</w:t>
      </w:r>
      <w:r w:rsidRPr="007F03D4">
        <w:rPr>
          <w:color w:val="000000"/>
        </w:rPr>
        <w:t>utlines a series of short-term actions for asset owners and operators as the first steps towards this change.</w:t>
      </w:r>
      <w:r w:rsidR="00604981">
        <w:br w:type="page"/>
      </w:r>
    </w:p>
    <w:p w14:paraId="4092264C" w14:textId="77777777" w:rsidR="00604981" w:rsidRDefault="00604981" w:rsidP="00604981">
      <w:pPr>
        <w:pStyle w:val="Heading3"/>
        <w:pBdr>
          <w:top w:val="single" w:sz="4" w:space="1" w:color="auto"/>
          <w:left w:val="single" w:sz="4" w:space="4" w:color="auto"/>
          <w:bottom w:val="single" w:sz="4" w:space="1" w:color="auto"/>
          <w:right w:val="single" w:sz="4" w:space="4" w:color="auto"/>
        </w:pBdr>
      </w:pPr>
      <w:bookmarkStart w:id="14" w:name="_Toc219188294"/>
      <w:r>
        <w:lastRenderedPageBreak/>
        <w:t>Recommendation 5:</w:t>
      </w:r>
      <w:bookmarkEnd w:id="14"/>
    </w:p>
    <w:p w14:paraId="41D40228" w14:textId="77777777" w:rsidR="00604981" w:rsidRDefault="00444BAF">
      <w:pPr>
        <w:pBdr>
          <w:top w:val="single" w:sz="4" w:space="1" w:color="auto"/>
          <w:left w:val="single" w:sz="4" w:space="4" w:color="auto"/>
          <w:bottom w:val="single" w:sz="4" w:space="1" w:color="auto"/>
          <w:right w:val="single" w:sz="4" w:space="4" w:color="auto"/>
        </w:pBdr>
        <w:shd w:val="clear" w:color="auto" w:fill="E4E4E4"/>
        <w:ind w:left="567" w:hanging="567"/>
      </w:pPr>
      <w:r>
        <w:t>3.190</w:t>
      </w:r>
      <w:r w:rsidR="00604981">
        <w:tab/>
      </w:r>
      <w:r w:rsidRPr="00444BAF">
        <w:t xml:space="preserve">The Committee recommends that the Australian Government establish a review into the distribution formula of the Financial </w:t>
      </w:r>
      <w:proofErr w:type="gramStart"/>
      <w:r w:rsidRPr="00444BAF">
        <w:t>Assistance Grants road</w:t>
      </w:r>
      <w:proofErr w:type="gramEnd"/>
      <w:r w:rsidRPr="00444BAF">
        <w:t xml:space="preserve"> component.</w:t>
      </w:r>
    </w:p>
    <w:p w14:paraId="7D639C7B" w14:textId="77777777" w:rsidR="00604981" w:rsidRDefault="00604981" w:rsidP="00604981">
      <w:r>
        <w:t xml:space="preserve">The </w:t>
      </w:r>
      <w:r w:rsidR="005E17D4">
        <w:t xml:space="preserve">Australian </w:t>
      </w:r>
      <w:r>
        <w:t xml:space="preserve">Government </w:t>
      </w:r>
      <w:r>
        <w:rPr>
          <w:b/>
        </w:rPr>
        <w:t>supports</w:t>
      </w:r>
      <w:r>
        <w:t xml:space="preserve"> this recommendation.</w:t>
      </w:r>
    </w:p>
    <w:p w14:paraId="717726B9" w14:textId="77777777" w:rsidR="00023A50" w:rsidRPr="003F6EE0" w:rsidRDefault="00023A50" w:rsidP="00023A50">
      <w:pPr>
        <w:rPr>
          <w:rFonts w:cstheme="minorHAnsi"/>
        </w:rPr>
      </w:pPr>
      <w:r w:rsidRPr="003F6EE0">
        <w:rPr>
          <w:rFonts w:cstheme="minorHAnsi"/>
        </w:rPr>
        <w:t xml:space="preserve">On 21 March 2024, the House of Representatives Standing Committee on Regional Development, Infrastructure and Transport accepted the </w:t>
      </w:r>
      <w:r>
        <w:rPr>
          <w:rFonts w:cstheme="minorHAnsi"/>
        </w:rPr>
        <w:t xml:space="preserve">Australian </w:t>
      </w:r>
      <w:r w:rsidRPr="003F6EE0">
        <w:rPr>
          <w:rFonts w:cstheme="minorHAnsi"/>
        </w:rPr>
        <w:t xml:space="preserve">Government’s referral for an inquiry into the </w:t>
      </w:r>
      <w:r>
        <w:rPr>
          <w:rFonts w:cstheme="minorHAnsi"/>
        </w:rPr>
        <w:t>l</w:t>
      </w:r>
      <w:r w:rsidRPr="003F6EE0">
        <w:rPr>
          <w:rFonts w:cstheme="minorHAnsi"/>
        </w:rPr>
        <w:t xml:space="preserve">ocal </w:t>
      </w:r>
      <w:r>
        <w:rPr>
          <w:rFonts w:cstheme="minorHAnsi"/>
        </w:rPr>
        <w:t>g</w:t>
      </w:r>
      <w:r w:rsidRPr="003F6EE0">
        <w:rPr>
          <w:rFonts w:cstheme="minorHAnsi"/>
        </w:rPr>
        <w:t xml:space="preserve">overnment sector’s sustainability. Among other issues, the Inquiry will consider the financial sustainability and funding of </w:t>
      </w:r>
      <w:r>
        <w:rPr>
          <w:rFonts w:cstheme="minorHAnsi"/>
        </w:rPr>
        <w:t>l</w:t>
      </w:r>
      <w:r w:rsidRPr="003F6EE0">
        <w:rPr>
          <w:rFonts w:cstheme="minorHAnsi"/>
        </w:rPr>
        <w:t xml:space="preserve">ocal </w:t>
      </w:r>
      <w:r>
        <w:rPr>
          <w:rFonts w:cstheme="minorHAnsi"/>
        </w:rPr>
        <w:t>g</w:t>
      </w:r>
      <w:r w:rsidRPr="003F6EE0">
        <w:rPr>
          <w:rFonts w:cstheme="minorHAnsi"/>
        </w:rPr>
        <w:t xml:space="preserve">overnment and the role of the Australian Government in addressing these issues. </w:t>
      </w:r>
    </w:p>
    <w:p w14:paraId="031573C8" w14:textId="77777777" w:rsidR="00023A50" w:rsidRPr="003F6EE0" w:rsidRDefault="00023A50" w:rsidP="00023A50">
      <w:pPr>
        <w:rPr>
          <w:rFonts w:cstheme="minorHAnsi"/>
        </w:rPr>
      </w:pPr>
      <w:r w:rsidRPr="003F6EE0">
        <w:rPr>
          <w:rFonts w:cstheme="minorHAnsi"/>
        </w:rPr>
        <w:t xml:space="preserve">The </w:t>
      </w:r>
      <w:r>
        <w:rPr>
          <w:rFonts w:cstheme="minorHAnsi"/>
        </w:rPr>
        <w:t xml:space="preserve">Australian </w:t>
      </w:r>
      <w:r w:rsidRPr="003F6EE0">
        <w:rPr>
          <w:rFonts w:cstheme="minorHAnsi"/>
        </w:rPr>
        <w:t xml:space="preserve">Government welcomes the Inquiry as it will provide an opportunity for all perspectives on the issues affecting local government to be </w:t>
      </w:r>
      <w:proofErr w:type="gramStart"/>
      <w:r w:rsidRPr="003F6EE0">
        <w:rPr>
          <w:rFonts w:cstheme="minorHAnsi"/>
        </w:rPr>
        <w:t>heard, and</w:t>
      </w:r>
      <w:proofErr w:type="gramEnd"/>
      <w:r w:rsidRPr="003F6EE0">
        <w:rPr>
          <w:rFonts w:cstheme="minorHAnsi"/>
        </w:rPr>
        <w:t xml:space="preserve"> help inform how the </w:t>
      </w:r>
      <w:r>
        <w:rPr>
          <w:rFonts w:cstheme="minorHAnsi"/>
        </w:rPr>
        <w:t xml:space="preserve">Australian </w:t>
      </w:r>
      <w:r w:rsidRPr="003F6EE0">
        <w:rPr>
          <w:rFonts w:cstheme="minorHAnsi"/>
        </w:rPr>
        <w:t xml:space="preserve">Government can strengthen councils’ capacity to deliver better outcomes in our communities. </w:t>
      </w:r>
    </w:p>
    <w:p w14:paraId="69077AC6" w14:textId="77777777" w:rsidR="008E526A" w:rsidRDefault="008E526A"/>
    <w:p w14:paraId="5EFDE3D5" w14:textId="77777777" w:rsidR="00604981" w:rsidRDefault="00604981">
      <w:pPr>
        <w:spacing w:after="160" w:line="259" w:lineRule="auto"/>
      </w:pPr>
      <w:r>
        <w:br w:type="page"/>
      </w:r>
    </w:p>
    <w:p w14:paraId="4D1A546B" w14:textId="77777777" w:rsidR="00604981" w:rsidRDefault="00604981" w:rsidP="00604981">
      <w:pPr>
        <w:pStyle w:val="Heading3"/>
        <w:pBdr>
          <w:top w:val="single" w:sz="4" w:space="1" w:color="auto"/>
          <w:left w:val="single" w:sz="4" w:space="4" w:color="auto"/>
          <w:bottom w:val="single" w:sz="4" w:space="1" w:color="auto"/>
          <w:right w:val="single" w:sz="4" w:space="4" w:color="auto"/>
        </w:pBdr>
      </w:pPr>
      <w:bookmarkStart w:id="15" w:name="_Toc219188295"/>
      <w:bookmarkStart w:id="16" w:name="_Hlk178757843"/>
      <w:r>
        <w:lastRenderedPageBreak/>
        <w:t>Recommendation 6:</w:t>
      </w:r>
      <w:bookmarkEnd w:id="15"/>
    </w:p>
    <w:p w14:paraId="0625783F" w14:textId="77777777" w:rsidR="00604981" w:rsidRDefault="00444BAF">
      <w:pPr>
        <w:pBdr>
          <w:top w:val="single" w:sz="4" w:space="1" w:color="auto"/>
          <w:left w:val="single" w:sz="4" w:space="4" w:color="auto"/>
          <w:bottom w:val="single" w:sz="4" w:space="1" w:color="auto"/>
          <w:right w:val="single" w:sz="4" w:space="4" w:color="auto"/>
        </w:pBdr>
        <w:shd w:val="clear" w:color="auto" w:fill="E4E4E4"/>
        <w:ind w:left="567" w:hanging="567"/>
      </w:pPr>
      <w:r>
        <w:t>3.192</w:t>
      </w:r>
      <w:r w:rsidR="00604981">
        <w:tab/>
      </w:r>
      <w:r w:rsidRPr="00444BAF">
        <w:t>The Committee recommends that the Australian Government review funding allocation to support road asset maintenance works under its Infrastructure Investment Program and consider other measures to incentivise increased investment in maintenance works.</w:t>
      </w:r>
    </w:p>
    <w:p w14:paraId="6682C786" w14:textId="77777777" w:rsidR="00604981" w:rsidRDefault="00604981" w:rsidP="00604981">
      <w:r>
        <w:t xml:space="preserve">The </w:t>
      </w:r>
      <w:r w:rsidR="005E17D4">
        <w:t xml:space="preserve">Australian </w:t>
      </w:r>
      <w:r>
        <w:t xml:space="preserve">Government </w:t>
      </w:r>
      <w:r>
        <w:rPr>
          <w:b/>
        </w:rPr>
        <w:t>agrees in principle</w:t>
      </w:r>
      <w:r>
        <w:t xml:space="preserve"> </w:t>
      </w:r>
      <w:r w:rsidR="00023A50">
        <w:t xml:space="preserve">with </w:t>
      </w:r>
      <w:r>
        <w:t>this recommendation.</w:t>
      </w:r>
    </w:p>
    <w:p w14:paraId="422D5A30" w14:textId="77777777" w:rsidR="00023A50" w:rsidRDefault="00023A50" w:rsidP="00023A50">
      <w:pPr>
        <w:tabs>
          <w:tab w:val="left" w:pos="504"/>
        </w:tabs>
        <w:spacing w:line="293" w:lineRule="exact"/>
        <w:ind w:right="289"/>
        <w:textAlignment w:val="baseline"/>
      </w:pPr>
      <w:r>
        <w:t>The Australian Government is</w:t>
      </w:r>
      <w:r w:rsidRPr="006A7F6F">
        <w:t xml:space="preserve"> committed to exploring measures to </w:t>
      </w:r>
      <w:r w:rsidRPr="00C71DEF">
        <w:t>address these challenges and en</w:t>
      </w:r>
      <w:r w:rsidRPr="006A7F6F">
        <w:t>sure effective asset management across all regions.</w:t>
      </w:r>
    </w:p>
    <w:p w14:paraId="60E9BC9A" w14:textId="3ACD0475" w:rsidR="00023A50" w:rsidRDefault="00261200" w:rsidP="00023A50">
      <w:r>
        <w:t>As part of the FFAS, t</w:t>
      </w:r>
      <w:r w:rsidR="00023A50" w:rsidRPr="0075258C">
        <w:t xml:space="preserve">he Australian Government </w:t>
      </w:r>
      <w:r w:rsidR="009E74DA">
        <w:t xml:space="preserve">increased </w:t>
      </w:r>
      <w:r w:rsidR="00CE398D">
        <w:t xml:space="preserve">its </w:t>
      </w:r>
      <w:r w:rsidR="00CE398D" w:rsidRPr="0075258C">
        <w:t>funding to the states and territories for asset maintenance works on the National Land Transport Network</w:t>
      </w:r>
      <w:r w:rsidR="00CE2321">
        <w:t xml:space="preserve"> (NLTN)</w:t>
      </w:r>
      <w:r w:rsidR="00CE398D">
        <w:t xml:space="preserve"> </w:t>
      </w:r>
      <w:r>
        <w:t>from $350</w:t>
      </w:r>
      <w:r w:rsidR="00CC7CA0">
        <w:t> </w:t>
      </w:r>
      <w:r>
        <w:t>million in 2023-24 to</w:t>
      </w:r>
      <w:r w:rsidR="00CE398D">
        <w:t xml:space="preserve"> </w:t>
      </w:r>
      <w:r w:rsidR="00023A50" w:rsidRPr="0075258C">
        <w:t>$</w:t>
      </w:r>
      <w:r w:rsidR="00023A50">
        <w:t>460</w:t>
      </w:r>
      <w:r w:rsidR="00023A50" w:rsidRPr="0075258C">
        <w:t xml:space="preserve"> million </w:t>
      </w:r>
      <w:r>
        <w:t>in 2024-25</w:t>
      </w:r>
      <w:r w:rsidR="00CE398D">
        <w:t xml:space="preserve"> (indexed at 2.5 per cent per annum). </w:t>
      </w:r>
      <w:r w:rsidR="00023A50" w:rsidRPr="0075258C">
        <w:t xml:space="preserve">This reflects the importance </w:t>
      </w:r>
      <w:r w:rsidR="00023A50">
        <w:t>the Australian Government</w:t>
      </w:r>
      <w:r w:rsidR="00023A50" w:rsidRPr="0075258C">
        <w:t xml:space="preserve"> place</w:t>
      </w:r>
      <w:r w:rsidR="00023A50">
        <w:t>s</w:t>
      </w:r>
      <w:r w:rsidR="00023A50" w:rsidRPr="0075258C">
        <w:t xml:space="preserve"> on maintaining critical road and rail infrastructure. This funding is </w:t>
      </w:r>
      <w:r w:rsidR="006749B5">
        <w:t>in addition to</w:t>
      </w:r>
      <w:r w:rsidR="00023A50" w:rsidRPr="0075258C">
        <w:t xml:space="preserve"> other investments</w:t>
      </w:r>
      <w:r w:rsidR="00FE4712">
        <w:t xml:space="preserve"> through the I</w:t>
      </w:r>
      <w:r w:rsidR="00166666">
        <w:t xml:space="preserve">nfrastructure </w:t>
      </w:r>
      <w:r w:rsidR="00FE4712">
        <w:t>I</w:t>
      </w:r>
      <w:r w:rsidR="00166666">
        <w:t xml:space="preserve">nvestment </w:t>
      </w:r>
      <w:r w:rsidR="00FE4712">
        <w:t>P</w:t>
      </w:r>
      <w:r w:rsidR="00166666">
        <w:t>rogram (IIP)</w:t>
      </w:r>
      <w:r w:rsidR="00FE4712">
        <w:t xml:space="preserve">, including </w:t>
      </w:r>
      <w:r w:rsidR="00023A50" w:rsidRPr="0075258C">
        <w:t xml:space="preserve">subprograms. </w:t>
      </w:r>
    </w:p>
    <w:p w14:paraId="01F53FA2" w14:textId="60AAB10E" w:rsidR="00FE4712" w:rsidRDefault="00023A50" w:rsidP="00023A50">
      <w:r>
        <w:t xml:space="preserve">In November 2023, the Australian Government announced improvements to </w:t>
      </w:r>
      <w:proofErr w:type="gramStart"/>
      <w:r>
        <w:t>a number of</w:t>
      </w:r>
      <w:proofErr w:type="gramEnd"/>
      <w:r>
        <w:t xml:space="preserve"> subprograms of the IIP that enhance the safety, resilience and connectivity of our road network. </w:t>
      </w:r>
      <w:r w:rsidR="00656ACF">
        <w:t>R</w:t>
      </w:r>
      <w:r>
        <w:t xml:space="preserve">egional Australia will directly benefit </w:t>
      </w:r>
      <w:r w:rsidR="00656ACF">
        <w:t xml:space="preserve">from </w:t>
      </w:r>
      <w:r>
        <w:t xml:space="preserve">the Australian Government </w:t>
      </w:r>
      <w:r w:rsidR="00656ACF">
        <w:t>increasing</w:t>
      </w:r>
      <w:r>
        <w:t xml:space="preserve"> its </w:t>
      </w:r>
      <w:r w:rsidR="00656ACF">
        <w:t xml:space="preserve">annual </w:t>
      </w:r>
      <w:r>
        <w:t>commitment towards the Roads to Recovery Program</w:t>
      </w:r>
      <w:r w:rsidR="00656ACF">
        <w:t>, which is</w:t>
      </w:r>
      <w:r>
        <w:t xml:space="preserve"> progressively increasing </w:t>
      </w:r>
      <w:r w:rsidRPr="00515349">
        <w:t>from $500.0 million</w:t>
      </w:r>
      <w:r w:rsidR="00656ACF">
        <w:t xml:space="preserve"> to</w:t>
      </w:r>
      <w:r w:rsidR="008A7541">
        <w:t xml:space="preserve"> reach</w:t>
      </w:r>
      <w:r>
        <w:t xml:space="preserve"> $1.0 billion per year</w:t>
      </w:r>
      <w:r w:rsidR="00FC16D6">
        <w:t xml:space="preserve"> </w:t>
      </w:r>
      <w:r w:rsidR="00656ACF">
        <w:t xml:space="preserve">from </w:t>
      </w:r>
      <w:r w:rsidR="00FC16D6">
        <w:t>2027-28</w:t>
      </w:r>
      <w:r>
        <w:t xml:space="preserve">. This funding benefits local governments and unincorporated areas responsible for local road infrastructure works. </w:t>
      </w:r>
    </w:p>
    <w:p w14:paraId="3896DB9B" w14:textId="27A8D54E" w:rsidR="00023A50" w:rsidRDefault="00023A50" w:rsidP="00023A50">
      <w:r>
        <w:t>The Road Safety Program will also continue to roll out lifesaving road treatments through to June 2026, many of which are in regional and remote areas.</w:t>
      </w:r>
    </w:p>
    <w:p w14:paraId="0E73942B" w14:textId="77777777" w:rsidR="00604981" w:rsidRDefault="00604981">
      <w:pPr>
        <w:spacing w:after="160" w:line="259" w:lineRule="auto"/>
      </w:pPr>
      <w:r>
        <w:br w:type="page"/>
      </w:r>
    </w:p>
    <w:p w14:paraId="0307EB59" w14:textId="2FB932A9" w:rsidR="00604981" w:rsidRDefault="00604981" w:rsidP="00604981">
      <w:pPr>
        <w:pStyle w:val="Heading3"/>
        <w:pBdr>
          <w:top w:val="single" w:sz="4" w:space="1" w:color="auto"/>
          <w:left w:val="single" w:sz="4" w:space="4" w:color="auto"/>
          <w:bottom w:val="single" w:sz="4" w:space="1" w:color="auto"/>
          <w:right w:val="single" w:sz="4" w:space="4" w:color="auto"/>
        </w:pBdr>
      </w:pPr>
      <w:bookmarkStart w:id="17" w:name="_Toc219188296"/>
      <w:bookmarkEnd w:id="16"/>
      <w:r>
        <w:lastRenderedPageBreak/>
        <w:t>Recommendation 7:</w:t>
      </w:r>
      <w:bookmarkEnd w:id="17"/>
    </w:p>
    <w:p w14:paraId="61DC71DF" w14:textId="77777777" w:rsidR="00604981" w:rsidRDefault="00444BAF">
      <w:pPr>
        <w:pBdr>
          <w:top w:val="single" w:sz="4" w:space="1" w:color="auto"/>
          <w:left w:val="single" w:sz="4" w:space="4" w:color="auto"/>
          <w:bottom w:val="single" w:sz="4" w:space="1" w:color="auto"/>
          <w:right w:val="single" w:sz="4" w:space="4" w:color="auto"/>
        </w:pBdr>
        <w:shd w:val="clear" w:color="auto" w:fill="E4E4E4"/>
        <w:ind w:left="567" w:hanging="567"/>
      </w:pPr>
      <w:r>
        <w:t>3.194</w:t>
      </w:r>
      <w:r w:rsidR="00604981">
        <w:tab/>
      </w:r>
      <w:r w:rsidRPr="00444BAF">
        <w:t>The Committee recommends that the Australian Government, as part of the development of a Federation Funding Agreements Schedule on transport infrastructure, assess options to improve the alignment and coordination of funding programs and application and approval processes with state and territory partner-funded bodies.</w:t>
      </w:r>
    </w:p>
    <w:p w14:paraId="61096F39" w14:textId="77777777" w:rsidR="00604981" w:rsidRDefault="00604981" w:rsidP="00604981">
      <w:r>
        <w:t xml:space="preserve">The </w:t>
      </w:r>
      <w:r w:rsidR="005E17D4">
        <w:t xml:space="preserve">Australian </w:t>
      </w:r>
      <w:r>
        <w:t xml:space="preserve">Government </w:t>
      </w:r>
      <w:r w:rsidR="009F629F">
        <w:rPr>
          <w:b/>
        </w:rPr>
        <w:t>notes</w:t>
      </w:r>
      <w:r w:rsidR="00023A50">
        <w:t xml:space="preserve"> </w:t>
      </w:r>
      <w:r>
        <w:t>this recommendation.</w:t>
      </w:r>
    </w:p>
    <w:p w14:paraId="41FCCE2D" w14:textId="07D1668B" w:rsidR="00F645F3" w:rsidRDefault="00023A50" w:rsidP="00023A50">
      <w:pPr>
        <w:tabs>
          <w:tab w:val="left" w:pos="504"/>
        </w:tabs>
        <w:spacing w:line="293" w:lineRule="exact"/>
        <w:ind w:right="289"/>
        <w:textAlignment w:val="baseline"/>
        <w:rPr>
          <w:rFonts w:ascii="Calibri" w:eastAsia="Calibri" w:hAnsi="Calibri"/>
        </w:rPr>
      </w:pPr>
      <w:r w:rsidRPr="00023A50">
        <w:rPr>
          <w:rFonts w:ascii="Calibri" w:eastAsia="Calibri" w:hAnsi="Calibri"/>
        </w:rPr>
        <w:t xml:space="preserve">The </w:t>
      </w:r>
      <w:r w:rsidR="00F645F3">
        <w:rPr>
          <w:rFonts w:ascii="Calibri" w:eastAsia="Calibri" w:hAnsi="Calibri"/>
        </w:rPr>
        <w:t>IPS acknowledges that state, territory and local governments are primarily responsible for land transport networks, and drive the planning, identification and delivery of infrastructure projects.</w:t>
      </w:r>
    </w:p>
    <w:p w14:paraId="1A7E607A" w14:textId="77777777" w:rsidR="00023A50" w:rsidRPr="00023A50" w:rsidRDefault="00F645F3" w:rsidP="00023A50">
      <w:pPr>
        <w:tabs>
          <w:tab w:val="left" w:pos="504"/>
        </w:tabs>
        <w:spacing w:line="293" w:lineRule="exact"/>
        <w:ind w:right="289"/>
        <w:textAlignment w:val="baseline"/>
        <w:rPr>
          <w:rFonts w:ascii="Calibri" w:eastAsia="Calibri" w:hAnsi="Calibri"/>
        </w:rPr>
      </w:pPr>
      <w:r>
        <w:rPr>
          <w:rFonts w:ascii="Calibri" w:eastAsia="Calibri" w:hAnsi="Calibri"/>
        </w:rPr>
        <w:t xml:space="preserve">The </w:t>
      </w:r>
      <w:r w:rsidR="00FE4712">
        <w:t>FFAS</w:t>
      </w:r>
      <w:r w:rsidR="00023A50" w:rsidRPr="00023A50">
        <w:rPr>
          <w:rFonts w:ascii="Calibri" w:eastAsia="Calibri" w:hAnsi="Calibri"/>
        </w:rPr>
        <w:t xml:space="preserve"> incorporates reforms to funding </w:t>
      </w:r>
      <w:r w:rsidR="009F629F">
        <w:rPr>
          <w:rFonts w:ascii="Calibri" w:eastAsia="Calibri" w:hAnsi="Calibri"/>
        </w:rPr>
        <w:t>proposal</w:t>
      </w:r>
      <w:r w:rsidR="00023A50" w:rsidRPr="00023A50">
        <w:rPr>
          <w:rFonts w:ascii="Calibri" w:eastAsia="Calibri" w:hAnsi="Calibri"/>
        </w:rPr>
        <w:t xml:space="preserve"> and approval processes, </w:t>
      </w:r>
      <w:r w:rsidR="00015C2E">
        <w:rPr>
          <w:rFonts w:ascii="Calibri" w:eastAsia="Calibri" w:hAnsi="Calibri"/>
        </w:rPr>
        <w:t>including the principle that</w:t>
      </w:r>
      <w:r w:rsidR="00023A50" w:rsidRPr="00023A50">
        <w:rPr>
          <w:rFonts w:ascii="Calibri" w:eastAsia="Calibri" w:hAnsi="Calibri"/>
        </w:rPr>
        <w:t xml:space="preserve"> the Australian Government’s investment decisions are informed by strategic priorities and planning. This includes requirement</w:t>
      </w:r>
      <w:r w:rsidR="003803E9">
        <w:rPr>
          <w:rFonts w:ascii="Calibri" w:eastAsia="Calibri" w:hAnsi="Calibri"/>
        </w:rPr>
        <w:t>s</w:t>
      </w:r>
      <w:r w:rsidR="00023A50" w:rsidRPr="00023A50">
        <w:rPr>
          <w:rFonts w:ascii="Calibri" w:eastAsia="Calibri" w:hAnsi="Calibri"/>
        </w:rPr>
        <w:t xml:space="preserve"> for:</w:t>
      </w:r>
    </w:p>
    <w:p w14:paraId="7D47F0C6" w14:textId="77777777" w:rsidR="0092512A" w:rsidRDefault="0092512A" w:rsidP="007F03D4">
      <w:pPr>
        <w:pStyle w:val="ListParagraph"/>
        <w:numPr>
          <w:ilvl w:val="0"/>
          <w:numId w:val="7"/>
        </w:numPr>
      </w:pPr>
      <w:r>
        <w:t>projects to be subject to necessary due diligence processes</w:t>
      </w:r>
      <w:r w:rsidR="008A4862">
        <w:t xml:space="preserve">, including as best </w:t>
      </w:r>
      <w:r w:rsidR="00CE4D9B">
        <w:t xml:space="preserve">as </w:t>
      </w:r>
      <w:r w:rsidR="008A4862">
        <w:t xml:space="preserve">possible, ensuring Commonwealth </w:t>
      </w:r>
      <w:r>
        <w:t>funding for delivery is not committed until a business case has been completed and considered by all relevant parties</w:t>
      </w:r>
    </w:p>
    <w:p w14:paraId="4BECCE92" w14:textId="77777777" w:rsidR="00023A50" w:rsidRPr="007F03D4" w:rsidRDefault="00023A50" w:rsidP="007F03D4">
      <w:pPr>
        <w:pStyle w:val="ListParagraph"/>
        <w:numPr>
          <w:ilvl w:val="0"/>
          <w:numId w:val="7"/>
        </w:numPr>
      </w:pPr>
      <w:r w:rsidRPr="007F03D4">
        <w:t>proposals seeking Australian Government funding to demonstrate alignment to the IPS</w:t>
      </w:r>
    </w:p>
    <w:p w14:paraId="56BD8D95" w14:textId="77777777" w:rsidR="00AB236D" w:rsidRPr="00716898" w:rsidRDefault="00023A50" w:rsidP="00716898">
      <w:pPr>
        <w:pStyle w:val="ListParagraph"/>
        <w:numPr>
          <w:ilvl w:val="0"/>
          <w:numId w:val="7"/>
        </w:numPr>
        <w:spacing w:before="120"/>
        <w:ind w:left="714" w:hanging="357"/>
        <w:rPr>
          <w:rFonts w:cstheme="minorHAnsi"/>
        </w:rPr>
      </w:pPr>
      <w:r w:rsidRPr="007F03D4">
        <w:t>states and territories to submit an Annual Infrastructure Plan to enable the Australian Government to understand the strategic context for their funding proposals</w:t>
      </w:r>
      <w:r w:rsidR="00BA5A7F">
        <w:t xml:space="preserve">. These </w:t>
      </w:r>
      <w:r w:rsidRPr="00716898">
        <w:rPr>
          <w:rFonts w:cstheme="minorHAnsi"/>
        </w:rPr>
        <w:t>Plan</w:t>
      </w:r>
      <w:r w:rsidR="00BA5A7F" w:rsidRPr="00716898">
        <w:rPr>
          <w:rFonts w:cstheme="minorHAnsi"/>
        </w:rPr>
        <w:t>s</w:t>
      </w:r>
      <w:r w:rsidRPr="00716898">
        <w:rPr>
          <w:rFonts w:cstheme="minorHAnsi"/>
        </w:rPr>
        <w:t xml:space="preserve"> will provide a long-term (10-year) view, including how projects will be sequenced and how the states and territories will respond to cost pressures and other related impacts, such as population growth, carbon emissions, regional development, and urban policy</w:t>
      </w:r>
      <w:r w:rsidR="00BA5A7F" w:rsidRPr="00716898">
        <w:rPr>
          <w:rFonts w:cstheme="minorHAnsi"/>
        </w:rPr>
        <w:t>, including housing</w:t>
      </w:r>
      <w:r w:rsidR="008A4862" w:rsidRPr="00716898">
        <w:rPr>
          <w:rFonts w:cstheme="minorHAnsi"/>
        </w:rPr>
        <w:t xml:space="preserve">, </w:t>
      </w:r>
      <w:r w:rsidR="00F56640">
        <w:t xml:space="preserve">and </w:t>
      </w:r>
      <w:r w:rsidR="00BA5A7F">
        <w:t xml:space="preserve">will </w:t>
      </w:r>
      <w:r w:rsidR="00F56640">
        <w:t>reflect</w:t>
      </w:r>
      <w:r w:rsidR="008A4862">
        <w:t xml:space="preserve"> local government priorities where relevant</w:t>
      </w:r>
      <w:r w:rsidR="00BA5A7F">
        <w:t>.</w:t>
      </w:r>
    </w:p>
    <w:p w14:paraId="40ED5F1A" w14:textId="77777777" w:rsidR="00604981" w:rsidRDefault="00604981" w:rsidP="007F03D4">
      <w:pPr>
        <w:spacing w:before="120"/>
      </w:pPr>
    </w:p>
    <w:p w14:paraId="6D663758" w14:textId="77777777" w:rsidR="00604981" w:rsidRDefault="00604981">
      <w:pPr>
        <w:spacing w:after="160" w:line="259" w:lineRule="auto"/>
      </w:pPr>
      <w:r>
        <w:br w:type="page"/>
      </w:r>
    </w:p>
    <w:p w14:paraId="05660F14" w14:textId="77777777" w:rsidR="00604981" w:rsidRDefault="00604981" w:rsidP="00604981">
      <w:pPr>
        <w:pStyle w:val="Heading3"/>
        <w:pBdr>
          <w:top w:val="single" w:sz="4" w:space="1" w:color="auto"/>
          <w:left w:val="single" w:sz="4" w:space="4" w:color="auto"/>
          <w:bottom w:val="single" w:sz="4" w:space="1" w:color="auto"/>
          <w:right w:val="single" w:sz="4" w:space="4" w:color="auto"/>
        </w:pBdr>
      </w:pPr>
      <w:bookmarkStart w:id="18" w:name="_Toc219188297"/>
      <w:r>
        <w:lastRenderedPageBreak/>
        <w:t>Recommendation 8:</w:t>
      </w:r>
      <w:bookmarkEnd w:id="18"/>
    </w:p>
    <w:p w14:paraId="375D1927" w14:textId="77777777" w:rsidR="00604981" w:rsidRDefault="00444BAF" w:rsidP="00023A50">
      <w:pPr>
        <w:pBdr>
          <w:top w:val="single" w:sz="4" w:space="1" w:color="auto"/>
          <w:left w:val="single" w:sz="4" w:space="4" w:color="auto"/>
          <w:bottom w:val="single" w:sz="4" w:space="1" w:color="auto"/>
          <w:right w:val="single" w:sz="4" w:space="4" w:color="auto"/>
        </w:pBdr>
        <w:shd w:val="clear" w:color="auto" w:fill="E4E4E4"/>
        <w:ind w:left="567" w:hanging="567"/>
      </w:pPr>
      <w:r>
        <w:t>3.195</w:t>
      </w:r>
      <w:r w:rsidR="00604981">
        <w:tab/>
      </w:r>
      <w:r w:rsidRPr="00444BAF">
        <w:t>The Committee recommends that the Australian Government work with state and territory governments to establish consultation mechanisms with local governments to consider road infrastructure priorities at the local level.</w:t>
      </w:r>
    </w:p>
    <w:p w14:paraId="099AD16D" w14:textId="77777777" w:rsidR="00604981" w:rsidRDefault="00604981" w:rsidP="00604981">
      <w:r>
        <w:t xml:space="preserve">The </w:t>
      </w:r>
      <w:r w:rsidR="005E17D4">
        <w:t xml:space="preserve">Australian </w:t>
      </w:r>
      <w:r>
        <w:t xml:space="preserve">Government </w:t>
      </w:r>
      <w:r w:rsidR="008A7541">
        <w:rPr>
          <w:b/>
        </w:rPr>
        <w:t>notes</w:t>
      </w:r>
      <w:r w:rsidR="00023A50">
        <w:t xml:space="preserve"> </w:t>
      </w:r>
      <w:r>
        <w:t>this recommendation.</w:t>
      </w:r>
    </w:p>
    <w:p w14:paraId="1360F76D" w14:textId="4A649103" w:rsidR="00023A50" w:rsidRDefault="00023A50" w:rsidP="00023A50">
      <w:r w:rsidRPr="00B109FF">
        <w:t>Under the FFA</w:t>
      </w:r>
      <w:r w:rsidR="00A21713">
        <w:t>S</w:t>
      </w:r>
      <w:r w:rsidRPr="00B109FF">
        <w:t xml:space="preserve">, </w:t>
      </w:r>
      <w:r>
        <w:t xml:space="preserve">states and territories </w:t>
      </w:r>
      <w:r w:rsidR="005A0155">
        <w:t xml:space="preserve">are required </w:t>
      </w:r>
      <w:r>
        <w:t xml:space="preserve">to develop and provide the Australian Government with an Annual Infrastructure Plan (Plan), which provides a long-term (10-year) strategic view of a state/territory’s land transport infrastructure priorities. </w:t>
      </w:r>
      <w:r w:rsidRPr="005D2838">
        <w:t xml:space="preserve">The Plans enable the Australian Government to understand the strategic context for the states and territories’ project proposals and enable the Australian Government to identify issues of national importance. </w:t>
      </w:r>
      <w:r w:rsidR="004B1928" w:rsidRPr="005D2838">
        <w:rPr>
          <w:rFonts w:cstheme="minorHAnsi"/>
        </w:rPr>
        <w:t>T</w:t>
      </w:r>
      <w:r w:rsidR="0030462F" w:rsidRPr="005D2838">
        <w:rPr>
          <w:rFonts w:cstheme="minorHAnsi"/>
        </w:rPr>
        <w:t>he FFAS notes the states and territories have the requisite knowledge and expertise to ensure the successful delivery of projects through effective planning and risk management projects</w:t>
      </w:r>
      <w:r w:rsidR="00F56640" w:rsidRPr="005D2838">
        <w:rPr>
          <w:rFonts w:cstheme="minorHAnsi"/>
        </w:rPr>
        <w:t>.</w:t>
      </w:r>
      <w:r w:rsidR="0030462F" w:rsidRPr="005D2838">
        <w:t xml:space="preserve"> </w:t>
      </w:r>
      <w:r w:rsidRPr="005D2838">
        <w:t>The Plans should, where relevant, reflect local government priorities within their jurisdiction.</w:t>
      </w:r>
      <w:r>
        <w:t xml:space="preserve"> </w:t>
      </w:r>
    </w:p>
    <w:p w14:paraId="0A00C640" w14:textId="77777777" w:rsidR="00046D0C" w:rsidRDefault="00BD32E1" w:rsidP="00023A50">
      <w:r>
        <w:t>The Australian Government, as well as state and territory governments, consult regularly with local governments about road infrastructure matters. A</w:t>
      </w:r>
      <w:r w:rsidR="00046D0C">
        <w:t xml:space="preserve">dditionally, the </w:t>
      </w:r>
      <w:r w:rsidR="00046D0C" w:rsidRPr="00046D0C">
        <w:t>Australian Council of Local Government (ACLG)</w:t>
      </w:r>
      <w:r w:rsidR="00046D0C">
        <w:t xml:space="preserve"> enables local government representatives to engage directly with the Australian Government on a range of issues.</w:t>
      </w:r>
    </w:p>
    <w:p w14:paraId="5AC23AD3" w14:textId="77777777" w:rsidR="00604981" w:rsidRDefault="00604981">
      <w:pPr>
        <w:spacing w:after="160" w:line="259" w:lineRule="auto"/>
      </w:pPr>
      <w:r>
        <w:br w:type="page"/>
      </w:r>
    </w:p>
    <w:p w14:paraId="6857859E" w14:textId="77777777" w:rsidR="00604981" w:rsidRDefault="00604981" w:rsidP="00604981">
      <w:pPr>
        <w:pStyle w:val="Heading3"/>
        <w:pBdr>
          <w:top w:val="single" w:sz="4" w:space="1" w:color="auto"/>
          <w:left w:val="single" w:sz="4" w:space="4" w:color="auto"/>
          <w:bottom w:val="single" w:sz="4" w:space="1" w:color="auto"/>
          <w:right w:val="single" w:sz="4" w:space="4" w:color="auto"/>
        </w:pBdr>
      </w:pPr>
      <w:bookmarkStart w:id="19" w:name="_Toc219188298"/>
      <w:r>
        <w:lastRenderedPageBreak/>
        <w:t>Recommendation 9:</w:t>
      </w:r>
      <w:bookmarkEnd w:id="19"/>
    </w:p>
    <w:p w14:paraId="00ADFDDB" w14:textId="77777777" w:rsidR="00604981" w:rsidRDefault="00B0244E" w:rsidP="00023A50">
      <w:pPr>
        <w:pBdr>
          <w:top w:val="single" w:sz="4" w:space="1" w:color="auto"/>
          <w:left w:val="single" w:sz="4" w:space="4" w:color="auto"/>
          <w:bottom w:val="single" w:sz="4" w:space="1" w:color="auto"/>
          <w:right w:val="single" w:sz="4" w:space="4" w:color="auto"/>
        </w:pBdr>
        <w:shd w:val="clear" w:color="auto" w:fill="E4E4E4"/>
        <w:ind w:left="567" w:hanging="567"/>
      </w:pPr>
      <w:r>
        <w:t>3.197</w:t>
      </w:r>
      <w:r w:rsidR="00604981">
        <w:tab/>
      </w:r>
      <w:r w:rsidRPr="00B0244E">
        <w:t>The Committee recommends that the Australian Government review the funding approval timeframes as part of the joint Australian-State and Territory Government Disaster Recovery Funding Arrangements.</w:t>
      </w:r>
    </w:p>
    <w:p w14:paraId="2DF06CE9" w14:textId="58E2B1D8" w:rsidR="00604981" w:rsidRDefault="00604981" w:rsidP="00604981">
      <w:r>
        <w:t xml:space="preserve">The </w:t>
      </w:r>
      <w:r w:rsidR="005E17D4">
        <w:t xml:space="preserve">Australian </w:t>
      </w:r>
      <w:r>
        <w:t xml:space="preserve">Government </w:t>
      </w:r>
      <w:r w:rsidR="0049273E" w:rsidRPr="0049273E">
        <w:rPr>
          <w:b/>
        </w:rPr>
        <w:t>notes</w:t>
      </w:r>
      <w:r w:rsidR="00CC7D95">
        <w:t xml:space="preserve"> </w:t>
      </w:r>
      <w:r>
        <w:t>this recommendation.</w:t>
      </w:r>
    </w:p>
    <w:p w14:paraId="7B8F02E1" w14:textId="77777777" w:rsidR="003536D0" w:rsidRPr="00522189" w:rsidRDefault="003536D0" w:rsidP="003536D0">
      <w:pPr>
        <w:rPr>
          <w:rFonts w:ascii="Calibri" w:hAnsi="Calibri" w:cs="Calibri"/>
        </w:rPr>
      </w:pPr>
      <w:r w:rsidRPr="00522189">
        <w:rPr>
          <w:rFonts w:ascii="Calibri" w:hAnsi="Calibri" w:cs="Calibri"/>
        </w:rPr>
        <w:t xml:space="preserve">In February 2023, the Australian Government appointed Mr Andrew Colvin AO APM to undertake an </w:t>
      </w:r>
      <w:hyperlink r:id="rId27" w:history="1">
        <w:r w:rsidR="001E2123" w:rsidRPr="001E2123">
          <w:rPr>
            <w:rStyle w:val="Hyperlink"/>
            <w:rFonts w:ascii="Calibri" w:hAnsi="Calibri" w:cs="Calibri"/>
          </w:rPr>
          <w:t>Independent Review of Commonwealth Disaster Funding (Colvin Review)</w:t>
        </w:r>
      </w:hyperlink>
      <w:r w:rsidRPr="00522189">
        <w:rPr>
          <w:rFonts w:ascii="Calibri" w:hAnsi="Calibri" w:cs="Calibri"/>
        </w:rPr>
        <w:t>. The Colvin Review consider</w:t>
      </w:r>
      <w:r>
        <w:rPr>
          <w:rFonts w:ascii="Calibri" w:hAnsi="Calibri" w:cs="Calibri"/>
        </w:rPr>
        <w:t>ed</w:t>
      </w:r>
      <w:r w:rsidRPr="00522189">
        <w:rPr>
          <w:rFonts w:ascii="Calibri" w:hAnsi="Calibri" w:cs="Calibri"/>
        </w:rPr>
        <w:t xml:space="preserve"> how the Australian Government’s investment in disaster risk reduction, preparedness, response and recovery </w:t>
      </w:r>
      <w:r w:rsidR="001A66DF">
        <w:rPr>
          <w:rFonts w:ascii="Calibri" w:hAnsi="Calibri" w:cs="Calibri"/>
        </w:rPr>
        <w:t>could</w:t>
      </w:r>
      <w:r w:rsidR="001A66DF" w:rsidRPr="00522189">
        <w:rPr>
          <w:rFonts w:ascii="Calibri" w:hAnsi="Calibri" w:cs="Calibri"/>
        </w:rPr>
        <w:t xml:space="preserve"> </w:t>
      </w:r>
      <w:r w:rsidRPr="00522189">
        <w:rPr>
          <w:rFonts w:ascii="Calibri" w:hAnsi="Calibri" w:cs="Calibri"/>
        </w:rPr>
        <w:t xml:space="preserve">make </w:t>
      </w:r>
      <w:r w:rsidR="001A66DF">
        <w:rPr>
          <w:rFonts w:ascii="Calibri" w:hAnsi="Calibri" w:cs="Calibri"/>
        </w:rPr>
        <w:t>Australian</w:t>
      </w:r>
      <w:r w:rsidR="001A66DF" w:rsidRPr="00522189">
        <w:rPr>
          <w:rFonts w:ascii="Calibri" w:hAnsi="Calibri" w:cs="Calibri"/>
        </w:rPr>
        <w:t xml:space="preserve"> </w:t>
      </w:r>
      <w:r w:rsidRPr="00522189">
        <w:rPr>
          <w:rFonts w:ascii="Calibri" w:hAnsi="Calibri" w:cs="Calibri"/>
        </w:rPr>
        <w:t>communities safer and more resilient to future disasters.</w:t>
      </w:r>
    </w:p>
    <w:p w14:paraId="386E6E15" w14:textId="77777777" w:rsidR="00604981" w:rsidRDefault="003536D0">
      <w:pPr>
        <w:spacing w:after="160" w:line="259" w:lineRule="auto"/>
      </w:pPr>
      <w:r w:rsidRPr="00522189">
        <w:rPr>
          <w:rFonts w:ascii="Calibri" w:hAnsi="Calibri" w:cs="Calibri"/>
        </w:rPr>
        <w:t>Mr Colvin deliver</w:t>
      </w:r>
      <w:r>
        <w:rPr>
          <w:rFonts w:ascii="Calibri" w:hAnsi="Calibri" w:cs="Calibri"/>
        </w:rPr>
        <w:t>ed</w:t>
      </w:r>
      <w:r w:rsidRPr="00522189">
        <w:rPr>
          <w:rFonts w:ascii="Calibri" w:hAnsi="Calibri" w:cs="Calibri"/>
        </w:rPr>
        <w:t xml:space="preserve"> his </w:t>
      </w:r>
      <w:hyperlink r:id="rId28" w:history="1">
        <w:r w:rsidRPr="00887315">
          <w:rPr>
            <w:rStyle w:val="Hyperlink"/>
            <w:rFonts w:ascii="Calibri" w:hAnsi="Calibri" w:cs="Calibri"/>
          </w:rPr>
          <w:t>Final Report</w:t>
        </w:r>
      </w:hyperlink>
      <w:r w:rsidRPr="00522189">
        <w:rPr>
          <w:rFonts w:ascii="Calibri" w:hAnsi="Calibri" w:cs="Calibri"/>
        </w:rPr>
        <w:t xml:space="preserve"> to </w:t>
      </w:r>
      <w:r>
        <w:rPr>
          <w:rFonts w:ascii="Calibri" w:hAnsi="Calibri" w:cs="Calibri"/>
        </w:rPr>
        <w:t xml:space="preserve">the Australian </w:t>
      </w:r>
      <w:r w:rsidRPr="00522189">
        <w:rPr>
          <w:rFonts w:ascii="Calibri" w:hAnsi="Calibri" w:cs="Calibri"/>
        </w:rPr>
        <w:t xml:space="preserve">Government </w:t>
      </w:r>
      <w:r>
        <w:rPr>
          <w:rFonts w:ascii="Calibri" w:hAnsi="Calibri" w:cs="Calibri"/>
        </w:rPr>
        <w:t>on</w:t>
      </w:r>
      <w:r w:rsidRPr="00522189">
        <w:rPr>
          <w:rFonts w:ascii="Calibri" w:hAnsi="Calibri" w:cs="Calibri"/>
        </w:rPr>
        <w:t xml:space="preserve"> 30 April 2024. </w:t>
      </w:r>
      <w:r w:rsidR="001A66DF">
        <w:rPr>
          <w:rFonts w:ascii="Calibri" w:hAnsi="Calibri" w:cs="Calibri"/>
        </w:rPr>
        <w:t xml:space="preserve">The Final Report was publicly released on 25 October 2024. </w:t>
      </w:r>
      <w:r w:rsidRPr="00263CA5">
        <w:rPr>
          <w:rFonts w:ascii="Calibri" w:hAnsi="Calibri" w:cs="Calibri"/>
        </w:rPr>
        <w:t>The Australian Government is</w:t>
      </w:r>
      <w:r w:rsidR="001A66DF">
        <w:rPr>
          <w:rFonts w:ascii="Calibri" w:hAnsi="Calibri" w:cs="Calibri"/>
        </w:rPr>
        <w:t xml:space="preserve"> currently</w:t>
      </w:r>
      <w:r w:rsidRPr="00263CA5">
        <w:rPr>
          <w:rFonts w:ascii="Calibri" w:hAnsi="Calibri" w:cs="Calibri"/>
        </w:rPr>
        <w:t xml:space="preserve"> considering the findings and recommendations of the Colvin Review. </w:t>
      </w:r>
      <w:r w:rsidR="00604981">
        <w:br w:type="page"/>
      </w:r>
    </w:p>
    <w:p w14:paraId="7F81F2EB" w14:textId="77777777" w:rsidR="00604981" w:rsidRDefault="00604981" w:rsidP="00604981">
      <w:pPr>
        <w:pStyle w:val="Heading3"/>
        <w:pBdr>
          <w:top w:val="single" w:sz="4" w:space="1" w:color="auto"/>
          <w:left w:val="single" w:sz="4" w:space="4" w:color="auto"/>
          <w:bottom w:val="single" w:sz="4" w:space="1" w:color="auto"/>
          <w:right w:val="single" w:sz="4" w:space="4" w:color="auto"/>
        </w:pBdr>
      </w:pPr>
      <w:bookmarkStart w:id="20" w:name="_Toc219188299"/>
      <w:r>
        <w:lastRenderedPageBreak/>
        <w:t>Recommendation 10:</w:t>
      </w:r>
      <w:bookmarkEnd w:id="20"/>
    </w:p>
    <w:p w14:paraId="375112AA" w14:textId="77777777" w:rsidR="00604981" w:rsidRDefault="00B0244E" w:rsidP="007F03D4">
      <w:pPr>
        <w:pBdr>
          <w:top w:val="single" w:sz="4" w:space="1" w:color="auto"/>
          <w:left w:val="single" w:sz="4" w:space="4" w:color="auto"/>
          <w:bottom w:val="single" w:sz="4" w:space="1" w:color="auto"/>
          <w:right w:val="single" w:sz="4" w:space="4" w:color="auto"/>
        </w:pBdr>
        <w:shd w:val="clear" w:color="auto" w:fill="E4E4E4"/>
        <w:ind w:left="567" w:hanging="567"/>
      </w:pPr>
      <w:r>
        <w:t>3.199</w:t>
      </w:r>
      <w:r w:rsidR="00604981">
        <w:tab/>
      </w:r>
      <w:r w:rsidRPr="00B0244E">
        <w:t>The Committee recommends that the Australian Government implement options for greater flexibility for betterment funding for resilient infrastructure builds, where structural, economic or social benefits are identified, through Disaster Recovery Funding Arrangements eligibility criteria following natural disaster events.</w:t>
      </w:r>
    </w:p>
    <w:p w14:paraId="3C45CFD0" w14:textId="2161C893" w:rsidR="00604981" w:rsidRDefault="00604981" w:rsidP="00604981">
      <w:r>
        <w:t xml:space="preserve">The </w:t>
      </w:r>
      <w:r w:rsidR="005E17D4">
        <w:t xml:space="preserve">Australian </w:t>
      </w:r>
      <w:r>
        <w:t xml:space="preserve">Government </w:t>
      </w:r>
      <w:r w:rsidR="00DB1155">
        <w:rPr>
          <w:b/>
          <w:bCs/>
        </w:rPr>
        <w:t xml:space="preserve">notes </w:t>
      </w:r>
      <w:r>
        <w:t>this recommendation.</w:t>
      </w:r>
    </w:p>
    <w:p w14:paraId="5D42200C" w14:textId="77777777" w:rsidR="007F03D4" w:rsidRPr="00C71B37" w:rsidRDefault="007F03D4" w:rsidP="007F03D4">
      <w:r w:rsidRPr="00F14B65">
        <w:t>The Australian Government supports the use of betterment funding in principle to reduce the overall societal cost of responding to natural hazards and extreme events including those made more frequent or severe by climate change.</w:t>
      </w:r>
      <w:r w:rsidRPr="00C71B37">
        <w:t xml:space="preserve"> </w:t>
      </w:r>
    </w:p>
    <w:p w14:paraId="4CD4631F" w14:textId="3BD5D9E3" w:rsidR="007F03D4" w:rsidRPr="00653077" w:rsidRDefault="007F03D4" w:rsidP="007F03D4">
      <w:r w:rsidRPr="00653077">
        <w:t xml:space="preserve">Under standard </w:t>
      </w:r>
      <w:r w:rsidR="00DD0795" w:rsidRPr="00B0244E">
        <w:t xml:space="preserve">Disaster Recovery Funding Arrangements </w:t>
      </w:r>
      <w:r w:rsidR="00DD0795">
        <w:t>(</w:t>
      </w:r>
      <w:r w:rsidRPr="00F14B65">
        <w:t>DRFA</w:t>
      </w:r>
      <w:r w:rsidR="00DD0795">
        <w:t>)</w:t>
      </w:r>
      <w:r w:rsidRPr="00653077">
        <w:t xml:space="preserve"> measures (Category B), states and territories can claim the cost of restoring damaged essential public assets to at least their pre-disaster </w:t>
      </w:r>
      <w:r w:rsidR="00E71CA8">
        <w:t xml:space="preserve">function. To determine its pre-disaster function, states must consider </w:t>
      </w:r>
      <w:r w:rsidRPr="00653077">
        <w:t>the condition of the essential public asset and its level of functionality (or utility) prior to the disaster. The assistance also allows the adoption of alternative approaches to the reconstruction of damaged assets, including approaches to facilitate improvements in disaster resilience. This allows essential public assets to be rebuilt to a more resilient standard through:</w:t>
      </w:r>
    </w:p>
    <w:p w14:paraId="0AEB7248" w14:textId="77777777" w:rsidR="007F03D4" w:rsidRPr="00653077" w:rsidRDefault="007F03D4" w:rsidP="007F03D4">
      <w:pPr>
        <w:pStyle w:val="ListParagraph"/>
        <w:numPr>
          <w:ilvl w:val="0"/>
          <w:numId w:val="7"/>
        </w:numPr>
      </w:pPr>
      <w:r w:rsidRPr="00653077">
        <w:t>applying modern building, design, and construction standards</w:t>
      </w:r>
    </w:p>
    <w:p w14:paraId="058BFBB7" w14:textId="77777777" w:rsidR="007F03D4" w:rsidRPr="00653077" w:rsidRDefault="007F03D4" w:rsidP="007F03D4">
      <w:pPr>
        <w:pStyle w:val="ListParagraph"/>
        <w:numPr>
          <w:ilvl w:val="0"/>
          <w:numId w:val="7"/>
        </w:numPr>
      </w:pPr>
      <w:r w:rsidRPr="00653077">
        <w:t>using contemporary construction methodologies and building materials</w:t>
      </w:r>
    </w:p>
    <w:p w14:paraId="664460DD" w14:textId="77777777" w:rsidR="007F03D4" w:rsidRPr="00653077" w:rsidRDefault="007F03D4" w:rsidP="007F03D4">
      <w:pPr>
        <w:pStyle w:val="ListParagraph"/>
        <w:numPr>
          <w:ilvl w:val="0"/>
          <w:numId w:val="7"/>
        </w:numPr>
      </w:pPr>
      <w:r w:rsidRPr="00653077">
        <w:t xml:space="preserve">adopting a more appropriate type of asset, rather than a like-for-like </w:t>
      </w:r>
      <w:r w:rsidRPr="00064D87">
        <w:t>replacement</w:t>
      </w:r>
    </w:p>
    <w:p w14:paraId="6844DFC4" w14:textId="77777777" w:rsidR="007F03D4" w:rsidRPr="00653077" w:rsidRDefault="007F03D4" w:rsidP="007F03D4">
      <w:pPr>
        <w:pStyle w:val="ListParagraph"/>
        <w:numPr>
          <w:ilvl w:val="0"/>
          <w:numId w:val="7"/>
        </w:numPr>
      </w:pPr>
      <w:r w:rsidRPr="00653077">
        <w:t>relocating damaged assets to a more suitable site.</w:t>
      </w:r>
    </w:p>
    <w:p w14:paraId="3549481B" w14:textId="34D33621" w:rsidR="007F03D4" w:rsidRDefault="007F03D4" w:rsidP="007F03D4">
      <w:r w:rsidRPr="00653077">
        <w:t>States and territories are also able to request the Prime Minister’s agreement to cost-share, under the DRFA, betterment works to essential public assets following major disasters as exceptional assistance (Category D). The Australian Government is committed to supporting jurisdictions to build back essential public assets to a more resilient condition</w:t>
      </w:r>
      <w:r w:rsidR="00FA331A">
        <w:t>,</w:t>
      </w:r>
      <w:r w:rsidRPr="00653077">
        <w:t xml:space="preserve"> </w:t>
      </w:r>
      <w:r w:rsidR="004B1928">
        <w:t>where this is appropriate</w:t>
      </w:r>
      <w:r w:rsidR="00FA331A">
        <w:t>,</w:t>
      </w:r>
      <w:r w:rsidR="004B1928">
        <w:t xml:space="preserve"> </w:t>
      </w:r>
      <w:r w:rsidRPr="00653077">
        <w:t xml:space="preserve">and has agreed to cost-share </w:t>
      </w:r>
      <w:proofErr w:type="gramStart"/>
      <w:r w:rsidRPr="00653077">
        <w:t>a number of</w:t>
      </w:r>
      <w:proofErr w:type="gramEnd"/>
      <w:r w:rsidRPr="00653077">
        <w:t xml:space="preserve"> betterment programs under </w:t>
      </w:r>
      <w:r w:rsidR="00D46E95">
        <w:t xml:space="preserve">Category C/D of </w:t>
      </w:r>
      <w:r w:rsidRPr="00653077">
        <w:t xml:space="preserve">the DRFA </w:t>
      </w:r>
      <w:r w:rsidR="00200426">
        <w:t xml:space="preserve">for </w:t>
      </w:r>
      <w:r w:rsidRPr="00653077">
        <w:t>Queensland, New South Wales, Victoria</w:t>
      </w:r>
      <w:r w:rsidR="00D46E95">
        <w:t>,</w:t>
      </w:r>
      <w:r w:rsidRPr="00653077">
        <w:t xml:space="preserve"> </w:t>
      </w:r>
      <w:r w:rsidR="00D46E95">
        <w:t xml:space="preserve">South Australia </w:t>
      </w:r>
      <w:r w:rsidRPr="00653077">
        <w:t xml:space="preserve">and Western Australia. These programs are intended to support rebuilding and recovery, with a resilience component, with the goal to mitigate risk against future disaster events and their costs. </w:t>
      </w:r>
      <w:r w:rsidR="00200426">
        <w:t>An ‘off-the-shelf’ recovery package for infrastructure betterment has been developed to support state and territory governments in preparing and lodging a Category D betterment application.</w:t>
      </w:r>
    </w:p>
    <w:p w14:paraId="57600ED8" w14:textId="437969BA" w:rsidR="007F03D4" w:rsidRPr="00653077" w:rsidRDefault="007F03D4" w:rsidP="007F03D4"/>
    <w:p w14:paraId="1B2668E9" w14:textId="77777777" w:rsidR="00604981" w:rsidRDefault="00604981" w:rsidP="00604981"/>
    <w:p w14:paraId="2B937076" w14:textId="77777777" w:rsidR="00604981" w:rsidRDefault="00604981">
      <w:pPr>
        <w:spacing w:after="160" w:line="259" w:lineRule="auto"/>
      </w:pPr>
      <w:r>
        <w:br w:type="page"/>
      </w:r>
    </w:p>
    <w:p w14:paraId="524E3316" w14:textId="77777777" w:rsidR="00604981" w:rsidRDefault="00604981" w:rsidP="00604981">
      <w:pPr>
        <w:pStyle w:val="Heading3"/>
        <w:pBdr>
          <w:top w:val="single" w:sz="4" w:space="1" w:color="auto"/>
          <w:left w:val="single" w:sz="4" w:space="4" w:color="auto"/>
          <w:bottom w:val="single" w:sz="4" w:space="1" w:color="auto"/>
          <w:right w:val="single" w:sz="4" w:space="4" w:color="auto"/>
        </w:pBdr>
      </w:pPr>
      <w:bookmarkStart w:id="21" w:name="_Toc219188300"/>
      <w:r>
        <w:lastRenderedPageBreak/>
        <w:t>Recommendation 11:</w:t>
      </w:r>
      <w:bookmarkEnd w:id="21"/>
    </w:p>
    <w:p w14:paraId="1D0AB321" w14:textId="77777777" w:rsidR="00604981" w:rsidRDefault="009762E0" w:rsidP="007F03D4">
      <w:pPr>
        <w:pBdr>
          <w:top w:val="single" w:sz="4" w:space="1" w:color="auto"/>
          <w:left w:val="single" w:sz="4" w:space="4" w:color="auto"/>
          <w:bottom w:val="single" w:sz="4" w:space="1" w:color="auto"/>
          <w:right w:val="single" w:sz="4" w:space="4" w:color="auto"/>
        </w:pBdr>
        <w:shd w:val="clear" w:color="auto" w:fill="E4E4E4"/>
        <w:ind w:left="567" w:hanging="567"/>
      </w:pPr>
      <w:r>
        <w:t>3.201</w:t>
      </w:r>
      <w:r w:rsidR="00604981">
        <w:tab/>
      </w:r>
      <w:r w:rsidRPr="009762E0">
        <w:t>The Committee recommends that the Australian Government investigate options to include flexibility to fund preparedness measures through Disaster Recovery Funding Arrangements to assist in mitigating against future disaster events.</w:t>
      </w:r>
    </w:p>
    <w:p w14:paraId="3E86AE30" w14:textId="77777777" w:rsidR="00604981" w:rsidRDefault="00604981" w:rsidP="00604981">
      <w:r>
        <w:t xml:space="preserve">The </w:t>
      </w:r>
      <w:r w:rsidR="005E17D4">
        <w:t xml:space="preserve">Australian </w:t>
      </w:r>
      <w:r>
        <w:t xml:space="preserve">Government </w:t>
      </w:r>
      <w:r>
        <w:rPr>
          <w:b/>
        </w:rPr>
        <w:t>notes</w:t>
      </w:r>
      <w:r>
        <w:t xml:space="preserve"> this recommendation.</w:t>
      </w:r>
    </w:p>
    <w:p w14:paraId="4FD53FED" w14:textId="77777777" w:rsidR="007F03D4" w:rsidRPr="00910CF9" w:rsidRDefault="007F03D4" w:rsidP="007F03D4">
      <w:r w:rsidRPr="00910CF9">
        <w:t xml:space="preserve">The purpose of </w:t>
      </w:r>
      <w:r>
        <w:t xml:space="preserve">the </w:t>
      </w:r>
      <w:r w:rsidRPr="00910CF9">
        <w:t xml:space="preserve">DRFA is to support states and territories to assist with providing certain relief and recovery assistance measures to support impacted individuals and communities to recover from a disaster. While the DRFA is not specifically designed to fund preparedness, a central principle of the DRFA is that relief and recovery assistance should be used to complement and promote disaster resilience outcomes for affected individuals and communities. </w:t>
      </w:r>
    </w:p>
    <w:p w14:paraId="430254CB" w14:textId="77777777" w:rsidR="007F03D4" w:rsidRPr="00910CF9" w:rsidRDefault="007F03D4" w:rsidP="007F03D4">
      <w:r w:rsidRPr="00910CF9">
        <w:t>In addition to improving the resilience and betterment of essential public asset reconstruction, as outlined in response to Recommendation 10, the DRFA also</w:t>
      </w:r>
      <w:r>
        <w:t xml:space="preserve"> provides</w:t>
      </w:r>
      <w:r w:rsidRPr="00910CF9">
        <w:t xml:space="preserve"> support with the costs of undertaking Counter Disaster Operations. These activities, undertaken either immediately prior, during or after a disaster to protect individuals and/or communities, may include search and rescue or evacuations of threatened/affected individuals, sandbagging or construction of temporary levees, fire suppression activities, rapid assessments, and establishing temporary access routes.</w:t>
      </w:r>
    </w:p>
    <w:p w14:paraId="4B7BC696" w14:textId="23D9E741" w:rsidR="007F03D4" w:rsidRPr="00653077" w:rsidRDefault="007F03D4" w:rsidP="007F03D4">
      <w:r w:rsidRPr="00653077">
        <w:t xml:space="preserve">Additionally, where a state or territory is claiming the costs of reconstructing a damaged essential public asset under Category B of the DRFA, cost efficiencies may be realised where the actual cost of reconstructing the essential public asset is less than the </w:t>
      </w:r>
      <w:r w:rsidR="00200426">
        <w:t xml:space="preserve">established </w:t>
      </w:r>
      <w:r w:rsidRPr="00653077">
        <w:t>estimated reconstruction cost. Where efficiencies are realised, the DRFA outlines that states</w:t>
      </w:r>
      <w:r w:rsidR="00961174">
        <w:t xml:space="preserve"> and territories</w:t>
      </w:r>
      <w:r w:rsidRPr="00653077">
        <w:t xml:space="preserve"> can redirect these </w:t>
      </w:r>
      <w:r w:rsidR="00200426">
        <w:t>efficiencies</w:t>
      </w:r>
      <w:r w:rsidR="00200426" w:rsidRPr="00653077">
        <w:t xml:space="preserve"> </w:t>
      </w:r>
      <w:r w:rsidRPr="00653077">
        <w:t xml:space="preserve">towards natural disaster mitigation projects </w:t>
      </w:r>
      <w:proofErr w:type="gramStart"/>
      <w:r w:rsidRPr="00653077">
        <w:t>in order to</w:t>
      </w:r>
      <w:proofErr w:type="gramEnd"/>
      <w:r w:rsidRPr="00653077">
        <w:t xml:space="preserve"> reduce or eliminate future risk from natural hazards. This may include projects that focus on:</w:t>
      </w:r>
    </w:p>
    <w:p w14:paraId="667E5656" w14:textId="77777777" w:rsidR="007F03D4" w:rsidRDefault="007F03D4" w:rsidP="00DE19B2">
      <w:pPr>
        <w:pStyle w:val="ListParagraph"/>
        <w:numPr>
          <w:ilvl w:val="0"/>
          <w:numId w:val="7"/>
        </w:numPr>
      </w:pPr>
      <w:r w:rsidRPr="00653077">
        <w:t>planning and regulations –assessing, documenting and communicating community risks, limiting or prohibiting development in high-risk areas, integrating hazard mitigation into planning</w:t>
      </w:r>
    </w:p>
    <w:p w14:paraId="17C30606" w14:textId="77777777" w:rsidR="007F03D4" w:rsidRDefault="007F03D4" w:rsidP="00DE19B2">
      <w:pPr>
        <w:pStyle w:val="ListParagraph"/>
        <w:numPr>
          <w:ilvl w:val="0"/>
          <w:numId w:val="7"/>
        </w:numPr>
      </w:pPr>
      <w:r w:rsidRPr="00653077">
        <w:t>infrastructure projects – protection of existing public infrastructure, post-disaster mitigation activities</w:t>
      </w:r>
    </w:p>
    <w:p w14:paraId="2FCAD36C" w14:textId="77777777" w:rsidR="007F03D4" w:rsidRPr="00653077" w:rsidRDefault="007F03D4" w:rsidP="00DE19B2">
      <w:pPr>
        <w:pStyle w:val="ListParagraph"/>
        <w:numPr>
          <w:ilvl w:val="0"/>
          <w:numId w:val="7"/>
        </w:numPr>
      </w:pPr>
      <w:r w:rsidRPr="00653077">
        <w:t>education and awareness – increased hazard and risk education awareness.</w:t>
      </w:r>
    </w:p>
    <w:p w14:paraId="131D9567" w14:textId="380F0F3A" w:rsidR="007F03D4" w:rsidRPr="00653077" w:rsidRDefault="007F03D4" w:rsidP="007F03D4">
      <w:r w:rsidRPr="00653077">
        <w:t>Separate to the DRFA, the Australian Government has established the Disaster Ready Fund (DRF) which will provide</w:t>
      </w:r>
      <w:r w:rsidR="00526C25">
        <w:t xml:space="preserve"> </w:t>
      </w:r>
      <w:r w:rsidRPr="00653077">
        <w:t>up to $</w:t>
      </w:r>
      <w:r w:rsidR="00526C25">
        <w:t>200 million per year from</w:t>
      </w:r>
      <w:r w:rsidRPr="00653077">
        <w:t xml:space="preserve"> </w:t>
      </w:r>
      <w:r w:rsidR="00513C18">
        <w:t>2023-24 to 2027-28</w:t>
      </w:r>
      <w:r w:rsidRPr="00653077">
        <w:t xml:space="preserve"> for disaster resilience and risk reduction initiatives across Australia. Both infrastructure and systemic risk reduction projects were eligible under Round One and Two of the DRF. Round One delivered $200 million in 2023</w:t>
      </w:r>
      <w:r w:rsidR="004B14AC">
        <w:t>-</w:t>
      </w:r>
      <w:r w:rsidRPr="00653077">
        <w:t xml:space="preserve">24 to </w:t>
      </w:r>
      <w:r w:rsidR="00200426" w:rsidRPr="00653077">
        <w:t>18</w:t>
      </w:r>
      <w:r w:rsidR="00200426">
        <w:t>5</w:t>
      </w:r>
      <w:r w:rsidR="00200426" w:rsidRPr="00653077">
        <w:t xml:space="preserve"> </w:t>
      </w:r>
      <w:r w:rsidRPr="00653077">
        <w:t>projects across Australia. Round Two deliver</w:t>
      </w:r>
      <w:r w:rsidR="00200426">
        <w:t>ed</w:t>
      </w:r>
      <w:r w:rsidRPr="00653077">
        <w:t xml:space="preserve"> $200 million in 2024</w:t>
      </w:r>
      <w:r w:rsidR="004B14AC">
        <w:t>-</w:t>
      </w:r>
      <w:r w:rsidRPr="00653077">
        <w:t>25</w:t>
      </w:r>
      <w:r w:rsidR="007E03AF">
        <w:t xml:space="preserve"> for </w:t>
      </w:r>
      <w:r w:rsidR="001A66DF">
        <w:t>171</w:t>
      </w:r>
      <w:r w:rsidR="007E03AF">
        <w:t xml:space="preserve"> projects across Australia. </w:t>
      </w:r>
      <w:r w:rsidRPr="00653077">
        <w:t>Round Three</w:t>
      </w:r>
      <w:r w:rsidR="00200426">
        <w:t xml:space="preserve"> has a particular focus on larger infrastructure projects that deliver long-term risk reduction and resilience benefits through a dedicated funding stream. Round Three outcomes </w:t>
      </w:r>
      <w:r w:rsidR="00A21228">
        <w:t>were announced on 17 November 2025. This</w:t>
      </w:r>
      <w:r w:rsidR="0046468B">
        <w:t xml:space="preserve"> </w:t>
      </w:r>
      <w:r w:rsidR="0046468B" w:rsidRPr="0046468B">
        <w:t>provides an additional $200 million in funding through 2025-26 for 96 projects in every state and territory. Of the 96 projects, 41 are infrastructure projects.</w:t>
      </w:r>
      <w:r w:rsidR="00200426">
        <w:t xml:space="preserve"> Round Four</w:t>
      </w:r>
      <w:r w:rsidRPr="00653077">
        <w:t xml:space="preserve"> is currently in the design phase with program information and requirements expected to be released </w:t>
      </w:r>
      <w:r w:rsidR="00200426">
        <w:t xml:space="preserve">by </w:t>
      </w:r>
      <w:proofErr w:type="spellStart"/>
      <w:r w:rsidR="00D26D18">
        <w:t>mid</w:t>
      </w:r>
      <w:r w:rsidR="00200426">
        <w:t xml:space="preserve"> 2026</w:t>
      </w:r>
      <w:proofErr w:type="spellEnd"/>
      <w:r w:rsidRPr="00653077">
        <w:t>.</w:t>
      </w:r>
    </w:p>
    <w:p w14:paraId="7D61F30C" w14:textId="77777777" w:rsidR="007E1EEA" w:rsidRDefault="007F03D4" w:rsidP="007010B9">
      <w:r w:rsidRPr="00653077">
        <w:t xml:space="preserve">DRF project proposals </w:t>
      </w:r>
      <w:r w:rsidR="00526C25">
        <w:t>have sought</w:t>
      </w:r>
      <w:r w:rsidRPr="00653077">
        <w:t xml:space="preserve"> investment in grey infrastructure, green-blue infrastructure (including nature</w:t>
      </w:r>
      <w:r>
        <w:t>-</w:t>
      </w:r>
      <w:r w:rsidRPr="00653077">
        <w:t xml:space="preserve">based solutions), social infrastructure, natural hazard monitoring infrastructure, and development of infrastructure business cases and feasibility studies. Examples include, but are not limited </w:t>
      </w:r>
      <w:proofErr w:type="gramStart"/>
      <w:r w:rsidRPr="00653077">
        <w:t>to:</w:t>
      </w:r>
      <w:proofErr w:type="gramEnd"/>
      <w:r w:rsidRPr="00653077">
        <w:t xml:space="preserve"> the construction of flood levees, fire breaks or cyclone shelters, business cases to develop accessible infrastructure and investigation, planning and design of infrastructure to resolve </w:t>
      </w:r>
    </w:p>
    <w:p w14:paraId="31080DD6" w14:textId="77777777" w:rsidR="007E1EEA" w:rsidRDefault="007E1EEA">
      <w:pPr>
        <w:spacing w:after="160" w:line="259" w:lineRule="auto"/>
      </w:pPr>
      <w:r>
        <w:br w:type="page"/>
      </w:r>
    </w:p>
    <w:p w14:paraId="266391B8" w14:textId="31B6131D" w:rsidR="00DF56F5" w:rsidRDefault="007F03D4" w:rsidP="007010B9">
      <w:r w:rsidRPr="00653077">
        <w:lastRenderedPageBreak/>
        <w:t xml:space="preserve">emerging risks, sand nourishment on vulnerable coastlines, tsunami </w:t>
      </w:r>
      <w:r w:rsidR="00200426">
        <w:t>modelling</w:t>
      </w:r>
      <w:r w:rsidRPr="00653077">
        <w:t>, bushfire warning systems, construction of places for community support or to address community needs in time of disaster.</w:t>
      </w:r>
      <w:r w:rsidR="00DF56F5">
        <w:br w:type="page"/>
      </w:r>
    </w:p>
    <w:p w14:paraId="54D9FBDC" w14:textId="77777777" w:rsidR="00DF56F5" w:rsidRDefault="00DF56F5" w:rsidP="00DF56F5">
      <w:pPr>
        <w:pStyle w:val="Heading3"/>
        <w:pBdr>
          <w:top w:val="single" w:sz="4" w:space="1" w:color="auto"/>
          <w:left w:val="single" w:sz="4" w:space="4" w:color="auto"/>
          <w:bottom w:val="single" w:sz="4" w:space="1" w:color="auto"/>
          <w:right w:val="single" w:sz="4" w:space="4" w:color="auto"/>
        </w:pBdr>
      </w:pPr>
      <w:bookmarkStart w:id="22" w:name="_Toc219188301"/>
      <w:r>
        <w:lastRenderedPageBreak/>
        <w:t>Recommendation 12:</w:t>
      </w:r>
      <w:bookmarkEnd w:id="22"/>
    </w:p>
    <w:p w14:paraId="49A013B8" w14:textId="77777777" w:rsidR="00DF56F5" w:rsidRDefault="00CB0653" w:rsidP="00DE19B2">
      <w:pPr>
        <w:pBdr>
          <w:top w:val="single" w:sz="4" w:space="1" w:color="auto"/>
          <w:left w:val="single" w:sz="4" w:space="4" w:color="auto"/>
          <w:bottom w:val="single" w:sz="4" w:space="1" w:color="auto"/>
          <w:right w:val="single" w:sz="4" w:space="4" w:color="auto"/>
        </w:pBdr>
        <w:shd w:val="clear" w:color="auto" w:fill="E4E4E4"/>
        <w:ind w:left="567" w:hanging="567"/>
      </w:pPr>
      <w:r>
        <w:t>3.202</w:t>
      </w:r>
      <w:r w:rsidR="00DF56F5">
        <w:tab/>
      </w:r>
      <w:r w:rsidRPr="00CB0653">
        <w:t>The Committee recommends that the Australian Government’s National Emergency Management Agency increase awareness and education around betterment options under Category B Disaster Recovery Funding Arrangements.</w:t>
      </w:r>
    </w:p>
    <w:p w14:paraId="1D2149CB" w14:textId="77777777" w:rsidR="00DF56F5" w:rsidRDefault="00DF56F5" w:rsidP="00DF56F5">
      <w:r>
        <w:t xml:space="preserve">The </w:t>
      </w:r>
      <w:r w:rsidR="005E17D4">
        <w:t xml:space="preserve">Australian </w:t>
      </w:r>
      <w:r>
        <w:t xml:space="preserve">Government </w:t>
      </w:r>
      <w:r w:rsidR="00CC7D95">
        <w:rPr>
          <w:b/>
        </w:rPr>
        <w:t xml:space="preserve">agrees </w:t>
      </w:r>
      <w:r w:rsidR="00526C25">
        <w:rPr>
          <w:b/>
        </w:rPr>
        <w:t>in</w:t>
      </w:r>
      <w:r w:rsidR="00CC7D95">
        <w:rPr>
          <w:b/>
        </w:rPr>
        <w:t xml:space="preserve"> </w:t>
      </w:r>
      <w:r w:rsidR="00526C25">
        <w:rPr>
          <w:b/>
        </w:rPr>
        <w:t>principle</w:t>
      </w:r>
      <w:r>
        <w:t xml:space="preserve"> </w:t>
      </w:r>
      <w:r w:rsidR="00CC7D95">
        <w:t xml:space="preserve">with </w:t>
      </w:r>
      <w:r>
        <w:t>this recommendation.</w:t>
      </w:r>
    </w:p>
    <w:p w14:paraId="2118C352" w14:textId="77777777" w:rsidR="00200CC7" w:rsidRPr="0006729C" w:rsidRDefault="00200CC7" w:rsidP="00200CC7">
      <w:r w:rsidRPr="0006729C">
        <w:t xml:space="preserve">Together with states and territories, </w:t>
      </w:r>
      <w:r>
        <w:t xml:space="preserve">NEMA </w:t>
      </w:r>
      <w:r w:rsidRPr="0006729C">
        <w:t>delivered a series of targeted outreach events throughout 2023 through a national DRFA Roadshow. The purpose of this engagement was to ensure local governments had a greater understanding of the application and requirements of the DRFA and to enhance partnerships across all levels of government. These sessions were tailored, reflecting that each jurisdiction has its own disaster recovery arrangements and capability maturity and relationships with local governments. The DRFA Roadshows covered:</w:t>
      </w:r>
    </w:p>
    <w:p w14:paraId="4E09DAB5" w14:textId="77777777" w:rsidR="00200CC7" w:rsidRPr="0006729C" w:rsidRDefault="00200CC7" w:rsidP="00200CC7">
      <w:pPr>
        <w:pStyle w:val="ListParagraph"/>
        <w:numPr>
          <w:ilvl w:val="0"/>
          <w:numId w:val="7"/>
        </w:numPr>
      </w:pPr>
      <w:r w:rsidRPr="0006729C">
        <w:t>relief measures available, with a focus on roads and other essential public asset reconstruction (including betterment), and activation processes</w:t>
      </w:r>
    </w:p>
    <w:p w14:paraId="6B183B40" w14:textId="77777777" w:rsidR="00200CC7" w:rsidRDefault="00200CC7" w:rsidP="00200CC7">
      <w:pPr>
        <w:pStyle w:val="ListParagraph"/>
        <w:numPr>
          <w:ilvl w:val="0"/>
          <w:numId w:val="7"/>
        </w:numPr>
      </w:pPr>
      <w:r w:rsidRPr="0006729C">
        <w:t xml:space="preserve">eligibility, evidentiary requirements, and the DRFA claims acquittal and assurance processes including </w:t>
      </w:r>
      <w:proofErr w:type="gramStart"/>
      <w:r w:rsidRPr="0006729C">
        <w:t>through the use of</w:t>
      </w:r>
      <w:proofErr w:type="gramEnd"/>
      <w:r w:rsidRPr="0006729C">
        <w:t xml:space="preserve"> practical case scenarios</w:t>
      </w:r>
      <w:r>
        <w:t>.</w:t>
      </w:r>
    </w:p>
    <w:p w14:paraId="1BA5FCDD" w14:textId="77777777" w:rsidR="00200CC7" w:rsidRDefault="00200CC7" w:rsidP="00200CC7">
      <w:r>
        <w:t xml:space="preserve">The Roadshows </w:t>
      </w:r>
      <w:r w:rsidRPr="0006729C">
        <w:t xml:space="preserve">provided an opportunity for local councils to raise key concerns and ask questions of DRFA experts in both the </w:t>
      </w:r>
      <w:r>
        <w:t>Australian Government</w:t>
      </w:r>
      <w:r w:rsidRPr="0006729C">
        <w:t xml:space="preserve"> and relevant state </w:t>
      </w:r>
      <w:r>
        <w:t>g</w:t>
      </w:r>
      <w:r w:rsidRPr="0006729C">
        <w:t xml:space="preserve">overnment </w:t>
      </w:r>
      <w:r>
        <w:t>d</w:t>
      </w:r>
      <w:r w:rsidRPr="0006729C">
        <w:t>epartments.</w:t>
      </w:r>
      <w:r>
        <w:t xml:space="preserve"> </w:t>
      </w:r>
      <w:r w:rsidRPr="0006729C">
        <w:t xml:space="preserve">The national DRFA Roadshow delivered 31 sessions across every jurisdiction, attended by more than 1100 participants from over 330 local governments and delivery agencies. The key themes that emerged throughout the Roadshow engagements were: </w:t>
      </w:r>
    </w:p>
    <w:p w14:paraId="49E27271" w14:textId="77777777" w:rsidR="00200CC7" w:rsidRPr="0006729C" w:rsidRDefault="00200CC7" w:rsidP="00200CC7">
      <w:pPr>
        <w:pStyle w:val="ListParagraph"/>
        <w:numPr>
          <w:ilvl w:val="0"/>
          <w:numId w:val="7"/>
        </w:numPr>
      </w:pPr>
      <w:r w:rsidRPr="0006729C">
        <w:t xml:space="preserve">the need for a timely flow of funding (including </w:t>
      </w:r>
      <w:r>
        <w:t>Australian Government</w:t>
      </w:r>
      <w:r w:rsidRPr="0006729C">
        <w:t xml:space="preserve"> DRFA funding) to councils to support recovery</w:t>
      </w:r>
    </w:p>
    <w:p w14:paraId="0F4D2FD2" w14:textId="77777777" w:rsidR="00200CC7" w:rsidRPr="0006729C" w:rsidRDefault="00200CC7" w:rsidP="00200CC7">
      <w:pPr>
        <w:pStyle w:val="ListParagraph"/>
        <w:numPr>
          <w:ilvl w:val="0"/>
          <w:numId w:val="7"/>
        </w:numPr>
      </w:pPr>
      <w:r w:rsidRPr="0006729C">
        <w:t xml:space="preserve">recognition of the need for increased funding to </w:t>
      </w:r>
      <w:r>
        <w:t>l</w:t>
      </w:r>
      <w:r w:rsidRPr="0006729C">
        <w:t xml:space="preserve">ocal </w:t>
      </w:r>
      <w:r>
        <w:t>g</w:t>
      </w:r>
      <w:r w:rsidRPr="0006729C">
        <w:t>overnments, including the minimum funding required to maintain Australia’s extensive road networks</w:t>
      </w:r>
    </w:p>
    <w:p w14:paraId="1F304BCE" w14:textId="77777777" w:rsidR="00200CC7" w:rsidRDefault="00200CC7" w:rsidP="00200CC7">
      <w:pPr>
        <w:pStyle w:val="ListParagraph"/>
        <w:numPr>
          <w:ilvl w:val="0"/>
          <w:numId w:val="7"/>
        </w:numPr>
      </w:pPr>
      <w:r w:rsidRPr="0006729C">
        <w:t>the need for additional engagement across all levels of government to enhance understanding of DRFA settings, roles and responsibilities</w:t>
      </w:r>
    </w:p>
    <w:p w14:paraId="1AD8E060" w14:textId="77777777" w:rsidR="00200CC7" w:rsidRPr="0006729C" w:rsidRDefault="00200CC7" w:rsidP="00200CC7">
      <w:pPr>
        <w:pStyle w:val="ListParagraph"/>
        <w:numPr>
          <w:ilvl w:val="0"/>
          <w:numId w:val="7"/>
        </w:numPr>
      </w:pPr>
      <w:r w:rsidRPr="0006729C">
        <w:t>increased investment in resilient infrastructure or betterment of existing infrastructure.</w:t>
      </w:r>
    </w:p>
    <w:p w14:paraId="0D2481BE" w14:textId="77777777" w:rsidR="00200CC7" w:rsidRDefault="00200CC7" w:rsidP="00200CC7">
      <w:r w:rsidRPr="0006729C">
        <w:t>An evaluation of the DRFA Roadshow sessions demonstrated high levels of engagement by all stakeholders and recommendations for continued engagement and or tailored/targeted sessions. NEMA continues to engage with state and local governments to build and mature the understanding of the DRFA, including through identifying opportunities for targeted engagement, such as preparing for future high</w:t>
      </w:r>
      <w:r>
        <w:t>-</w:t>
      </w:r>
      <w:r w:rsidRPr="0006729C">
        <w:t>risk weather seasons.</w:t>
      </w:r>
    </w:p>
    <w:p w14:paraId="01047068" w14:textId="77777777" w:rsidR="00B72C6A" w:rsidRPr="00A509E3" w:rsidRDefault="00B72C6A" w:rsidP="00A509E3">
      <w:r w:rsidRPr="00A509E3">
        <w:t xml:space="preserve">NEMA continues to engage with state and local governments to build and mature the understanding of the DRFA. Follow up Roadshow sessions were conducted with </w:t>
      </w:r>
      <w:proofErr w:type="gramStart"/>
      <w:r w:rsidRPr="00A509E3">
        <w:t>a number of</w:t>
      </w:r>
      <w:proofErr w:type="gramEnd"/>
      <w:r w:rsidRPr="00A509E3">
        <w:t xml:space="preserve"> states in 2024, and as requested by states in 2025. These sessions were tailored to the needs of the states and their local councils. Engagement with states </w:t>
      </w:r>
      <w:proofErr w:type="gramStart"/>
      <w:r w:rsidRPr="00A509E3">
        <w:t>continues on</w:t>
      </w:r>
      <w:proofErr w:type="gramEnd"/>
      <w:r w:rsidRPr="00A509E3">
        <w:t xml:space="preserve"> an ongoing basis.</w:t>
      </w:r>
    </w:p>
    <w:p w14:paraId="4DD77A2E" w14:textId="77777777" w:rsidR="00DF56F5" w:rsidRDefault="00200CC7" w:rsidP="003803E9">
      <w:r w:rsidRPr="0006729C">
        <w:t>Future outreach will also seek to address the outcomes of the multiple relevant reviews being undertaken, while also seeking to further strengthen stakeholder relationships and further aid the effective utilisation of the DRFA to support recovery (and resilience) activities.</w:t>
      </w:r>
      <w:r w:rsidR="007E03AF">
        <w:t xml:space="preserve"> </w:t>
      </w:r>
    </w:p>
    <w:p w14:paraId="0AE814A5" w14:textId="77777777" w:rsidR="00F56CD9" w:rsidRDefault="00F56CD9">
      <w:pPr>
        <w:spacing w:after="160" w:line="259" w:lineRule="auto"/>
        <w:rPr>
          <w:rFonts w:asciiTheme="majorHAnsi" w:eastAsiaTheme="majorEastAsia" w:hAnsiTheme="majorHAnsi" w:cstheme="majorBidi"/>
          <w:b/>
          <w:sz w:val="30"/>
          <w:szCs w:val="24"/>
          <w:lang w:eastAsia="en-US"/>
        </w:rPr>
      </w:pPr>
      <w:r>
        <w:br w:type="page"/>
      </w:r>
    </w:p>
    <w:p w14:paraId="5E770443" w14:textId="1F2288D5" w:rsidR="00DF56F5" w:rsidRDefault="00DF56F5" w:rsidP="00DF56F5">
      <w:pPr>
        <w:pStyle w:val="Heading3"/>
        <w:pBdr>
          <w:top w:val="single" w:sz="4" w:space="1" w:color="auto"/>
          <w:left w:val="single" w:sz="4" w:space="4" w:color="auto"/>
          <w:bottom w:val="single" w:sz="4" w:space="1" w:color="auto"/>
          <w:right w:val="single" w:sz="4" w:space="4" w:color="auto"/>
        </w:pBdr>
      </w:pPr>
      <w:bookmarkStart w:id="23" w:name="_Toc219188302"/>
      <w:r>
        <w:lastRenderedPageBreak/>
        <w:t>Recommendation 13:</w:t>
      </w:r>
      <w:bookmarkEnd w:id="23"/>
    </w:p>
    <w:p w14:paraId="16EB581B" w14:textId="77777777" w:rsidR="00DF56F5" w:rsidRDefault="00CB0653" w:rsidP="00200CC7">
      <w:pPr>
        <w:pBdr>
          <w:top w:val="single" w:sz="4" w:space="1" w:color="auto"/>
          <w:left w:val="single" w:sz="4" w:space="4" w:color="auto"/>
          <w:bottom w:val="single" w:sz="4" w:space="1" w:color="auto"/>
          <w:right w:val="single" w:sz="4" w:space="4" w:color="auto"/>
        </w:pBdr>
        <w:shd w:val="clear" w:color="auto" w:fill="E4E4E4"/>
        <w:ind w:left="567" w:hanging="567"/>
      </w:pPr>
      <w:r>
        <w:t>3.205</w:t>
      </w:r>
      <w:r w:rsidR="00DF56F5">
        <w:tab/>
      </w:r>
      <w:r w:rsidRPr="00CB0653">
        <w:t>The Committee recommends that the National Emergency Management Ministers’ Meeting include infrastructure resilience on its agenda to foster cross-agency collaboration and coordination across the Australian Government.</w:t>
      </w:r>
    </w:p>
    <w:p w14:paraId="5D9FCE83" w14:textId="61A7B9D1" w:rsidR="00DF56F5" w:rsidRDefault="00DF56F5" w:rsidP="00DF56F5">
      <w:r>
        <w:t xml:space="preserve">The </w:t>
      </w:r>
      <w:r w:rsidR="005E17D4">
        <w:t xml:space="preserve">Australian </w:t>
      </w:r>
      <w:r>
        <w:t xml:space="preserve">Government </w:t>
      </w:r>
      <w:r w:rsidR="00F56CD9">
        <w:rPr>
          <w:b/>
          <w:bCs/>
        </w:rPr>
        <w:t xml:space="preserve">notes </w:t>
      </w:r>
      <w:r>
        <w:t>this recommendation.</w:t>
      </w:r>
    </w:p>
    <w:p w14:paraId="56C25519" w14:textId="77777777" w:rsidR="00F72F19" w:rsidRDefault="00F72F19">
      <w:pPr>
        <w:spacing w:after="160" w:line="259" w:lineRule="auto"/>
      </w:pPr>
      <w:r w:rsidRPr="005F6085">
        <w:t xml:space="preserve">Strengthening consideration of natural hazard risk reduction and resilience, including infrastructure resilience, is a key priority for members </w:t>
      </w:r>
      <w:r>
        <w:t xml:space="preserve">of the </w:t>
      </w:r>
      <w:r w:rsidRPr="005F6085">
        <w:t xml:space="preserve">National Emergency Management Ministers’ Meeting </w:t>
      </w:r>
      <w:r>
        <w:t>(</w:t>
      </w:r>
      <w:r w:rsidRPr="005F6085">
        <w:t>NEMMM</w:t>
      </w:r>
      <w:r>
        <w:t>)</w:t>
      </w:r>
      <w:r w:rsidRPr="005F6085">
        <w:t>. However, it is recognised that primary portfolio responsibility for infrastructure resilience sits outside the portfolio</w:t>
      </w:r>
      <w:r w:rsidR="001A66DF">
        <w:t xml:space="preserve"> responsibilitie</w:t>
      </w:r>
      <w:r w:rsidRPr="005F6085">
        <w:t xml:space="preserve">s of NEMMM members in all jurisdictions, requiring engagement and cooperation with planning, building and infrastructure ministers. </w:t>
      </w:r>
    </w:p>
    <w:p w14:paraId="7847944B" w14:textId="77777777" w:rsidR="00F72F19" w:rsidRDefault="00F72F19">
      <w:pPr>
        <w:spacing w:after="160" w:line="259" w:lineRule="auto"/>
      </w:pPr>
    </w:p>
    <w:p w14:paraId="6D10F6E2" w14:textId="77777777" w:rsidR="009B3A8A" w:rsidRDefault="009B3A8A">
      <w:pPr>
        <w:spacing w:after="160" w:line="259" w:lineRule="auto"/>
      </w:pPr>
      <w:r>
        <w:br w:type="page"/>
      </w:r>
    </w:p>
    <w:p w14:paraId="3EDC1CD6" w14:textId="77777777" w:rsidR="009B3A8A" w:rsidRDefault="009B3A8A" w:rsidP="009B3A8A">
      <w:pPr>
        <w:pStyle w:val="Heading3"/>
        <w:pBdr>
          <w:top w:val="single" w:sz="4" w:space="1" w:color="auto"/>
          <w:left w:val="single" w:sz="4" w:space="4" w:color="auto"/>
          <w:bottom w:val="single" w:sz="4" w:space="1" w:color="auto"/>
          <w:right w:val="single" w:sz="4" w:space="4" w:color="auto"/>
        </w:pBdr>
      </w:pPr>
      <w:bookmarkStart w:id="24" w:name="_Toc219188303"/>
      <w:r>
        <w:lastRenderedPageBreak/>
        <w:t>Recommendation 14:</w:t>
      </w:r>
      <w:bookmarkEnd w:id="24"/>
    </w:p>
    <w:p w14:paraId="1D4B0467" w14:textId="77777777" w:rsidR="009B3A8A" w:rsidRDefault="003C4EA1" w:rsidP="00F72F19">
      <w:pPr>
        <w:pBdr>
          <w:top w:val="single" w:sz="4" w:space="1" w:color="auto"/>
          <w:left w:val="single" w:sz="4" w:space="4" w:color="auto"/>
          <w:bottom w:val="single" w:sz="4" w:space="1" w:color="auto"/>
          <w:right w:val="single" w:sz="4" w:space="4" w:color="auto"/>
        </w:pBdr>
        <w:shd w:val="clear" w:color="auto" w:fill="E4E4E4"/>
        <w:ind w:left="567" w:hanging="567"/>
      </w:pPr>
      <w:r>
        <w:t>3.209</w:t>
      </w:r>
      <w:r w:rsidR="009B3A8A">
        <w:tab/>
      </w:r>
      <w:r w:rsidR="00CE0532" w:rsidRPr="003C4EA1">
        <w:t>The Committee recommends that the Australian Government encourage its state and territory counterparts to work with local governments to facilitate local council collectives to deliver road asset management projects and to guide voluntary road user agreement negotiations with industry.</w:t>
      </w:r>
    </w:p>
    <w:p w14:paraId="61F4A1E8" w14:textId="77777777" w:rsidR="009B3A8A" w:rsidRDefault="009B3A8A" w:rsidP="009B3A8A">
      <w:r>
        <w:t xml:space="preserve">The </w:t>
      </w:r>
      <w:r w:rsidR="005E17D4">
        <w:t xml:space="preserve">Australian </w:t>
      </w:r>
      <w:r>
        <w:t xml:space="preserve">Government </w:t>
      </w:r>
      <w:r w:rsidR="000C05BE">
        <w:rPr>
          <w:b/>
        </w:rPr>
        <w:t>notes</w:t>
      </w:r>
      <w:r w:rsidR="000C05BE">
        <w:t xml:space="preserve"> </w:t>
      </w:r>
      <w:r>
        <w:t>this recommendation.</w:t>
      </w:r>
    </w:p>
    <w:p w14:paraId="00F42DDB" w14:textId="77777777" w:rsidR="00F72F19" w:rsidRDefault="00F72F19" w:rsidP="00F72F19">
      <w:r w:rsidRPr="00C27A35">
        <w:t>The Australian Government is committed to working in partnership with local, state and territory governments to deliver services and build infrastructure that delivers benefits and supports jobs in local communities.</w:t>
      </w:r>
    </w:p>
    <w:p w14:paraId="328FE59A" w14:textId="77777777" w:rsidR="00F72F19" w:rsidRPr="00DF3D58" w:rsidRDefault="00F72F19" w:rsidP="00F72F19">
      <w:pPr>
        <w:pStyle w:val="CommentText"/>
        <w:rPr>
          <w:sz w:val="22"/>
          <w:szCs w:val="22"/>
        </w:rPr>
      </w:pPr>
      <w:r w:rsidRPr="00DF3D58">
        <w:rPr>
          <w:sz w:val="22"/>
          <w:szCs w:val="22"/>
        </w:rPr>
        <w:t xml:space="preserve">The Australian Government notes that while councils have responsibility for </w:t>
      </w:r>
      <w:proofErr w:type="gramStart"/>
      <w:r w:rsidRPr="00DF3D58">
        <w:rPr>
          <w:sz w:val="22"/>
          <w:szCs w:val="22"/>
        </w:rPr>
        <w:t>the majority of</w:t>
      </w:r>
      <w:proofErr w:type="gramEnd"/>
      <w:r w:rsidRPr="00DF3D58">
        <w:rPr>
          <w:sz w:val="22"/>
          <w:szCs w:val="22"/>
        </w:rPr>
        <w:t xml:space="preserve"> roads in Australia, they are constrained by limited resources. State and territory governments are best placed to assist local councils where necessary. The Australian Government will use mechanisms such as the </w:t>
      </w:r>
      <w:r w:rsidR="00A21713">
        <w:rPr>
          <w:sz w:val="22"/>
          <w:szCs w:val="22"/>
        </w:rPr>
        <w:t>FFAS</w:t>
      </w:r>
      <w:r w:rsidRPr="00DF3D58">
        <w:rPr>
          <w:sz w:val="22"/>
          <w:szCs w:val="22"/>
        </w:rPr>
        <w:t xml:space="preserve"> and existing forums with states and territories to encourage closer cross-jurisdictional collaboration. It is expected the Annual Infrastructure Plans developed by the states and territories under the </w:t>
      </w:r>
      <w:r w:rsidR="00A21713">
        <w:rPr>
          <w:sz w:val="22"/>
          <w:szCs w:val="22"/>
        </w:rPr>
        <w:t>FFAS</w:t>
      </w:r>
      <w:r w:rsidRPr="00DF3D58">
        <w:rPr>
          <w:sz w:val="22"/>
          <w:szCs w:val="22"/>
        </w:rPr>
        <w:t xml:space="preserve"> will reflect local government road asset priorities within their jurisdictions. </w:t>
      </w:r>
    </w:p>
    <w:p w14:paraId="556823E1" w14:textId="18D07E61" w:rsidR="00F72F19" w:rsidRDefault="00F72F19" w:rsidP="00F72F19">
      <w:r>
        <w:t xml:space="preserve">In November 2023, the Australian Government announced major funding increases and changes to local roads investment programs to benefit </w:t>
      </w:r>
      <w:r w:rsidR="00F279B8">
        <w:t>local governments</w:t>
      </w:r>
      <w:r>
        <w:t>. This funding will give councils the stability and funding certainty to establish and grow local resources to tackle the challenges of upgrading and maintaining regional road networks, which have been heavily impacted by severe weather in recent years. More funding for local roads will enhance safety and connectivity for communities, especially in regional Australia.</w:t>
      </w:r>
    </w:p>
    <w:p w14:paraId="74B37A5D" w14:textId="4A2868D9" w:rsidR="00F72F19" w:rsidRDefault="00FF59F9" w:rsidP="00FA62F5">
      <w:r>
        <w:t xml:space="preserve">As referenced </w:t>
      </w:r>
      <w:r w:rsidR="00BF0978">
        <w:t>in the response to Recommendation 6</w:t>
      </w:r>
      <w:r>
        <w:t>, t</w:t>
      </w:r>
      <w:r w:rsidR="00F72F19">
        <w:t>his funding included</w:t>
      </w:r>
      <w:r w:rsidR="00FA62F5">
        <w:t xml:space="preserve"> </w:t>
      </w:r>
      <w:r w:rsidR="00F72F19">
        <w:t>Roads to Recovery Program funding</w:t>
      </w:r>
      <w:r w:rsidR="00E63414">
        <w:t>,</w:t>
      </w:r>
      <w:r w:rsidR="00F72F19">
        <w:t xml:space="preserve"> which </w:t>
      </w:r>
      <w:r w:rsidR="00B65D04">
        <w:t>is</w:t>
      </w:r>
      <w:r w:rsidR="00B6553B" w:rsidRPr="00FE4163">
        <w:t xml:space="preserve"> </w:t>
      </w:r>
      <w:r w:rsidR="00B65D04" w:rsidRPr="00FE4163">
        <w:t>increas</w:t>
      </w:r>
      <w:r w:rsidR="00B65D04">
        <w:t>ing</w:t>
      </w:r>
      <w:r w:rsidR="00B65D04" w:rsidRPr="00FE4163">
        <w:t xml:space="preserve"> </w:t>
      </w:r>
      <w:r w:rsidR="00B6553B" w:rsidRPr="00FE4163">
        <w:t>to $1 billion annually from 2027-28</w:t>
      </w:r>
      <w:r w:rsidR="00F72F19">
        <w:t>, supporting local governments and unincorporated areas responsible for local road infrastructure nationwide</w:t>
      </w:r>
      <w:r w:rsidR="002511B2">
        <w:t>.</w:t>
      </w:r>
    </w:p>
    <w:p w14:paraId="246A3999" w14:textId="77777777" w:rsidR="009B3A8A" w:rsidRDefault="00F72F19" w:rsidP="00F72F19">
      <w:r>
        <w:t xml:space="preserve">Since 2019 the Australian Government has </w:t>
      </w:r>
      <w:r w:rsidR="000F37F8">
        <w:t>also</w:t>
      </w:r>
      <w:r>
        <w:t xml:space="preserve"> funded the Strategic Local Government Asset Assessment Project (SLGAAP) to assist local government road managers undertake capacity assessments of bridges and culverts on key routes for heavy vehicles. The initiative provides information on safe operating limits of road infrastructure and facilitates safe access for heavy vehicles, informing long-term asset management plans.</w:t>
      </w:r>
    </w:p>
    <w:p w14:paraId="1A306725" w14:textId="77777777" w:rsidR="009B3A8A" w:rsidRDefault="009B3A8A">
      <w:pPr>
        <w:spacing w:after="160" w:line="259" w:lineRule="auto"/>
      </w:pPr>
      <w:r>
        <w:br w:type="page"/>
      </w:r>
    </w:p>
    <w:p w14:paraId="4DF1B1A2" w14:textId="77777777" w:rsidR="009B3A8A" w:rsidRDefault="009B3A8A" w:rsidP="009B3A8A">
      <w:pPr>
        <w:pStyle w:val="Heading3"/>
        <w:pBdr>
          <w:top w:val="single" w:sz="4" w:space="1" w:color="auto"/>
          <w:left w:val="single" w:sz="4" w:space="4" w:color="auto"/>
          <w:bottom w:val="single" w:sz="4" w:space="1" w:color="auto"/>
          <w:right w:val="single" w:sz="4" w:space="4" w:color="auto"/>
        </w:pBdr>
      </w:pPr>
      <w:bookmarkStart w:id="25" w:name="_Toc219188304"/>
      <w:r>
        <w:lastRenderedPageBreak/>
        <w:t>Recommendation 15:</w:t>
      </w:r>
      <w:bookmarkEnd w:id="25"/>
    </w:p>
    <w:p w14:paraId="4C3880B9" w14:textId="77777777" w:rsidR="009B3A8A" w:rsidRDefault="006F1AD5" w:rsidP="009B3A8A">
      <w:pPr>
        <w:pBdr>
          <w:top w:val="single" w:sz="4" w:space="1" w:color="auto"/>
          <w:left w:val="single" w:sz="4" w:space="4" w:color="auto"/>
          <w:bottom w:val="single" w:sz="4" w:space="1" w:color="auto"/>
          <w:right w:val="single" w:sz="4" w:space="4" w:color="auto"/>
        </w:pBdr>
        <w:shd w:val="clear" w:color="auto" w:fill="E4E4E4"/>
        <w:ind w:left="567" w:hanging="567"/>
      </w:pPr>
      <w:r>
        <w:t>4.155</w:t>
      </w:r>
      <w:r w:rsidR="009B3A8A">
        <w:tab/>
      </w:r>
      <w:r w:rsidR="00AB44D9" w:rsidRPr="00AB44D9">
        <w:t>The Committee recommends that the Australian Government collaborate with state and territory governments, the scientific community, and industry to revise national road infrastructure design and construction standards, allowing for:</w:t>
      </w:r>
    </w:p>
    <w:p w14:paraId="2EAF1020" w14:textId="2B7E76E5" w:rsidR="00F6457B" w:rsidRDefault="00DD0795" w:rsidP="00DD0795">
      <w:pPr>
        <w:pBdr>
          <w:top w:val="single" w:sz="4" w:space="1" w:color="auto"/>
          <w:left w:val="single" w:sz="4" w:space="4" w:color="auto"/>
          <w:bottom w:val="single" w:sz="4" w:space="1" w:color="auto"/>
          <w:right w:val="single" w:sz="4" w:space="4" w:color="auto"/>
        </w:pBdr>
        <w:shd w:val="clear" w:color="auto" w:fill="E4E4E4"/>
        <w:tabs>
          <w:tab w:val="left" w:pos="851"/>
        </w:tabs>
        <w:spacing w:after="0"/>
        <w:ind w:left="567" w:hanging="567"/>
      </w:pPr>
      <w:r>
        <w:tab/>
      </w:r>
      <w:r w:rsidR="009969C8">
        <w:t>–</w:t>
      </w:r>
      <w:r>
        <w:tab/>
      </w:r>
      <w:r w:rsidR="00AB44D9" w:rsidRPr="00AB44D9">
        <w:t>state and territory and place-based resilience requirements</w:t>
      </w:r>
    </w:p>
    <w:p w14:paraId="0D0A6A14" w14:textId="1AB200CA" w:rsidR="00F6457B" w:rsidRDefault="00DD0795" w:rsidP="00DD0795">
      <w:pPr>
        <w:pBdr>
          <w:top w:val="single" w:sz="4" w:space="1" w:color="auto"/>
          <w:left w:val="single" w:sz="4" w:space="4" w:color="auto"/>
          <w:bottom w:val="single" w:sz="4" w:space="1" w:color="auto"/>
          <w:right w:val="single" w:sz="4" w:space="4" w:color="auto"/>
        </w:pBdr>
        <w:shd w:val="clear" w:color="auto" w:fill="E4E4E4"/>
        <w:tabs>
          <w:tab w:val="left" w:pos="851"/>
        </w:tabs>
        <w:spacing w:after="0"/>
        <w:ind w:left="567" w:hanging="567"/>
      </w:pPr>
      <w:r>
        <w:tab/>
      </w:r>
      <w:r w:rsidR="009969C8">
        <w:t>–</w:t>
      </w:r>
      <w:r>
        <w:tab/>
      </w:r>
      <w:r w:rsidR="00AB44D9" w:rsidRPr="00AB44D9">
        <w:t>contemporary and adaptive engineering and design principles</w:t>
      </w:r>
    </w:p>
    <w:p w14:paraId="63943B8F" w14:textId="3CB78670" w:rsidR="00F6457B" w:rsidRDefault="00DD0795" w:rsidP="00DD0795">
      <w:pPr>
        <w:pBdr>
          <w:top w:val="single" w:sz="4" w:space="1" w:color="auto"/>
          <w:left w:val="single" w:sz="4" w:space="4" w:color="auto"/>
          <w:bottom w:val="single" w:sz="4" w:space="1" w:color="auto"/>
          <w:right w:val="single" w:sz="4" w:space="4" w:color="auto"/>
        </w:pBdr>
        <w:shd w:val="clear" w:color="auto" w:fill="E4E4E4"/>
        <w:tabs>
          <w:tab w:val="left" w:pos="851"/>
        </w:tabs>
        <w:spacing w:after="0"/>
        <w:ind w:left="567" w:hanging="567"/>
      </w:pPr>
      <w:r>
        <w:tab/>
      </w:r>
      <w:r w:rsidR="009969C8">
        <w:t>–</w:t>
      </w:r>
      <w:r>
        <w:tab/>
      </w:r>
      <w:r w:rsidR="00AB44D9" w:rsidRPr="00AB44D9">
        <w:t>innovative and recycled technologies</w:t>
      </w:r>
    </w:p>
    <w:p w14:paraId="4B4CFCFC" w14:textId="7C56BF31" w:rsidR="009969C8" w:rsidRDefault="00DD0795" w:rsidP="009969C8">
      <w:pPr>
        <w:pBdr>
          <w:top w:val="single" w:sz="4" w:space="1" w:color="auto"/>
          <w:left w:val="single" w:sz="4" w:space="4" w:color="auto"/>
          <w:bottom w:val="single" w:sz="4" w:space="1" w:color="auto"/>
          <w:right w:val="single" w:sz="4" w:space="4" w:color="auto"/>
        </w:pBdr>
        <w:shd w:val="clear" w:color="auto" w:fill="E4E4E4"/>
        <w:tabs>
          <w:tab w:val="left" w:pos="851"/>
        </w:tabs>
        <w:spacing w:after="0"/>
        <w:ind w:left="567" w:hanging="567"/>
      </w:pPr>
      <w:r>
        <w:tab/>
      </w:r>
      <w:r w:rsidR="00C433B2">
        <w:t>–</w:t>
      </w:r>
      <w:r>
        <w:tab/>
      </w:r>
      <w:r w:rsidR="00AB44D9" w:rsidRPr="00AB44D9">
        <w:t>local government assistance to access innovative technologies and recycled materials</w:t>
      </w:r>
      <w:r>
        <w:t xml:space="preserve"> </w:t>
      </w:r>
    </w:p>
    <w:p w14:paraId="246110E6" w14:textId="26F1B89B" w:rsidR="009969C8" w:rsidRDefault="009969C8" w:rsidP="009969C8">
      <w:pPr>
        <w:pBdr>
          <w:top w:val="single" w:sz="4" w:space="1" w:color="auto"/>
          <w:left w:val="single" w:sz="4" w:space="4" w:color="auto"/>
          <w:bottom w:val="single" w:sz="4" w:space="1" w:color="auto"/>
          <w:right w:val="single" w:sz="4" w:space="4" w:color="auto"/>
        </w:pBdr>
        <w:shd w:val="clear" w:color="auto" w:fill="E4E4E4"/>
        <w:tabs>
          <w:tab w:val="left" w:pos="851"/>
        </w:tabs>
        <w:spacing w:after="0"/>
        <w:ind w:left="567" w:hanging="567"/>
      </w:pPr>
      <w:r>
        <w:tab/>
      </w:r>
      <w:r w:rsidR="00C433B2">
        <w:t>–</w:t>
      </w:r>
      <w:r>
        <w:tab/>
      </w:r>
      <w:r w:rsidR="00AB44D9" w:rsidRPr="00AB44D9">
        <w:t xml:space="preserve">consideration and identification of climate resilient corridors, including through the </w:t>
      </w:r>
    </w:p>
    <w:p w14:paraId="6CE0C402" w14:textId="77777777" w:rsidR="009969C8" w:rsidRDefault="009969C8" w:rsidP="009969C8">
      <w:pPr>
        <w:pBdr>
          <w:top w:val="single" w:sz="4" w:space="1" w:color="auto"/>
          <w:left w:val="single" w:sz="4" w:space="4" w:color="auto"/>
          <w:bottom w:val="single" w:sz="4" w:space="1" w:color="auto"/>
          <w:right w:val="single" w:sz="4" w:space="4" w:color="auto"/>
        </w:pBdr>
        <w:shd w:val="clear" w:color="auto" w:fill="E4E4E4"/>
        <w:tabs>
          <w:tab w:val="left" w:pos="851"/>
        </w:tabs>
        <w:spacing w:after="0"/>
        <w:ind w:left="567" w:hanging="567"/>
      </w:pPr>
      <w:r>
        <w:tab/>
      </w:r>
      <w:r>
        <w:tab/>
      </w:r>
      <w:r w:rsidR="00AB44D9" w:rsidRPr="00AB44D9">
        <w:t xml:space="preserve">Australian Government’s Bureau of Infrastructure and Transport and Research Economics’ </w:t>
      </w:r>
    </w:p>
    <w:p w14:paraId="32EBE01B" w14:textId="0F0E1825" w:rsidR="00AB44D9" w:rsidRDefault="009969C8" w:rsidP="009969C8">
      <w:pPr>
        <w:pBdr>
          <w:top w:val="single" w:sz="4" w:space="1" w:color="auto"/>
          <w:left w:val="single" w:sz="4" w:space="4" w:color="auto"/>
          <w:bottom w:val="single" w:sz="4" w:space="1" w:color="auto"/>
          <w:right w:val="single" w:sz="4" w:space="4" w:color="auto"/>
        </w:pBdr>
        <w:shd w:val="clear" w:color="auto" w:fill="E4E4E4"/>
        <w:tabs>
          <w:tab w:val="left" w:pos="851"/>
        </w:tabs>
        <w:spacing w:after="0"/>
        <w:ind w:left="567" w:hanging="567"/>
      </w:pPr>
      <w:r>
        <w:tab/>
      </w:r>
      <w:r>
        <w:tab/>
      </w:r>
      <w:r w:rsidR="00AB44D9" w:rsidRPr="00AB44D9">
        <w:t>Road and Rail Supply Chain Resilience Review.</w:t>
      </w:r>
    </w:p>
    <w:p w14:paraId="43C4F3E3" w14:textId="77777777" w:rsidR="00DD0795" w:rsidRDefault="00DD0795" w:rsidP="00DD0795">
      <w:pPr>
        <w:pBdr>
          <w:top w:val="single" w:sz="4" w:space="1" w:color="auto"/>
          <w:left w:val="single" w:sz="4" w:space="4" w:color="auto"/>
          <w:bottom w:val="single" w:sz="4" w:space="1" w:color="auto"/>
          <w:right w:val="single" w:sz="4" w:space="4" w:color="auto"/>
        </w:pBdr>
        <w:shd w:val="clear" w:color="auto" w:fill="E4E4E4"/>
        <w:spacing w:after="0"/>
        <w:ind w:left="567" w:hanging="567"/>
      </w:pPr>
    </w:p>
    <w:p w14:paraId="1E0135C4" w14:textId="77777777" w:rsidR="00AB44D9" w:rsidRPr="00AB44D9" w:rsidRDefault="00F6457B" w:rsidP="00AB44D9">
      <w:pPr>
        <w:pBdr>
          <w:top w:val="single" w:sz="4" w:space="1" w:color="auto"/>
          <w:left w:val="single" w:sz="4" w:space="4" w:color="auto"/>
          <w:bottom w:val="single" w:sz="4" w:space="1" w:color="auto"/>
          <w:right w:val="single" w:sz="4" w:space="4" w:color="auto"/>
        </w:pBdr>
        <w:shd w:val="clear" w:color="auto" w:fill="E4E4E4"/>
        <w:ind w:left="567" w:hanging="567"/>
      </w:pPr>
      <w:r>
        <w:tab/>
      </w:r>
      <w:r w:rsidR="00AB44D9" w:rsidRPr="00AB44D9">
        <w:t>It is expected that the standards would be informed by Austroads Guides, National Transport Research Organisation research, Bureau of Meteorology and Commonwealth Scientific and Industrial Research Organisation research, and industry standards.</w:t>
      </w:r>
    </w:p>
    <w:p w14:paraId="2F785E65" w14:textId="77777777" w:rsidR="009B3A8A" w:rsidRDefault="009B3A8A" w:rsidP="009B3A8A">
      <w:r>
        <w:t xml:space="preserve">The </w:t>
      </w:r>
      <w:r w:rsidR="005E17D4">
        <w:t xml:space="preserve">Australian </w:t>
      </w:r>
      <w:r>
        <w:t xml:space="preserve">Government </w:t>
      </w:r>
      <w:r>
        <w:rPr>
          <w:b/>
        </w:rPr>
        <w:t>agrees in principle</w:t>
      </w:r>
      <w:r>
        <w:t xml:space="preserve"> </w:t>
      </w:r>
      <w:r w:rsidR="007A3965">
        <w:t xml:space="preserve">with </w:t>
      </w:r>
      <w:r>
        <w:t>this recommendation.</w:t>
      </w:r>
    </w:p>
    <w:p w14:paraId="37CA1964" w14:textId="79884E81" w:rsidR="001B27F6" w:rsidRDefault="006A3174" w:rsidP="007A3965">
      <w:pPr>
        <w:rPr>
          <w:rFonts w:cstheme="minorHAnsi"/>
        </w:rPr>
      </w:pPr>
      <w:r>
        <w:rPr>
          <w:rFonts w:cstheme="minorHAnsi"/>
        </w:rPr>
        <w:t xml:space="preserve">The Australian Government is collaborating with relevant stakeholders to </w:t>
      </w:r>
      <w:r w:rsidR="00B21D4B">
        <w:rPr>
          <w:rFonts w:cstheme="minorHAnsi"/>
        </w:rPr>
        <w:t>include</w:t>
      </w:r>
      <w:r>
        <w:rPr>
          <w:rFonts w:cstheme="minorHAnsi"/>
        </w:rPr>
        <w:t xml:space="preserve"> consideration of resilience, innovative technologies and</w:t>
      </w:r>
      <w:r w:rsidR="00B21D4B">
        <w:rPr>
          <w:rFonts w:cstheme="minorHAnsi"/>
        </w:rPr>
        <w:t xml:space="preserve"> </w:t>
      </w:r>
      <w:r w:rsidR="00B21D4B" w:rsidRPr="00304228">
        <w:t>greenhouse gas emissions</w:t>
      </w:r>
      <w:r w:rsidR="00B21D4B">
        <w:rPr>
          <w:rFonts w:cstheme="minorHAnsi"/>
        </w:rPr>
        <w:t xml:space="preserve"> </w:t>
      </w:r>
      <w:r>
        <w:rPr>
          <w:rFonts w:cstheme="minorHAnsi"/>
        </w:rPr>
        <w:t>in infrastructure investment.</w:t>
      </w:r>
    </w:p>
    <w:p w14:paraId="5F3CDCDB" w14:textId="77777777" w:rsidR="002D33A2" w:rsidRDefault="002D33A2" w:rsidP="002D33A2">
      <w:pPr>
        <w:pStyle w:val="CommentText"/>
      </w:pPr>
      <w:r w:rsidRPr="00AA79B0">
        <w:rPr>
          <w:rFonts w:eastAsiaTheme="minorEastAsia" w:cstheme="minorHAnsi"/>
          <w:sz w:val="22"/>
          <w:szCs w:val="22"/>
          <w:lang w:eastAsia="zh-TW"/>
        </w:rPr>
        <w:t>In December 2022, the National Cabinet tasked Planning Ministers from all jurisdictions with developing a framework and guidance on nationally agreed principles for disaster and climate risk considerations in land use planning. This work is ongoing.</w:t>
      </w:r>
      <w:r>
        <w:t xml:space="preserve"> </w:t>
      </w:r>
    </w:p>
    <w:p w14:paraId="1BD3EF85" w14:textId="0B4B25DA" w:rsidR="007A3965" w:rsidRPr="00961174" w:rsidRDefault="007A3965" w:rsidP="000F0719">
      <w:pPr>
        <w:spacing w:line="256" w:lineRule="auto"/>
        <w:rPr>
          <w:rFonts w:cstheme="minorHAnsi"/>
        </w:rPr>
      </w:pPr>
      <w:r w:rsidRPr="00961174">
        <w:rPr>
          <w:rFonts w:cstheme="minorHAnsi"/>
        </w:rPr>
        <w:t xml:space="preserve">The Australian Government </w:t>
      </w:r>
      <w:r w:rsidR="00572DFE">
        <w:rPr>
          <w:rFonts w:cstheme="minorHAnsi"/>
        </w:rPr>
        <w:t>partnered</w:t>
      </w:r>
      <w:r w:rsidRPr="00961174">
        <w:rPr>
          <w:rFonts w:cstheme="minorHAnsi"/>
        </w:rPr>
        <w:t xml:space="preserve"> with Engineers Australia to update the climate change considerations chapter of the Australian Rainfall and Runoff (ARR) Guidelines. The updated chapter</w:t>
      </w:r>
      <w:r w:rsidR="00572DFE">
        <w:rPr>
          <w:rFonts w:cstheme="minorHAnsi"/>
        </w:rPr>
        <w:t>, released in August 2024,</w:t>
      </w:r>
      <w:r w:rsidRPr="00961174">
        <w:rPr>
          <w:rFonts w:cstheme="minorHAnsi"/>
        </w:rPr>
        <w:t xml:space="preserve"> will assist stakeholders to identify and manage flood risks to infrastructure, including roads, based on the latest climate science.</w:t>
      </w:r>
    </w:p>
    <w:p w14:paraId="2AE67226" w14:textId="7AB0DEBC" w:rsidR="000F37F8" w:rsidRPr="000F0719" w:rsidRDefault="007A3965" w:rsidP="000F0719">
      <w:pPr>
        <w:rPr>
          <w:rFonts w:ascii="Calibri" w:eastAsia="Times New Roman" w:hAnsi="Calibri" w:cs="Calibri"/>
          <w:lang w:val="en-US" w:eastAsia="en-AU"/>
        </w:rPr>
      </w:pPr>
      <w:r w:rsidRPr="000F0719">
        <w:rPr>
          <w:rFonts w:ascii="Calibri" w:eastAsia="Times New Roman" w:hAnsi="Calibri" w:cs="Calibri"/>
          <w:lang w:val="en-US" w:eastAsia="en-AU"/>
        </w:rPr>
        <w:t>The Australian Government supports the use of recycled products in major infrastructure projects, such as road construction and maintenance, compl</w:t>
      </w:r>
      <w:r w:rsidR="00794F60" w:rsidRPr="000F0719">
        <w:rPr>
          <w:rFonts w:ascii="Calibri" w:eastAsia="Times New Roman" w:hAnsi="Calibri" w:cs="Calibri"/>
          <w:lang w:val="en-US" w:eastAsia="en-AU"/>
        </w:rPr>
        <w:t>e</w:t>
      </w:r>
      <w:r w:rsidRPr="000F0719">
        <w:rPr>
          <w:rFonts w:ascii="Calibri" w:eastAsia="Times New Roman" w:hAnsi="Calibri" w:cs="Calibri"/>
          <w:lang w:val="en-US" w:eastAsia="en-AU"/>
        </w:rPr>
        <w:t xml:space="preserve">menting the </w:t>
      </w:r>
      <w:r w:rsidR="00DB3307" w:rsidRPr="000F0719">
        <w:rPr>
          <w:rFonts w:ascii="Calibri" w:eastAsia="Times New Roman" w:hAnsi="Calibri" w:cs="Calibri"/>
          <w:lang w:val="en-US" w:eastAsia="en-AU"/>
        </w:rPr>
        <w:t xml:space="preserve">Australian </w:t>
      </w:r>
      <w:r w:rsidRPr="000F0719">
        <w:rPr>
          <w:rFonts w:ascii="Calibri" w:eastAsia="Times New Roman" w:hAnsi="Calibri" w:cs="Calibri"/>
          <w:lang w:val="en-US" w:eastAsia="en-AU"/>
        </w:rPr>
        <w:t xml:space="preserve">Government's circular economy and net zero goals. For example, </w:t>
      </w:r>
      <w:r w:rsidR="00776D3D" w:rsidRPr="000F0719">
        <w:rPr>
          <w:rFonts w:ascii="Calibri" w:eastAsia="Times New Roman" w:hAnsi="Calibri" w:cs="Calibri"/>
          <w:lang w:val="en-US" w:eastAsia="en-AU"/>
        </w:rPr>
        <w:t xml:space="preserve">the </w:t>
      </w:r>
      <w:hyperlink r:id="rId29" w:history="1">
        <w:proofErr w:type="spellStart"/>
        <w:r w:rsidR="00776D3D" w:rsidRPr="003E72D8">
          <w:rPr>
            <w:rStyle w:val="Hyperlink"/>
            <w:rFonts w:ascii="Calibri" w:eastAsia="Times New Roman" w:hAnsi="Calibri" w:cs="Calibri"/>
            <w:lang w:val="en-US" w:eastAsia="en-AU"/>
          </w:rPr>
          <w:t>Tyre</w:t>
        </w:r>
        <w:proofErr w:type="spellEnd"/>
        <w:r w:rsidR="00776D3D" w:rsidRPr="003E72D8">
          <w:rPr>
            <w:rStyle w:val="Hyperlink"/>
            <w:rFonts w:ascii="Calibri" w:eastAsia="Times New Roman" w:hAnsi="Calibri" w:cs="Calibri"/>
            <w:lang w:val="en-US" w:eastAsia="en-AU"/>
          </w:rPr>
          <w:t xml:space="preserve"> Product Stewardship Scheme</w:t>
        </w:r>
      </w:hyperlink>
      <w:r w:rsidR="00776D3D" w:rsidRPr="000F0719">
        <w:rPr>
          <w:rFonts w:ascii="Calibri" w:eastAsia="Times New Roman" w:hAnsi="Calibri" w:cs="Calibri"/>
          <w:lang w:val="en-US" w:eastAsia="en-AU"/>
        </w:rPr>
        <w:t xml:space="preserve"> is an Australian Government accredited, industry-led voluntary scheme, managed by </w:t>
      </w:r>
      <w:proofErr w:type="spellStart"/>
      <w:r w:rsidRPr="000F0719">
        <w:rPr>
          <w:rFonts w:ascii="Calibri" w:eastAsia="Times New Roman" w:hAnsi="Calibri" w:cs="Calibri"/>
          <w:lang w:val="en-US" w:eastAsia="en-AU"/>
        </w:rPr>
        <w:t>Tyre</w:t>
      </w:r>
      <w:proofErr w:type="spellEnd"/>
      <w:r w:rsidRPr="000F0719">
        <w:rPr>
          <w:rFonts w:ascii="Calibri" w:eastAsia="Times New Roman" w:hAnsi="Calibri" w:cs="Calibri"/>
          <w:lang w:val="en-US" w:eastAsia="en-AU"/>
        </w:rPr>
        <w:t xml:space="preserve"> Stewardship Australia</w:t>
      </w:r>
      <w:r w:rsidR="00776D3D" w:rsidRPr="000F0719">
        <w:rPr>
          <w:rFonts w:ascii="Calibri" w:eastAsia="Times New Roman" w:hAnsi="Calibri" w:cs="Calibri"/>
          <w:lang w:val="en-US" w:eastAsia="en-AU"/>
        </w:rPr>
        <w:t>. The scheme</w:t>
      </w:r>
      <w:r w:rsidRPr="000F0719">
        <w:rPr>
          <w:rFonts w:ascii="Calibri" w:eastAsia="Times New Roman" w:hAnsi="Calibri" w:cs="Calibri"/>
          <w:lang w:val="en-US" w:eastAsia="en-AU"/>
        </w:rPr>
        <w:t xml:space="preserve"> has delivered a range of projects - including research and trials - to identify practical applications for </w:t>
      </w:r>
      <w:proofErr w:type="spellStart"/>
      <w:r w:rsidRPr="000F0719">
        <w:rPr>
          <w:rFonts w:ascii="Calibri" w:eastAsia="Times New Roman" w:hAnsi="Calibri" w:cs="Calibri"/>
          <w:lang w:val="en-US" w:eastAsia="en-AU"/>
        </w:rPr>
        <w:t>tyre</w:t>
      </w:r>
      <w:proofErr w:type="spellEnd"/>
      <w:r w:rsidRPr="000F0719">
        <w:rPr>
          <w:rFonts w:ascii="Calibri" w:eastAsia="Times New Roman" w:hAnsi="Calibri" w:cs="Calibri"/>
          <w:lang w:val="en-US" w:eastAsia="en-AU"/>
        </w:rPr>
        <w:t xml:space="preserve"> derived products </w:t>
      </w:r>
      <w:proofErr w:type="gramStart"/>
      <w:r w:rsidRPr="000F0719">
        <w:rPr>
          <w:rFonts w:ascii="Calibri" w:eastAsia="Times New Roman" w:hAnsi="Calibri" w:cs="Calibri"/>
          <w:lang w:val="en-US" w:eastAsia="en-AU"/>
        </w:rPr>
        <w:t>in</w:t>
      </w:r>
      <w:proofErr w:type="gramEnd"/>
      <w:r w:rsidRPr="000F0719">
        <w:rPr>
          <w:rFonts w:ascii="Calibri" w:eastAsia="Times New Roman" w:hAnsi="Calibri" w:cs="Calibri"/>
          <w:lang w:val="en-US" w:eastAsia="en-AU"/>
        </w:rPr>
        <w:t xml:space="preserve"> roads</w:t>
      </w:r>
      <w:r w:rsidR="00ED1804" w:rsidRPr="000F0719">
        <w:rPr>
          <w:rFonts w:ascii="Calibri" w:eastAsia="Times New Roman" w:hAnsi="Calibri" w:cs="Calibri"/>
          <w:lang w:val="en-US" w:eastAsia="en-AU"/>
        </w:rPr>
        <w:t xml:space="preserve">. </w:t>
      </w:r>
    </w:p>
    <w:p w14:paraId="65B5DF9D" w14:textId="77777777" w:rsidR="00C31556" w:rsidRDefault="00C31556" w:rsidP="00C31556">
      <w:pPr>
        <w:pStyle w:val="ListParagraph"/>
        <w:ind w:left="0"/>
        <w:rPr>
          <w:rFonts w:ascii="Calibri" w:eastAsia="Times New Roman" w:hAnsi="Calibri" w:cs="Calibri"/>
          <w:lang w:val="en-US" w:eastAsia="en-AU"/>
        </w:rPr>
      </w:pPr>
      <w:r w:rsidRPr="00E953A2">
        <w:rPr>
          <w:rFonts w:ascii="Calibri" w:eastAsia="Times New Roman" w:hAnsi="Calibri" w:cs="Calibri"/>
          <w:lang w:val="en-US" w:eastAsia="en-AU"/>
        </w:rPr>
        <w:t xml:space="preserve">The </w:t>
      </w:r>
      <w:proofErr w:type="spellStart"/>
      <w:r w:rsidRPr="00E953A2">
        <w:rPr>
          <w:rFonts w:ascii="Calibri" w:eastAsia="Times New Roman" w:hAnsi="Calibri" w:cs="Calibri"/>
          <w:lang w:val="en-US" w:eastAsia="en-AU"/>
        </w:rPr>
        <w:t>Austroads</w:t>
      </w:r>
      <w:proofErr w:type="spellEnd"/>
      <w:r w:rsidRPr="00E953A2">
        <w:rPr>
          <w:rFonts w:ascii="Calibri" w:eastAsia="Times New Roman" w:hAnsi="Calibri" w:cs="Calibri"/>
          <w:lang w:val="en-US" w:eastAsia="en-AU"/>
        </w:rPr>
        <w:t xml:space="preserve"> research program has </w:t>
      </w:r>
      <w:r>
        <w:rPr>
          <w:rFonts w:ascii="Calibri" w:eastAsia="Times New Roman" w:hAnsi="Calibri" w:cs="Calibri"/>
          <w:lang w:val="en-US" w:eastAsia="en-AU"/>
        </w:rPr>
        <w:t xml:space="preserve">also </w:t>
      </w:r>
      <w:r w:rsidRPr="00E953A2">
        <w:rPr>
          <w:rFonts w:ascii="Calibri" w:eastAsia="Times New Roman" w:hAnsi="Calibri" w:cs="Calibri"/>
          <w:lang w:val="en-US" w:eastAsia="en-AU"/>
        </w:rPr>
        <w:t xml:space="preserve">undertaken considerable research on use of recycled materials and innovative techniques, and the findings have been </w:t>
      </w:r>
      <w:r w:rsidR="0046581B">
        <w:rPr>
          <w:rFonts w:ascii="Calibri" w:eastAsia="Times New Roman" w:hAnsi="Calibri" w:cs="Calibri"/>
          <w:lang w:val="en-US" w:eastAsia="en-AU"/>
        </w:rPr>
        <w:t>and</w:t>
      </w:r>
      <w:r w:rsidRPr="00E953A2">
        <w:rPr>
          <w:rFonts w:ascii="Calibri" w:eastAsia="Times New Roman" w:hAnsi="Calibri" w:cs="Calibri"/>
          <w:lang w:val="en-US" w:eastAsia="en-AU"/>
        </w:rPr>
        <w:t xml:space="preserve"> will be incorporated into </w:t>
      </w:r>
      <w:proofErr w:type="spellStart"/>
      <w:r w:rsidRPr="00E953A2">
        <w:rPr>
          <w:rFonts w:ascii="Calibri" w:eastAsia="Times New Roman" w:hAnsi="Calibri" w:cs="Calibri"/>
          <w:lang w:val="en-US" w:eastAsia="en-AU"/>
        </w:rPr>
        <w:t>Austroads</w:t>
      </w:r>
      <w:proofErr w:type="spellEnd"/>
      <w:r w:rsidRPr="00E953A2">
        <w:rPr>
          <w:rFonts w:ascii="Calibri" w:eastAsia="Times New Roman" w:hAnsi="Calibri" w:cs="Calibri"/>
          <w:lang w:val="en-US" w:eastAsia="en-AU"/>
        </w:rPr>
        <w:t xml:space="preserve"> Guides so all road practitioners, including local government road practitioners, can be equipped with advice on applying these innovative techniques. </w:t>
      </w:r>
    </w:p>
    <w:p w14:paraId="0D5072A3" w14:textId="77777777" w:rsidR="00C31556" w:rsidRPr="00AA014C" w:rsidRDefault="00C31556" w:rsidP="00C31556">
      <w:pPr>
        <w:pStyle w:val="ListParagraph"/>
        <w:ind w:left="0"/>
        <w:rPr>
          <w:rFonts w:ascii="Calibri" w:eastAsia="Times New Roman" w:hAnsi="Calibri" w:cs="Calibri"/>
          <w:lang w:val="en-US" w:eastAsia="en-AU"/>
        </w:rPr>
      </w:pPr>
    </w:p>
    <w:p w14:paraId="624AA091" w14:textId="79FAA2D0" w:rsidR="00C31556" w:rsidRDefault="00C31556" w:rsidP="00C31556">
      <w:pPr>
        <w:pStyle w:val="ListParagraph"/>
        <w:ind w:left="0"/>
        <w:rPr>
          <w:rFonts w:ascii="Calibri" w:eastAsia="Times New Roman" w:hAnsi="Calibri" w:cs="Calibri"/>
          <w:lang w:val="en-US" w:eastAsia="en-AU"/>
        </w:rPr>
      </w:pPr>
      <w:r w:rsidRPr="00651CE0">
        <w:rPr>
          <w:rFonts w:ascii="Calibri" w:eastAsia="Times New Roman" w:hAnsi="Calibri" w:cs="Calibri"/>
          <w:lang w:val="en-US" w:eastAsia="en-AU"/>
        </w:rPr>
        <w:t xml:space="preserve">Additionally, </w:t>
      </w:r>
      <w:proofErr w:type="spellStart"/>
      <w:r w:rsidRPr="00651CE0">
        <w:rPr>
          <w:rFonts w:ascii="Calibri" w:eastAsia="Times New Roman" w:hAnsi="Calibri" w:cs="Calibri"/>
          <w:lang w:val="en-US" w:eastAsia="en-AU"/>
        </w:rPr>
        <w:t>Austroads</w:t>
      </w:r>
      <w:proofErr w:type="spellEnd"/>
      <w:r w:rsidRPr="00651CE0">
        <w:rPr>
          <w:rFonts w:ascii="Calibri" w:eastAsia="Times New Roman" w:hAnsi="Calibri" w:cs="Calibri"/>
          <w:lang w:val="en-US" w:eastAsia="en-AU"/>
        </w:rPr>
        <w:t xml:space="preserve"> has worked with RMIT University on a project </w:t>
      </w:r>
      <w:r>
        <w:rPr>
          <w:rFonts w:ascii="Calibri" w:eastAsia="Times New Roman" w:hAnsi="Calibri" w:cs="Calibri"/>
          <w:lang w:val="en-US" w:eastAsia="en-AU"/>
        </w:rPr>
        <w:t>with</w:t>
      </w:r>
      <w:r w:rsidRPr="00651CE0">
        <w:rPr>
          <w:rFonts w:ascii="Calibri" w:eastAsia="Times New Roman" w:hAnsi="Calibri" w:cs="Calibri"/>
          <w:lang w:val="en-US" w:eastAsia="en-AU"/>
        </w:rPr>
        <w:t xml:space="preserve"> 10 local governments and supported by the Australian Research Council </w:t>
      </w:r>
      <w:r>
        <w:rPr>
          <w:rFonts w:ascii="Calibri" w:eastAsia="Times New Roman" w:hAnsi="Calibri" w:cs="Calibri"/>
          <w:lang w:val="en-US" w:eastAsia="en-AU"/>
        </w:rPr>
        <w:t>o</w:t>
      </w:r>
      <w:r w:rsidRPr="00651CE0">
        <w:rPr>
          <w:rFonts w:ascii="Calibri" w:eastAsia="Times New Roman" w:hAnsi="Calibri" w:cs="Calibri"/>
          <w:lang w:val="en-US" w:eastAsia="en-AU"/>
        </w:rPr>
        <w:t>n incorporating recycled plastic from c</w:t>
      </w:r>
      <w:r>
        <w:rPr>
          <w:rFonts w:ascii="Calibri" w:eastAsia="Times New Roman" w:hAnsi="Calibri" w:cs="Calibri"/>
          <w:lang w:val="en-US" w:eastAsia="en-AU"/>
        </w:rPr>
        <w:t>o</w:t>
      </w:r>
      <w:r w:rsidRPr="00651CE0">
        <w:rPr>
          <w:rFonts w:ascii="Calibri" w:eastAsia="Times New Roman" w:hAnsi="Calibri" w:cs="Calibri"/>
          <w:lang w:val="en-US" w:eastAsia="en-AU"/>
        </w:rPr>
        <w:t>nsumer and industrial waste, including stubbo</w:t>
      </w:r>
      <w:r>
        <w:rPr>
          <w:rFonts w:ascii="Calibri" w:eastAsia="Times New Roman" w:hAnsi="Calibri" w:cs="Calibri"/>
          <w:lang w:val="en-US" w:eastAsia="en-AU"/>
        </w:rPr>
        <w:t>rn</w:t>
      </w:r>
      <w:r w:rsidRPr="00651CE0">
        <w:rPr>
          <w:rFonts w:ascii="Calibri" w:eastAsia="Times New Roman" w:hAnsi="Calibri" w:cs="Calibri"/>
          <w:lang w:val="en-US" w:eastAsia="en-AU"/>
        </w:rPr>
        <w:t xml:space="preserve"> soft plastics, </w:t>
      </w:r>
      <w:r>
        <w:rPr>
          <w:rFonts w:ascii="Calibri" w:eastAsia="Times New Roman" w:hAnsi="Calibri" w:cs="Calibri"/>
          <w:lang w:val="en-US" w:eastAsia="en-AU"/>
        </w:rPr>
        <w:t>i</w:t>
      </w:r>
      <w:r w:rsidRPr="00651CE0">
        <w:rPr>
          <w:rFonts w:ascii="Calibri" w:eastAsia="Times New Roman" w:hAnsi="Calibri" w:cs="Calibri"/>
          <w:lang w:val="en-US" w:eastAsia="en-AU"/>
        </w:rPr>
        <w:t>nto asphalt as a performance enhancer</w:t>
      </w:r>
      <w:r>
        <w:rPr>
          <w:rFonts w:ascii="Calibri" w:eastAsia="Times New Roman" w:hAnsi="Calibri" w:cs="Calibri"/>
          <w:lang w:val="en-US" w:eastAsia="en-AU"/>
        </w:rPr>
        <w:t>.</w:t>
      </w:r>
    </w:p>
    <w:p w14:paraId="5CEAB443" w14:textId="761E64FD" w:rsidR="001C499B" w:rsidRDefault="001C499B" w:rsidP="001C499B">
      <w:pPr>
        <w:pStyle w:val="ListParagraph"/>
        <w:ind w:left="0"/>
        <w:rPr>
          <w:rFonts w:ascii="Calibri" w:eastAsia="Times New Roman" w:hAnsi="Calibri" w:cs="Calibri"/>
          <w:lang w:val="en-US" w:eastAsia="en-AU"/>
        </w:rPr>
      </w:pPr>
    </w:p>
    <w:p w14:paraId="147072B6" w14:textId="0A3B168A" w:rsidR="009B3A8A" w:rsidRDefault="007A3965" w:rsidP="001C499B">
      <w:pPr>
        <w:pStyle w:val="ListParagraph"/>
        <w:ind w:left="0"/>
        <w:rPr>
          <w:rFonts w:ascii="Calibri" w:eastAsia="Times New Roman" w:hAnsi="Calibri" w:cs="Calibri"/>
          <w:lang w:val="en-US" w:eastAsia="en-AU"/>
        </w:rPr>
      </w:pPr>
      <w:r w:rsidRPr="00AA014C">
        <w:rPr>
          <w:rFonts w:ascii="Calibri" w:eastAsia="Times New Roman" w:hAnsi="Calibri" w:cs="Calibri"/>
          <w:lang w:val="en-US" w:eastAsia="en-AU"/>
        </w:rPr>
        <w:t>Phase One of the Road and Rail Supply Chain Resilience Review assess</w:t>
      </w:r>
      <w:r w:rsidR="0046581B">
        <w:rPr>
          <w:rFonts w:ascii="Calibri" w:eastAsia="Times New Roman" w:hAnsi="Calibri" w:cs="Calibri"/>
          <w:lang w:val="en-US" w:eastAsia="en-AU"/>
        </w:rPr>
        <w:t>ed</w:t>
      </w:r>
      <w:r w:rsidRPr="00AA014C">
        <w:rPr>
          <w:rFonts w:ascii="Calibri" w:eastAsia="Times New Roman" w:hAnsi="Calibri" w:cs="Calibri"/>
          <w:lang w:val="en-US" w:eastAsia="en-AU"/>
        </w:rPr>
        <w:t xml:space="preserve"> the vulnerability of 65 critical road and rail freight routes. Phase One highlighted </w:t>
      </w:r>
      <w:proofErr w:type="gramStart"/>
      <w:r w:rsidRPr="00AA014C">
        <w:rPr>
          <w:rFonts w:ascii="Calibri" w:eastAsia="Times New Roman" w:hAnsi="Calibri" w:cs="Calibri"/>
          <w:lang w:val="en-US" w:eastAsia="en-AU"/>
        </w:rPr>
        <w:t>a number of</w:t>
      </w:r>
      <w:proofErr w:type="gramEnd"/>
      <w:r w:rsidRPr="00AA014C">
        <w:rPr>
          <w:rFonts w:ascii="Calibri" w:eastAsia="Times New Roman" w:hAnsi="Calibri" w:cs="Calibri"/>
          <w:lang w:val="en-US" w:eastAsia="en-AU"/>
        </w:rPr>
        <w:t xml:space="preserve"> potential opportunities to address gaps in data and build upon existing research, leverage infrastructure investment, and develop a nationally coordinated approach to road and rail resilience to risk. The refresh</w:t>
      </w:r>
      <w:r w:rsidR="003C06F1">
        <w:rPr>
          <w:rFonts w:ascii="Calibri" w:eastAsia="Times New Roman" w:hAnsi="Calibri" w:cs="Calibri"/>
          <w:lang w:val="en-US" w:eastAsia="en-AU"/>
        </w:rPr>
        <w:t>ed</w:t>
      </w:r>
      <w:r w:rsidRPr="00AA014C">
        <w:rPr>
          <w:rFonts w:ascii="Calibri" w:eastAsia="Times New Roman" w:hAnsi="Calibri" w:cs="Calibri"/>
          <w:lang w:val="en-US" w:eastAsia="en-AU"/>
        </w:rPr>
        <w:t xml:space="preserve"> </w:t>
      </w:r>
      <w:hyperlink r:id="rId30" w:history="1">
        <w:r w:rsidRPr="00562EEC">
          <w:rPr>
            <w:rStyle w:val="Hyperlink"/>
            <w:rFonts w:ascii="Calibri" w:eastAsia="Times New Roman" w:hAnsi="Calibri" w:cs="Calibri"/>
            <w:lang w:val="en-US" w:eastAsia="en-AU"/>
          </w:rPr>
          <w:t>National Freight and Supply Chain Strategy</w:t>
        </w:r>
      </w:hyperlink>
      <w:r w:rsidRPr="00AA014C">
        <w:rPr>
          <w:rFonts w:ascii="Calibri" w:eastAsia="Times New Roman" w:hAnsi="Calibri" w:cs="Calibri"/>
          <w:lang w:val="en-US" w:eastAsia="en-AU"/>
        </w:rPr>
        <w:t xml:space="preserve"> </w:t>
      </w:r>
      <w:r w:rsidR="003C06F1">
        <w:rPr>
          <w:rFonts w:ascii="Calibri" w:eastAsia="Times New Roman" w:hAnsi="Calibri" w:cs="Calibri"/>
          <w:lang w:val="en-US" w:eastAsia="en-AU"/>
        </w:rPr>
        <w:t>includes</w:t>
      </w:r>
      <w:r w:rsidRPr="00AA014C">
        <w:rPr>
          <w:rFonts w:ascii="Calibri" w:eastAsia="Times New Roman" w:hAnsi="Calibri" w:cs="Calibri"/>
          <w:lang w:val="en-US" w:eastAsia="en-AU"/>
        </w:rPr>
        <w:t xml:space="preserve"> actions in response to the Phase One findings.</w:t>
      </w:r>
    </w:p>
    <w:p w14:paraId="38ED5FEC" w14:textId="77777777" w:rsidR="001C499B" w:rsidRDefault="001C499B" w:rsidP="001C499B">
      <w:pPr>
        <w:pStyle w:val="ListParagraph"/>
        <w:ind w:left="0"/>
        <w:rPr>
          <w:rFonts w:ascii="Calibri" w:eastAsia="Times New Roman" w:hAnsi="Calibri" w:cs="Calibri"/>
          <w:lang w:val="en-US" w:eastAsia="en-AU"/>
        </w:rPr>
      </w:pPr>
    </w:p>
    <w:p w14:paraId="0585B63B" w14:textId="77777777" w:rsidR="003803E9" w:rsidRDefault="003803E9" w:rsidP="001C499B">
      <w:pPr>
        <w:pStyle w:val="ListParagraph"/>
        <w:ind w:left="0"/>
      </w:pPr>
      <w:r w:rsidRPr="000379C6">
        <w:t xml:space="preserve">Infrastructure Australia released the </w:t>
      </w:r>
      <w:hyperlink r:id="rId31" w:history="1">
        <w:r w:rsidRPr="000379C6">
          <w:rPr>
            <w:rStyle w:val="Hyperlink"/>
          </w:rPr>
          <w:t>Embodied Carbon Projections for Australian Infrastructure and Buildings report</w:t>
        </w:r>
      </w:hyperlink>
      <w:r>
        <w:t xml:space="preserve"> in July 2024</w:t>
      </w:r>
      <w:r w:rsidRPr="000379C6">
        <w:t>, which identifies an opportunity to drive national alignment on low-carbon expectations through performance-based standards and specifications. The report was developed in consultation with state and territory governments, CSIRO and industry stakeholders.</w:t>
      </w:r>
    </w:p>
    <w:p w14:paraId="75ACB292" w14:textId="77777777" w:rsidR="001C499B" w:rsidRPr="00B26022" w:rsidRDefault="001C499B" w:rsidP="001C499B">
      <w:pPr>
        <w:pStyle w:val="ListParagraph"/>
        <w:ind w:left="0"/>
        <w:rPr>
          <w:rFonts w:ascii="Calibri" w:eastAsia="Times New Roman" w:hAnsi="Calibri" w:cs="Calibri"/>
          <w:lang w:val="en-US" w:eastAsia="en-AU"/>
        </w:rPr>
      </w:pPr>
    </w:p>
    <w:p w14:paraId="7D4B93A1" w14:textId="21257BED" w:rsidR="004D1327" w:rsidRPr="00304228" w:rsidRDefault="004D3ABF" w:rsidP="001C499B">
      <w:pPr>
        <w:pStyle w:val="ListParagraph"/>
        <w:ind w:left="0"/>
        <w:rPr>
          <w:rFonts w:ascii="Calibri" w:eastAsia="Times New Roman" w:hAnsi="Calibri" w:cs="Calibri"/>
          <w:lang w:val="en-US" w:eastAsia="en-AU"/>
        </w:rPr>
      </w:pPr>
      <w:r w:rsidRPr="00304228">
        <w:t xml:space="preserve">All infrastructure proposals </w:t>
      </w:r>
      <w:r w:rsidR="00304228" w:rsidRPr="00304228">
        <w:rPr>
          <w:rFonts w:ascii="Calibri" w:eastAsia="Calibri" w:hAnsi="Calibri" w:cs="Calibri"/>
        </w:rPr>
        <w:t>seeking more than $250 million in Australian Government funding being</w:t>
      </w:r>
      <w:r w:rsidR="00304228" w:rsidRPr="00304228">
        <w:t xml:space="preserve"> </w:t>
      </w:r>
      <w:r w:rsidRPr="00304228">
        <w:t xml:space="preserve">submitted to Infrastructure Australia must consider their impact on </w:t>
      </w:r>
      <w:r w:rsidR="00AB7867" w:rsidRPr="00304228">
        <w:t>greenhouse gas emissions</w:t>
      </w:r>
      <w:r w:rsidRPr="00304228">
        <w:t>.</w:t>
      </w:r>
      <w:r w:rsidR="00AB7867" w:rsidRPr="00304228">
        <w:t xml:space="preserve"> </w:t>
      </w:r>
      <w:r w:rsidR="00304228">
        <w:t>Project c</w:t>
      </w:r>
      <w:r w:rsidR="00E827DA" w:rsidRPr="00304228">
        <w:t>o</w:t>
      </w:r>
      <w:r w:rsidR="00AB7867" w:rsidRPr="00304228">
        <w:t xml:space="preserve">st benefit analyses must </w:t>
      </w:r>
      <w:r w:rsidR="00304228" w:rsidRPr="00304228">
        <w:t>measure emissions and use the National Carbon V</w:t>
      </w:r>
      <w:r w:rsidR="00AB7867" w:rsidRPr="00304228">
        <w:t>alue</w:t>
      </w:r>
      <w:r w:rsidR="00304228" w:rsidRPr="00304228">
        <w:t>s to assess</w:t>
      </w:r>
      <w:r w:rsidR="00AB7867" w:rsidRPr="00483E92">
        <w:t xml:space="preserve"> the</w:t>
      </w:r>
      <w:r w:rsidR="00AB7867" w:rsidRPr="00304228">
        <w:t xml:space="preserve"> impact of </w:t>
      </w:r>
      <w:r w:rsidR="00023700">
        <w:t>greenhouse gas</w:t>
      </w:r>
      <w:r w:rsidR="00023700" w:rsidRPr="00304228">
        <w:t xml:space="preserve"> </w:t>
      </w:r>
      <w:r w:rsidR="00AB7867" w:rsidRPr="00304228">
        <w:t>emissions.</w:t>
      </w:r>
      <w:r w:rsidR="0076274A" w:rsidRPr="00304228">
        <w:t xml:space="preserve"> </w:t>
      </w:r>
      <w:r w:rsidR="00E92A92">
        <w:t>Further detail is available in the</w:t>
      </w:r>
      <w:r w:rsidR="0076274A" w:rsidRPr="00304228">
        <w:t xml:space="preserve"> </w:t>
      </w:r>
      <w:hyperlink r:id="rId32" w:history="1">
        <w:r w:rsidR="0076274A" w:rsidRPr="00304228">
          <w:rPr>
            <w:rStyle w:val="Hyperlink"/>
          </w:rPr>
          <w:t>Guide to assessing greenhouse gas emissions</w:t>
        </w:r>
      </w:hyperlink>
      <w:r w:rsidR="0076274A" w:rsidRPr="00304228">
        <w:t>.</w:t>
      </w:r>
      <w:r w:rsidR="00FB3E29" w:rsidRPr="00FB3E29">
        <w:t xml:space="preserve"> </w:t>
      </w:r>
      <w:r w:rsidR="00FB3E29">
        <w:t>Where practical the National Carbon Values are also expected to be applied to projects with a government contribution exceeding $100 million, regardless of jurisdiction.</w:t>
      </w:r>
      <w:r w:rsidR="00C43BA7">
        <w:t xml:space="preserve"> </w:t>
      </w:r>
      <w:r w:rsidR="004D1327" w:rsidRPr="00304228">
        <w:rPr>
          <w:iCs/>
        </w:rPr>
        <w:t>The FFAS includes Key Performance Indicators on decarbonisation, which will provide data on business cases using the National Carbon Values.</w:t>
      </w:r>
    </w:p>
    <w:p w14:paraId="576B8CC9" w14:textId="77777777" w:rsidR="009B3A8A" w:rsidRDefault="009B3A8A">
      <w:pPr>
        <w:spacing w:after="160" w:line="259" w:lineRule="auto"/>
      </w:pPr>
      <w:r>
        <w:br w:type="page"/>
      </w:r>
    </w:p>
    <w:p w14:paraId="5404DA41" w14:textId="77777777" w:rsidR="009B3A8A" w:rsidRDefault="009B3A8A" w:rsidP="009B3A8A">
      <w:pPr>
        <w:pStyle w:val="Heading3"/>
        <w:pBdr>
          <w:top w:val="single" w:sz="4" w:space="1" w:color="auto"/>
          <w:left w:val="single" w:sz="4" w:space="4" w:color="auto"/>
          <w:bottom w:val="single" w:sz="4" w:space="1" w:color="auto"/>
          <w:right w:val="single" w:sz="4" w:space="4" w:color="auto"/>
        </w:pBdr>
      </w:pPr>
      <w:bookmarkStart w:id="26" w:name="_Toc219188305"/>
      <w:r>
        <w:lastRenderedPageBreak/>
        <w:t>Recommendation 16:</w:t>
      </w:r>
      <w:bookmarkEnd w:id="26"/>
    </w:p>
    <w:p w14:paraId="5935C448" w14:textId="118D1C91" w:rsidR="009B3A8A" w:rsidRDefault="00F72F19" w:rsidP="00553378">
      <w:pPr>
        <w:pBdr>
          <w:top w:val="single" w:sz="4" w:space="1" w:color="auto"/>
          <w:left w:val="single" w:sz="4" w:space="4" w:color="auto"/>
          <w:bottom w:val="single" w:sz="4" w:space="1" w:color="auto"/>
          <w:right w:val="single" w:sz="4" w:space="4" w:color="auto"/>
        </w:pBdr>
        <w:shd w:val="clear" w:color="auto" w:fill="E4E4E4"/>
        <w:ind w:left="567" w:hanging="567"/>
      </w:pPr>
      <w:r>
        <w:t>4.157</w:t>
      </w:r>
      <w:r w:rsidR="009B3A8A">
        <w:tab/>
      </w:r>
      <w:r w:rsidRPr="00F72F19">
        <w:t>The Committee recommends that the Australian Government strengthen procurement requirements under the new Federation Funding Agreement Schedule on transport infrastructure for state and territory government co-funded project proposals to incorporate resilience design, minimum road construction requirements, and performance specifications to enable sustainable long-term resilience over an asset’s lifecycle.</w:t>
      </w:r>
    </w:p>
    <w:p w14:paraId="7EB7E1BC" w14:textId="77777777" w:rsidR="009B3A8A" w:rsidRDefault="009B3A8A" w:rsidP="009B3A8A">
      <w:r>
        <w:t xml:space="preserve">The </w:t>
      </w:r>
      <w:r w:rsidR="005E17D4">
        <w:t xml:space="preserve">Australian </w:t>
      </w:r>
      <w:r>
        <w:t xml:space="preserve">Government </w:t>
      </w:r>
      <w:r>
        <w:rPr>
          <w:b/>
        </w:rPr>
        <w:t>supports</w:t>
      </w:r>
      <w:r>
        <w:t xml:space="preserve"> this recommendation.</w:t>
      </w:r>
    </w:p>
    <w:p w14:paraId="6F5BD27E" w14:textId="77777777" w:rsidR="00553378" w:rsidRDefault="00553378" w:rsidP="00553378">
      <w:pPr>
        <w:rPr>
          <w:rFonts w:eastAsia="Times New Roman" w:cstheme="minorHAnsi"/>
          <w:lang w:eastAsia="en-AU"/>
        </w:rPr>
      </w:pPr>
      <w:r>
        <w:t xml:space="preserve">Under the new </w:t>
      </w:r>
      <w:r w:rsidR="00A21713">
        <w:t>FFAS</w:t>
      </w:r>
      <w:r>
        <w:t xml:space="preserve">, the Australian Government and </w:t>
      </w:r>
      <w:r w:rsidRPr="00FB1ABA">
        <w:t xml:space="preserve">states </w:t>
      </w:r>
      <w:r w:rsidR="006378C3">
        <w:t xml:space="preserve">and territories </w:t>
      </w:r>
      <w:r w:rsidR="002950B1">
        <w:rPr>
          <w:rFonts w:eastAsia="Times New Roman" w:cstheme="minorHAnsi"/>
          <w:lang w:eastAsia="en-AU"/>
        </w:rPr>
        <w:t>share a responsibility to</w:t>
      </w:r>
      <w:r w:rsidRPr="00FB1ABA">
        <w:rPr>
          <w:rFonts w:eastAsia="Times New Roman" w:cstheme="minorHAnsi"/>
          <w:lang w:eastAsia="en-AU"/>
        </w:rPr>
        <w:t xml:space="preserve"> invest</w:t>
      </w:r>
      <w:r>
        <w:rPr>
          <w:rFonts w:eastAsia="Times New Roman" w:cstheme="minorHAnsi"/>
          <w:lang w:eastAsia="en-AU"/>
        </w:rPr>
        <w:t xml:space="preserve"> in the whole-of-life resilience of land transport infrastructure to </w:t>
      </w:r>
      <w:r w:rsidR="00261200">
        <w:rPr>
          <w:rFonts w:eastAsia="Times New Roman" w:cstheme="minorHAnsi"/>
          <w:lang w:eastAsia="en-AU"/>
        </w:rPr>
        <w:t xml:space="preserve">mitigate </w:t>
      </w:r>
      <w:r>
        <w:rPr>
          <w:rFonts w:eastAsia="Times New Roman" w:cstheme="minorHAnsi"/>
          <w:lang w:eastAsia="en-AU"/>
        </w:rPr>
        <w:t xml:space="preserve">climate and disaster risks, thereby </w:t>
      </w:r>
      <w:r w:rsidR="00261200">
        <w:rPr>
          <w:rFonts w:eastAsia="Times New Roman" w:cstheme="minorHAnsi"/>
          <w:lang w:eastAsia="en-AU"/>
        </w:rPr>
        <w:t xml:space="preserve">improving </w:t>
      </w:r>
      <w:r>
        <w:rPr>
          <w:rFonts w:eastAsia="Times New Roman" w:cstheme="minorHAnsi"/>
          <w:lang w:eastAsia="en-AU"/>
        </w:rPr>
        <w:t>freight and supply chain resilience. P</w:t>
      </w:r>
      <w:r>
        <w:t xml:space="preserve">rojects funded under the </w:t>
      </w:r>
      <w:r w:rsidR="00A21713">
        <w:t>FFAS</w:t>
      </w:r>
      <w:r>
        <w:t xml:space="preserve"> </w:t>
      </w:r>
      <w:r w:rsidR="00015C2E">
        <w:t xml:space="preserve">will </w:t>
      </w:r>
      <w:r>
        <w:t xml:space="preserve">align with </w:t>
      </w:r>
      <w:r w:rsidRPr="00747A6B">
        <w:t xml:space="preserve">the </w:t>
      </w:r>
      <w:proofErr w:type="gramStart"/>
      <w:r w:rsidRPr="00747A6B">
        <w:t>parties’</w:t>
      </w:r>
      <w:proofErr w:type="gramEnd"/>
      <w:r w:rsidRPr="00747A6B">
        <w:t xml:space="preserve"> shared strategic themes</w:t>
      </w:r>
      <w:r w:rsidR="003803E9">
        <w:t xml:space="preserve">, which include </w:t>
      </w:r>
      <w:r>
        <w:rPr>
          <w:rFonts w:cstheme="minorHAnsi"/>
        </w:rPr>
        <w:t xml:space="preserve">productivity and resilience; liveability; and sustainability. States </w:t>
      </w:r>
      <w:r w:rsidR="006378C3">
        <w:rPr>
          <w:rFonts w:cstheme="minorHAnsi"/>
        </w:rPr>
        <w:t xml:space="preserve">and territories </w:t>
      </w:r>
      <w:r w:rsidR="00FA3B20">
        <w:rPr>
          <w:rFonts w:cstheme="minorHAnsi"/>
        </w:rPr>
        <w:t>will also work</w:t>
      </w:r>
      <w:r>
        <w:rPr>
          <w:rFonts w:cstheme="minorHAnsi"/>
        </w:rPr>
        <w:t xml:space="preserve"> to</w:t>
      </w:r>
      <w:r w:rsidR="00FA3B20">
        <w:rPr>
          <w:rFonts w:cstheme="minorHAnsi"/>
        </w:rPr>
        <w:t>wards</w:t>
      </w:r>
      <w:r>
        <w:rPr>
          <w:rFonts w:eastAsia="Times New Roman" w:cstheme="minorHAnsi"/>
          <w:lang w:eastAsia="en-AU"/>
        </w:rPr>
        <w:t xml:space="preserve"> optimising their procurement practices to deliver wider economic, social, and environmental benefits.</w:t>
      </w:r>
    </w:p>
    <w:p w14:paraId="30A72CE0" w14:textId="285EF555" w:rsidR="009B3A8A" w:rsidRDefault="00553378" w:rsidP="00553378">
      <w:r>
        <w:rPr>
          <w:rFonts w:eastAsia="Times New Roman" w:cstheme="minorHAnsi"/>
          <w:lang w:eastAsia="en-AU"/>
        </w:rPr>
        <w:t xml:space="preserve">The </w:t>
      </w:r>
      <w:r w:rsidR="00A21713">
        <w:rPr>
          <w:rFonts w:eastAsia="Times New Roman" w:cstheme="minorHAnsi"/>
          <w:lang w:eastAsia="en-AU"/>
        </w:rPr>
        <w:t>FFAS</w:t>
      </w:r>
      <w:r>
        <w:rPr>
          <w:rFonts w:eastAsia="Times New Roman" w:cstheme="minorHAnsi"/>
          <w:lang w:eastAsia="en-AU"/>
        </w:rPr>
        <w:t xml:space="preserve"> and associated administrative guidelines also include a requirement for road projects funded under the agreement to be designed in accordance with </w:t>
      </w:r>
      <w:r w:rsidR="003803E9">
        <w:rPr>
          <w:rFonts w:eastAsia="Times New Roman" w:cstheme="minorHAnsi"/>
          <w:lang w:eastAsia="en-AU"/>
        </w:rPr>
        <w:t>relevant design guidelines</w:t>
      </w:r>
      <w:r>
        <w:rPr>
          <w:rFonts w:eastAsia="Times New Roman" w:cstheme="minorHAnsi"/>
          <w:lang w:eastAsia="en-AU"/>
        </w:rPr>
        <w:t xml:space="preserve"> as a minimum.</w:t>
      </w:r>
    </w:p>
    <w:p w14:paraId="18716605" w14:textId="77777777" w:rsidR="009B3A8A" w:rsidRDefault="009B3A8A">
      <w:pPr>
        <w:spacing w:after="160" w:line="259" w:lineRule="auto"/>
      </w:pPr>
      <w:r>
        <w:br w:type="page"/>
      </w:r>
    </w:p>
    <w:p w14:paraId="51637CB9" w14:textId="77777777" w:rsidR="009B3A8A" w:rsidRDefault="009B3A8A" w:rsidP="009B3A8A">
      <w:pPr>
        <w:pStyle w:val="Heading3"/>
        <w:pBdr>
          <w:top w:val="single" w:sz="4" w:space="1" w:color="auto"/>
          <w:left w:val="single" w:sz="4" w:space="4" w:color="auto"/>
          <w:bottom w:val="single" w:sz="4" w:space="1" w:color="auto"/>
          <w:right w:val="single" w:sz="4" w:space="4" w:color="auto"/>
        </w:pBdr>
      </w:pPr>
      <w:bookmarkStart w:id="27" w:name="_Toc219188306"/>
      <w:r>
        <w:lastRenderedPageBreak/>
        <w:t>Recommendation 17:</w:t>
      </w:r>
      <w:bookmarkEnd w:id="27"/>
    </w:p>
    <w:p w14:paraId="70B493CE" w14:textId="77777777" w:rsidR="009B3A8A" w:rsidRDefault="00F72F19" w:rsidP="00F72F19">
      <w:pPr>
        <w:pBdr>
          <w:top w:val="single" w:sz="4" w:space="1" w:color="auto"/>
          <w:left w:val="single" w:sz="4" w:space="4" w:color="auto"/>
          <w:bottom w:val="single" w:sz="4" w:space="1" w:color="auto"/>
          <w:right w:val="single" w:sz="4" w:space="4" w:color="auto"/>
        </w:pBdr>
        <w:shd w:val="clear" w:color="auto" w:fill="E4E4E4"/>
        <w:ind w:left="567" w:hanging="567"/>
      </w:pPr>
      <w:r>
        <w:t>4.159</w:t>
      </w:r>
      <w:r w:rsidR="009B3A8A">
        <w:tab/>
      </w:r>
      <w:r w:rsidRPr="00F72F19">
        <w:t>The Committee recommends that the Australian Government strengthen procurement project specifications under the new Federation Funding Agreements Schedule for state and territory government co-funded project proposals to include minimum or preferred requirements for the use of innovative road asset technologies and recyclable materials and methodologies to enable sustainable long-term asset resilience and support a circular economy.</w:t>
      </w:r>
    </w:p>
    <w:p w14:paraId="5A97346E" w14:textId="77777777" w:rsidR="009B3A8A" w:rsidRDefault="009B3A8A" w:rsidP="009B3A8A">
      <w:r>
        <w:t xml:space="preserve">The </w:t>
      </w:r>
      <w:r w:rsidR="005E17D4">
        <w:t xml:space="preserve">Australian </w:t>
      </w:r>
      <w:r>
        <w:t xml:space="preserve">Government </w:t>
      </w:r>
      <w:r>
        <w:rPr>
          <w:b/>
        </w:rPr>
        <w:t>supports</w:t>
      </w:r>
      <w:r>
        <w:t xml:space="preserve"> this recommendation.</w:t>
      </w:r>
    </w:p>
    <w:p w14:paraId="75C33DB1" w14:textId="77777777" w:rsidR="00553378" w:rsidRPr="00606932" w:rsidRDefault="00553378" w:rsidP="00553378">
      <w:pPr>
        <w:rPr>
          <w:b/>
          <w:highlight w:val="yellow"/>
        </w:rPr>
      </w:pPr>
      <w:r w:rsidRPr="00606932">
        <w:t xml:space="preserve">In November 2023, Australia's environment ministers endorsed a national framework for recycled content traceability. This framework can support procurement officers involved in infrastructure projects such as roads to source genuine, </w:t>
      </w:r>
      <w:r w:rsidR="00B14FD1" w:rsidRPr="00606932">
        <w:t>fit</w:t>
      </w:r>
      <w:r w:rsidR="00B14FD1">
        <w:t>-</w:t>
      </w:r>
      <w:r w:rsidR="00B14FD1" w:rsidRPr="00606932">
        <w:t>for</w:t>
      </w:r>
      <w:r w:rsidR="00B14FD1">
        <w:t>-</w:t>
      </w:r>
      <w:r w:rsidRPr="00606932">
        <w:t>purpose recycled material for use. It can also support the tracking and reporting of recycled content used in infrastructure projects more generally.</w:t>
      </w:r>
      <w:r w:rsidRPr="00606932" w:rsidDel="00222DA5">
        <w:rPr>
          <w:b/>
          <w:highlight w:val="yellow"/>
        </w:rPr>
        <w:t xml:space="preserve"> </w:t>
      </w:r>
    </w:p>
    <w:p w14:paraId="5E22B86B" w14:textId="6EFA7DD5" w:rsidR="00553378" w:rsidRDefault="00553378" w:rsidP="00553378">
      <w:r>
        <w:t xml:space="preserve">Under the </w:t>
      </w:r>
      <w:r w:rsidR="00A21713">
        <w:t>FFAS</w:t>
      </w:r>
      <w:r>
        <w:t xml:space="preserve">, </w:t>
      </w:r>
      <w:r w:rsidR="006378C3">
        <w:t xml:space="preserve">states and territories </w:t>
      </w:r>
      <w:r w:rsidR="009A5CDE">
        <w:t>will work</w:t>
      </w:r>
      <w:r>
        <w:t xml:space="preserve"> to</w:t>
      </w:r>
      <w:r w:rsidR="00FA3B20">
        <w:t>wards</w:t>
      </w:r>
      <w:r>
        <w:t xml:space="preserve"> </w:t>
      </w:r>
      <w:r w:rsidR="009A5CDE">
        <w:t>optimis</w:t>
      </w:r>
      <w:r w:rsidR="00FA3B20">
        <w:t>ing</w:t>
      </w:r>
      <w:r w:rsidR="009A5CDE">
        <w:t xml:space="preserve"> </w:t>
      </w:r>
      <w:r w:rsidRPr="00606932">
        <w:t xml:space="preserve">their procurement practices to </w:t>
      </w:r>
      <w:r w:rsidR="001F28D9">
        <w:t>enhance</w:t>
      </w:r>
      <w:r w:rsidRPr="00606932">
        <w:t xml:space="preserve"> the recycled content in transport infrastructure to support Australia's transition to a circular economy by </w:t>
      </w:r>
      <w:proofErr w:type="gramStart"/>
      <w:r w:rsidRPr="00606932">
        <w:t>2030, and</w:t>
      </w:r>
      <w:proofErr w:type="gramEnd"/>
      <w:r w:rsidRPr="00606932">
        <w:t xml:space="preserve"> reduce embodied carbon in transport infrastructure in line with Australia's </w:t>
      </w:r>
      <w:r w:rsidR="00F279B8">
        <w:t>n</w:t>
      </w:r>
      <w:r w:rsidR="00F279B8" w:rsidRPr="00606932">
        <w:t xml:space="preserve">et </w:t>
      </w:r>
      <w:r w:rsidR="00F279B8">
        <w:t>z</w:t>
      </w:r>
      <w:r w:rsidR="00F279B8" w:rsidRPr="00606932">
        <w:t xml:space="preserve">ero </w:t>
      </w:r>
      <w:r w:rsidRPr="00606932">
        <w:t xml:space="preserve">commitments. These procurement practices should also deliver value for </w:t>
      </w:r>
      <w:proofErr w:type="gramStart"/>
      <w:r w:rsidRPr="00606932">
        <w:t>money, and</w:t>
      </w:r>
      <w:proofErr w:type="gramEnd"/>
      <w:r w:rsidRPr="00606932">
        <w:t xml:space="preserve"> </w:t>
      </w:r>
      <w:r w:rsidR="002518B7" w:rsidRPr="00606932">
        <w:t>consider</w:t>
      </w:r>
      <w:r w:rsidRPr="00690873">
        <w:t xml:space="preserve"> the opportunities and market capabilities in their respective jurisdictions</w:t>
      </w:r>
      <w:r>
        <w:t>.</w:t>
      </w:r>
    </w:p>
    <w:p w14:paraId="7509CA4B" w14:textId="77777777" w:rsidR="009B3A8A" w:rsidRDefault="009B3A8A">
      <w:pPr>
        <w:spacing w:after="160" w:line="259" w:lineRule="auto"/>
      </w:pPr>
      <w:r>
        <w:br w:type="page"/>
      </w:r>
    </w:p>
    <w:p w14:paraId="13A28EE4" w14:textId="77777777" w:rsidR="009B3A8A" w:rsidRDefault="009B3A8A" w:rsidP="009B3A8A">
      <w:pPr>
        <w:pStyle w:val="Heading3"/>
        <w:pBdr>
          <w:top w:val="single" w:sz="4" w:space="1" w:color="auto"/>
          <w:left w:val="single" w:sz="4" w:space="4" w:color="auto"/>
          <w:bottom w:val="single" w:sz="4" w:space="1" w:color="auto"/>
          <w:right w:val="single" w:sz="4" w:space="4" w:color="auto"/>
        </w:pBdr>
      </w:pPr>
      <w:bookmarkStart w:id="28" w:name="_Toc219188307"/>
      <w:r>
        <w:lastRenderedPageBreak/>
        <w:t>Recommendation 18:</w:t>
      </w:r>
      <w:bookmarkEnd w:id="28"/>
    </w:p>
    <w:p w14:paraId="5E508D2E" w14:textId="77777777" w:rsidR="009B3A8A" w:rsidRDefault="00705A4C" w:rsidP="00705A4C">
      <w:pPr>
        <w:pBdr>
          <w:top w:val="single" w:sz="4" w:space="1" w:color="auto"/>
          <w:left w:val="single" w:sz="4" w:space="4" w:color="auto"/>
          <w:bottom w:val="single" w:sz="4" w:space="1" w:color="auto"/>
          <w:right w:val="single" w:sz="4" w:space="4" w:color="auto"/>
        </w:pBdr>
        <w:shd w:val="clear" w:color="auto" w:fill="E4E4E4"/>
        <w:ind w:left="567" w:hanging="567"/>
      </w:pPr>
      <w:r>
        <w:t>4.161</w:t>
      </w:r>
      <w:r w:rsidR="009B3A8A">
        <w:tab/>
      </w:r>
      <w:r w:rsidRPr="00705A4C">
        <w:t>The Committee recommends that the Australian Government work with its state and territory counterparts and industry to raise awareness and education of innovative technologies and recyclable materials and construction methods to support road asset infrastructure sustainability and support a circular economy.</w:t>
      </w:r>
    </w:p>
    <w:p w14:paraId="5344FB12" w14:textId="77777777" w:rsidR="009B3A8A" w:rsidRDefault="009B3A8A" w:rsidP="009B3A8A">
      <w:r>
        <w:t xml:space="preserve">The </w:t>
      </w:r>
      <w:r w:rsidR="005E17D4">
        <w:t xml:space="preserve">Australian </w:t>
      </w:r>
      <w:r>
        <w:t xml:space="preserve">Government </w:t>
      </w:r>
      <w:r>
        <w:rPr>
          <w:b/>
        </w:rPr>
        <w:t>supports</w:t>
      </w:r>
      <w:r w:rsidR="00CC78E3">
        <w:rPr>
          <w:b/>
        </w:rPr>
        <w:t xml:space="preserve"> </w:t>
      </w:r>
      <w:r>
        <w:t>this recommendation.</w:t>
      </w:r>
    </w:p>
    <w:p w14:paraId="1860C7D2" w14:textId="77777777" w:rsidR="005338D5" w:rsidRPr="00CB3328" w:rsidRDefault="005338D5" w:rsidP="005338D5">
      <w:r w:rsidRPr="00CB3328">
        <w:t xml:space="preserve">The Australian Government has been working to raise awareness of the opportunities for use of recycled materials in infrastructure, by: </w:t>
      </w:r>
    </w:p>
    <w:p w14:paraId="53DE7471" w14:textId="77777777" w:rsidR="005338D5" w:rsidRPr="00CB3328" w:rsidRDefault="005338D5" w:rsidP="005338D5">
      <w:pPr>
        <w:pStyle w:val="ListParagraph"/>
        <w:numPr>
          <w:ilvl w:val="0"/>
          <w:numId w:val="7"/>
        </w:numPr>
      </w:pPr>
      <w:r w:rsidRPr="00CB3328">
        <w:t xml:space="preserve">producing videos that showcase Australian companies making products containing recycled materials </w:t>
      </w:r>
    </w:p>
    <w:p w14:paraId="1825F2E3" w14:textId="77777777" w:rsidR="005338D5" w:rsidRPr="00CB3328" w:rsidRDefault="005338D5" w:rsidP="005338D5">
      <w:pPr>
        <w:pStyle w:val="ListParagraph"/>
        <w:numPr>
          <w:ilvl w:val="0"/>
          <w:numId w:val="7"/>
        </w:numPr>
      </w:pPr>
      <w:r w:rsidRPr="00CB3328">
        <w:t xml:space="preserve">partnering with </w:t>
      </w:r>
      <w:r>
        <w:t xml:space="preserve">the </w:t>
      </w:r>
      <w:r w:rsidRPr="00CB3328">
        <w:t>Infrastructure Sustainability Council to pilot a credit that will reward the use of recycled content under their Infrastructure Sustainability Rating Scheme</w:t>
      </w:r>
    </w:p>
    <w:p w14:paraId="02E3AE28" w14:textId="77777777" w:rsidR="005338D5" w:rsidRDefault="00137D73" w:rsidP="005338D5">
      <w:pPr>
        <w:pStyle w:val="ListParagraph"/>
        <w:numPr>
          <w:ilvl w:val="0"/>
          <w:numId w:val="7"/>
        </w:numPr>
      </w:pPr>
      <w:r>
        <w:t>delivering through</w:t>
      </w:r>
      <w:r w:rsidR="00483E92" w:rsidRPr="00CB3328">
        <w:t xml:space="preserve"> </w:t>
      </w:r>
      <w:r w:rsidR="005338D5" w:rsidRPr="00CB3328">
        <w:t xml:space="preserve">Infrastructure Australia the </w:t>
      </w:r>
      <w:hyperlink r:id="rId33" w:history="1">
        <w:r w:rsidR="005338D5" w:rsidRPr="002518B7">
          <w:rPr>
            <w:rStyle w:val="Hyperlink"/>
          </w:rPr>
          <w:t>2022 Replacement Materials Report</w:t>
        </w:r>
      </w:hyperlink>
      <w:r w:rsidR="005338D5" w:rsidRPr="00CB3328">
        <w:t xml:space="preserve"> which highlights opportunities to use recycled materials in road infrastructure</w:t>
      </w:r>
    </w:p>
    <w:p w14:paraId="739CF724" w14:textId="77777777" w:rsidR="00F3471F" w:rsidRPr="00CB3328" w:rsidRDefault="00137D73" w:rsidP="00F3471F">
      <w:pPr>
        <w:pStyle w:val="ListParagraph"/>
        <w:numPr>
          <w:ilvl w:val="0"/>
          <w:numId w:val="7"/>
        </w:numPr>
      </w:pPr>
      <w:r>
        <w:t xml:space="preserve">delivering through </w:t>
      </w:r>
      <w:r w:rsidR="00F3471F">
        <w:t xml:space="preserve">Infrastructure Australia the 2024 </w:t>
      </w:r>
      <w:hyperlink r:id="rId34" w:history="1">
        <w:r w:rsidR="00F3471F" w:rsidRPr="00A84FB6">
          <w:rPr>
            <w:rStyle w:val="Hyperlink"/>
          </w:rPr>
          <w:t>Embodied Carbon Projections for Australian Infrastructure and Buildings report</w:t>
        </w:r>
      </w:hyperlink>
      <w:r w:rsidR="00F3471F">
        <w:t>, which identifies opportunities and practical decarbonisation strategies including recycled and low carbon materials</w:t>
      </w:r>
    </w:p>
    <w:p w14:paraId="67C20C46" w14:textId="77777777" w:rsidR="005338D5" w:rsidRPr="00CB3328" w:rsidRDefault="005338D5" w:rsidP="005338D5">
      <w:pPr>
        <w:pStyle w:val="ListParagraph"/>
        <w:numPr>
          <w:ilvl w:val="0"/>
          <w:numId w:val="7"/>
        </w:numPr>
      </w:pPr>
      <w:r w:rsidRPr="00CB3328">
        <w:t xml:space="preserve">engaging </w:t>
      </w:r>
      <w:r>
        <w:t xml:space="preserve">the </w:t>
      </w:r>
      <w:r w:rsidRPr="00CB3328">
        <w:t>Australian Roads Research Board to develop best practice advice on recycled material use in road and rail projects.</w:t>
      </w:r>
    </w:p>
    <w:p w14:paraId="1A5DD570" w14:textId="5594FD21" w:rsidR="00553378" w:rsidRPr="00CB3328" w:rsidRDefault="00553378" w:rsidP="00553378">
      <w:r w:rsidRPr="00CB3328">
        <w:t>The Australian Government is</w:t>
      </w:r>
      <w:r w:rsidR="005338D5">
        <w:t xml:space="preserve"> also</w:t>
      </w:r>
      <w:r w:rsidRPr="00CB3328">
        <w:t xml:space="preserve"> developing a verified brand for recycled content products</w:t>
      </w:r>
      <w:r>
        <w:t>,</w:t>
      </w:r>
      <w:r w:rsidRPr="00CB3328">
        <w:t xml:space="preserve"> </w:t>
      </w:r>
      <w:r w:rsidR="00011F7F">
        <w:t>‘</w:t>
      </w:r>
      <w:proofErr w:type="spellStart"/>
      <w:r w:rsidRPr="00CB3328">
        <w:t>ReMade</w:t>
      </w:r>
      <w:proofErr w:type="spellEnd"/>
      <w:r w:rsidRPr="00CB3328">
        <w:t xml:space="preserve"> in Australia</w:t>
      </w:r>
      <w:r w:rsidR="00011F7F">
        <w:t>’</w:t>
      </w:r>
      <w:r w:rsidRPr="00CB3328">
        <w:t xml:space="preserve">. The brand will be implemented as a certification </w:t>
      </w:r>
      <w:proofErr w:type="gramStart"/>
      <w:r w:rsidRPr="00CB3328">
        <w:t>trade mark</w:t>
      </w:r>
      <w:proofErr w:type="gramEnd"/>
      <w:r w:rsidRPr="00CB3328">
        <w:t xml:space="preserve"> and administered by a third-party licencing body. While the rules for the scheme are still being developed, it is expected that construction projects (that meet the eligibility requirements) will be able to participate with the brand. </w:t>
      </w:r>
    </w:p>
    <w:p w14:paraId="1CD1F4C5" w14:textId="77777777" w:rsidR="00553378" w:rsidRDefault="00553378" w:rsidP="00553378">
      <w:r w:rsidRPr="00CB3328">
        <w:t xml:space="preserve">The Recycling Modernisation Fund (RMF) is a national initiative that is expanding Australia’s capacity to sort, process and remanufacture glass, plastic, tyres, paper and cardboard. The Australian Government is investing $250 million in new and upgraded recycling infrastructure through the RMF. As part of this investment, the RMF has provided funding to projects which would enable the construction of roads from recycled materials. </w:t>
      </w:r>
    </w:p>
    <w:p w14:paraId="3DA7DD31" w14:textId="77777777" w:rsidR="00553378" w:rsidRPr="00CB3328" w:rsidRDefault="00553378" w:rsidP="00553378">
      <w:pPr>
        <w:rPr>
          <w:b/>
        </w:rPr>
      </w:pPr>
    </w:p>
    <w:p w14:paraId="6BDD8068" w14:textId="77777777" w:rsidR="009B3A8A" w:rsidRDefault="009B3A8A">
      <w:pPr>
        <w:spacing w:after="160" w:line="259" w:lineRule="auto"/>
      </w:pPr>
      <w:r>
        <w:br w:type="page"/>
      </w:r>
    </w:p>
    <w:p w14:paraId="2B940D4B" w14:textId="77777777" w:rsidR="009B3A8A" w:rsidRDefault="009B3A8A" w:rsidP="009B3A8A">
      <w:pPr>
        <w:pStyle w:val="Heading3"/>
        <w:pBdr>
          <w:top w:val="single" w:sz="4" w:space="1" w:color="auto"/>
          <w:left w:val="single" w:sz="4" w:space="4" w:color="auto"/>
          <w:bottom w:val="single" w:sz="4" w:space="1" w:color="auto"/>
          <w:right w:val="single" w:sz="4" w:space="4" w:color="auto"/>
        </w:pBdr>
      </w:pPr>
      <w:bookmarkStart w:id="29" w:name="_Toc219188308"/>
      <w:bookmarkStart w:id="30" w:name="_Hlk207812500"/>
      <w:r>
        <w:lastRenderedPageBreak/>
        <w:t>Recommendation 19:</w:t>
      </w:r>
      <w:bookmarkEnd w:id="29"/>
    </w:p>
    <w:p w14:paraId="69CEC54B" w14:textId="77777777" w:rsidR="009B3A8A" w:rsidRDefault="006F0FC9" w:rsidP="006F0FC9">
      <w:pPr>
        <w:pBdr>
          <w:top w:val="single" w:sz="4" w:space="1" w:color="auto"/>
          <w:left w:val="single" w:sz="4" w:space="4" w:color="auto"/>
          <w:bottom w:val="single" w:sz="4" w:space="1" w:color="auto"/>
          <w:right w:val="single" w:sz="4" w:space="4" w:color="auto"/>
        </w:pBdr>
        <w:shd w:val="clear" w:color="auto" w:fill="E4E4E4"/>
        <w:ind w:left="567" w:hanging="567"/>
      </w:pPr>
      <w:r>
        <w:t>4.164</w:t>
      </w:r>
      <w:r w:rsidR="009B3A8A">
        <w:tab/>
      </w:r>
      <w:r w:rsidRPr="006F0FC9">
        <w:t>The Committee recommends all levels of Government to undertake a proactive approach to build and strengthen their data skills and capabilities to inform better decisions, particularly on road conditions and accidents.</w:t>
      </w:r>
    </w:p>
    <w:p w14:paraId="3C73C04A" w14:textId="77777777" w:rsidR="009B3A8A" w:rsidRDefault="009B3A8A" w:rsidP="009B3A8A">
      <w:r>
        <w:t xml:space="preserve">The </w:t>
      </w:r>
      <w:r w:rsidR="005E17D4">
        <w:t xml:space="preserve">Australian </w:t>
      </w:r>
      <w:r>
        <w:t xml:space="preserve">Government </w:t>
      </w:r>
      <w:r>
        <w:rPr>
          <w:b/>
        </w:rPr>
        <w:t>supports</w:t>
      </w:r>
      <w:r>
        <w:t xml:space="preserve"> this recommendation.</w:t>
      </w:r>
    </w:p>
    <w:p w14:paraId="3FA49BE4" w14:textId="77777777" w:rsidR="00CC78E3" w:rsidRPr="00883ECE" w:rsidRDefault="00CC78E3" w:rsidP="00CC78E3">
      <w:r w:rsidRPr="00883ECE">
        <w:t>The Australian Government is improving the sharing, transparency and consistency of national road safety data through the following measures:</w:t>
      </w:r>
    </w:p>
    <w:p w14:paraId="28FD5ED5" w14:textId="77777777" w:rsidR="006F34B1" w:rsidRDefault="00CC78E3" w:rsidP="00CC78E3">
      <w:pPr>
        <w:pStyle w:val="ListParagraph"/>
        <w:numPr>
          <w:ilvl w:val="0"/>
          <w:numId w:val="12"/>
        </w:numPr>
        <w:spacing w:line="256" w:lineRule="auto"/>
      </w:pPr>
      <w:r w:rsidRPr="00883ECE">
        <w:t>A Data Sharing Agreement (DSA) for the exchange of road safety data was agreed by all governments on 12 April 2024</w:t>
      </w:r>
      <w:r w:rsidR="00DA0709">
        <w:t xml:space="preserve"> </w:t>
      </w:r>
      <w:r w:rsidR="006F34B1">
        <w:rPr>
          <w:iCs/>
        </w:rPr>
        <w:t>to help inform a comprehensive view of where and when fatalities and serious injuries are occurring</w:t>
      </w:r>
      <w:r w:rsidRPr="00883ECE">
        <w:t xml:space="preserve">. </w:t>
      </w:r>
    </w:p>
    <w:p w14:paraId="1B2BE587" w14:textId="0D3575D9" w:rsidR="00CC78E3" w:rsidRPr="00883ECE" w:rsidRDefault="00B872BF" w:rsidP="00CC78E3">
      <w:pPr>
        <w:pStyle w:val="ListParagraph"/>
        <w:numPr>
          <w:ilvl w:val="0"/>
          <w:numId w:val="12"/>
        </w:numPr>
        <w:spacing w:line="256" w:lineRule="auto"/>
      </w:pPr>
      <w:r>
        <w:t>T</w:t>
      </w:r>
      <w:r w:rsidR="00CC78E3" w:rsidRPr="00883ECE">
        <w:t xml:space="preserve">he Australian Government will </w:t>
      </w:r>
      <w:r w:rsidR="006F34B1">
        <w:t xml:space="preserve">also </w:t>
      </w:r>
      <w:r>
        <w:t xml:space="preserve">work to </w:t>
      </w:r>
      <w:r w:rsidR="00CC78E3" w:rsidRPr="00883ECE">
        <w:t xml:space="preserve">improve data sharing </w:t>
      </w:r>
      <w:r>
        <w:t>with</w:t>
      </w:r>
      <w:r w:rsidR="00CC78E3" w:rsidRPr="00883ECE">
        <w:t xml:space="preserve"> the state</w:t>
      </w:r>
      <w:r>
        <w:t xml:space="preserve"> and territory government</w:t>
      </w:r>
      <w:r w:rsidR="00CC78E3" w:rsidRPr="00883ECE">
        <w:t xml:space="preserve">s through </w:t>
      </w:r>
      <w:r w:rsidR="006F34B1">
        <w:t xml:space="preserve">the </w:t>
      </w:r>
      <w:r w:rsidR="00A21713">
        <w:t>FFAS</w:t>
      </w:r>
      <w:r w:rsidR="00CC78E3" w:rsidRPr="00883ECE">
        <w:t xml:space="preserve">. </w:t>
      </w:r>
    </w:p>
    <w:p w14:paraId="7E111ED7" w14:textId="77777777" w:rsidR="00CC78E3" w:rsidRPr="00883ECE" w:rsidRDefault="00CC78E3" w:rsidP="00CC78E3">
      <w:pPr>
        <w:pStyle w:val="ListParagraph"/>
        <w:numPr>
          <w:ilvl w:val="0"/>
          <w:numId w:val="12"/>
        </w:numPr>
        <w:spacing w:line="256" w:lineRule="auto"/>
      </w:pPr>
      <w:r w:rsidRPr="00883ECE">
        <w:t xml:space="preserve">The 2024-25 Budget included an investment of $21 million in the National Road Safety Data Hub (the Hub). This investment will ensure that the Hub can be used effectively by everyone, including decision makers, and will continue the work of harmonising the important data provided by state and territories. A clear picture, underpinned by data, about where best to target road safety funding will save lives and ensure investment in projects which will make the biggest difference. </w:t>
      </w:r>
    </w:p>
    <w:p w14:paraId="71D92426" w14:textId="330D4D58" w:rsidR="00CC78E3" w:rsidRPr="00883ECE" w:rsidRDefault="00CC78E3" w:rsidP="00CC78E3">
      <w:pPr>
        <w:pStyle w:val="ListParagraph"/>
        <w:numPr>
          <w:ilvl w:val="0"/>
          <w:numId w:val="12"/>
        </w:numPr>
        <w:spacing w:line="256" w:lineRule="auto"/>
      </w:pPr>
      <w:r w:rsidRPr="00883ECE">
        <w:t xml:space="preserve">Through the </w:t>
      </w:r>
      <w:r w:rsidRPr="00883ECE">
        <w:rPr>
          <w:i/>
        </w:rPr>
        <w:t>National Road Safety Action Plan 2023-25</w:t>
      </w:r>
      <w:r w:rsidRPr="00883ECE">
        <w:t xml:space="preserve">, the </w:t>
      </w:r>
      <w:r>
        <w:t xml:space="preserve">Australian </w:t>
      </w:r>
      <w:r w:rsidRPr="00883ECE">
        <w:t xml:space="preserve">Government committed to developing a National Data Collection and Reporting Framework (Framework) and National </w:t>
      </w:r>
      <w:r w:rsidR="006F34B1">
        <w:t>Road Safety Dataset</w:t>
      </w:r>
      <w:r w:rsidRPr="00883ECE">
        <w:t xml:space="preserve"> (</w:t>
      </w:r>
      <w:r w:rsidR="006F34B1" w:rsidRPr="00883ECE">
        <w:t>N</w:t>
      </w:r>
      <w:r w:rsidR="006F34B1">
        <w:t>RSD</w:t>
      </w:r>
      <w:r w:rsidRPr="00883ECE">
        <w:t xml:space="preserve">). The Framework and </w:t>
      </w:r>
      <w:r w:rsidR="006F34B1" w:rsidRPr="00883ECE">
        <w:t>N</w:t>
      </w:r>
      <w:r w:rsidR="006F34B1">
        <w:t>RSD</w:t>
      </w:r>
      <w:r w:rsidR="006F34B1" w:rsidRPr="00883ECE">
        <w:t xml:space="preserve"> </w:t>
      </w:r>
      <w:r w:rsidR="00CC4AD6">
        <w:t xml:space="preserve">focus and prioritise data collection and reporting efforts nationally, </w:t>
      </w:r>
      <w:r w:rsidRPr="00883ECE">
        <w:t xml:space="preserve">to inform future planning and policy development for road safety in Australia for road safety practitioners, researchers and governments. </w:t>
      </w:r>
    </w:p>
    <w:p w14:paraId="324CC45C" w14:textId="205CFF5D" w:rsidR="00CC78E3" w:rsidRDefault="00CC78E3" w:rsidP="00CC78E3">
      <w:r w:rsidRPr="00883ECE">
        <w:t>In addition to these measures, the Australian Government chair</w:t>
      </w:r>
      <w:r w:rsidR="00CC4AD6">
        <w:t>s</w:t>
      </w:r>
      <w:r w:rsidRPr="00883ECE">
        <w:t xml:space="preserve"> the Road Safety Data Working Group (RSDWG), which provides a forum for Australian, state and territory government officials to collaborate and focus on the delivery of intergovernmental road safety data objectives and commitments, as articulated in the </w:t>
      </w:r>
      <w:r w:rsidRPr="00883ECE">
        <w:rPr>
          <w:i/>
        </w:rPr>
        <w:t>National Road Safety Strategy 2021-30</w:t>
      </w:r>
      <w:r w:rsidRPr="00883ECE">
        <w:t xml:space="preserve"> and its accompanying Action Plans.</w:t>
      </w:r>
    </w:p>
    <w:p w14:paraId="4DBF44B8" w14:textId="77777777" w:rsidR="009B3A8A" w:rsidRDefault="00CC78E3">
      <w:r>
        <w:t xml:space="preserve">As referenced </w:t>
      </w:r>
      <w:r w:rsidR="00FA331A">
        <w:t>in the response to Recommendation 14</w:t>
      </w:r>
      <w:r>
        <w:t>, the Australian Government is also funding SLGAAP, which supports</w:t>
      </w:r>
      <w:r w:rsidRPr="00AB5BF4">
        <w:t xml:space="preserve"> local government road managers understand the condition and capacity of their local bridge assets. </w:t>
      </w:r>
      <w:r>
        <w:t>SLGAAP phase three will</w:t>
      </w:r>
      <w:r w:rsidRPr="00AB5BF4">
        <w:t xml:space="preserve"> focus on supporting the collection of bridge asset data towards the establishment of the N</w:t>
      </w:r>
      <w:r>
        <w:t>ational Automated Access System (N</w:t>
      </w:r>
      <w:r w:rsidRPr="00AB5BF4">
        <w:t>AAS</w:t>
      </w:r>
      <w:r>
        <w:t>).</w:t>
      </w:r>
      <w:r w:rsidRPr="00AB5BF4">
        <w:t xml:space="preserve"> The NAAS </w:t>
      </w:r>
      <w:r w:rsidR="00BB6237">
        <w:t>is intended to</w:t>
      </w:r>
      <w:r w:rsidR="00BB6237" w:rsidRPr="00AB5BF4">
        <w:t xml:space="preserve"> </w:t>
      </w:r>
      <w:r w:rsidRPr="00AB5BF4">
        <w:t xml:space="preserve">improve productivity and enable safe access by </w:t>
      </w:r>
      <w:r w:rsidR="00BB6237">
        <w:t>significantly reducing</w:t>
      </w:r>
      <w:r w:rsidR="00BB6237" w:rsidRPr="00AB5BF4">
        <w:t xml:space="preserve"> </w:t>
      </w:r>
      <w:r w:rsidRPr="00AB5BF4">
        <w:t>case-by-case permits for heavy vehicle access.</w:t>
      </w:r>
    </w:p>
    <w:p w14:paraId="3DBC2F12" w14:textId="77777777" w:rsidR="009B3A8A" w:rsidRDefault="009B3A8A">
      <w:pPr>
        <w:spacing w:after="160" w:line="259" w:lineRule="auto"/>
      </w:pPr>
      <w:r>
        <w:br w:type="page"/>
      </w:r>
    </w:p>
    <w:p w14:paraId="7766926A" w14:textId="77777777" w:rsidR="009B3A8A" w:rsidRDefault="009B3A8A" w:rsidP="009B3A8A">
      <w:pPr>
        <w:pStyle w:val="Heading3"/>
        <w:pBdr>
          <w:top w:val="single" w:sz="4" w:space="1" w:color="auto"/>
          <w:left w:val="single" w:sz="4" w:space="4" w:color="auto"/>
          <w:bottom w:val="single" w:sz="4" w:space="1" w:color="auto"/>
          <w:right w:val="single" w:sz="4" w:space="4" w:color="auto"/>
        </w:pBdr>
      </w:pPr>
      <w:bookmarkStart w:id="31" w:name="_Toc219188309"/>
      <w:bookmarkEnd w:id="30"/>
      <w:r>
        <w:lastRenderedPageBreak/>
        <w:t>Recommendation 20:</w:t>
      </w:r>
      <w:bookmarkEnd w:id="31"/>
    </w:p>
    <w:p w14:paraId="350BD449" w14:textId="77777777" w:rsidR="006F0FC9" w:rsidRPr="006F0FC9" w:rsidRDefault="006F0FC9" w:rsidP="009B3A8A">
      <w:pPr>
        <w:pBdr>
          <w:top w:val="single" w:sz="4" w:space="1" w:color="auto"/>
          <w:left w:val="single" w:sz="4" w:space="4" w:color="auto"/>
          <w:bottom w:val="single" w:sz="4" w:space="1" w:color="auto"/>
          <w:right w:val="single" w:sz="4" w:space="4" w:color="auto"/>
        </w:pBdr>
        <w:shd w:val="clear" w:color="auto" w:fill="E4E4E4"/>
        <w:ind w:left="567" w:hanging="567"/>
      </w:pPr>
      <w:r>
        <w:t>4.165</w:t>
      </w:r>
      <w:r w:rsidR="009B3A8A">
        <w:tab/>
      </w:r>
      <w:r w:rsidRPr="006F0FC9">
        <w:t>The Committee recommends that the Australian Government work with state, territory and local governments and road agencies, including Austroads and the National Transport Research Organisation, to address existing road asset data gaps by developing a comprehensive understanding of the road network condition and standardised road asset dataset, with agreement on the following:</w:t>
      </w:r>
    </w:p>
    <w:p w14:paraId="21DBBE07" w14:textId="77777777" w:rsidR="0090159E" w:rsidRDefault="006F0FC9" w:rsidP="0090159E">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E4E4E4"/>
        <w:ind w:left="567" w:hanging="567"/>
      </w:pPr>
      <w:r w:rsidRPr="006F0FC9">
        <w:t>a common definition of road asset data</w:t>
      </w:r>
    </w:p>
    <w:p w14:paraId="0615CD4A" w14:textId="77777777" w:rsidR="009B3A8A" w:rsidRDefault="006F0FC9" w:rsidP="0090159E">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E4E4E4"/>
        <w:ind w:left="567" w:hanging="567"/>
      </w:pPr>
      <w:r w:rsidRPr="006F0FC9">
        <w:t>a consistent format across road asset data collection and storage.</w:t>
      </w:r>
    </w:p>
    <w:p w14:paraId="0D7152F2" w14:textId="77777777" w:rsidR="009B3A8A" w:rsidRDefault="009B3A8A" w:rsidP="009B3A8A">
      <w:r>
        <w:t xml:space="preserve">The </w:t>
      </w:r>
      <w:r w:rsidR="005E17D4">
        <w:t xml:space="preserve">Australian </w:t>
      </w:r>
      <w:r>
        <w:t xml:space="preserve">Government </w:t>
      </w:r>
      <w:r>
        <w:rPr>
          <w:b/>
        </w:rPr>
        <w:t>agrees in principle</w:t>
      </w:r>
      <w:r>
        <w:t xml:space="preserve"> </w:t>
      </w:r>
      <w:r w:rsidR="0090159E">
        <w:t xml:space="preserve">with </w:t>
      </w:r>
      <w:r>
        <w:t>this recommendation.</w:t>
      </w:r>
    </w:p>
    <w:p w14:paraId="4F87D731" w14:textId="1ABA5748" w:rsidR="0090159E" w:rsidRPr="00765922" w:rsidRDefault="00015C2E" w:rsidP="00DA01FA">
      <w:pPr>
        <w:rPr>
          <w:rFonts w:eastAsiaTheme="minorHAnsi"/>
          <w:iCs/>
          <w:lang w:eastAsia="en-US"/>
        </w:rPr>
      </w:pPr>
      <w:r>
        <w:rPr>
          <w:rFonts w:eastAsiaTheme="minorHAnsi"/>
          <w:lang w:eastAsia="en-US"/>
        </w:rPr>
        <w:t>Under t</w:t>
      </w:r>
      <w:r w:rsidR="0090159E" w:rsidRPr="00765922">
        <w:rPr>
          <w:rFonts w:eastAsiaTheme="minorHAnsi"/>
          <w:lang w:eastAsia="en-US"/>
        </w:rPr>
        <w:t xml:space="preserve">he </w:t>
      </w:r>
      <w:r w:rsidR="00A21713">
        <w:rPr>
          <w:rFonts w:eastAsiaTheme="minorHAnsi"/>
          <w:lang w:eastAsia="en-US"/>
        </w:rPr>
        <w:t>FFAS</w:t>
      </w:r>
      <w:r w:rsidR="0090159E" w:rsidRPr="00765922">
        <w:rPr>
          <w:rFonts w:eastAsiaTheme="minorHAnsi"/>
          <w:lang w:eastAsia="en-US"/>
        </w:rPr>
        <w:t xml:space="preserve">, the Australian, state and territory governments </w:t>
      </w:r>
      <w:r>
        <w:rPr>
          <w:rFonts w:eastAsiaTheme="minorHAnsi"/>
          <w:lang w:eastAsia="en-US"/>
        </w:rPr>
        <w:t xml:space="preserve">will </w:t>
      </w:r>
      <w:r w:rsidR="005338D5">
        <w:rPr>
          <w:rFonts w:eastAsiaTheme="minorHAnsi"/>
          <w:lang w:eastAsia="en-US"/>
        </w:rPr>
        <w:t xml:space="preserve">support </w:t>
      </w:r>
      <w:r w:rsidR="0090159E" w:rsidRPr="00765922">
        <w:rPr>
          <w:rFonts w:eastAsiaTheme="minorHAnsi"/>
          <w:lang w:eastAsia="en-US"/>
        </w:rPr>
        <w:t xml:space="preserve">a process of continuous improvement in setting outcomes-based performance indicators and reporting. Key Performance Indicators </w:t>
      </w:r>
      <w:r w:rsidR="00DF5AE6">
        <w:rPr>
          <w:rFonts w:eastAsiaTheme="minorHAnsi"/>
          <w:lang w:eastAsia="en-US"/>
        </w:rPr>
        <w:t xml:space="preserve">will </w:t>
      </w:r>
      <w:r w:rsidR="0090159E" w:rsidRPr="00765922">
        <w:rPr>
          <w:rFonts w:eastAsiaTheme="minorHAnsi"/>
          <w:lang w:eastAsia="en-US"/>
        </w:rPr>
        <w:t>enabl</w:t>
      </w:r>
      <w:r w:rsidR="00DF5AE6">
        <w:rPr>
          <w:rFonts w:eastAsiaTheme="minorHAnsi"/>
          <w:lang w:eastAsia="en-US"/>
        </w:rPr>
        <w:t xml:space="preserve">e </w:t>
      </w:r>
      <w:r w:rsidR="0090159E" w:rsidRPr="00765922">
        <w:rPr>
          <w:rFonts w:eastAsiaTheme="minorHAnsi"/>
          <w:lang w:eastAsia="en-US"/>
        </w:rPr>
        <w:t xml:space="preserve">the assessment of outcomes achieved </w:t>
      </w:r>
      <w:r w:rsidR="00DF5AE6">
        <w:rPr>
          <w:rFonts w:eastAsiaTheme="minorHAnsi"/>
          <w:lang w:eastAsia="en-US"/>
        </w:rPr>
        <w:t xml:space="preserve">in the areas </w:t>
      </w:r>
      <w:r w:rsidR="0090159E" w:rsidRPr="00765922">
        <w:rPr>
          <w:rFonts w:eastAsiaTheme="minorHAnsi"/>
          <w:lang w:eastAsia="en-US"/>
        </w:rPr>
        <w:t xml:space="preserve">of productivity and resilience, liveability and sustainability, with a focus on the </w:t>
      </w:r>
      <w:r w:rsidR="00CE2321">
        <w:rPr>
          <w:rFonts w:eastAsiaTheme="minorHAnsi"/>
          <w:lang w:eastAsia="en-US"/>
        </w:rPr>
        <w:t>NLTN</w:t>
      </w:r>
      <w:r w:rsidR="0090159E" w:rsidRPr="00765922">
        <w:rPr>
          <w:rFonts w:eastAsiaTheme="minorHAnsi"/>
          <w:lang w:eastAsia="en-US"/>
        </w:rPr>
        <w:t xml:space="preserve">. The states and territories will provide a </w:t>
      </w:r>
      <w:r w:rsidR="00B36084">
        <w:rPr>
          <w:rFonts w:eastAsiaTheme="minorHAnsi"/>
          <w:lang w:eastAsia="en-US"/>
        </w:rPr>
        <w:t>Road</w:t>
      </w:r>
      <w:r w:rsidR="00B36084" w:rsidRPr="00765922">
        <w:rPr>
          <w:rFonts w:eastAsiaTheme="minorHAnsi"/>
          <w:lang w:eastAsia="en-US"/>
        </w:rPr>
        <w:t xml:space="preserve"> </w:t>
      </w:r>
      <w:r w:rsidR="0090159E" w:rsidRPr="00765922">
        <w:rPr>
          <w:rFonts w:eastAsiaTheme="minorHAnsi"/>
          <w:lang w:eastAsia="en-US"/>
        </w:rPr>
        <w:t xml:space="preserve">Performance </w:t>
      </w:r>
      <w:r w:rsidR="00B36084">
        <w:rPr>
          <w:rFonts w:eastAsiaTheme="minorHAnsi"/>
          <w:lang w:eastAsia="en-US"/>
        </w:rPr>
        <w:t xml:space="preserve">Data </w:t>
      </w:r>
      <w:r w:rsidR="0090159E" w:rsidRPr="00765922">
        <w:rPr>
          <w:rFonts w:eastAsiaTheme="minorHAnsi"/>
          <w:lang w:eastAsia="en-US"/>
        </w:rPr>
        <w:t xml:space="preserve">Report annually, including agreed data on </w:t>
      </w:r>
      <w:r w:rsidR="00886CA5">
        <w:rPr>
          <w:rFonts w:eastAsiaTheme="minorHAnsi"/>
          <w:lang w:eastAsia="en-US"/>
        </w:rPr>
        <w:t xml:space="preserve">road </w:t>
      </w:r>
      <w:r w:rsidR="0090159E" w:rsidRPr="00765922">
        <w:rPr>
          <w:rFonts w:eastAsiaTheme="minorHAnsi"/>
          <w:lang w:eastAsia="en-US"/>
        </w:rPr>
        <w:t>condition and usage</w:t>
      </w:r>
      <w:r w:rsidR="00886CA5">
        <w:rPr>
          <w:rFonts w:eastAsiaTheme="minorHAnsi"/>
          <w:lang w:eastAsia="en-US"/>
        </w:rPr>
        <w:t xml:space="preserve">, as well as associated </w:t>
      </w:r>
      <w:r w:rsidR="0090159E" w:rsidRPr="00765922">
        <w:rPr>
          <w:rFonts w:eastAsiaTheme="minorHAnsi"/>
          <w:lang w:eastAsia="en-US"/>
        </w:rPr>
        <w:t>maintenance expenditure.</w:t>
      </w:r>
    </w:p>
    <w:p w14:paraId="2957655E" w14:textId="77777777" w:rsidR="0090159E" w:rsidRPr="002A06B8" w:rsidRDefault="0090159E" w:rsidP="0051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The </w:t>
      </w:r>
      <w:r w:rsidRPr="002A06B8">
        <w:t>Road Asset Data Standard</w:t>
      </w:r>
      <w:r>
        <w:t xml:space="preserve"> compiled by</w:t>
      </w:r>
      <w:r w:rsidRPr="002A06B8">
        <w:t xml:space="preserve"> Austroads</w:t>
      </w:r>
      <w:r>
        <w:t xml:space="preserve"> p</w:t>
      </w:r>
      <w:r w:rsidRPr="002A06B8">
        <w:t xml:space="preserve">rovides consistent definitions, formats and counting rules for key road asset condition, use and related financial information. </w:t>
      </w:r>
      <w:r>
        <w:t xml:space="preserve">The </w:t>
      </w:r>
      <w:r w:rsidRPr="002A06B8">
        <w:t xml:space="preserve">Austroads Road Asset Data Standards are </w:t>
      </w:r>
      <w:r>
        <w:t>intended to</w:t>
      </w:r>
      <w:r w:rsidRPr="002A06B8">
        <w:t xml:space="preserve">: </w:t>
      </w:r>
    </w:p>
    <w:p w14:paraId="18D89693" w14:textId="77777777" w:rsidR="0090159E" w:rsidRPr="002A06B8" w:rsidRDefault="0090159E" w:rsidP="0090159E">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06B8">
        <w:t xml:space="preserve">help governments comparatively and consistently assess their road condition, including after severe weather events </w:t>
      </w:r>
    </w:p>
    <w:p w14:paraId="48154D8F" w14:textId="77777777" w:rsidR="0090159E" w:rsidRPr="002A06B8" w:rsidRDefault="0090159E" w:rsidP="0090159E">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06B8">
        <w:t xml:space="preserve">use terms that are already widely used by road agencies </w:t>
      </w:r>
    </w:p>
    <w:p w14:paraId="744D3DB7" w14:textId="77777777" w:rsidR="0090159E" w:rsidRPr="0006658D" w:rsidRDefault="0090159E" w:rsidP="0090159E">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support</w:t>
      </w:r>
      <w:r w:rsidRPr="0006658D">
        <w:t xml:space="preserve"> more innovative data collection </w:t>
      </w:r>
    </w:p>
    <w:p w14:paraId="52457C5B" w14:textId="77777777" w:rsidR="0090159E" w:rsidRPr="0006658D" w:rsidRDefault="0090159E" w:rsidP="0090159E">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help support</w:t>
      </w:r>
      <w:r w:rsidRPr="0006658D">
        <w:t xml:space="preserve"> decision making on road investment and expenditure through consistent asset data</w:t>
      </w:r>
      <w:r w:rsidR="00CF7E5D">
        <w:t>.</w:t>
      </w:r>
    </w:p>
    <w:p w14:paraId="4D95571A" w14:textId="77777777" w:rsidR="009B3A8A" w:rsidRDefault="009B3A8A">
      <w:pPr>
        <w:spacing w:after="160" w:line="259" w:lineRule="auto"/>
      </w:pPr>
      <w:r>
        <w:br w:type="page"/>
      </w:r>
    </w:p>
    <w:p w14:paraId="753B655F" w14:textId="77777777" w:rsidR="009B3A8A" w:rsidRDefault="009B3A8A" w:rsidP="009B3A8A">
      <w:pPr>
        <w:pStyle w:val="Heading3"/>
        <w:pBdr>
          <w:top w:val="single" w:sz="4" w:space="1" w:color="auto"/>
          <w:left w:val="single" w:sz="4" w:space="4" w:color="auto"/>
          <w:bottom w:val="single" w:sz="4" w:space="1" w:color="auto"/>
          <w:right w:val="single" w:sz="4" w:space="4" w:color="auto"/>
        </w:pBdr>
      </w:pPr>
      <w:bookmarkStart w:id="32" w:name="_Toc219188310"/>
      <w:r>
        <w:lastRenderedPageBreak/>
        <w:t>Recommendation 21:</w:t>
      </w:r>
      <w:bookmarkEnd w:id="32"/>
    </w:p>
    <w:p w14:paraId="02ACE10E" w14:textId="77777777" w:rsidR="009B3A8A" w:rsidRDefault="006F0FC9" w:rsidP="006F0FC9">
      <w:pPr>
        <w:pBdr>
          <w:top w:val="single" w:sz="4" w:space="1" w:color="auto"/>
          <w:left w:val="single" w:sz="4" w:space="4" w:color="auto"/>
          <w:bottom w:val="single" w:sz="4" w:space="1" w:color="auto"/>
          <w:right w:val="single" w:sz="4" w:space="4" w:color="auto"/>
        </w:pBdr>
        <w:shd w:val="clear" w:color="auto" w:fill="E4E4E4"/>
        <w:ind w:left="567" w:hanging="567"/>
      </w:pPr>
      <w:r>
        <w:t>4.167</w:t>
      </w:r>
      <w:r w:rsidR="009B3A8A">
        <w:tab/>
      </w:r>
      <w:r w:rsidRPr="006F0FC9">
        <w:t>The Committee recommends that the Australian Government encourage state and territory governments to work with local governments to develop skills-based networks across council collectives to support asset management training and education to address workforce skills shortages across road construction and maintenance.</w:t>
      </w:r>
    </w:p>
    <w:p w14:paraId="3D428D29" w14:textId="77777777" w:rsidR="009B3A8A" w:rsidRDefault="009B3A8A" w:rsidP="009B3A8A">
      <w:r>
        <w:t>The</w:t>
      </w:r>
      <w:r w:rsidR="005E17D4">
        <w:t xml:space="preserve"> Australian</w:t>
      </w:r>
      <w:r>
        <w:t xml:space="preserve"> Government </w:t>
      </w:r>
      <w:r w:rsidR="002F5F7D">
        <w:rPr>
          <w:b/>
        </w:rPr>
        <w:t>notes</w:t>
      </w:r>
      <w:r w:rsidR="002F5F7D">
        <w:t xml:space="preserve"> </w:t>
      </w:r>
      <w:r>
        <w:t>this recommendation.</w:t>
      </w:r>
    </w:p>
    <w:p w14:paraId="3D2E24C8" w14:textId="77777777" w:rsidR="007E209A" w:rsidRDefault="007E209A" w:rsidP="007E209A">
      <w:r>
        <w:t>Local Government Associations in each state and the Northern Territory have been established under a federation type structure for which the Australian Local Government Association (ALGA) represents local government at the national level.</w:t>
      </w:r>
    </w:p>
    <w:p w14:paraId="2E45D0B1" w14:textId="77777777" w:rsidR="007E209A" w:rsidRDefault="007E209A" w:rsidP="007E209A">
      <w:r>
        <w:t xml:space="preserve">Local government associations provide a voice for local government and leadership for the sector. They also provide a suite of resources, including training and support for asset management for member council employees within their jurisdictions. </w:t>
      </w:r>
    </w:p>
    <w:p w14:paraId="4763ED71" w14:textId="77777777" w:rsidR="007E209A" w:rsidRDefault="007E209A" w:rsidP="007E209A">
      <w:r>
        <w:t xml:space="preserve">ALGA is an ex-officio member of the Local Government Ministers Forum (LGMF), which provides a forum for Commonwealth, state and territory local government ministers to forge collaborative actions, underpinned by the shared understanding of challenges impacting local governments across the nation. Through the LGMF the Australian Government facilitates and encourages state and territory governments to work collaboratively with ALGA to identify and respond to issues affecting local government including challenges such as workforce skills shortages. </w:t>
      </w:r>
    </w:p>
    <w:p w14:paraId="5F98EB67" w14:textId="77777777" w:rsidR="007E209A" w:rsidRDefault="007E209A" w:rsidP="007E209A">
      <w:r>
        <w:t>Australia’s Vocational Education and Training (VET) system is designed to support a range of national needs and priorities. With strong industry leadership, Australia’s VET sector has the scale and reach to respond to whole of economy challenges and opportunities and plays a critical role in supporting Australians to access secure, well-paid jobs.</w:t>
      </w:r>
    </w:p>
    <w:p w14:paraId="088BC914" w14:textId="77777777" w:rsidR="007E209A" w:rsidRDefault="007E209A" w:rsidP="007E209A">
      <w:r>
        <w:t xml:space="preserve">The Australian Government has committed to delivering a collaborative, tripartite VET sector that brings employers, unions and Governments together to find solutions to skills and workforce challenges.  </w:t>
      </w:r>
    </w:p>
    <w:p w14:paraId="75ADC500" w14:textId="77777777" w:rsidR="007E209A" w:rsidRDefault="007E209A" w:rsidP="007E209A">
      <w:r>
        <w:t xml:space="preserve">Jobs and Skills Councils (JSCs) have been established to provide industry with a stronger, more strategic voice to ensure Australia’s VET sector delivers better outcomes for learners and employers. As a national network of industry owned and industry-led organisations, JSCs provide strategic leadership in addressing skills and workforce challenges for their sectors, map career pathways across education sectors, support collaboration between industry and training providers to improve training and assessment practice and develop contemporary VET training products. JSCs are a key element of the national VET system architecture.  </w:t>
      </w:r>
    </w:p>
    <w:p w14:paraId="266B8ECE" w14:textId="77777777" w:rsidR="007E209A" w:rsidRDefault="007E209A" w:rsidP="007E209A">
      <w:pPr>
        <w:spacing w:after="0"/>
      </w:pPr>
      <w:r>
        <w:t>There are 10 JSCs in the national network providing leadership to address skills and workforce challenges for their industries. Public Skills Australia (PSA) is the JSC responsible for the Government Sector including Federal, state and territory, and local government. PSA works collaboratively across all levels of government to address workforce and skills needs.</w:t>
      </w:r>
    </w:p>
    <w:p w14:paraId="07524DC8" w14:textId="77777777" w:rsidR="007E209A" w:rsidRDefault="007E209A" w:rsidP="007E209A">
      <w:pPr>
        <w:spacing w:after="0"/>
        <w:rPr>
          <w:rFonts w:eastAsiaTheme="minorHAnsi"/>
        </w:rPr>
      </w:pPr>
    </w:p>
    <w:p w14:paraId="7B7E9611" w14:textId="4EB9CA4F" w:rsidR="007E209A" w:rsidRDefault="007E209A" w:rsidP="007E209A">
      <w:pPr>
        <w:spacing w:after="0"/>
      </w:pPr>
      <w:r>
        <w:t xml:space="preserve">PSA also works collaboratively with other JSCs on cross-industry workforce challenges and skills needs. This cross-collaboration is important given the wide range of occupations and skills required in local government. </w:t>
      </w:r>
      <w:proofErr w:type="spellStart"/>
      <w:r>
        <w:t>BuildSkills</w:t>
      </w:r>
      <w:proofErr w:type="spellEnd"/>
      <w:r>
        <w:t xml:space="preserve"> Australia is the JSC responsible for the Building, Construction, Property and Water industries, which includes the civil construction sector. </w:t>
      </w:r>
    </w:p>
    <w:p w14:paraId="42501505" w14:textId="77777777" w:rsidR="009B3A8A" w:rsidRDefault="009B3A8A">
      <w:pPr>
        <w:spacing w:after="160" w:line="259" w:lineRule="auto"/>
      </w:pPr>
      <w:r>
        <w:br w:type="page"/>
      </w:r>
    </w:p>
    <w:p w14:paraId="15432AA0" w14:textId="77777777" w:rsidR="009B3A8A" w:rsidRDefault="009B3A8A" w:rsidP="009B3A8A">
      <w:pPr>
        <w:pStyle w:val="Heading3"/>
        <w:pBdr>
          <w:top w:val="single" w:sz="4" w:space="1" w:color="auto"/>
          <w:left w:val="single" w:sz="4" w:space="4" w:color="auto"/>
          <w:bottom w:val="single" w:sz="4" w:space="1" w:color="auto"/>
          <w:right w:val="single" w:sz="4" w:space="4" w:color="auto"/>
        </w:pBdr>
      </w:pPr>
      <w:bookmarkStart w:id="33" w:name="_Toc219188311"/>
      <w:r>
        <w:lastRenderedPageBreak/>
        <w:t>Recommendation 22:</w:t>
      </w:r>
      <w:bookmarkEnd w:id="33"/>
    </w:p>
    <w:p w14:paraId="4CC6EC61" w14:textId="77777777" w:rsidR="009B3A8A" w:rsidRDefault="006F0FC9" w:rsidP="006F0FC9">
      <w:pPr>
        <w:pBdr>
          <w:top w:val="single" w:sz="4" w:space="1" w:color="auto"/>
          <w:left w:val="single" w:sz="4" w:space="4" w:color="auto"/>
          <w:bottom w:val="single" w:sz="4" w:space="1" w:color="auto"/>
          <w:right w:val="single" w:sz="4" w:space="4" w:color="auto"/>
        </w:pBdr>
        <w:shd w:val="clear" w:color="auto" w:fill="E4E4E4"/>
        <w:ind w:left="567" w:hanging="567"/>
      </w:pPr>
      <w:r>
        <w:t>6.8</w:t>
      </w:r>
      <w:r w:rsidR="009B3A8A">
        <w:tab/>
      </w:r>
      <w:r w:rsidRPr="006F0FC9">
        <w:t>The Committee recommends that the Australian Government strengthen bilateral ties with New Zealand and Samoa, particularly in relation to disaster management and infrastructure issues.</w:t>
      </w:r>
    </w:p>
    <w:p w14:paraId="06671E2F" w14:textId="77777777" w:rsidR="009B3A8A" w:rsidRDefault="009B3A8A" w:rsidP="00265F99">
      <w:pPr>
        <w:spacing w:after="0"/>
        <w:jc w:val="both"/>
      </w:pPr>
      <w:r>
        <w:t xml:space="preserve">The </w:t>
      </w:r>
      <w:r w:rsidR="005E17D4">
        <w:t xml:space="preserve">Australian </w:t>
      </w:r>
      <w:r>
        <w:t xml:space="preserve">Government </w:t>
      </w:r>
      <w:r w:rsidR="00AE4E25">
        <w:rPr>
          <w:b/>
        </w:rPr>
        <w:t xml:space="preserve">agrees in principle </w:t>
      </w:r>
      <w:r w:rsidR="00265F99" w:rsidRPr="0010695D">
        <w:t xml:space="preserve">with </w:t>
      </w:r>
      <w:r w:rsidR="00265F99" w:rsidRPr="00265F99">
        <w:t>this</w:t>
      </w:r>
      <w:r>
        <w:t xml:space="preserve"> recommendation.</w:t>
      </w:r>
    </w:p>
    <w:p w14:paraId="3CFD957D" w14:textId="77777777" w:rsidR="00AE4E25" w:rsidRDefault="00AE4E25" w:rsidP="00AE4E25">
      <w:pPr>
        <w:spacing w:after="0"/>
      </w:pPr>
    </w:p>
    <w:p w14:paraId="675CC0E3" w14:textId="77777777" w:rsidR="00AE4E25" w:rsidRDefault="001D4B83" w:rsidP="00AE4E25">
      <w:r w:rsidRPr="00373A19">
        <w:t xml:space="preserve">The Australian Government engages regularly with New Zealand on disaster management issues, including through the Australia-New Zealand Emergency Management Committee (ANZEMC). </w:t>
      </w:r>
      <w:r w:rsidR="00AE4E25">
        <w:t xml:space="preserve">The New Zealand National Emergency Management Agency is a permanent member of ANZEMC. </w:t>
      </w:r>
      <w:r w:rsidRPr="00373A19">
        <w:t>ANZEMC provides nationwide and Trans-Tasman leadership on the management of all hazards through a natural hazard lens, identifying and responding to emerging issues and longer-term challenges likely to impact Australia and New Zealand’s capacity to manage all hazards.</w:t>
      </w:r>
      <w:r w:rsidR="00AE4E25">
        <w:t xml:space="preserve"> Bilateral engagement is further strengthened through the NEMMM, with New Zealand holding a permanent observer position.</w:t>
      </w:r>
    </w:p>
    <w:p w14:paraId="6C60B48E" w14:textId="77777777" w:rsidR="005338D5" w:rsidRPr="00373A19" w:rsidRDefault="005338D5" w:rsidP="005338D5">
      <w:r w:rsidRPr="00373A19">
        <w:t xml:space="preserve">The Australian Government’s National Emergency Management Agency and the New Zealand National Emergency Management Agency also signed a Memorandum of Cooperation on </w:t>
      </w:r>
      <w:r w:rsidR="00E827DA" w:rsidRPr="00373A19">
        <w:t>19</w:t>
      </w:r>
      <w:r w:rsidR="00E827DA">
        <w:t> </w:t>
      </w:r>
      <w:r w:rsidRPr="00373A19">
        <w:t xml:space="preserve">September 2022, aimed at strengthening the capability of Australia and New Zealand to reduce risks and respond to disasters.  </w:t>
      </w:r>
    </w:p>
    <w:p w14:paraId="54FBA199" w14:textId="77777777" w:rsidR="001D4B83" w:rsidRPr="00373A19" w:rsidRDefault="001D4B83" w:rsidP="001D4B83">
      <w:r w:rsidRPr="00B93ECE">
        <w:t>Australia and New Zealand are working together to build climate resilience in the Pacific region, including through co-financing the Weather Ready Pacific Initiative. This initiative will help the region to better forecast and disseminate severe weather warnings through the enhancement of critical early warning systems. Australia and New Zealand continue to explore joint opportunities to respond to the threat of climate change in the Pacific, as highlighted in the Australia-New Zealand Trans-Tasman Roadmap to 2035, and the 2050 Strategy for the Blue Pacific Continent, for which Australia and New Zealand are strong supporters.</w:t>
      </w:r>
    </w:p>
    <w:p w14:paraId="547347B8" w14:textId="77777777" w:rsidR="000803FC" w:rsidRDefault="001D4B83" w:rsidP="001D4B83">
      <w:pPr>
        <w:spacing w:after="160" w:line="259" w:lineRule="auto"/>
      </w:pPr>
      <w:r w:rsidRPr="00373A19">
        <w:t>The Australian Government, through NEMA, work</w:t>
      </w:r>
      <w:r w:rsidR="00AE4E25">
        <w:t>s</w:t>
      </w:r>
      <w:r w:rsidRPr="00373A19">
        <w:t xml:space="preserve"> with Samoa in multilateral fora including the Asia-Pacific Ministerial Conference on Disaster Risk Reduction and the annual Pacific Regional Disaster Managers Meeting.</w:t>
      </w:r>
    </w:p>
    <w:p w14:paraId="65932F37" w14:textId="77777777" w:rsidR="009B3A8A" w:rsidRDefault="000803FC" w:rsidP="001D4B83">
      <w:pPr>
        <w:spacing w:after="160" w:line="259" w:lineRule="auto"/>
      </w:pPr>
      <w:r>
        <w:t>Australia and New Zealand are working together alongside other major Pacific infrastructure financiers</w:t>
      </w:r>
      <w:bookmarkStart w:id="34" w:name="_Hlk178344007"/>
      <w:r>
        <w:t xml:space="preserve">, </w:t>
      </w:r>
      <w:r w:rsidR="00D20AC4">
        <w:t xml:space="preserve">including </w:t>
      </w:r>
      <w:r>
        <w:t xml:space="preserve">the World Bank and Asian Development Bank, </w:t>
      </w:r>
      <w:bookmarkEnd w:id="34"/>
      <w:r>
        <w:t>to implement the Pacific Quality Infrastructure Principles. Implementing the principles ensures infrastructure projects generate lasting positive impacts for Pacific Island Countries including by strengthening their resilience to climate related disasters.</w:t>
      </w:r>
      <w:r w:rsidR="009B3A8A">
        <w:br w:type="page"/>
      </w:r>
    </w:p>
    <w:p w14:paraId="5A8734DC" w14:textId="77777777" w:rsidR="009B3A8A" w:rsidRDefault="009B3A8A" w:rsidP="009B3A8A">
      <w:pPr>
        <w:pStyle w:val="Heading3"/>
        <w:pBdr>
          <w:top w:val="single" w:sz="4" w:space="1" w:color="auto"/>
          <w:left w:val="single" w:sz="4" w:space="4" w:color="auto"/>
          <w:bottom w:val="single" w:sz="4" w:space="1" w:color="auto"/>
          <w:right w:val="single" w:sz="4" w:space="4" w:color="auto"/>
        </w:pBdr>
      </w:pPr>
      <w:bookmarkStart w:id="35" w:name="_Toc219188312"/>
      <w:r>
        <w:lastRenderedPageBreak/>
        <w:t>Recommendation 23:</w:t>
      </w:r>
      <w:bookmarkEnd w:id="35"/>
    </w:p>
    <w:p w14:paraId="1003BAA2" w14:textId="77777777" w:rsidR="009B3A8A" w:rsidRDefault="006F0FC9" w:rsidP="006F0FC9">
      <w:pPr>
        <w:pBdr>
          <w:top w:val="single" w:sz="4" w:space="1" w:color="auto"/>
          <w:left w:val="single" w:sz="4" w:space="4" w:color="auto"/>
          <w:bottom w:val="single" w:sz="4" w:space="1" w:color="auto"/>
          <w:right w:val="single" w:sz="4" w:space="4" w:color="auto"/>
        </w:pBdr>
        <w:shd w:val="clear" w:color="auto" w:fill="E4E4E4"/>
        <w:ind w:left="567" w:hanging="567"/>
      </w:pPr>
      <w:r>
        <w:t>6.9</w:t>
      </w:r>
      <w:r w:rsidR="009B3A8A">
        <w:tab/>
      </w:r>
      <w:r w:rsidRPr="006F0FC9">
        <w:t>The Committee recommends that the Australian Government highlight opportunities for Australian partnerships with Samoa through Austrade and communicate opportunities for joint ventures with Australian organisations.</w:t>
      </w:r>
    </w:p>
    <w:p w14:paraId="7A1BA31A" w14:textId="77777777" w:rsidR="009B3A8A" w:rsidRDefault="009B3A8A" w:rsidP="009B3A8A">
      <w:r>
        <w:t xml:space="preserve">The </w:t>
      </w:r>
      <w:r w:rsidR="005E17D4">
        <w:t xml:space="preserve">Australian </w:t>
      </w:r>
      <w:r>
        <w:t xml:space="preserve">Government </w:t>
      </w:r>
      <w:r>
        <w:rPr>
          <w:b/>
        </w:rPr>
        <w:t>supports</w:t>
      </w:r>
      <w:r>
        <w:t xml:space="preserve"> this recommendation.</w:t>
      </w:r>
    </w:p>
    <w:p w14:paraId="114D1CE0" w14:textId="77777777" w:rsidR="005338D5" w:rsidRDefault="000B6DCE" w:rsidP="000B6DCE">
      <w:r w:rsidRPr="00864930">
        <w:t>A core part of Austrade’s role in the Pacific is to support Australian firms in delivering priority infrastructure across the region, including disaster management projects</w:t>
      </w:r>
      <w:r w:rsidR="000803FC">
        <w:t>, and projects that support climate resilience</w:t>
      </w:r>
      <w:r w:rsidRPr="00864930">
        <w:t xml:space="preserve">. This work includes supporting Australian firms with introductions to joint venture partners as well as local subcontractors and suppliers. These partnerships have and will continue to prove important to </w:t>
      </w:r>
      <w:r w:rsidR="00D20AC4">
        <w:t xml:space="preserve">the success of </w:t>
      </w:r>
      <w:r w:rsidRPr="00864930">
        <w:t xml:space="preserve">Australian firms in Samoa, with local experience and knowledge essential to managing conditions, relationships, and ongoing maintenance. </w:t>
      </w:r>
    </w:p>
    <w:p w14:paraId="56597DBD" w14:textId="77777777" w:rsidR="009B3A8A" w:rsidRDefault="00D20AC4">
      <w:pPr>
        <w:spacing w:after="160" w:line="259" w:lineRule="auto"/>
      </w:pPr>
      <w:r w:rsidRPr="00D20AC4">
        <w:t>The Legislative Assembly Office project in Apia is proving a promising example of Australia-Samoa collaboration. Australian firm, Reeves International Pty Ltd, was awarded the construction contract following open tender with the support of Samoan firms. The new building will be climate resilient and exhibit best practice in green building technology.</w:t>
      </w:r>
      <w:r w:rsidRPr="00D20AC4">
        <w:rPr>
          <w:rFonts w:ascii="Aptos" w:eastAsiaTheme="minorHAnsi" w:hAnsi="Aptos" w:cs="Calibri"/>
          <w:lang w:eastAsia="en-US"/>
        </w:rPr>
        <w:t xml:space="preserve"> </w:t>
      </w:r>
      <w:r w:rsidRPr="00D20AC4">
        <w:t>Construction commenced in July 2024 and is expected to be completed in the first half of 2026.</w:t>
      </w:r>
      <w:r w:rsidR="009B3A8A">
        <w:br w:type="page"/>
      </w:r>
    </w:p>
    <w:p w14:paraId="423996A0" w14:textId="77777777" w:rsidR="009B3A8A" w:rsidRDefault="009B3A8A" w:rsidP="009B3A8A">
      <w:pPr>
        <w:pStyle w:val="Heading3"/>
        <w:pBdr>
          <w:top w:val="single" w:sz="4" w:space="1" w:color="auto"/>
          <w:left w:val="single" w:sz="4" w:space="4" w:color="auto"/>
          <w:bottom w:val="single" w:sz="4" w:space="1" w:color="auto"/>
          <w:right w:val="single" w:sz="4" w:space="4" w:color="auto"/>
        </w:pBdr>
      </w:pPr>
      <w:bookmarkStart w:id="36" w:name="_Toc219188313"/>
      <w:r>
        <w:lastRenderedPageBreak/>
        <w:t>Recommendation 24:</w:t>
      </w:r>
      <w:bookmarkEnd w:id="36"/>
    </w:p>
    <w:p w14:paraId="36543F3C" w14:textId="77777777" w:rsidR="009B3A8A" w:rsidRDefault="006F0FC9" w:rsidP="006F0FC9">
      <w:pPr>
        <w:pBdr>
          <w:top w:val="single" w:sz="4" w:space="1" w:color="auto"/>
          <w:left w:val="single" w:sz="4" w:space="4" w:color="auto"/>
          <w:bottom w:val="single" w:sz="4" w:space="1" w:color="auto"/>
          <w:right w:val="single" w:sz="4" w:space="4" w:color="auto"/>
        </w:pBdr>
        <w:shd w:val="clear" w:color="auto" w:fill="E4E4E4"/>
        <w:ind w:left="567" w:hanging="567"/>
      </w:pPr>
      <w:r>
        <w:t>6.10</w:t>
      </w:r>
      <w:r w:rsidR="009B3A8A">
        <w:tab/>
      </w:r>
      <w:r w:rsidRPr="006F0FC9">
        <w:t>The Committee recommends that the Australian Government consider development opportunities between the Australian Volunteers Program for Samoa and the Australian Engineers Association mentoring program and other relevant Australian mentoring programs.</w:t>
      </w:r>
    </w:p>
    <w:p w14:paraId="590AA2BC" w14:textId="77777777" w:rsidR="009B3A8A" w:rsidRDefault="009B3A8A" w:rsidP="009B3A8A">
      <w:r>
        <w:t xml:space="preserve">The </w:t>
      </w:r>
      <w:r w:rsidR="005E17D4">
        <w:t xml:space="preserve">Australian </w:t>
      </w:r>
      <w:r>
        <w:t xml:space="preserve">Government </w:t>
      </w:r>
      <w:r w:rsidR="00C86B06">
        <w:rPr>
          <w:b/>
        </w:rPr>
        <w:t xml:space="preserve">agrees in principle </w:t>
      </w:r>
      <w:r w:rsidR="00C86B06" w:rsidRPr="003A6878">
        <w:t>with</w:t>
      </w:r>
      <w:r w:rsidR="00C86B06">
        <w:rPr>
          <w:b/>
        </w:rPr>
        <w:t xml:space="preserve"> </w:t>
      </w:r>
      <w:r>
        <w:t>this recommendation.</w:t>
      </w:r>
    </w:p>
    <w:p w14:paraId="0811DA25" w14:textId="77777777" w:rsidR="002961C9" w:rsidRPr="002714CF" w:rsidRDefault="002961C9" w:rsidP="002961C9">
      <w:pPr>
        <w:rPr>
          <w:iCs/>
        </w:rPr>
      </w:pPr>
      <w:r w:rsidRPr="002714CF">
        <w:rPr>
          <w:iCs/>
        </w:rPr>
        <w:t xml:space="preserve">Engineering has been identified as a skills gap in Samoa by Samoa’s Public Service </w:t>
      </w:r>
      <w:proofErr w:type="gramStart"/>
      <w:r w:rsidRPr="002714CF">
        <w:rPr>
          <w:iCs/>
        </w:rPr>
        <w:t>Commission, and</w:t>
      </w:r>
      <w:proofErr w:type="gramEnd"/>
      <w:r w:rsidRPr="002714CF">
        <w:rPr>
          <w:iCs/>
        </w:rPr>
        <w:t xml:space="preserve"> is one of the priority skills areas for our Australia Awards scholarship program and volunteer program. </w:t>
      </w:r>
      <w:r w:rsidR="005338D5">
        <w:rPr>
          <w:iCs/>
        </w:rPr>
        <w:t>T</w:t>
      </w:r>
      <w:r w:rsidRPr="002714CF">
        <w:rPr>
          <w:iCs/>
        </w:rPr>
        <w:t xml:space="preserve">he Australian Government takes advice from the Government of Samoa on priority roles to be supported through the volunteer program. Priority for placements is given to roles in targeted areas where there are identified skills gaps, that can facilitate transfer of skills and mentoring opportunities. </w:t>
      </w:r>
    </w:p>
    <w:p w14:paraId="2FEA7ABC" w14:textId="77777777" w:rsidR="009B3A8A" w:rsidRDefault="009B3A8A">
      <w:pPr>
        <w:spacing w:after="160" w:line="259" w:lineRule="auto"/>
      </w:pPr>
      <w:r>
        <w:br w:type="page"/>
      </w:r>
    </w:p>
    <w:p w14:paraId="5173481A" w14:textId="77777777" w:rsidR="009B3A8A" w:rsidRDefault="009B3A8A" w:rsidP="009B3A8A">
      <w:pPr>
        <w:pStyle w:val="Heading3"/>
        <w:pBdr>
          <w:top w:val="single" w:sz="4" w:space="1" w:color="auto"/>
          <w:left w:val="single" w:sz="4" w:space="4" w:color="auto"/>
          <w:bottom w:val="single" w:sz="4" w:space="1" w:color="auto"/>
          <w:right w:val="single" w:sz="4" w:space="4" w:color="auto"/>
        </w:pBdr>
      </w:pPr>
      <w:bookmarkStart w:id="37" w:name="_Toc219188314"/>
      <w:r>
        <w:lastRenderedPageBreak/>
        <w:t>Recommendation 25:</w:t>
      </w:r>
      <w:bookmarkEnd w:id="37"/>
    </w:p>
    <w:p w14:paraId="4EA1E410" w14:textId="77777777" w:rsidR="009B3A8A" w:rsidRDefault="006F0FC9" w:rsidP="006F0FC9">
      <w:pPr>
        <w:pBdr>
          <w:top w:val="single" w:sz="4" w:space="1" w:color="auto"/>
          <w:left w:val="single" w:sz="4" w:space="4" w:color="auto"/>
          <w:bottom w:val="single" w:sz="4" w:space="1" w:color="auto"/>
          <w:right w:val="single" w:sz="4" w:space="4" w:color="auto"/>
        </w:pBdr>
        <w:shd w:val="clear" w:color="auto" w:fill="E4E4E4"/>
        <w:ind w:left="567" w:hanging="567"/>
      </w:pPr>
      <w:r>
        <w:t>6.13</w:t>
      </w:r>
      <w:r w:rsidR="009B3A8A">
        <w:tab/>
      </w:r>
      <w:r w:rsidRPr="006F0FC9">
        <w:t>The Committee recommends that the Australian Government consider options for a formal exchange program between the New Zealand National Emergency Management Agency and the Australian National Emergency Management Agency.</w:t>
      </w:r>
    </w:p>
    <w:p w14:paraId="33B712C1" w14:textId="77777777" w:rsidR="009B3A8A" w:rsidRDefault="009B3A8A" w:rsidP="009B3A8A">
      <w:r>
        <w:t xml:space="preserve">The </w:t>
      </w:r>
      <w:r w:rsidR="005E17D4">
        <w:t xml:space="preserve">Australian </w:t>
      </w:r>
      <w:r>
        <w:t xml:space="preserve">Government </w:t>
      </w:r>
      <w:r>
        <w:rPr>
          <w:b/>
        </w:rPr>
        <w:t>supports</w:t>
      </w:r>
      <w:r>
        <w:t xml:space="preserve"> this recommendation.</w:t>
      </w:r>
    </w:p>
    <w:p w14:paraId="115740E5" w14:textId="77777777" w:rsidR="00F217DA" w:rsidRDefault="00F217DA">
      <w:pPr>
        <w:spacing w:after="160" w:line="259" w:lineRule="auto"/>
      </w:pPr>
      <w:r w:rsidRPr="00606932">
        <w:t>The Memorandum of Cooperation between the Australian Government’s National Emergency Management Agency and the New Zealand National Emergency Management Agency provides a formal framework for information sharing and regular knowledge exchange to foster cooperation in emergency management.</w:t>
      </w:r>
    </w:p>
    <w:p w14:paraId="5B614F4E" w14:textId="77777777" w:rsidR="00F217DA" w:rsidRDefault="00F217DA">
      <w:pPr>
        <w:spacing w:after="160" w:line="259" w:lineRule="auto"/>
      </w:pPr>
    </w:p>
    <w:p w14:paraId="3F2C536E" w14:textId="77777777" w:rsidR="009B3A8A" w:rsidRDefault="009B3A8A">
      <w:pPr>
        <w:spacing w:after="160" w:line="259" w:lineRule="auto"/>
      </w:pPr>
      <w:r>
        <w:br w:type="page"/>
      </w:r>
    </w:p>
    <w:p w14:paraId="2289729D" w14:textId="77777777" w:rsidR="009B3A8A" w:rsidRDefault="009B3A8A" w:rsidP="009B3A8A">
      <w:pPr>
        <w:pStyle w:val="Heading3"/>
        <w:pBdr>
          <w:top w:val="single" w:sz="4" w:space="1" w:color="auto"/>
          <w:left w:val="single" w:sz="4" w:space="4" w:color="auto"/>
          <w:bottom w:val="single" w:sz="4" w:space="1" w:color="auto"/>
          <w:right w:val="single" w:sz="4" w:space="4" w:color="auto"/>
        </w:pBdr>
      </w:pPr>
      <w:bookmarkStart w:id="38" w:name="_Toc219188315"/>
      <w:r>
        <w:lastRenderedPageBreak/>
        <w:t>Recommendation 26:</w:t>
      </w:r>
      <w:bookmarkEnd w:id="38"/>
    </w:p>
    <w:p w14:paraId="0DFEA7BC" w14:textId="77777777" w:rsidR="009B3A8A" w:rsidRDefault="006F0FC9" w:rsidP="006F0FC9">
      <w:pPr>
        <w:pBdr>
          <w:top w:val="single" w:sz="4" w:space="1" w:color="auto"/>
          <w:left w:val="single" w:sz="4" w:space="4" w:color="auto"/>
          <w:bottom w:val="single" w:sz="4" w:space="1" w:color="auto"/>
          <w:right w:val="single" w:sz="4" w:space="4" w:color="auto"/>
        </w:pBdr>
        <w:shd w:val="clear" w:color="auto" w:fill="E4E4E4"/>
        <w:ind w:left="567" w:hanging="567"/>
      </w:pPr>
      <w:r>
        <w:t>6.20</w:t>
      </w:r>
      <w:r w:rsidR="009B3A8A">
        <w:tab/>
      </w:r>
      <w:r w:rsidRPr="006F0FC9">
        <w:t xml:space="preserve">The Committee recommends that the Australian Government develop legislation to provide for the introduction of measures to protect the rights of insured persons living in areas at risk of natural hazards, </w:t>
      </w:r>
      <w:proofErr w:type="gramStart"/>
      <w:r w:rsidRPr="006F0FC9">
        <w:t>giving consideration to</w:t>
      </w:r>
      <w:proofErr w:type="gramEnd"/>
      <w:r w:rsidRPr="006F0FC9">
        <w:t xml:space="preserve"> New Zealand’s Natural Hazards Insurance Act 2023.</w:t>
      </w:r>
    </w:p>
    <w:p w14:paraId="7D75A1B2" w14:textId="77777777" w:rsidR="009B3A8A" w:rsidRDefault="009B3A8A" w:rsidP="009B3A8A">
      <w:r>
        <w:t xml:space="preserve">The </w:t>
      </w:r>
      <w:r w:rsidR="005E17D4">
        <w:t xml:space="preserve">Australian </w:t>
      </w:r>
      <w:r>
        <w:t xml:space="preserve">Government </w:t>
      </w:r>
      <w:r>
        <w:rPr>
          <w:b/>
        </w:rPr>
        <w:t>notes</w:t>
      </w:r>
      <w:r>
        <w:t xml:space="preserve"> this recommendation.</w:t>
      </w:r>
    </w:p>
    <w:p w14:paraId="24C93808" w14:textId="77777777" w:rsidR="00F217DA" w:rsidRPr="00DA3A86" w:rsidRDefault="00F217DA" w:rsidP="00F217DA">
      <w:r w:rsidRPr="00DA3A86">
        <w:t xml:space="preserve">The </w:t>
      </w:r>
      <w:r>
        <w:t xml:space="preserve">Australian </w:t>
      </w:r>
      <w:r w:rsidRPr="00DA3A86">
        <w:t xml:space="preserve">Government is committed to building the resilience of Australian communities to natural disasters and putting downward pressure on insurance premiums. </w:t>
      </w:r>
    </w:p>
    <w:p w14:paraId="495E4399" w14:textId="2E2361A3" w:rsidR="00116A65" w:rsidRPr="00BB77C2" w:rsidRDefault="00116A65" w:rsidP="00116A65">
      <w:pPr>
        <w:spacing w:line="256" w:lineRule="auto"/>
        <w:rPr>
          <w:rFonts w:ascii="Calibri" w:eastAsia="Times New Roman" w:hAnsi="Calibri" w:cs="Times New Roman"/>
        </w:rPr>
      </w:pPr>
      <w:r>
        <w:rPr>
          <w:rFonts w:ascii="Calibri" w:eastAsia="Times New Roman" w:hAnsi="Calibri" w:cs="Times New Roman"/>
        </w:rPr>
        <w:t>T</w:t>
      </w:r>
      <w:r w:rsidRPr="00BB77C2">
        <w:rPr>
          <w:rFonts w:ascii="Calibri" w:eastAsia="Times New Roman" w:hAnsi="Calibri" w:cs="Times New Roman"/>
        </w:rPr>
        <w:t xml:space="preserve">he </w:t>
      </w:r>
      <w:r>
        <w:t xml:space="preserve">Australian Government </w:t>
      </w:r>
      <w:r w:rsidRPr="00BB77C2">
        <w:rPr>
          <w:rFonts w:ascii="Calibri" w:eastAsia="Times New Roman" w:hAnsi="Calibri" w:cs="Times New Roman"/>
        </w:rPr>
        <w:t xml:space="preserve">established the Insurance Affordability and Natural Hazards Risk Reduction Taskforce as part of the 2024-25 Budget to develop an integrated, </w:t>
      </w:r>
      <w:r w:rsidRPr="59F523B6">
        <w:rPr>
          <w:rFonts w:ascii="Calibri" w:eastAsia="Times New Roman" w:hAnsi="Calibri" w:cs="Times New Roman"/>
        </w:rPr>
        <w:t>cross</w:t>
      </w:r>
      <w:r w:rsidR="008B67EC">
        <w:rPr>
          <w:rFonts w:ascii="Calibri" w:eastAsia="Times New Roman" w:hAnsi="Calibri" w:cs="Times New Roman"/>
        </w:rPr>
        <w:t>-</w:t>
      </w:r>
      <w:r w:rsidRPr="00BB77C2">
        <w:rPr>
          <w:rFonts w:ascii="Calibri" w:eastAsia="Times New Roman" w:hAnsi="Calibri" w:cs="Times New Roman"/>
        </w:rPr>
        <w:t xml:space="preserve">government approach to minimising the impacts of disaster on the community and help address insurance costs driven by more frequent and intense weather events. </w:t>
      </w:r>
      <w:r>
        <w:rPr>
          <w:rFonts w:ascii="Calibri" w:eastAsia="Times New Roman" w:hAnsi="Calibri" w:cs="Times New Roman"/>
        </w:rPr>
        <w:t>The Government is currently considering the findings of the Taskforce.</w:t>
      </w:r>
    </w:p>
    <w:p w14:paraId="40542FBB" w14:textId="77777777" w:rsidR="00116A65" w:rsidRDefault="00116A65" w:rsidP="00116A65">
      <w:pPr>
        <w:rPr>
          <w:lang w:val="en-NZ"/>
        </w:rPr>
      </w:pPr>
      <w:r>
        <w:rPr>
          <w:lang w:val="en-NZ"/>
        </w:rPr>
        <w:t>The House of Representatives Standing Committee on Economics conducted an inquiry into insurers’ responses to 2022 major flood claims (</w:t>
      </w:r>
      <w:hyperlink r:id="rId35" w:history="1">
        <w:r w:rsidRPr="003E0333">
          <w:rPr>
            <w:rStyle w:val="Hyperlink"/>
            <w:i/>
            <w:lang w:val="en-NZ"/>
          </w:rPr>
          <w:t>Flood Failure to Future Fairness</w:t>
        </w:r>
        <w:r w:rsidRPr="003E0333">
          <w:rPr>
            <w:rStyle w:val="Hyperlink"/>
            <w:lang w:val="en-NZ"/>
          </w:rPr>
          <w:t xml:space="preserve"> </w:t>
        </w:r>
        <w:r w:rsidRPr="003E0333">
          <w:rPr>
            <w:rStyle w:val="Hyperlink"/>
            <w:i/>
            <w:lang w:val="en-NZ"/>
          </w:rPr>
          <w:t>Report</w:t>
        </w:r>
      </w:hyperlink>
      <w:r>
        <w:rPr>
          <w:lang w:val="en-NZ"/>
        </w:rPr>
        <w:t xml:space="preserve">). The final inquiry report was released on 18 October 2024, and contained 86 recommendations directed to insurers, industry bodies, regulators and various levels of government. Recommendations relate to matters such as claims management, performance reporting, and long-term strategies for flood preparation and resilience. The Senate Select Committee on the Impact of Climate Risk on Insurance Premiums and Availability also conducted an inquiry and delivered a </w:t>
      </w:r>
      <w:hyperlink r:id="rId36" w:history="1">
        <w:r w:rsidRPr="002B4032">
          <w:rPr>
            <w:rStyle w:val="Hyperlink"/>
            <w:lang w:val="en-NZ"/>
          </w:rPr>
          <w:t>report</w:t>
        </w:r>
      </w:hyperlink>
      <w:r>
        <w:rPr>
          <w:lang w:val="en-NZ"/>
        </w:rPr>
        <w:t xml:space="preserve"> on 26 November 2024. The report made 8 recommendations. The Government is currently considering its response to the recommendations of both reports.</w:t>
      </w:r>
    </w:p>
    <w:p w14:paraId="78B7E907" w14:textId="77777777" w:rsidR="00116A65" w:rsidRPr="00DA3A86" w:rsidRDefault="00116A65" w:rsidP="00116A65">
      <w:r w:rsidRPr="00DA3A86">
        <w:t xml:space="preserve">In New Zealand, the Toka </w:t>
      </w:r>
      <w:proofErr w:type="spellStart"/>
      <w:r w:rsidRPr="00DA3A86">
        <w:t>Tū</w:t>
      </w:r>
      <w:proofErr w:type="spellEnd"/>
      <w:r w:rsidRPr="00DA3A86">
        <w:t xml:space="preserve"> Ake – Natural Hazards Commission provides the first layer of natural disaster insurance for residential</w:t>
      </w:r>
      <w:r>
        <w:t xml:space="preserve"> </w:t>
      </w:r>
      <w:r w:rsidRPr="00DA3A86">
        <w:t xml:space="preserve">buildings and some residential land. Consumers’ annual insurance premiums include a levy, which the Commission uses to cover claims. The </w:t>
      </w:r>
      <w:r w:rsidRPr="00C75B7C">
        <w:rPr>
          <w:i/>
          <w:iCs/>
        </w:rPr>
        <w:t>Natural Hazards Insurance Act 2023</w:t>
      </w:r>
      <w:r w:rsidRPr="00DA3A86">
        <w:t xml:space="preserve"> introduce</w:t>
      </w:r>
      <w:r>
        <w:t>d</w:t>
      </w:r>
      <w:r w:rsidRPr="00DA3A86">
        <w:t xml:space="preserve"> a Code of Insured Persons’ Rights from 1 July 2024. Under the Code, insured persons have the right to have claims managed and settled in a fair and timely manner by the Commission and its agents.</w:t>
      </w:r>
    </w:p>
    <w:p w14:paraId="4273B86A" w14:textId="77777777" w:rsidR="00116A65" w:rsidRDefault="00116A65" w:rsidP="00116A65">
      <w:pPr>
        <w:rPr>
          <w:lang w:val="en-GB"/>
        </w:rPr>
      </w:pPr>
      <w:r w:rsidRPr="00DA3A86">
        <w:t xml:space="preserve">In Australia, consumers take out insurance with private insurers, who are responsible for handling and settling claims. </w:t>
      </w:r>
      <w:r w:rsidRPr="00DA3A86">
        <w:rPr>
          <w:lang w:val="en-GB"/>
        </w:rPr>
        <w:t xml:space="preserve">Since 1 January 2022, the handling and settling of insurance claims has been classified as a financial service. Providers must hold an Australian Financial Services (AFS) licence and are subject to regulatory oversight by the Australian Securities and Investments Commission (ASIC). As AFS licensees, providers of claims handling services must provide the services efficiently, honestly, and fairly, which includes resolving claims in a timely manner. </w:t>
      </w:r>
    </w:p>
    <w:p w14:paraId="6C76928C" w14:textId="77777777" w:rsidR="00116A65" w:rsidRPr="00DA3A86" w:rsidRDefault="00116A65" w:rsidP="00116A65">
      <w:pPr>
        <w:rPr>
          <w:lang w:val="en-GB"/>
        </w:rPr>
      </w:pPr>
      <w:proofErr w:type="gramStart"/>
      <w:r>
        <w:rPr>
          <w:lang w:val="en-GB"/>
        </w:rPr>
        <w:t>The majority of</w:t>
      </w:r>
      <w:proofErr w:type="gramEnd"/>
      <w:r>
        <w:rPr>
          <w:lang w:val="en-GB"/>
        </w:rPr>
        <w:t xml:space="preserve"> general insurers in Australia are also subject to the Insurance Council of Australia (ICA)’s voluntary General Insurance Code of Practice, which sets standards such as being open, fair and honest in the provision of services. The Code of Practice also sets timeframes for insurers to respond to claims, complaints and requests for information. The ICA is currently undertaking a process to review the Code of Practice, taking into consideration recommendations made in the </w:t>
      </w:r>
      <w:r>
        <w:rPr>
          <w:i/>
          <w:iCs/>
          <w:lang w:val="en-GB"/>
        </w:rPr>
        <w:t>Flood Failure to Future Fairness Report</w:t>
      </w:r>
      <w:r>
        <w:rPr>
          <w:lang w:val="en-GB"/>
        </w:rPr>
        <w:t xml:space="preserve">. </w:t>
      </w:r>
    </w:p>
    <w:p w14:paraId="567742E0" w14:textId="48931336" w:rsidR="00F217DA" w:rsidRPr="00DA3A86" w:rsidRDefault="008B7ADA" w:rsidP="00F217DA">
      <w:r>
        <w:t>Further, a</w:t>
      </w:r>
      <w:r w:rsidR="00FA3B20">
        <w:t xml:space="preserve">s </w:t>
      </w:r>
      <w:r w:rsidR="00B42463">
        <w:t>referenced in the response to Recommendation 11</w:t>
      </w:r>
      <w:r w:rsidR="00FA3B20">
        <w:t xml:space="preserve">, </w:t>
      </w:r>
      <w:r w:rsidR="00F217DA" w:rsidRPr="00DA3A86">
        <w:t xml:space="preserve">the </w:t>
      </w:r>
      <w:r w:rsidR="00F217DA">
        <w:t xml:space="preserve">Australian </w:t>
      </w:r>
      <w:r w:rsidR="00F217DA" w:rsidRPr="00DA3A86">
        <w:t xml:space="preserve">Government is providing up to $200 million </w:t>
      </w:r>
      <w:r w:rsidR="003A6878">
        <w:t>per year from</w:t>
      </w:r>
      <w:r w:rsidR="003A6878" w:rsidRPr="00653077">
        <w:t xml:space="preserve"> </w:t>
      </w:r>
      <w:r w:rsidR="003A6878">
        <w:t>2023-24 to 2027-28</w:t>
      </w:r>
      <w:r w:rsidR="003A6878" w:rsidRPr="00653077">
        <w:t xml:space="preserve"> </w:t>
      </w:r>
      <w:r w:rsidR="00F217DA" w:rsidRPr="00DA3A86">
        <w:t xml:space="preserve">through the DRF </w:t>
      </w:r>
      <w:r w:rsidR="00FA3B20">
        <w:t>t</w:t>
      </w:r>
      <w:r w:rsidR="00FA3B20" w:rsidRPr="00DA3A86">
        <w:t>o improve Australia’s disaster readiness</w:t>
      </w:r>
      <w:r w:rsidR="00FA3B20">
        <w:t>.</w:t>
      </w:r>
      <w:r w:rsidR="00FA3B20" w:rsidRPr="00DA3A86">
        <w:t xml:space="preserve"> </w:t>
      </w:r>
      <w:r w:rsidR="00F217DA" w:rsidRPr="00DA3A86">
        <w:t>The DRF will</w:t>
      </w:r>
      <w:r w:rsidR="004D6217">
        <w:t xml:space="preserve"> </w:t>
      </w:r>
      <w:r w:rsidR="00C75B7C">
        <w:t>continue to</w:t>
      </w:r>
      <w:r w:rsidR="00F217DA" w:rsidRPr="00DA3A86">
        <w:t xml:space="preserve"> deliver projects that improve Australia’s resilience to natural </w:t>
      </w:r>
      <w:r w:rsidR="00FB55E2">
        <w:t>hazards</w:t>
      </w:r>
      <w:r w:rsidR="00FB55E2" w:rsidRPr="00DA3A86">
        <w:t xml:space="preserve"> </w:t>
      </w:r>
      <w:r w:rsidR="00F217DA" w:rsidRPr="00DA3A86">
        <w:t xml:space="preserve">and reduce </w:t>
      </w:r>
      <w:r w:rsidR="00C75B7C">
        <w:t xml:space="preserve">natural hazard </w:t>
      </w:r>
      <w:r w:rsidR="00F217DA" w:rsidRPr="00DA3A86">
        <w:t xml:space="preserve">risk. By reducing the risk of damage to communities, the DRF can also help to place downwards pressure on premiums. </w:t>
      </w:r>
    </w:p>
    <w:p w14:paraId="384D7F84" w14:textId="77777777" w:rsidR="00F217DA" w:rsidRPr="00DA3A86" w:rsidRDefault="00F217DA" w:rsidP="00F217DA">
      <w:r>
        <w:lastRenderedPageBreak/>
        <w:t xml:space="preserve">In </w:t>
      </w:r>
      <w:r w:rsidR="00FB55E2">
        <w:t xml:space="preserve">the </w:t>
      </w:r>
      <w:r>
        <w:t>October 2022</w:t>
      </w:r>
      <w:r w:rsidR="00FB55E2">
        <w:t>-</w:t>
      </w:r>
      <w:r>
        <w:t xml:space="preserve">23 </w:t>
      </w:r>
      <w:r w:rsidR="00E827DA">
        <w:t>B</w:t>
      </w:r>
      <w:r>
        <w:t>udget, the Australian Government announced $22.6 million over four year</w:t>
      </w:r>
      <w:r w:rsidR="00C75B7C">
        <w:t>s</w:t>
      </w:r>
      <w:r>
        <w:t xml:space="preserve"> </w:t>
      </w:r>
      <w:r w:rsidR="00C75B7C">
        <w:t>to establish the Hazards Insurance Partnership (HIP) initiative</w:t>
      </w:r>
      <w:r>
        <w:t xml:space="preserve"> to better target mitigation investment, reduce disaster risk, and improve insurance affordability and availability over time. </w:t>
      </w:r>
      <w:r w:rsidR="00C75B7C">
        <w:t>The HIP is a collaborative partnership with</w:t>
      </w:r>
      <w:r>
        <w:t xml:space="preserve"> the insurance industry to create a shared understanding of hazard risk and appropriate risk reduction measure</w:t>
      </w:r>
      <w:r w:rsidR="004B14AC">
        <w:t>s</w:t>
      </w:r>
      <w:r>
        <w:t xml:space="preserve"> across Australia.</w:t>
      </w:r>
    </w:p>
    <w:p w14:paraId="59F1A907" w14:textId="77777777" w:rsidR="009B3A8A" w:rsidRDefault="009B3A8A" w:rsidP="00F217DA"/>
    <w:sectPr w:rsidR="009B3A8A" w:rsidSect="007F03D4">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5FDF7" w14:textId="77777777" w:rsidR="00513332" w:rsidRDefault="00513332" w:rsidP="006B2CBD">
      <w:pPr>
        <w:spacing w:after="0"/>
      </w:pPr>
      <w:r>
        <w:separator/>
      </w:r>
    </w:p>
  </w:endnote>
  <w:endnote w:type="continuationSeparator" w:id="0">
    <w:p w14:paraId="10F92753" w14:textId="77777777" w:rsidR="00513332" w:rsidRDefault="00513332" w:rsidP="006B2CBD">
      <w:pPr>
        <w:spacing w:after="0"/>
      </w:pPr>
      <w:r>
        <w:continuationSeparator/>
      </w:r>
    </w:p>
  </w:endnote>
  <w:endnote w:type="continuationNotice" w:id="1">
    <w:p w14:paraId="10921DBF" w14:textId="77777777" w:rsidR="00513332" w:rsidRDefault="005133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96CE" w14:textId="7BE81B73" w:rsidR="000C5492" w:rsidRDefault="000C5492">
    <w:pPr>
      <w:pStyle w:val="Footer"/>
    </w:pPr>
    <w:r>
      <w:rPr>
        <w:noProof/>
      </w:rPr>
      <mc:AlternateContent>
        <mc:Choice Requires="wps">
          <w:drawing>
            <wp:anchor distT="0" distB="0" distL="0" distR="0" simplePos="0" relativeHeight="251662336" behindDoc="0" locked="0" layoutInCell="1" allowOverlap="1" wp14:anchorId="12720E5B" wp14:editId="5B8925DE">
              <wp:simplePos x="635" y="635"/>
              <wp:positionH relativeFrom="page">
                <wp:align>center</wp:align>
              </wp:positionH>
              <wp:positionV relativeFrom="page">
                <wp:align>bottom</wp:align>
              </wp:positionV>
              <wp:extent cx="726440" cy="407670"/>
              <wp:effectExtent l="0" t="0" r="16510" b="0"/>
              <wp:wrapNone/>
              <wp:docPr id="33718420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046A3A1" w14:textId="21001E4C" w:rsidR="000C5492" w:rsidRPr="000C5492" w:rsidRDefault="000C5492" w:rsidP="000C5492">
                          <w:pPr>
                            <w:spacing w:after="0"/>
                            <w:rPr>
                              <w:rFonts w:ascii="Aptos" w:eastAsia="Aptos" w:hAnsi="Aptos" w:cs="Aptos"/>
                              <w:noProof/>
                              <w:color w:val="FF0000"/>
                              <w:sz w:val="28"/>
                              <w:szCs w:val="28"/>
                            </w:rPr>
                          </w:pPr>
                          <w:r w:rsidRPr="000C549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720E5B" id="_x0000_t202" coordsize="21600,21600" o:spt="202" path="m,l,21600r21600,l21600,xe">
              <v:stroke joinstyle="miter"/>
              <v:path gradientshapeok="t" o:connecttype="rect"/>
            </v:shapetype>
            <v:shape id="Text Box 5" o:spid="_x0000_s1028" type="#_x0000_t202" alt="OFFICIAL" style="position:absolute;margin-left:0;margin-top:0;width:57.2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3046A3A1" w14:textId="21001E4C" w:rsidR="000C5492" w:rsidRPr="000C5492" w:rsidRDefault="000C5492" w:rsidP="000C5492">
                    <w:pPr>
                      <w:spacing w:after="0"/>
                      <w:rPr>
                        <w:rFonts w:ascii="Aptos" w:eastAsia="Aptos" w:hAnsi="Aptos" w:cs="Aptos"/>
                        <w:noProof/>
                        <w:color w:val="FF0000"/>
                        <w:sz w:val="28"/>
                        <w:szCs w:val="28"/>
                      </w:rPr>
                    </w:pPr>
                    <w:r w:rsidRPr="000C5492">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4914" w14:textId="0F5EA88C" w:rsidR="001446CA" w:rsidRDefault="000C5492">
    <w:pPr>
      <w:pStyle w:val="Footer"/>
    </w:pPr>
    <w:r>
      <w:rPr>
        <w:noProof/>
      </w:rPr>
      <mc:AlternateContent>
        <mc:Choice Requires="wps">
          <w:drawing>
            <wp:anchor distT="0" distB="0" distL="0" distR="0" simplePos="0" relativeHeight="251663360" behindDoc="0" locked="0" layoutInCell="1" allowOverlap="1" wp14:anchorId="3D74C71F" wp14:editId="1B432428">
              <wp:simplePos x="635" y="635"/>
              <wp:positionH relativeFrom="page">
                <wp:align>center</wp:align>
              </wp:positionH>
              <wp:positionV relativeFrom="page">
                <wp:align>bottom</wp:align>
              </wp:positionV>
              <wp:extent cx="726440" cy="407670"/>
              <wp:effectExtent l="0" t="0" r="16510" b="0"/>
              <wp:wrapNone/>
              <wp:docPr id="144586435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B9028B2" w14:textId="14763791" w:rsidR="000C5492" w:rsidRPr="000C5492" w:rsidRDefault="000C5492" w:rsidP="000C5492">
                          <w:pPr>
                            <w:spacing w:after="0"/>
                            <w:rPr>
                              <w:rFonts w:ascii="Aptos" w:eastAsia="Aptos" w:hAnsi="Aptos" w:cs="Aptos"/>
                              <w:noProof/>
                              <w:color w:val="FF0000"/>
                              <w:sz w:val="28"/>
                              <w:szCs w:val="28"/>
                            </w:rPr>
                          </w:pPr>
                          <w:r w:rsidRPr="000C549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74C71F" id="_x0000_t202" coordsize="21600,21600" o:spt="202" path="m,l,21600r21600,l21600,xe">
              <v:stroke joinstyle="miter"/>
              <v:path gradientshapeok="t" o:connecttype="rect"/>
            </v:shapetype>
            <v:shape id="Text Box 6" o:spid="_x0000_s1029" type="#_x0000_t202" alt="OFFICIAL" style="position:absolute;margin-left:0;margin-top:0;width:57.2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6B9028B2" w14:textId="14763791" w:rsidR="000C5492" w:rsidRPr="000C5492" w:rsidRDefault="000C5492" w:rsidP="000C5492">
                    <w:pPr>
                      <w:spacing w:after="0"/>
                      <w:rPr>
                        <w:rFonts w:ascii="Aptos" w:eastAsia="Aptos" w:hAnsi="Aptos" w:cs="Aptos"/>
                        <w:noProof/>
                        <w:color w:val="FF0000"/>
                        <w:sz w:val="28"/>
                        <w:szCs w:val="28"/>
                      </w:rPr>
                    </w:pPr>
                    <w:r w:rsidRPr="000C5492">
                      <w:rPr>
                        <w:rFonts w:ascii="Aptos" w:eastAsia="Aptos" w:hAnsi="Aptos" w:cs="Aptos"/>
                        <w:noProof/>
                        <w:color w:val="FF0000"/>
                        <w:sz w:val="28"/>
                        <w:szCs w:val="28"/>
                      </w:rPr>
                      <w:t>OFFICIAL</w:t>
                    </w:r>
                  </w:p>
                </w:txbxContent>
              </v:textbox>
              <w10:wrap anchorx="page" anchory="page"/>
            </v:shape>
          </w:pict>
        </mc:Fallback>
      </mc:AlternateContent>
    </w:r>
    <w:r w:rsidR="001446CA">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B9B0" w14:textId="121E0046" w:rsidR="000C5492" w:rsidRDefault="000C5492">
    <w:pPr>
      <w:pStyle w:val="Footer"/>
    </w:pPr>
    <w:r>
      <w:rPr>
        <w:noProof/>
      </w:rPr>
      <mc:AlternateContent>
        <mc:Choice Requires="wps">
          <w:drawing>
            <wp:anchor distT="0" distB="0" distL="0" distR="0" simplePos="0" relativeHeight="251661312" behindDoc="0" locked="0" layoutInCell="1" allowOverlap="1" wp14:anchorId="23FD34F4" wp14:editId="1B7D5854">
              <wp:simplePos x="914400" y="10306050"/>
              <wp:positionH relativeFrom="page">
                <wp:align>center</wp:align>
              </wp:positionH>
              <wp:positionV relativeFrom="page">
                <wp:align>bottom</wp:align>
              </wp:positionV>
              <wp:extent cx="726440" cy="407670"/>
              <wp:effectExtent l="0" t="0" r="16510" b="0"/>
              <wp:wrapNone/>
              <wp:docPr id="9663259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9A55B15" w14:textId="17A40208" w:rsidR="000C5492" w:rsidRPr="000C5492" w:rsidRDefault="000C5492" w:rsidP="000C5492">
                          <w:pPr>
                            <w:spacing w:after="0"/>
                            <w:rPr>
                              <w:rFonts w:ascii="Aptos" w:eastAsia="Aptos" w:hAnsi="Aptos" w:cs="Aptos"/>
                              <w:noProof/>
                              <w:color w:val="FF0000"/>
                              <w:sz w:val="28"/>
                              <w:szCs w:val="28"/>
                            </w:rPr>
                          </w:pPr>
                          <w:r w:rsidRPr="000C549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FD34F4" id="_x0000_t202" coordsize="21600,21600" o:spt="202" path="m,l,21600r21600,l21600,xe">
              <v:stroke joinstyle="miter"/>
              <v:path gradientshapeok="t" o:connecttype="rect"/>
            </v:shapetype>
            <v:shape id="Text Box 4" o:spid="_x0000_s1031" type="#_x0000_t202" alt="OFFICIAL" style="position:absolute;margin-left:0;margin-top:0;width:57.2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39A55B15" w14:textId="17A40208" w:rsidR="000C5492" w:rsidRPr="000C5492" w:rsidRDefault="000C5492" w:rsidP="000C5492">
                    <w:pPr>
                      <w:spacing w:after="0"/>
                      <w:rPr>
                        <w:rFonts w:ascii="Aptos" w:eastAsia="Aptos" w:hAnsi="Aptos" w:cs="Aptos"/>
                        <w:noProof/>
                        <w:color w:val="FF0000"/>
                        <w:sz w:val="28"/>
                        <w:szCs w:val="28"/>
                      </w:rPr>
                    </w:pPr>
                    <w:r w:rsidRPr="000C5492">
                      <w:rPr>
                        <w:rFonts w:ascii="Aptos" w:eastAsia="Aptos" w:hAnsi="Aptos" w:cs="Aptos"/>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E335" w14:textId="0E387943" w:rsidR="001446CA" w:rsidRDefault="000C5492">
    <w:pPr>
      <w:pStyle w:val="Footer"/>
      <w:jc w:val="center"/>
    </w:pPr>
    <w:r>
      <w:rPr>
        <w:noProof/>
      </w:rPr>
      <mc:AlternateContent>
        <mc:Choice Requires="wps">
          <w:drawing>
            <wp:anchor distT="0" distB="0" distL="0" distR="0" simplePos="0" relativeHeight="251658752" behindDoc="0" locked="0" layoutInCell="1" allowOverlap="1" wp14:anchorId="2790B66A" wp14:editId="288162C7">
              <wp:simplePos x="914400" y="10029825"/>
              <wp:positionH relativeFrom="page">
                <wp:align>center</wp:align>
              </wp:positionH>
              <wp:positionV relativeFrom="page">
                <wp:align>bottom</wp:align>
              </wp:positionV>
              <wp:extent cx="726440" cy="407670"/>
              <wp:effectExtent l="0" t="0" r="16510" b="0"/>
              <wp:wrapNone/>
              <wp:docPr id="92168084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4460B7D" w14:textId="3E33A3E9" w:rsidR="000C5492" w:rsidRPr="000C5492" w:rsidRDefault="000C5492" w:rsidP="000C5492">
                          <w:pPr>
                            <w:spacing w:after="0"/>
                            <w:rPr>
                              <w:rFonts w:ascii="Aptos" w:eastAsia="Aptos" w:hAnsi="Aptos" w:cs="Aptos"/>
                              <w:noProof/>
                              <w:color w:val="FF0000"/>
                              <w:sz w:val="28"/>
                              <w:szCs w:val="28"/>
                            </w:rPr>
                          </w:pPr>
                          <w:r w:rsidRPr="000C549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90B66A" id="_x0000_t202" coordsize="21600,21600" o:spt="202" path="m,l,21600r21600,l21600,xe">
              <v:stroke joinstyle="miter"/>
              <v:path gradientshapeok="t" o:connecttype="rect"/>
            </v:shapetype>
            <v:shape id="Text Box 7" o:spid="_x0000_s1032" type="#_x0000_t202" alt="OFFICIAL" style="position:absolute;left:0;text-align:left;margin-left:0;margin-top:0;width:57.2pt;height:32.1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UB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s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lRsVAQ4CAAAc&#10;BAAADgAAAAAAAAAAAAAAAAAuAgAAZHJzL2Uyb0RvYy54bWxQSwECLQAUAAYACAAAACEAlI5z29sA&#10;AAAEAQAADwAAAAAAAAAAAAAAAABoBAAAZHJzL2Rvd25yZXYueG1sUEsFBgAAAAAEAAQA8wAAAHAF&#10;AAAAAA==&#10;" filled="f" stroked="f">
              <v:textbox style="mso-fit-shape-to-text:t" inset="0,0,0,15pt">
                <w:txbxContent>
                  <w:p w14:paraId="74460B7D" w14:textId="3E33A3E9" w:rsidR="000C5492" w:rsidRPr="000C5492" w:rsidRDefault="000C5492" w:rsidP="000C5492">
                    <w:pPr>
                      <w:spacing w:after="0"/>
                      <w:rPr>
                        <w:rFonts w:ascii="Aptos" w:eastAsia="Aptos" w:hAnsi="Aptos" w:cs="Aptos"/>
                        <w:noProof/>
                        <w:color w:val="FF0000"/>
                        <w:sz w:val="28"/>
                        <w:szCs w:val="28"/>
                      </w:rPr>
                    </w:pPr>
                    <w:r w:rsidRPr="000C5492">
                      <w:rPr>
                        <w:rFonts w:ascii="Aptos" w:eastAsia="Aptos" w:hAnsi="Aptos" w:cs="Aptos"/>
                        <w:noProof/>
                        <w:color w:val="FF0000"/>
                        <w:sz w:val="28"/>
                        <w:szCs w:val="28"/>
                      </w:rPr>
                      <w:t>OFFICIAL</w:t>
                    </w:r>
                  </w:p>
                </w:txbxContent>
              </v:textbox>
              <w10:wrap anchorx="page" anchory="page"/>
            </v:shape>
          </w:pict>
        </mc:Fallback>
      </mc:AlternateContent>
    </w:r>
    <w:sdt>
      <w:sdtPr>
        <w:id w:val="617257188"/>
        <w:docPartObj>
          <w:docPartGallery w:val="Page Numbers (Bottom of Page)"/>
          <w:docPartUnique/>
        </w:docPartObj>
      </w:sdtPr>
      <w:sdtEndPr>
        <w:rPr>
          <w:noProof/>
        </w:rPr>
      </w:sdtEndPr>
      <w:sdtContent>
        <w:r w:rsidR="001446CA">
          <w:fldChar w:fldCharType="begin"/>
        </w:r>
        <w:r w:rsidR="001446CA">
          <w:instrText xml:space="preserve"> PAGE   \* MERGEFORMAT </w:instrText>
        </w:r>
        <w:r w:rsidR="001446CA">
          <w:fldChar w:fldCharType="separate"/>
        </w:r>
        <w:r w:rsidR="001446CA">
          <w:rPr>
            <w:noProof/>
          </w:rPr>
          <w:t>2</w:t>
        </w:r>
        <w:r w:rsidR="001446CA">
          <w:rPr>
            <w:noProof/>
          </w:rPr>
          <w:fldChar w:fldCharType="end"/>
        </w:r>
      </w:sdtContent>
    </w:sdt>
  </w:p>
  <w:p w14:paraId="44D35D71" w14:textId="77777777" w:rsidR="001446CA" w:rsidRDefault="00144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B8FE5" w14:textId="77777777" w:rsidR="00513332" w:rsidRDefault="00513332" w:rsidP="006B2CBD">
      <w:pPr>
        <w:spacing w:after="0"/>
      </w:pPr>
      <w:r>
        <w:separator/>
      </w:r>
    </w:p>
  </w:footnote>
  <w:footnote w:type="continuationSeparator" w:id="0">
    <w:p w14:paraId="758EBADF" w14:textId="77777777" w:rsidR="00513332" w:rsidRDefault="00513332" w:rsidP="006B2CBD">
      <w:pPr>
        <w:spacing w:after="0"/>
      </w:pPr>
      <w:r>
        <w:continuationSeparator/>
      </w:r>
    </w:p>
  </w:footnote>
  <w:footnote w:type="continuationNotice" w:id="1">
    <w:p w14:paraId="4E789848" w14:textId="77777777" w:rsidR="00513332" w:rsidRDefault="005133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D420" w14:textId="6D132B86" w:rsidR="000C5492" w:rsidRDefault="000C5492">
    <w:pPr>
      <w:pStyle w:val="Header"/>
    </w:pPr>
    <w:r>
      <w:rPr>
        <w:noProof/>
      </w:rPr>
      <mc:AlternateContent>
        <mc:Choice Requires="wps">
          <w:drawing>
            <wp:anchor distT="0" distB="0" distL="0" distR="0" simplePos="0" relativeHeight="251659264" behindDoc="0" locked="0" layoutInCell="1" allowOverlap="1" wp14:anchorId="13799C22" wp14:editId="7F40D1E7">
              <wp:simplePos x="635" y="635"/>
              <wp:positionH relativeFrom="page">
                <wp:align>center</wp:align>
              </wp:positionH>
              <wp:positionV relativeFrom="page">
                <wp:align>top</wp:align>
              </wp:positionV>
              <wp:extent cx="726440" cy="407670"/>
              <wp:effectExtent l="0" t="0" r="16510" b="11430"/>
              <wp:wrapNone/>
              <wp:docPr id="21138296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E69D284" w14:textId="6CBE08A3" w:rsidR="000C5492" w:rsidRPr="000C5492" w:rsidRDefault="000C5492" w:rsidP="000C5492">
                          <w:pPr>
                            <w:spacing w:after="0"/>
                            <w:rPr>
                              <w:rFonts w:ascii="Aptos" w:eastAsia="Aptos" w:hAnsi="Aptos" w:cs="Aptos"/>
                              <w:noProof/>
                              <w:color w:val="FF0000"/>
                              <w:sz w:val="28"/>
                              <w:szCs w:val="28"/>
                            </w:rPr>
                          </w:pPr>
                          <w:r w:rsidRPr="000C549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799C22"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6E69D284" w14:textId="6CBE08A3" w:rsidR="000C5492" w:rsidRPr="000C5492" w:rsidRDefault="000C5492" w:rsidP="000C5492">
                    <w:pPr>
                      <w:spacing w:after="0"/>
                      <w:rPr>
                        <w:rFonts w:ascii="Aptos" w:eastAsia="Aptos" w:hAnsi="Aptos" w:cs="Aptos"/>
                        <w:noProof/>
                        <w:color w:val="FF0000"/>
                        <w:sz w:val="28"/>
                        <w:szCs w:val="28"/>
                      </w:rPr>
                    </w:pPr>
                    <w:r w:rsidRPr="000C549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C238" w14:textId="3DCCAF90" w:rsidR="000C5492" w:rsidRDefault="000C5492">
    <w:pPr>
      <w:pStyle w:val="Header"/>
    </w:pPr>
    <w:r>
      <w:rPr>
        <w:noProof/>
      </w:rPr>
      <mc:AlternateContent>
        <mc:Choice Requires="wps">
          <w:drawing>
            <wp:anchor distT="0" distB="0" distL="0" distR="0" simplePos="0" relativeHeight="251660288" behindDoc="0" locked="0" layoutInCell="1" allowOverlap="1" wp14:anchorId="7077EE91" wp14:editId="2E175AE8">
              <wp:simplePos x="914400" y="323850"/>
              <wp:positionH relativeFrom="page">
                <wp:align>center</wp:align>
              </wp:positionH>
              <wp:positionV relativeFrom="page">
                <wp:align>top</wp:align>
              </wp:positionV>
              <wp:extent cx="726440" cy="407670"/>
              <wp:effectExtent l="0" t="0" r="16510" b="11430"/>
              <wp:wrapNone/>
              <wp:docPr id="2865569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EA8C6D1" w14:textId="0BE020D0" w:rsidR="000C5492" w:rsidRPr="000C5492" w:rsidRDefault="000C5492" w:rsidP="000C5492">
                          <w:pPr>
                            <w:spacing w:after="0"/>
                            <w:rPr>
                              <w:rFonts w:ascii="Aptos" w:eastAsia="Aptos" w:hAnsi="Aptos" w:cs="Aptos"/>
                              <w:noProof/>
                              <w:color w:val="FF0000"/>
                              <w:sz w:val="28"/>
                              <w:szCs w:val="28"/>
                            </w:rPr>
                          </w:pPr>
                          <w:r w:rsidRPr="000C549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77EE91" id="_x0000_t202" coordsize="21600,21600" o:spt="202" path="m,l,21600r21600,l21600,xe">
              <v:stroke joinstyle="miter"/>
              <v:path gradientshapeok="t" o:connecttype="rect"/>
            </v:shapetype>
            <v:shape id="Text Box 3" o:spid="_x0000_s1027" type="#_x0000_t202" alt="OFFICIAL" style="position:absolute;margin-left:0;margin-top:0;width:57.2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5EA8C6D1" w14:textId="0BE020D0" w:rsidR="000C5492" w:rsidRPr="000C5492" w:rsidRDefault="000C5492" w:rsidP="000C5492">
                    <w:pPr>
                      <w:spacing w:after="0"/>
                      <w:rPr>
                        <w:rFonts w:ascii="Aptos" w:eastAsia="Aptos" w:hAnsi="Aptos" w:cs="Aptos"/>
                        <w:noProof/>
                        <w:color w:val="FF0000"/>
                        <w:sz w:val="28"/>
                        <w:szCs w:val="28"/>
                      </w:rPr>
                    </w:pPr>
                    <w:r w:rsidRPr="000C5492">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3DDC" w14:textId="542E32DF" w:rsidR="000C5492" w:rsidRDefault="000C5492">
    <w:pPr>
      <w:pStyle w:val="Header"/>
    </w:pPr>
    <w:r>
      <w:rPr>
        <w:noProof/>
      </w:rPr>
      <mc:AlternateContent>
        <mc:Choice Requires="wps">
          <w:drawing>
            <wp:anchor distT="0" distB="0" distL="0" distR="0" simplePos="0" relativeHeight="251658240" behindDoc="0" locked="0" layoutInCell="1" allowOverlap="1" wp14:anchorId="0B627779" wp14:editId="35D16C1D">
              <wp:simplePos x="914400" y="0"/>
              <wp:positionH relativeFrom="page">
                <wp:align>center</wp:align>
              </wp:positionH>
              <wp:positionV relativeFrom="page">
                <wp:align>top</wp:align>
              </wp:positionV>
              <wp:extent cx="726440" cy="407670"/>
              <wp:effectExtent l="0" t="0" r="16510" b="11430"/>
              <wp:wrapNone/>
              <wp:docPr id="1380561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6A9BD2E" w14:textId="38CB442F" w:rsidR="000C5492" w:rsidRPr="000C5492" w:rsidRDefault="000C5492" w:rsidP="000C5492">
                          <w:pPr>
                            <w:spacing w:after="0"/>
                            <w:rPr>
                              <w:rFonts w:ascii="Aptos" w:eastAsia="Aptos" w:hAnsi="Aptos" w:cs="Aptos"/>
                              <w:noProof/>
                              <w:color w:val="FF0000"/>
                              <w:sz w:val="28"/>
                              <w:szCs w:val="28"/>
                            </w:rPr>
                          </w:pPr>
                          <w:r w:rsidRPr="000C549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627779" id="_x0000_t202" coordsize="21600,21600" o:spt="202" path="m,l,21600r21600,l21600,xe">
              <v:stroke joinstyle="miter"/>
              <v:path gradientshapeok="t" o:connecttype="rect"/>
            </v:shapetype>
            <v:shape id="Text Box 1" o:spid="_x0000_s1030"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06A9BD2E" w14:textId="38CB442F" w:rsidR="000C5492" w:rsidRPr="000C5492" w:rsidRDefault="000C5492" w:rsidP="000C5492">
                    <w:pPr>
                      <w:spacing w:after="0"/>
                      <w:rPr>
                        <w:rFonts w:ascii="Aptos" w:eastAsia="Aptos" w:hAnsi="Aptos" w:cs="Aptos"/>
                        <w:noProof/>
                        <w:color w:val="FF0000"/>
                        <w:sz w:val="28"/>
                        <w:szCs w:val="28"/>
                      </w:rPr>
                    </w:pPr>
                    <w:r w:rsidRPr="000C5492">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017A"/>
    <w:multiLevelType w:val="hybridMultilevel"/>
    <w:tmpl w:val="88A45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0852A7"/>
    <w:multiLevelType w:val="hybridMultilevel"/>
    <w:tmpl w:val="13502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2F6F06"/>
    <w:multiLevelType w:val="hybridMultilevel"/>
    <w:tmpl w:val="EDAA5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87D6A"/>
    <w:multiLevelType w:val="hybridMultilevel"/>
    <w:tmpl w:val="345AC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2F4F81"/>
    <w:multiLevelType w:val="multilevel"/>
    <w:tmpl w:val="EBE8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D2033"/>
    <w:multiLevelType w:val="hybridMultilevel"/>
    <w:tmpl w:val="19B807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62A6D5C"/>
    <w:multiLevelType w:val="hybridMultilevel"/>
    <w:tmpl w:val="E10C4552"/>
    <w:lvl w:ilvl="0" w:tplc="0C090001">
      <w:start w:val="1"/>
      <w:numFmt w:val="bullet"/>
      <w:lvlText w:val=""/>
      <w:lvlJc w:val="left"/>
      <w:pPr>
        <w:ind w:left="1080" w:hanging="360"/>
      </w:pPr>
      <w:rPr>
        <w:rFonts w:ascii="Symbol" w:hAnsi="Symbol" w:hint="default"/>
      </w:rPr>
    </w:lvl>
    <w:lvl w:ilvl="1" w:tplc="DCCAEA0C">
      <w:numFmt w:val="bullet"/>
      <w:lvlText w:val="•"/>
      <w:lvlJc w:val="left"/>
      <w:pPr>
        <w:ind w:left="2160" w:hanging="720"/>
      </w:pPr>
      <w:rPr>
        <w:rFonts w:ascii="Calibri" w:eastAsiaTheme="minorHAnsi" w:hAnsi="Calibri" w:cs="Calibr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webHidden w:val="0"/>
        <w:color w:val="0F293A"/>
        <w:sz w:val="22"/>
        <w:szCs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3D3178A"/>
    <w:multiLevelType w:val="hybridMultilevel"/>
    <w:tmpl w:val="6C347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4078D6"/>
    <w:multiLevelType w:val="hybridMultilevel"/>
    <w:tmpl w:val="E5548A90"/>
    <w:lvl w:ilvl="0" w:tplc="0C090001">
      <w:start w:val="1"/>
      <w:numFmt w:val="bullet"/>
      <w:lvlText w:val=""/>
      <w:lvlJc w:val="left"/>
      <w:pPr>
        <w:ind w:left="720" w:hanging="360"/>
      </w:pPr>
      <w:rPr>
        <w:rFonts w:ascii="Symbol" w:hAnsi="Symbol" w:hint="default"/>
      </w:rPr>
    </w:lvl>
    <w:lvl w:ilvl="1" w:tplc="59B853F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030F4E"/>
    <w:multiLevelType w:val="hybridMultilevel"/>
    <w:tmpl w:val="A1B8AC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8543536"/>
    <w:multiLevelType w:val="hybridMultilevel"/>
    <w:tmpl w:val="4DDEB7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8CC2ABD"/>
    <w:multiLevelType w:val="hybridMultilevel"/>
    <w:tmpl w:val="B50C40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F17188B"/>
    <w:multiLevelType w:val="hybridMultilevel"/>
    <w:tmpl w:val="5E1CD914"/>
    <w:lvl w:ilvl="0" w:tplc="42843832">
      <w:numFmt w:val="bullet"/>
      <w:lvlText w:val="-"/>
      <w:lvlJc w:val="left"/>
      <w:pPr>
        <w:ind w:left="1080" w:hanging="360"/>
      </w:pPr>
      <w:rPr>
        <w:rFonts w:ascii="Aptos" w:eastAsia="Aptos" w:hAnsi="Aptos"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15:restartNumberingAfterBreak="0">
    <w:nsid w:val="47FA0272"/>
    <w:multiLevelType w:val="hybridMultilevel"/>
    <w:tmpl w:val="EC4A75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A625471"/>
    <w:multiLevelType w:val="hybridMultilevel"/>
    <w:tmpl w:val="2B801652"/>
    <w:lvl w:ilvl="0" w:tplc="5F92F29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692F0703"/>
    <w:multiLevelType w:val="hybridMultilevel"/>
    <w:tmpl w:val="42D07544"/>
    <w:lvl w:ilvl="0" w:tplc="59B853FC">
      <w:start w:val="1"/>
      <w:numFmt w:val="bullet"/>
      <w:lvlText w:val="-"/>
      <w:lvlJc w:val="left"/>
      <w:pPr>
        <w:ind w:left="1288" w:hanging="360"/>
      </w:pPr>
      <w:rPr>
        <w:rFonts w:ascii="Courier New" w:hAnsi="Courier New" w:hint="default"/>
      </w:rPr>
    </w:lvl>
    <w:lvl w:ilvl="1" w:tplc="0C090003">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7" w15:restartNumberingAfterBreak="0">
    <w:nsid w:val="6F9F77E4"/>
    <w:multiLevelType w:val="hybridMultilevel"/>
    <w:tmpl w:val="7CD430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F360F6"/>
    <w:multiLevelType w:val="hybridMultilevel"/>
    <w:tmpl w:val="36A6D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483498"/>
    <w:multiLevelType w:val="hybridMultilevel"/>
    <w:tmpl w:val="F2F43A02"/>
    <w:lvl w:ilvl="0" w:tplc="0C090001">
      <w:start w:val="1"/>
      <w:numFmt w:val="bullet"/>
      <w:lvlText w:val=""/>
      <w:lvlJc w:val="left"/>
      <w:pPr>
        <w:ind w:left="4122" w:hanging="360"/>
      </w:pPr>
      <w:rPr>
        <w:rFonts w:ascii="Symbol" w:hAnsi="Symbol" w:hint="default"/>
      </w:rPr>
    </w:lvl>
    <w:lvl w:ilvl="1" w:tplc="0C090003" w:tentative="1">
      <w:start w:val="1"/>
      <w:numFmt w:val="bullet"/>
      <w:lvlText w:val="o"/>
      <w:lvlJc w:val="left"/>
      <w:pPr>
        <w:ind w:left="4842" w:hanging="360"/>
      </w:pPr>
      <w:rPr>
        <w:rFonts w:ascii="Courier New" w:hAnsi="Courier New" w:cs="Courier New" w:hint="default"/>
      </w:rPr>
    </w:lvl>
    <w:lvl w:ilvl="2" w:tplc="0C090005" w:tentative="1">
      <w:start w:val="1"/>
      <w:numFmt w:val="bullet"/>
      <w:lvlText w:val=""/>
      <w:lvlJc w:val="left"/>
      <w:pPr>
        <w:ind w:left="5562" w:hanging="360"/>
      </w:pPr>
      <w:rPr>
        <w:rFonts w:ascii="Wingdings" w:hAnsi="Wingdings" w:hint="default"/>
      </w:rPr>
    </w:lvl>
    <w:lvl w:ilvl="3" w:tplc="0C090001" w:tentative="1">
      <w:start w:val="1"/>
      <w:numFmt w:val="bullet"/>
      <w:lvlText w:val=""/>
      <w:lvlJc w:val="left"/>
      <w:pPr>
        <w:ind w:left="6282" w:hanging="360"/>
      </w:pPr>
      <w:rPr>
        <w:rFonts w:ascii="Symbol" w:hAnsi="Symbol" w:hint="default"/>
      </w:rPr>
    </w:lvl>
    <w:lvl w:ilvl="4" w:tplc="0C090003" w:tentative="1">
      <w:start w:val="1"/>
      <w:numFmt w:val="bullet"/>
      <w:lvlText w:val="o"/>
      <w:lvlJc w:val="left"/>
      <w:pPr>
        <w:ind w:left="7002" w:hanging="360"/>
      </w:pPr>
      <w:rPr>
        <w:rFonts w:ascii="Courier New" w:hAnsi="Courier New" w:cs="Courier New" w:hint="default"/>
      </w:rPr>
    </w:lvl>
    <w:lvl w:ilvl="5" w:tplc="0C090005" w:tentative="1">
      <w:start w:val="1"/>
      <w:numFmt w:val="bullet"/>
      <w:lvlText w:val=""/>
      <w:lvlJc w:val="left"/>
      <w:pPr>
        <w:ind w:left="7722" w:hanging="360"/>
      </w:pPr>
      <w:rPr>
        <w:rFonts w:ascii="Wingdings" w:hAnsi="Wingdings" w:hint="default"/>
      </w:rPr>
    </w:lvl>
    <w:lvl w:ilvl="6" w:tplc="0C090001" w:tentative="1">
      <w:start w:val="1"/>
      <w:numFmt w:val="bullet"/>
      <w:lvlText w:val=""/>
      <w:lvlJc w:val="left"/>
      <w:pPr>
        <w:ind w:left="8442" w:hanging="360"/>
      </w:pPr>
      <w:rPr>
        <w:rFonts w:ascii="Symbol" w:hAnsi="Symbol" w:hint="default"/>
      </w:rPr>
    </w:lvl>
    <w:lvl w:ilvl="7" w:tplc="0C090003" w:tentative="1">
      <w:start w:val="1"/>
      <w:numFmt w:val="bullet"/>
      <w:lvlText w:val="o"/>
      <w:lvlJc w:val="left"/>
      <w:pPr>
        <w:ind w:left="9162" w:hanging="360"/>
      </w:pPr>
      <w:rPr>
        <w:rFonts w:ascii="Courier New" w:hAnsi="Courier New" w:cs="Courier New" w:hint="default"/>
      </w:rPr>
    </w:lvl>
    <w:lvl w:ilvl="8" w:tplc="0C090005" w:tentative="1">
      <w:start w:val="1"/>
      <w:numFmt w:val="bullet"/>
      <w:lvlText w:val=""/>
      <w:lvlJc w:val="left"/>
      <w:pPr>
        <w:ind w:left="9882" w:hanging="360"/>
      </w:pPr>
      <w:rPr>
        <w:rFonts w:ascii="Wingdings" w:hAnsi="Wingdings" w:hint="default"/>
      </w:rPr>
    </w:lvl>
  </w:abstractNum>
  <w:abstractNum w:abstractNumId="20" w15:restartNumberingAfterBreak="0">
    <w:nsid w:val="7D103241"/>
    <w:multiLevelType w:val="hybridMultilevel"/>
    <w:tmpl w:val="46C8FC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86406266">
    <w:abstractNumId w:val="7"/>
  </w:num>
  <w:num w:numId="2" w16cid:durableId="289824812">
    <w:abstractNumId w:val="20"/>
  </w:num>
  <w:num w:numId="3" w16cid:durableId="1824078031">
    <w:abstractNumId w:val="10"/>
  </w:num>
  <w:num w:numId="4" w16cid:durableId="1237134724">
    <w:abstractNumId w:val="13"/>
  </w:num>
  <w:num w:numId="5" w16cid:durableId="967861452">
    <w:abstractNumId w:val="6"/>
  </w:num>
  <w:num w:numId="6" w16cid:durableId="303394064">
    <w:abstractNumId w:val="9"/>
  </w:num>
  <w:num w:numId="7" w16cid:durableId="948125696">
    <w:abstractNumId w:val="17"/>
  </w:num>
  <w:num w:numId="8" w16cid:durableId="985276296">
    <w:abstractNumId w:val="18"/>
  </w:num>
  <w:num w:numId="9" w16cid:durableId="1398937412">
    <w:abstractNumId w:val="4"/>
  </w:num>
  <w:num w:numId="10" w16cid:durableId="2140760617">
    <w:abstractNumId w:val="14"/>
  </w:num>
  <w:num w:numId="11" w16cid:durableId="409542609">
    <w:abstractNumId w:val="0"/>
  </w:num>
  <w:num w:numId="12" w16cid:durableId="389690421">
    <w:abstractNumId w:val="11"/>
  </w:num>
  <w:num w:numId="13" w16cid:durableId="1592667675">
    <w:abstractNumId w:val="19"/>
  </w:num>
  <w:num w:numId="14" w16cid:durableId="448203996">
    <w:abstractNumId w:val="2"/>
  </w:num>
  <w:num w:numId="15" w16cid:durableId="2123306030">
    <w:abstractNumId w:val="16"/>
  </w:num>
  <w:num w:numId="16" w16cid:durableId="193274460">
    <w:abstractNumId w:val="12"/>
  </w:num>
  <w:num w:numId="17" w16cid:durableId="2003466535">
    <w:abstractNumId w:val="3"/>
  </w:num>
  <w:num w:numId="18" w16cid:durableId="1899510323">
    <w:abstractNumId w:val="1"/>
  </w:num>
  <w:num w:numId="19" w16cid:durableId="779956066">
    <w:abstractNumId w:val="8"/>
  </w:num>
  <w:num w:numId="20" w16cid:durableId="6852116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037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19D"/>
    <w:rsid w:val="00006883"/>
    <w:rsid w:val="00011F7F"/>
    <w:rsid w:val="00012EBD"/>
    <w:rsid w:val="00015C2E"/>
    <w:rsid w:val="0001664A"/>
    <w:rsid w:val="000227BD"/>
    <w:rsid w:val="00023700"/>
    <w:rsid w:val="00023A50"/>
    <w:rsid w:val="00024314"/>
    <w:rsid w:val="00027857"/>
    <w:rsid w:val="0004351A"/>
    <w:rsid w:val="00046D0C"/>
    <w:rsid w:val="000566E2"/>
    <w:rsid w:val="0006277D"/>
    <w:rsid w:val="0006281E"/>
    <w:rsid w:val="00076ACB"/>
    <w:rsid w:val="000803FC"/>
    <w:rsid w:val="00092329"/>
    <w:rsid w:val="000935F9"/>
    <w:rsid w:val="000A37F9"/>
    <w:rsid w:val="000B4A10"/>
    <w:rsid w:val="000B694B"/>
    <w:rsid w:val="000B6DCE"/>
    <w:rsid w:val="000C05BE"/>
    <w:rsid w:val="000C254E"/>
    <w:rsid w:val="000C5492"/>
    <w:rsid w:val="000D02F4"/>
    <w:rsid w:val="000D5293"/>
    <w:rsid w:val="000D5EE6"/>
    <w:rsid w:val="000E4649"/>
    <w:rsid w:val="000F035A"/>
    <w:rsid w:val="000F0719"/>
    <w:rsid w:val="000F37F8"/>
    <w:rsid w:val="00101AF6"/>
    <w:rsid w:val="0010695D"/>
    <w:rsid w:val="00107AB3"/>
    <w:rsid w:val="00111F8C"/>
    <w:rsid w:val="001158D3"/>
    <w:rsid w:val="00116A65"/>
    <w:rsid w:val="00134EAE"/>
    <w:rsid w:val="00137D73"/>
    <w:rsid w:val="00141A69"/>
    <w:rsid w:val="001446CA"/>
    <w:rsid w:val="001526FC"/>
    <w:rsid w:val="00166666"/>
    <w:rsid w:val="001744C1"/>
    <w:rsid w:val="00177E71"/>
    <w:rsid w:val="00192F8C"/>
    <w:rsid w:val="001932DE"/>
    <w:rsid w:val="0019637E"/>
    <w:rsid w:val="001A3BF7"/>
    <w:rsid w:val="001A3C29"/>
    <w:rsid w:val="001A616F"/>
    <w:rsid w:val="001A66DF"/>
    <w:rsid w:val="001B27F6"/>
    <w:rsid w:val="001C499B"/>
    <w:rsid w:val="001C503E"/>
    <w:rsid w:val="001D47A9"/>
    <w:rsid w:val="001D4B83"/>
    <w:rsid w:val="001D7E1F"/>
    <w:rsid w:val="001E2123"/>
    <w:rsid w:val="001E6053"/>
    <w:rsid w:val="001F1594"/>
    <w:rsid w:val="001F28D9"/>
    <w:rsid w:val="001F72B8"/>
    <w:rsid w:val="00200426"/>
    <w:rsid w:val="00200CC7"/>
    <w:rsid w:val="0021659E"/>
    <w:rsid w:val="002175CA"/>
    <w:rsid w:val="00226E12"/>
    <w:rsid w:val="00233388"/>
    <w:rsid w:val="00236360"/>
    <w:rsid w:val="002440F6"/>
    <w:rsid w:val="00247A85"/>
    <w:rsid w:val="002511B2"/>
    <w:rsid w:val="002518B7"/>
    <w:rsid w:val="00254DF0"/>
    <w:rsid w:val="00257915"/>
    <w:rsid w:val="00261200"/>
    <w:rsid w:val="00265F99"/>
    <w:rsid w:val="00275BB9"/>
    <w:rsid w:val="00277D7D"/>
    <w:rsid w:val="002815A5"/>
    <w:rsid w:val="00284E5C"/>
    <w:rsid w:val="002950B1"/>
    <w:rsid w:val="0029562B"/>
    <w:rsid w:val="002961C9"/>
    <w:rsid w:val="002A619D"/>
    <w:rsid w:val="002B4032"/>
    <w:rsid w:val="002C592B"/>
    <w:rsid w:val="002D33A2"/>
    <w:rsid w:val="002E6972"/>
    <w:rsid w:val="002F00F2"/>
    <w:rsid w:val="002F5F7D"/>
    <w:rsid w:val="002F6A7E"/>
    <w:rsid w:val="00300756"/>
    <w:rsid w:val="00304228"/>
    <w:rsid w:val="0030462F"/>
    <w:rsid w:val="00304C3C"/>
    <w:rsid w:val="00305B4B"/>
    <w:rsid w:val="0031117E"/>
    <w:rsid w:val="0031248B"/>
    <w:rsid w:val="003152B7"/>
    <w:rsid w:val="00334A84"/>
    <w:rsid w:val="003445A1"/>
    <w:rsid w:val="00347F56"/>
    <w:rsid w:val="003536D0"/>
    <w:rsid w:val="003555F4"/>
    <w:rsid w:val="00362E16"/>
    <w:rsid w:val="00371001"/>
    <w:rsid w:val="00371DAA"/>
    <w:rsid w:val="003803E9"/>
    <w:rsid w:val="00384DC9"/>
    <w:rsid w:val="00386E71"/>
    <w:rsid w:val="003939E1"/>
    <w:rsid w:val="003A109A"/>
    <w:rsid w:val="003A6473"/>
    <w:rsid w:val="003A6878"/>
    <w:rsid w:val="003B7DF0"/>
    <w:rsid w:val="003C06F1"/>
    <w:rsid w:val="003C4EA1"/>
    <w:rsid w:val="003C75A2"/>
    <w:rsid w:val="003D2BFD"/>
    <w:rsid w:val="003D43F7"/>
    <w:rsid w:val="003E0333"/>
    <w:rsid w:val="003E72D8"/>
    <w:rsid w:val="003F1EB0"/>
    <w:rsid w:val="003F7EF4"/>
    <w:rsid w:val="004046A3"/>
    <w:rsid w:val="00404E4C"/>
    <w:rsid w:val="004073B8"/>
    <w:rsid w:val="00407ACF"/>
    <w:rsid w:val="00416D87"/>
    <w:rsid w:val="00417B8E"/>
    <w:rsid w:val="00443E8A"/>
    <w:rsid w:val="00444BAF"/>
    <w:rsid w:val="00447568"/>
    <w:rsid w:val="0045211F"/>
    <w:rsid w:val="00457225"/>
    <w:rsid w:val="0046468B"/>
    <w:rsid w:val="0046581B"/>
    <w:rsid w:val="00474BB1"/>
    <w:rsid w:val="00482845"/>
    <w:rsid w:val="00483E92"/>
    <w:rsid w:val="00483E9B"/>
    <w:rsid w:val="00491100"/>
    <w:rsid w:val="004915A7"/>
    <w:rsid w:val="0049273E"/>
    <w:rsid w:val="004956A8"/>
    <w:rsid w:val="004A735D"/>
    <w:rsid w:val="004B06E5"/>
    <w:rsid w:val="004B14AC"/>
    <w:rsid w:val="004B1928"/>
    <w:rsid w:val="004C3D44"/>
    <w:rsid w:val="004D1327"/>
    <w:rsid w:val="004D3ABF"/>
    <w:rsid w:val="004D47B8"/>
    <w:rsid w:val="004D6217"/>
    <w:rsid w:val="004F5C38"/>
    <w:rsid w:val="00500E1B"/>
    <w:rsid w:val="00503004"/>
    <w:rsid w:val="00512D82"/>
    <w:rsid w:val="00513332"/>
    <w:rsid w:val="00513C18"/>
    <w:rsid w:val="00514243"/>
    <w:rsid w:val="00515349"/>
    <w:rsid w:val="00526C25"/>
    <w:rsid w:val="005302FD"/>
    <w:rsid w:val="005338D5"/>
    <w:rsid w:val="00535F5D"/>
    <w:rsid w:val="00542099"/>
    <w:rsid w:val="00552D4C"/>
    <w:rsid w:val="00553378"/>
    <w:rsid w:val="00562EEC"/>
    <w:rsid w:val="00572DFE"/>
    <w:rsid w:val="00587EDA"/>
    <w:rsid w:val="00597892"/>
    <w:rsid w:val="005A0155"/>
    <w:rsid w:val="005C4587"/>
    <w:rsid w:val="005D2838"/>
    <w:rsid w:val="005E17D4"/>
    <w:rsid w:val="006004A9"/>
    <w:rsid w:val="00604981"/>
    <w:rsid w:val="006168BD"/>
    <w:rsid w:val="00617430"/>
    <w:rsid w:val="006241F5"/>
    <w:rsid w:val="00637580"/>
    <w:rsid w:val="006378C3"/>
    <w:rsid w:val="006507B4"/>
    <w:rsid w:val="006542D6"/>
    <w:rsid w:val="00656ACF"/>
    <w:rsid w:val="006579EB"/>
    <w:rsid w:val="00663EE8"/>
    <w:rsid w:val="00670B64"/>
    <w:rsid w:val="006749B5"/>
    <w:rsid w:val="006809D1"/>
    <w:rsid w:val="006A2571"/>
    <w:rsid w:val="006A3174"/>
    <w:rsid w:val="006A5948"/>
    <w:rsid w:val="006A71F8"/>
    <w:rsid w:val="006B0280"/>
    <w:rsid w:val="006B2CBD"/>
    <w:rsid w:val="006B53BA"/>
    <w:rsid w:val="006D1E82"/>
    <w:rsid w:val="006D2392"/>
    <w:rsid w:val="006D34E1"/>
    <w:rsid w:val="006E11F2"/>
    <w:rsid w:val="006E5350"/>
    <w:rsid w:val="006F0FC9"/>
    <w:rsid w:val="006F1AD5"/>
    <w:rsid w:val="006F34B1"/>
    <w:rsid w:val="007010B9"/>
    <w:rsid w:val="00702172"/>
    <w:rsid w:val="00704AB1"/>
    <w:rsid w:val="00705A4C"/>
    <w:rsid w:val="0070629B"/>
    <w:rsid w:val="00710B0D"/>
    <w:rsid w:val="00716898"/>
    <w:rsid w:val="0071712D"/>
    <w:rsid w:val="007173BB"/>
    <w:rsid w:val="00724E1C"/>
    <w:rsid w:val="00733E0A"/>
    <w:rsid w:val="007438F3"/>
    <w:rsid w:val="00745887"/>
    <w:rsid w:val="00750DA4"/>
    <w:rsid w:val="00760DCC"/>
    <w:rsid w:val="007624C0"/>
    <w:rsid w:val="0076274A"/>
    <w:rsid w:val="0076620E"/>
    <w:rsid w:val="007671AB"/>
    <w:rsid w:val="007754CC"/>
    <w:rsid w:val="00776D3D"/>
    <w:rsid w:val="0078190C"/>
    <w:rsid w:val="00790C49"/>
    <w:rsid w:val="00794F60"/>
    <w:rsid w:val="00795949"/>
    <w:rsid w:val="007A3965"/>
    <w:rsid w:val="007A69A1"/>
    <w:rsid w:val="007B5556"/>
    <w:rsid w:val="007B6877"/>
    <w:rsid w:val="007C59CB"/>
    <w:rsid w:val="007D409D"/>
    <w:rsid w:val="007D54A8"/>
    <w:rsid w:val="007E03AF"/>
    <w:rsid w:val="007E1EEA"/>
    <w:rsid w:val="007E209A"/>
    <w:rsid w:val="007E7626"/>
    <w:rsid w:val="007F03D4"/>
    <w:rsid w:val="007F3C83"/>
    <w:rsid w:val="007F3F21"/>
    <w:rsid w:val="00800B98"/>
    <w:rsid w:val="008022C4"/>
    <w:rsid w:val="008063DF"/>
    <w:rsid w:val="00823A42"/>
    <w:rsid w:val="00825B3A"/>
    <w:rsid w:val="00833F54"/>
    <w:rsid w:val="00837057"/>
    <w:rsid w:val="00860430"/>
    <w:rsid w:val="00860923"/>
    <w:rsid w:val="00866123"/>
    <w:rsid w:val="00874A82"/>
    <w:rsid w:val="008805F7"/>
    <w:rsid w:val="00886CA5"/>
    <w:rsid w:val="00887315"/>
    <w:rsid w:val="008A3F46"/>
    <w:rsid w:val="008A4862"/>
    <w:rsid w:val="008A55BD"/>
    <w:rsid w:val="008A7541"/>
    <w:rsid w:val="008B55CE"/>
    <w:rsid w:val="008B5AD0"/>
    <w:rsid w:val="008B6270"/>
    <w:rsid w:val="008B67EC"/>
    <w:rsid w:val="008B7ADA"/>
    <w:rsid w:val="008C4783"/>
    <w:rsid w:val="008D1A4E"/>
    <w:rsid w:val="008E526A"/>
    <w:rsid w:val="008F08E5"/>
    <w:rsid w:val="0090159E"/>
    <w:rsid w:val="00911356"/>
    <w:rsid w:val="00915F8E"/>
    <w:rsid w:val="00924A42"/>
    <w:rsid w:val="0092512A"/>
    <w:rsid w:val="009337CB"/>
    <w:rsid w:val="00944A67"/>
    <w:rsid w:val="0095083A"/>
    <w:rsid w:val="0095107E"/>
    <w:rsid w:val="009548C4"/>
    <w:rsid w:val="009557A3"/>
    <w:rsid w:val="00961174"/>
    <w:rsid w:val="009668E3"/>
    <w:rsid w:val="009762E0"/>
    <w:rsid w:val="00993E7B"/>
    <w:rsid w:val="009958B6"/>
    <w:rsid w:val="009969C8"/>
    <w:rsid w:val="009A5CDE"/>
    <w:rsid w:val="009A6416"/>
    <w:rsid w:val="009B2CD5"/>
    <w:rsid w:val="009B3A8A"/>
    <w:rsid w:val="009B5C87"/>
    <w:rsid w:val="009C0BD3"/>
    <w:rsid w:val="009C3803"/>
    <w:rsid w:val="009C5C35"/>
    <w:rsid w:val="009E0ABC"/>
    <w:rsid w:val="009E3889"/>
    <w:rsid w:val="009E5907"/>
    <w:rsid w:val="009E6563"/>
    <w:rsid w:val="009E74DA"/>
    <w:rsid w:val="009F2B2E"/>
    <w:rsid w:val="009F3FD0"/>
    <w:rsid w:val="009F4E33"/>
    <w:rsid w:val="009F629F"/>
    <w:rsid w:val="009F6803"/>
    <w:rsid w:val="00A008BB"/>
    <w:rsid w:val="00A0451A"/>
    <w:rsid w:val="00A10B0D"/>
    <w:rsid w:val="00A14BE6"/>
    <w:rsid w:val="00A21228"/>
    <w:rsid w:val="00A21713"/>
    <w:rsid w:val="00A23699"/>
    <w:rsid w:val="00A24D90"/>
    <w:rsid w:val="00A401E5"/>
    <w:rsid w:val="00A509E3"/>
    <w:rsid w:val="00A5209A"/>
    <w:rsid w:val="00A53E76"/>
    <w:rsid w:val="00A57B95"/>
    <w:rsid w:val="00A64A1C"/>
    <w:rsid w:val="00A64C50"/>
    <w:rsid w:val="00A733D7"/>
    <w:rsid w:val="00A913AD"/>
    <w:rsid w:val="00A9739B"/>
    <w:rsid w:val="00AA014C"/>
    <w:rsid w:val="00AA79B0"/>
    <w:rsid w:val="00AB236D"/>
    <w:rsid w:val="00AB44D9"/>
    <w:rsid w:val="00AB482B"/>
    <w:rsid w:val="00AB6440"/>
    <w:rsid w:val="00AB7867"/>
    <w:rsid w:val="00AC4221"/>
    <w:rsid w:val="00AD6AE9"/>
    <w:rsid w:val="00AE31FC"/>
    <w:rsid w:val="00AE34D7"/>
    <w:rsid w:val="00AE4029"/>
    <w:rsid w:val="00AE4E25"/>
    <w:rsid w:val="00AF1D0A"/>
    <w:rsid w:val="00AF5D6D"/>
    <w:rsid w:val="00B0244E"/>
    <w:rsid w:val="00B04407"/>
    <w:rsid w:val="00B04EAE"/>
    <w:rsid w:val="00B108A2"/>
    <w:rsid w:val="00B14FD1"/>
    <w:rsid w:val="00B150F5"/>
    <w:rsid w:val="00B21D4B"/>
    <w:rsid w:val="00B22235"/>
    <w:rsid w:val="00B26022"/>
    <w:rsid w:val="00B3039F"/>
    <w:rsid w:val="00B36084"/>
    <w:rsid w:val="00B42463"/>
    <w:rsid w:val="00B54509"/>
    <w:rsid w:val="00B549DE"/>
    <w:rsid w:val="00B568E2"/>
    <w:rsid w:val="00B6553B"/>
    <w:rsid w:val="00B65D04"/>
    <w:rsid w:val="00B71A40"/>
    <w:rsid w:val="00B72C6A"/>
    <w:rsid w:val="00B72D8F"/>
    <w:rsid w:val="00B73016"/>
    <w:rsid w:val="00B75A29"/>
    <w:rsid w:val="00B800DC"/>
    <w:rsid w:val="00B831B3"/>
    <w:rsid w:val="00B872BF"/>
    <w:rsid w:val="00BA02C2"/>
    <w:rsid w:val="00BA4CA9"/>
    <w:rsid w:val="00BA5A7F"/>
    <w:rsid w:val="00BB6237"/>
    <w:rsid w:val="00BB7F26"/>
    <w:rsid w:val="00BC3F15"/>
    <w:rsid w:val="00BD1111"/>
    <w:rsid w:val="00BD1190"/>
    <w:rsid w:val="00BD32E1"/>
    <w:rsid w:val="00BD3C8F"/>
    <w:rsid w:val="00BD7707"/>
    <w:rsid w:val="00BF0978"/>
    <w:rsid w:val="00BF7A03"/>
    <w:rsid w:val="00C14814"/>
    <w:rsid w:val="00C14BB2"/>
    <w:rsid w:val="00C21B4A"/>
    <w:rsid w:val="00C31556"/>
    <w:rsid w:val="00C433B2"/>
    <w:rsid w:val="00C43BA7"/>
    <w:rsid w:val="00C625F1"/>
    <w:rsid w:val="00C73CE6"/>
    <w:rsid w:val="00C741FE"/>
    <w:rsid w:val="00C75B7C"/>
    <w:rsid w:val="00C8381B"/>
    <w:rsid w:val="00C838EA"/>
    <w:rsid w:val="00C86B06"/>
    <w:rsid w:val="00CA330A"/>
    <w:rsid w:val="00CA4CC9"/>
    <w:rsid w:val="00CB0653"/>
    <w:rsid w:val="00CC4AD6"/>
    <w:rsid w:val="00CC78E3"/>
    <w:rsid w:val="00CC7CA0"/>
    <w:rsid w:val="00CC7D95"/>
    <w:rsid w:val="00CE0532"/>
    <w:rsid w:val="00CE2321"/>
    <w:rsid w:val="00CE398D"/>
    <w:rsid w:val="00CE4D9B"/>
    <w:rsid w:val="00CF7E5D"/>
    <w:rsid w:val="00D00652"/>
    <w:rsid w:val="00D029D6"/>
    <w:rsid w:val="00D10BB6"/>
    <w:rsid w:val="00D163E5"/>
    <w:rsid w:val="00D20AC4"/>
    <w:rsid w:val="00D26D18"/>
    <w:rsid w:val="00D36824"/>
    <w:rsid w:val="00D46E95"/>
    <w:rsid w:val="00D57DE8"/>
    <w:rsid w:val="00D57FB1"/>
    <w:rsid w:val="00D84019"/>
    <w:rsid w:val="00DA01FA"/>
    <w:rsid w:val="00DA0709"/>
    <w:rsid w:val="00DB1155"/>
    <w:rsid w:val="00DB3307"/>
    <w:rsid w:val="00DB3E85"/>
    <w:rsid w:val="00DB49E6"/>
    <w:rsid w:val="00DB75D6"/>
    <w:rsid w:val="00DC1A0E"/>
    <w:rsid w:val="00DC3FD1"/>
    <w:rsid w:val="00DD0795"/>
    <w:rsid w:val="00DD4B77"/>
    <w:rsid w:val="00DE19B2"/>
    <w:rsid w:val="00DE2541"/>
    <w:rsid w:val="00DE4D78"/>
    <w:rsid w:val="00DF3FA0"/>
    <w:rsid w:val="00DF56F5"/>
    <w:rsid w:val="00DF5AE6"/>
    <w:rsid w:val="00E001E6"/>
    <w:rsid w:val="00E01846"/>
    <w:rsid w:val="00E042CF"/>
    <w:rsid w:val="00E05DC1"/>
    <w:rsid w:val="00E20AE6"/>
    <w:rsid w:val="00E2564F"/>
    <w:rsid w:val="00E3486E"/>
    <w:rsid w:val="00E37C40"/>
    <w:rsid w:val="00E47DC8"/>
    <w:rsid w:val="00E5238A"/>
    <w:rsid w:val="00E567D3"/>
    <w:rsid w:val="00E56C23"/>
    <w:rsid w:val="00E63414"/>
    <w:rsid w:val="00E67172"/>
    <w:rsid w:val="00E71CA8"/>
    <w:rsid w:val="00E8124A"/>
    <w:rsid w:val="00E827DA"/>
    <w:rsid w:val="00E83A4E"/>
    <w:rsid w:val="00E91625"/>
    <w:rsid w:val="00E92A92"/>
    <w:rsid w:val="00E953A2"/>
    <w:rsid w:val="00E9705B"/>
    <w:rsid w:val="00E97BF1"/>
    <w:rsid w:val="00EB23FC"/>
    <w:rsid w:val="00EC19E8"/>
    <w:rsid w:val="00ED1804"/>
    <w:rsid w:val="00ED1AF1"/>
    <w:rsid w:val="00EE2336"/>
    <w:rsid w:val="00EE605D"/>
    <w:rsid w:val="00EE7B7D"/>
    <w:rsid w:val="00F00B2F"/>
    <w:rsid w:val="00F1620B"/>
    <w:rsid w:val="00F217DA"/>
    <w:rsid w:val="00F24270"/>
    <w:rsid w:val="00F24F0E"/>
    <w:rsid w:val="00F26C63"/>
    <w:rsid w:val="00F279B8"/>
    <w:rsid w:val="00F3471F"/>
    <w:rsid w:val="00F4446B"/>
    <w:rsid w:val="00F4524A"/>
    <w:rsid w:val="00F536F1"/>
    <w:rsid w:val="00F56640"/>
    <w:rsid w:val="00F56CD9"/>
    <w:rsid w:val="00F6457B"/>
    <w:rsid w:val="00F645F3"/>
    <w:rsid w:val="00F67E5B"/>
    <w:rsid w:val="00F72F19"/>
    <w:rsid w:val="00F73F7B"/>
    <w:rsid w:val="00F95C73"/>
    <w:rsid w:val="00F96A21"/>
    <w:rsid w:val="00FA331A"/>
    <w:rsid w:val="00FA3B20"/>
    <w:rsid w:val="00FA6153"/>
    <w:rsid w:val="00FA62F5"/>
    <w:rsid w:val="00FA646E"/>
    <w:rsid w:val="00FB1ABA"/>
    <w:rsid w:val="00FB3E29"/>
    <w:rsid w:val="00FB55E2"/>
    <w:rsid w:val="00FC16D6"/>
    <w:rsid w:val="00FC1A44"/>
    <w:rsid w:val="00FC7640"/>
    <w:rsid w:val="00FE4712"/>
    <w:rsid w:val="00FF523C"/>
    <w:rsid w:val="00FF59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DBD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19D"/>
    <w:pPr>
      <w:spacing w:after="200" w:line="240" w:lineRule="auto"/>
    </w:pPr>
    <w:rPr>
      <w:rFonts w:eastAsiaTheme="minorEastAsia"/>
      <w:lang w:eastAsia="zh-TW"/>
    </w:rPr>
  </w:style>
  <w:style w:type="paragraph" w:styleId="Heading1">
    <w:name w:val="heading 1"/>
    <w:basedOn w:val="Normal"/>
    <w:next w:val="Normal"/>
    <w:link w:val="Heading1Char"/>
    <w:uiPriority w:val="9"/>
    <w:qFormat/>
    <w:rsid w:val="002A619D"/>
    <w:pPr>
      <w:keepNext/>
      <w:spacing w:before="3000" w:after="1080"/>
      <w:jc w:val="center"/>
      <w:outlineLvl w:val="0"/>
    </w:pPr>
    <w:rPr>
      <w:rFonts w:asciiTheme="majorHAnsi" w:eastAsiaTheme="majorEastAsia" w:hAnsiTheme="majorHAnsi" w:cstheme="majorBidi"/>
      <w:b/>
      <w:sz w:val="48"/>
      <w:szCs w:val="32"/>
      <w:lang w:eastAsia="en-US"/>
    </w:rPr>
  </w:style>
  <w:style w:type="paragraph" w:styleId="Heading2">
    <w:name w:val="heading 2"/>
    <w:basedOn w:val="Normal"/>
    <w:next w:val="Normal"/>
    <w:link w:val="Heading2Char"/>
    <w:uiPriority w:val="9"/>
    <w:semiHidden/>
    <w:unhideWhenUsed/>
    <w:qFormat/>
    <w:rsid w:val="002A619D"/>
    <w:pPr>
      <w:keepNext/>
      <w:outlineLvl w:val="1"/>
    </w:pPr>
    <w:rPr>
      <w:rFonts w:asciiTheme="majorHAnsi" w:eastAsiaTheme="majorEastAsia" w:hAnsiTheme="majorHAnsi" w:cstheme="majorBidi"/>
      <w:b/>
      <w:sz w:val="36"/>
      <w:szCs w:val="26"/>
      <w:lang w:eastAsia="en-US"/>
    </w:rPr>
  </w:style>
  <w:style w:type="paragraph" w:styleId="Heading3">
    <w:name w:val="heading 3"/>
    <w:basedOn w:val="Normal"/>
    <w:next w:val="Normal"/>
    <w:link w:val="Heading3Char"/>
    <w:uiPriority w:val="9"/>
    <w:semiHidden/>
    <w:unhideWhenUsed/>
    <w:qFormat/>
    <w:rsid w:val="002A619D"/>
    <w:pPr>
      <w:keepNext/>
      <w:spacing w:after="120"/>
      <w:outlineLvl w:val="2"/>
    </w:pPr>
    <w:rPr>
      <w:rFonts w:asciiTheme="majorHAnsi" w:eastAsiaTheme="majorEastAsia" w:hAnsiTheme="majorHAnsi" w:cstheme="majorBidi"/>
      <w:b/>
      <w:sz w:val="30"/>
      <w:szCs w:val="24"/>
      <w:lang w:eastAsia="en-US"/>
    </w:rPr>
  </w:style>
  <w:style w:type="paragraph" w:styleId="Heading4">
    <w:name w:val="heading 4"/>
    <w:basedOn w:val="Normal"/>
    <w:next w:val="Normal"/>
    <w:link w:val="Heading4Char"/>
    <w:uiPriority w:val="9"/>
    <w:semiHidden/>
    <w:unhideWhenUsed/>
    <w:qFormat/>
    <w:rsid w:val="007F3F2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19D"/>
    <w:rPr>
      <w:rFonts w:asciiTheme="majorHAnsi" w:eastAsiaTheme="majorEastAsia" w:hAnsiTheme="majorHAnsi" w:cstheme="majorBidi"/>
      <w:b/>
      <w:sz w:val="48"/>
      <w:szCs w:val="32"/>
    </w:rPr>
  </w:style>
  <w:style w:type="character" w:customStyle="1" w:styleId="Heading2Char">
    <w:name w:val="Heading 2 Char"/>
    <w:basedOn w:val="DefaultParagraphFont"/>
    <w:link w:val="Heading2"/>
    <w:uiPriority w:val="9"/>
    <w:semiHidden/>
    <w:rsid w:val="002A619D"/>
    <w:rPr>
      <w:rFonts w:asciiTheme="majorHAnsi" w:eastAsiaTheme="majorEastAsia" w:hAnsiTheme="majorHAnsi" w:cstheme="majorBidi"/>
      <w:b/>
      <w:sz w:val="36"/>
      <w:szCs w:val="26"/>
    </w:rPr>
  </w:style>
  <w:style w:type="character" w:customStyle="1" w:styleId="Heading3Char">
    <w:name w:val="Heading 3 Char"/>
    <w:basedOn w:val="DefaultParagraphFont"/>
    <w:link w:val="Heading3"/>
    <w:uiPriority w:val="9"/>
    <w:semiHidden/>
    <w:rsid w:val="002A619D"/>
    <w:rPr>
      <w:rFonts w:asciiTheme="majorHAnsi" w:eastAsiaTheme="majorEastAsia" w:hAnsiTheme="majorHAnsi" w:cstheme="majorBidi"/>
      <w:b/>
      <w:sz w:val="30"/>
      <w:szCs w:val="24"/>
    </w:rPr>
  </w:style>
  <w:style w:type="character" w:styleId="Hyperlink">
    <w:name w:val="Hyperlink"/>
    <w:basedOn w:val="DefaultParagraphFont"/>
    <w:uiPriority w:val="99"/>
    <w:unhideWhenUsed/>
    <w:rsid w:val="008A3F46"/>
    <w:rPr>
      <w:color w:val="0563C1"/>
      <w:u w:val="single"/>
    </w:rPr>
  </w:style>
  <w:style w:type="paragraph" w:styleId="TOC1">
    <w:name w:val="toc 1"/>
    <w:basedOn w:val="Normal"/>
    <w:next w:val="Normal"/>
    <w:autoRedefine/>
    <w:uiPriority w:val="39"/>
    <w:unhideWhenUsed/>
    <w:rsid w:val="002A619D"/>
    <w:pPr>
      <w:tabs>
        <w:tab w:val="right" w:leader="dot" w:pos="9072"/>
      </w:tabs>
      <w:spacing w:before="120" w:after="0"/>
    </w:pPr>
    <w:rPr>
      <w:b/>
      <w:sz w:val="24"/>
    </w:rPr>
  </w:style>
  <w:style w:type="paragraph" w:styleId="TOC2">
    <w:name w:val="toc 2"/>
    <w:basedOn w:val="Normal"/>
    <w:next w:val="Normal"/>
    <w:autoRedefine/>
    <w:uiPriority w:val="39"/>
    <w:unhideWhenUsed/>
    <w:rsid w:val="002A619D"/>
    <w:pPr>
      <w:tabs>
        <w:tab w:val="right" w:leader="dot" w:pos="9072"/>
      </w:tabs>
      <w:spacing w:after="0"/>
      <w:ind w:left="567"/>
    </w:pPr>
  </w:style>
  <w:style w:type="paragraph" w:customStyle="1" w:styleId="Bulletlevel1">
    <w:name w:val="Bullet level 1"/>
    <w:basedOn w:val="Normal"/>
    <w:qFormat/>
    <w:rsid w:val="002A619D"/>
    <w:pPr>
      <w:numPr>
        <w:numId w:val="1"/>
      </w:numPr>
      <w:ind w:left="567" w:hanging="567"/>
      <w:contextualSpacing/>
    </w:pPr>
    <w:rPr>
      <w:rFonts w:eastAsiaTheme="minorHAnsi"/>
      <w:lang w:eastAsia="en-US"/>
    </w:rPr>
  </w:style>
  <w:style w:type="paragraph" w:customStyle="1" w:styleId="Heading2-notshowing">
    <w:name w:val="Heading 2 - not showing"/>
    <w:basedOn w:val="Heading2"/>
    <w:qFormat/>
    <w:rsid w:val="002A619D"/>
    <w:pPr>
      <w:spacing w:after="120"/>
    </w:pPr>
    <w:rPr>
      <w:sz w:val="32"/>
    </w:rPr>
  </w:style>
  <w:style w:type="paragraph" w:customStyle="1" w:styleId="reporttitle">
    <w:name w:val="report title"/>
    <w:basedOn w:val="Normal"/>
    <w:qFormat/>
    <w:rsid w:val="002A619D"/>
    <w:pPr>
      <w:spacing w:after="4080"/>
      <w:jc w:val="center"/>
    </w:pPr>
    <w:rPr>
      <w:sz w:val="44"/>
      <w:szCs w:val="44"/>
    </w:rPr>
  </w:style>
  <w:style w:type="paragraph" w:customStyle="1" w:styleId="monthyearoncover">
    <w:name w:val="month/year on cover"/>
    <w:basedOn w:val="Normal"/>
    <w:qFormat/>
    <w:rsid w:val="002A619D"/>
    <w:pPr>
      <w:spacing w:after="0"/>
      <w:jc w:val="right"/>
    </w:pPr>
    <w:rPr>
      <w:lang w:eastAsia="en-US"/>
    </w:rPr>
  </w:style>
  <w:style w:type="character" w:styleId="CommentReference">
    <w:name w:val="annotation reference"/>
    <w:basedOn w:val="DefaultParagraphFont"/>
    <w:uiPriority w:val="99"/>
    <w:semiHidden/>
    <w:unhideWhenUsed/>
    <w:rsid w:val="001C503E"/>
    <w:rPr>
      <w:sz w:val="16"/>
      <w:szCs w:val="16"/>
    </w:rPr>
  </w:style>
  <w:style w:type="paragraph" w:styleId="CommentText">
    <w:name w:val="annotation text"/>
    <w:basedOn w:val="Normal"/>
    <w:link w:val="CommentTextChar"/>
    <w:uiPriority w:val="99"/>
    <w:unhideWhenUsed/>
    <w:rsid w:val="001C503E"/>
    <w:pPr>
      <w:spacing w:after="160"/>
    </w:pPr>
    <w:rPr>
      <w:rFonts w:eastAsiaTheme="minorHAnsi"/>
      <w:sz w:val="20"/>
      <w:szCs w:val="20"/>
      <w:lang w:eastAsia="en-US"/>
    </w:rPr>
  </w:style>
  <w:style w:type="character" w:customStyle="1" w:styleId="CommentTextChar">
    <w:name w:val="Comment Text Char"/>
    <w:basedOn w:val="DefaultParagraphFont"/>
    <w:link w:val="CommentText"/>
    <w:uiPriority w:val="99"/>
    <w:rsid w:val="001C503E"/>
    <w:rPr>
      <w:sz w:val="20"/>
      <w:szCs w:val="20"/>
    </w:rPr>
  </w:style>
  <w:style w:type="paragraph" w:styleId="BalloonText">
    <w:name w:val="Balloon Text"/>
    <w:basedOn w:val="Normal"/>
    <w:link w:val="BalloonTextChar"/>
    <w:uiPriority w:val="99"/>
    <w:semiHidden/>
    <w:unhideWhenUsed/>
    <w:rsid w:val="001C503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03E"/>
    <w:rPr>
      <w:rFonts w:ascii="Segoe UI" w:eastAsiaTheme="minorEastAsia" w:hAnsi="Segoe UI" w:cs="Segoe UI"/>
      <w:sz w:val="18"/>
      <w:szCs w:val="18"/>
      <w:lang w:eastAsia="zh-TW"/>
    </w:rPr>
  </w:style>
  <w:style w:type="character" w:customStyle="1" w:styleId="Heading4Char">
    <w:name w:val="Heading 4 Char"/>
    <w:basedOn w:val="DefaultParagraphFont"/>
    <w:link w:val="Heading4"/>
    <w:uiPriority w:val="9"/>
    <w:semiHidden/>
    <w:rsid w:val="007F3F21"/>
    <w:rPr>
      <w:rFonts w:asciiTheme="majorHAnsi" w:eastAsiaTheme="majorEastAsia" w:hAnsiTheme="majorHAnsi" w:cstheme="majorBidi"/>
      <w:i/>
      <w:iCs/>
      <w:color w:val="2F5496" w:themeColor="accent1" w:themeShade="BF"/>
      <w:lang w:eastAsia="zh-TW"/>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7F3F21"/>
    <w:pPr>
      <w:spacing w:after="160" w:line="259" w:lineRule="auto"/>
      <w:ind w:left="720"/>
      <w:contextualSpacing/>
    </w:pPr>
    <w:rPr>
      <w:rFonts w:eastAsiaTheme="minorHAnsi"/>
      <w:lang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7F3F21"/>
  </w:style>
  <w:style w:type="paragraph" w:styleId="CommentSubject">
    <w:name w:val="annotation subject"/>
    <w:basedOn w:val="CommentText"/>
    <w:next w:val="CommentText"/>
    <w:link w:val="CommentSubjectChar"/>
    <w:uiPriority w:val="99"/>
    <w:semiHidden/>
    <w:unhideWhenUsed/>
    <w:rsid w:val="005C4587"/>
    <w:pPr>
      <w:spacing w:after="200"/>
    </w:pPr>
    <w:rPr>
      <w:rFonts w:eastAsiaTheme="minorEastAsia"/>
      <w:b/>
      <w:bCs/>
      <w:lang w:eastAsia="zh-TW"/>
    </w:rPr>
  </w:style>
  <w:style w:type="character" w:customStyle="1" w:styleId="CommentSubjectChar">
    <w:name w:val="Comment Subject Char"/>
    <w:basedOn w:val="CommentTextChar"/>
    <w:link w:val="CommentSubject"/>
    <w:uiPriority w:val="99"/>
    <w:semiHidden/>
    <w:rsid w:val="005C4587"/>
    <w:rPr>
      <w:rFonts w:eastAsiaTheme="minorEastAsia"/>
      <w:b/>
      <w:bCs/>
      <w:sz w:val="20"/>
      <w:szCs w:val="20"/>
      <w:lang w:eastAsia="zh-TW"/>
    </w:rPr>
  </w:style>
  <w:style w:type="paragraph" w:customStyle="1" w:styleId="recommendationlisttext">
    <w:name w:val="recommendationlisttext"/>
    <w:basedOn w:val="Normal"/>
    <w:rsid w:val="00AB44D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recommendationlistbullet1">
    <w:name w:val="recommendationlistbullet1"/>
    <w:basedOn w:val="Normal"/>
    <w:rsid w:val="00AB44D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recommendationlisttextcontinued">
    <w:name w:val="recommendationlisttextcontinued"/>
    <w:basedOn w:val="Normal"/>
    <w:rsid w:val="00AB44D9"/>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TableformatChar">
    <w:name w:val="Table format Char"/>
    <w:basedOn w:val="DefaultParagraphFont"/>
    <w:link w:val="Tableformat"/>
    <w:locked/>
    <w:rsid w:val="0090159E"/>
    <w:rPr>
      <w:rFonts w:ascii="Corbel" w:eastAsia="Times New Roman" w:hAnsi="Corbel" w:cs="Arial"/>
      <w:iCs/>
      <w:color w:val="2F5496" w:themeColor="accent1" w:themeShade="BF"/>
      <w:sz w:val="26"/>
      <w:szCs w:val="26"/>
      <w:lang w:val="en-US" w:eastAsia="en-AU"/>
    </w:rPr>
  </w:style>
  <w:style w:type="paragraph" w:customStyle="1" w:styleId="Tableformat">
    <w:name w:val="Table format"/>
    <w:basedOn w:val="Heading2"/>
    <w:link w:val="TableformatChar"/>
    <w:qFormat/>
    <w:rsid w:val="0090159E"/>
    <w:pPr>
      <w:keepNext w:val="0"/>
      <w:spacing w:before="80" w:after="80"/>
    </w:pPr>
    <w:rPr>
      <w:rFonts w:ascii="Corbel" w:eastAsia="Times New Roman" w:hAnsi="Corbel" w:cs="Arial"/>
      <w:b w:val="0"/>
      <w:iCs/>
      <w:color w:val="2F5496" w:themeColor="accent1" w:themeShade="BF"/>
      <w:sz w:val="26"/>
      <w:lang w:val="en-US" w:eastAsia="en-AU"/>
    </w:rPr>
  </w:style>
  <w:style w:type="paragraph" w:styleId="HTMLPreformatted">
    <w:name w:val="HTML Preformatted"/>
    <w:basedOn w:val="Normal"/>
    <w:link w:val="HTMLPreformattedChar"/>
    <w:uiPriority w:val="99"/>
    <w:semiHidden/>
    <w:unhideWhenUsed/>
    <w:rsid w:val="00901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90159E"/>
    <w:rPr>
      <w:rFonts w:ascii="Courier New" w:eastAsia="Times New Roman" w:hAnsi="Courier New" w:cs="Courier New"/>
      <w:sz w:val="20"/>
      <w:szCs w:val="20"/>
      <w:lang w:eastAsia="en-AU"/>
    </w:rPr>
  </w:style>
  <w:style w:type="character" w:styleId="FollowedHyperlink">
    <w:name w:val="FollowedHyperlink"/>
    <w:basedOn w:val="DefaultParagraphFont"/>
    <w:uiPriority w:val="99"/>
    <w:semiHidden/>
    <w:unhideWhenUsed/>
    <w:rsid w:val="00DB3307"/>
    <w:rPr>
      <w:color w:val="954F72" w:themeColor="followedHyperlink"/>
      <w:u w:val="single"/>
    </w:rPr>
  </w:style>
  <w:style w:type="character" w:styleId="UnresolvedMention">
    <w:name w:val="Unresolved Mention"/>
    <w:basedOn w:val="DefaultParagraphFont"/>
    <w:uiPriority w:val="99"/>
    <w:semiHidden/>
    <w:unhideWhenUsed/>
    <w:rsid w:val="00E001E6"/>
    <w:rPr>
      <w:color w:val="605E5C"/>
      <w:shd w:val="clear" w:color="auto" w:fill="E1DFDD"/>
    </w:rPr>
  </w:style>
  <w:style w:type="paragraph" w:styleId="Revision">
    <w:name w:val="Revision"/>
    <w:hidden/>
    <w:uiPriority w:val="99"/>
    <w:semiHidden/>
    <w:rsid w:val="00C14BB2"/>
    <w:pPr>
      <w:spacing w:after="0" w:line="240" w:lineRule="auto"/>
    </w:pPr>
    <w:rPr>
      <w:rFonts w:eastAsiaTheme="minorEastAsia"/>
      <w:lang w:eastAsia="zh-TW"/>
    </w:rPr>
  </w:style>
  <w:style w:type="paragraph" w:styleId="Header">
    <w:name w:val="header"/>
    <w:basedOn w:val="Normal"/>
    <w:link w:val="HeaderChar"/>
    <w:uiPriority w:val="99"/>
    <w:unhideWhenUsed/>
    <w:rsid w:val="006B2CBD"/>
    <w:pPr>
      <w:tabs>
        <w:tab w:val="center" w:pos="4513"/>
        <w:tab w:val="right" w:pos="9026"/>
      </w:tabs>
      <w:spacing w:after="0"/>
    </w:pPr>
  </w:style>
  <w:style w:type="character" w:customStyle="1" w:styleId="HeaderChar">
    <w:name w:val="Header Char"/>
    <w:basedOn w:val="DefaultParagraphFont"/>
    <w:link w:val="Header"/>
    <w:uiPriority w:val="99"/>
    <w:rsid w:val="006B2CBD"/>
    <w:rPr>
      <w:rFonts w:eastAsiaTheme="minorEastAsia"/>
      <w:lang w:eastAsia="zh-TW"/>
    </w:rPr>
  </w:style>
  <w:style w:type="paragraph" w:styleId="Footer">
    <w:name w:val="footer"/>
    <w:basedOn w:val="Normal"/>
    <w:link w:val="FooterChar"/>
    <w:uiPriority w:val="99"/>
    <w:unhideWhenUsed/>
    <w:rsid w:val="006B2CBD"/>
    <w:pPr>
      <w:tabs>
        <w:tab w:val="center" w:pos="4513"/>
        <w:tab w:val="right" w:pos="9026"/>
      </w:tabs>
      <w:spacing w:after="0"/>
    </w:pPr>
  </w:style>
  <w:style w:type="character" w:customStyle="1" w:styleId="FooterChar">
    <w:name w:val="Footer Char"/>
    <w:basedOn w:val="DefaultParagraphFont"/>
    <w:link w:val="Footer"/>
    <w:uiPriority w:val="99"/>
    <w:rsid w:val="006B2CBD"/>
    <w:rPr>
      <w:rFonts w:eastAsiaTheme="minorEastAsia"/>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4186">
      <w:bodyDiv w:val="1"/>
      <w:marLeft w:val="0"/>
      <w:marRight w:val="0"/>
      <w:marTop w:val="0"/>
      <w:marBottom w:val="0"/>
      <w:divBdr>
        <w:top w:val="none" w:sz="0" w:space="0" w:color="auto"/>
        <w:left w:val="none" w:sz="0" w:space="0" w:color="auto"/>
        <w:bottom w:val="none" w:sz="0" w:space="0" w:color="auto"/>
        <w:right w:val="none" w:sz="0" w:space="0" w:color="auto"/>
      </w:divBdr>
    </w:div>
    <w:div w:id="127209820">
      <w:bodyDiv w:val="1"/>
      <w:marLeft w:val="0"/>
      <w:marRight w:val="0"/>
      <w:marTop w:val="0"/>
      <w:marBottom w:val="0"/>
      <w:divBdr>
        <w:top w:val="none" w:sz="0" w:space="0" w:color="auto"/>
        <w:left w:val="none" w:sz="0" w:space="0" w:color="auto"/>
        <w:bottom w:val="none" w:sz="0" w:space="0" w:color="auto"/>
        <w:right w:val="none" w:sz="0" w:space="0" w:color="auto"/>
      </w:divBdr>
    </w:div>
    <w:div w:id="210729672">
      <w:bodyDiv w:val="1"/>
      <w:marLeft w:val="0"/>
      <w:marRight w:val="0"/>
      <w:marTop w:val="0"/>
      <w:marBottom w:val="0"/>
      <w:divBdr>
        <w:top w:val="none" w:sz="0" w:space="0" w:color="auto"/>
        <w:left w:val="none" w:sz="0" w:space="0" w:color="auto"/>
        <w:bottom w:val="none" w:sz="0" w:space="0" w:color="auto"/>
        <w:right w:val="none" w:sz="0" w:space="0" w:color="auto"/>
      </w:divBdr>
    </w:div>
    <w:div w:id="444467579">
      <w:bodyDiv w:val="1"/>
      <w:marLeft w:val="0"/>
      <w:marRight w:val="0"/>
      <w:marTop w:val="0"/>
      <w:marBottom w:val="0"/>
      <w:divBdr>
        <w:top w:val="none" w:sz="0" w:space="0" w:color="auto"/>
        <w:left w:val="none" w:sz="0" w:space="0" w:color="auto"/>
        <w:bottom w:val="none" w:sz="0" w:space="0" w:color="auto"/>
        <w:right w:val="none" w:sz="0" w:space="0" w:color="auto"/>
      </w:divBdr>
    </w:div>
    <w:div w:id="482821775">
      <w:bodyDiv w:val="1"/>
      <w:marLeft w:val="0"/>
      <w:marRight w:val="0"/>
      <w:marTop w:val="0"/>
      <w:marBottom w:val="0"/>
      <w:divBdr>
        <w:top w:val="none" w:sz="0" w:space="0" w:color="auto"/>
        <w:left w:val="none" w:sz="0" w:space="0" w:color="auto"/>
        <w:bottom w:val="none" w:sz="0" w:space="0" w:color="auto"/>
        <w:right w:val="none" w:sz="0" w:space="0" w:color="auto"/>
      </w:divBdr>
    </w:div>
    <w:div w:id="488325238">
      <w:bodyDiv w:val="1"/>
      <w:marLeft w:val="0"/>
      <w:marRight w:val="0"/>
      <w:marTop w:val="0"/>
      <w:marBottom w:val="0"/>
      <w:divBdr>
        <w:top w:val="none" w:sz="0" w:space="0" w:color="auto"/>
        <w:left w:val="none" w:sz="0" w:space="0" w:color="auto"/>
        <w:bottom w:val="none" w:sz="0" w:space="0" w:color="auto"/>
        <w:right w:val="none" w:sz="0" w:space="0" w:color="auto"/>
      </w:divBdr>
    </w:div>
    <w:div w:id="519971848">
      <w:bodyDiv w:val="1"/>
      <w:marLeft w:val="0"/>
      <w:marRight w:val="0"/>
      <w:marTop w:val="0"/>
      <w:marBottom w:val="0"/>
      <w:divBdr>
        <w:top w:val="none" w:sz="0" w:space="0" w:color="auto"/>
        <w:left w:val="none" w:sz="0" w:space="0" w:color="auto"/>
        <w:bottom w:val="none" w:sz="0" w:space="0" w:color="auto"/>
        <w:right w:val="none" w:sz="0" w:space="0" w:color="auto"/>
      </w:divBdr>
    </w:div>
    <w:div w:id="694691468">
      <w:bodyDiv w:val="1"/>
      <w:marLeft w:val="0"/>
      <w:marRight w:val="0"/>
      <w:marTop w:val="0"/>
      <w:marBottom w:val="0"/>
      <w:divBdr>
        <w:top w:val="none" w:sz="0" w:space="0" w:color="auto"/>
        <w:left w:val="none" w:sz="0" w:space="0" w:color="auto"/>
        <w:bottom w:val="none" w:sz="0" w:space="0" w:color="auto"/>
        <w:right w:val="none" w:sz="0" w:space="0" w:color="auto"/>
      </w:divBdr>
    </w:div>
    <w:div w:id="722605819">
      <w:bodyDiv w:val="1"/>
      <w:marLeft w:val="0"/>
      <w:marRight w:val="0"/>
      <w:marTop w:val="0"/>
      <w:marBottom w:val="0"/>
      <w:divBdr>
        <w:top w:val="none" w:sz="0" w:space="0" w:color="auto"/>
        <w:left w:val="none" w:sz="0" w:space="0" w:color="auto"/>
        <w:bottom w:val="none" w:sz="0" w:space="0" w:color="auto"/>
        <w:right w:val="none" w:sz="0" w:space="0" w:color="auto"/>
      </w:divBdr>
    </w:div>
    <w:div w:id="761990676">
      <w:bodyDiv w:val="1"/>
      <w:marLeft w:val="0"/>
      <w:marRight w:val="0"/>
      <w:marTop w:val="0"/>
      <w:marBottom w:val="0"/>
      <w:divBdr>
        <w:top w:val="none" w:sz="0" w:space="0" w:color="auto"/>
        <w:left w:val="none" w:sz="0" w:space="0" w:color="auto"/>
        <w:bottom w:val="none" w:sz="0" w:space="0" w:color="auto"/>
        <w:right w:val="none" w:sz="0" w:space="0" w:color="auto"/>
      </w:divBdr>
    </w:div>
    <w:div w:id="762411133">
      <w:bodyDiv w:val="1"/>
      <w:marLeft w:val="0"/>
      <w:marRight w:val="0"/>
      <w:marTop w:val="0"/>
      <w:marBottom w:val="0"/>
      <w:divBdr>
        <w:top w:val="none" w:sz="0" w:space="0" w:color="auto"/>
        <w:left w:val="none" w:sz="0" w:space="0" w:color="auto"/>
        <w:bottom w:val="none" w:sz="0" w:space="0" w:color="auto"/>
        <w:right w:val="none" w:sz="0" w:space="0" w:color="auto"/>
      </w:divBdr>
    </w:div>
    <w:div w:id="836043952">
      <w:bodyDiv w:val="1"/>
      <w:marLeft w:val="0"/>
      <w:marRight w:val="0"/>
      <w:marTop w:val="0"/>
      <w:marBottom w:val="0"/>
      <w:divBdr>
        <w:top w:val="none" w:sz="0" w:space="0" w:color="auto"/>
        <w:left w:val="none" w:sz="0" w:space="0" w:color="auto"/>
        <w:bottom w:val="none" w:sz="0" w:space="0" w:color="auto"/>
        <w:right w:val="none" w:sz="0" w:space="0" w:color="auto"/>
      </w:divBdr>
    </w:div>
    <w:div w:id="1114445674">
      <w:bodyDiv w:val="1"/>
      <w:marLeft w:val="0"/>
      <w:marRight w:val="0"/>
      <w:marTop w:val="0"/>
      <w:marBottom w:val="0"/>
      <w:divBdr>
        <w:top w:val="none" w:sz="0" w:space="0" w:color="auto"/>
        <w:left w:val="none" w:sz="0" w:space="0" w:color="auto"/>
        <w:bottom w:val="none" w:sz="0" w:space="0" w:color="auto"/>
        <w:right w:val="none" w:sz="0" w:space="0" w:color="auto"/>
      </w:divBdr>
    </w:div>
    <w:div w:id="1146164478">
      <w:bodyDiv w:val="1"/>
      <w:marLeft w:val="0"/>
      <w:marRight w:val="0"/>
      <w:marTop w:val="0"/>
      <w:marBottom w:val="0"/>
      <w:divBdr>
        <w:top w:val="none" w:sz="0" w:space="0" w:color="auto"/>
        <w:left w:val="none" w:sz="0" w:space="0" w:color="auto"/>
        <w:bottom w:val="none" w:sz="0" w:space="0" w:color="auto"/>
        <w:right w:val="none" w:sz="0" w:space="0" w:color="auto"/>
      </w:divBdr>
    </w:div>
    <w:div w:id="1173300868">
      <w:bodyDiv w:val="1"/>
      <w:marLeft w:val="0"/>
      <w:marRight w:val="0"/>
      <w:marTop w:val="0"/>
      <w:marBottom w:val="0"/>
      <w:divBdr>
        <w:top w:val="none" w:sz="0" w:space="0" w:color="auto"/>
        <w:left w:val="none" w:sz="0" w:space="0" w:color="auto"/>
        <w:bottom w:val="none" w:sz="0" w:space="0" w:color="auto"/>
        <w:right w:val="none" w:sz="0" w:space="0" w:color="auto"/>
      </w:divBdr>
    </w:div>
    <w:div w:id="1345786414">
      <w:bodyDiv w:val="1"/>
      <w:marLeft w:val="0"/>
      <w:marRight w:val="0"/>
      <w:marTop w:val="0"/>
      <w:marBottom w:val="0"/>
      <w:divBdr>
        <w:top w:val="none" w:sz="0" w:space="0" w:color="auto"/>
        <w:left w:val="none" w:sz="0" w:space="0" w:color="auto"/>
        <w:bottom w:val="none" w:sz="0" w:space="0" w:color="auto"/>
        <w:right w:val="none" w:sz="0" w:space="0" w:color="auto"/>
      </w:divBdr>
    </w:div>
    <w:div w:id="1539734722">
      <w:bodyDiv w:val="1"/>
      <w:marLeft w:val="0"/>
      <w:marRight w:val="0"/>
      <w:marTop w:val="0"/>
      <w:marBottom w:val="0"/>
      <w:divBdr>
        <w:top w:val="none" w:sz="0" w:space="0" w:color="auto"/>
        <w:left w:val="none" w:sz="0" w:space="0" w:color="auto"/>
        <w:bottom w:val="none" w:sz="0" w:space="0" w:color="auto"/>
        <w:right w:val="none" w:sz="0" w:space="0" w:color="auto"/>
      </w:divBdr>
    </w:div>
    <w:div w:id="1553158232">
      <w:bodyDiv w:val="1"/>
      <w:marLeft w:val="0"/>
      <w:marRight w:val="0"/>
      <w:marTop w:val="0"/>
      <w:marBottom w:val="0"/>
      <w:divBdr>
        <w:top w:val="none" w:sz="0" w:space="0" w:color="auto"/>
        <w:left w:val="none" w:sz="0" w:space="0" w:color="auto"/>
        <w:bottom w:val="none" w:sz="0" w:space="0" w:color="auto"/>
        <w:right w:val="none" w:sz="0" w:space="0" w:color="auto"/>
      </w:divBdr>
    </w:div>
    <w:div w:id="1586651205">
      <w:bodyDiv w:val="1"/>
      <w:marLeft w:val="0"/>
      <w:marRight w:val="0"/>
      <w:marTop w:val="0"/>
      <w:marBottom w:val="0"/>
      <w:divBdr>
        <w:top w:val="none" w:sz="0" w:space="0" w:color="auto"/>
        <w:left w:val="none" w:sz="0" w:space="0" w:color="auto"/>
        <w:bottom w:val="none" w:sz="0" w:space="0" w:color="auto"/>
        <w:right w:val="none" w:sz="0" w:space="0" w:color="auto"/>
      </w:divBdr>
    </w:div>
    <w:div w:id="1651520459">
      <w:bodyDiv w:val="1"/>
      <w:marLeft w:val="0"/>
      <w:marRight w:val="0"/>
      <w:marTop w:val="0"/>
      <w:marBottom w:val="0"/>
      <w:divBdr>
        <w:top w:val="none" w:sz="0" w:space="0" w:color="auto"/>
        <w:left w:val="none" w:sz="0" w:space="0" w:color="auto"/>
        <w:bottom w:val="none" w:sz="0" w:space="0" w:color="auto"/>
        <w:right w:val="none" w:sz="0" w:space="0" w:color="auto"/>
      </w:divBdr>
    </w:div>
    <w:div w:id="1736320630">
      <w:bodyDiv w:val="1"/>
      <w:marLeft w:val="0"/>
      <w:marRight w:val="0"/>
      <w:marTop w:val="0"/>
      <w:marBottom w:val="0"/>
      <w:divBdr>
        <w:top w:val="none" w:sz="0" w:space="0" w:color="auto"/>
        <w:left w:val="none" w:sz="0" w:space="0" w:color="auto"/>
        <w:bottom w:val="none" w:sz="0" w:space="0" w:color="auto"/>
        <w:right w:val="none" w:sz="0" w:space="0" w:color="auto"/>
      </w:divBdr>
    </w:div>
    <w:div w:id="1756200785">
      <w:bodyDiv w:val="1"/>
      <w:marLeft w:val="0"/>
      <w:marRight w:val="0"/>
      <w:marTop w:val="0"/>
      <w:marBottom w:val="0"/>
      <w:divBdr>
        <w:top w:val="none" w:sz="0" w:space="0" w:color="auto"/>
        <w:left w:val="none" w:sz="0" w:space="0" w:color="auto"/>
        <w:bottom w:val="none" w:sz="0" w:space="0" w:color="auto"/>
        <w:right w:val="none" w:sz="0" w:space="0" w:color="auto"/>
      </w:divBdr>
    </w:div>
    <w:div w:id="1792434393">
      <w:bodyDiv w:val="1"/>
      <w:marLeft w:val="0"/>
      <w:marRight w:val="0"/>
      <w:marTop w:val="0"/>
      <w:marBottom w:val="0"/>
      <w:divBdr>
        <w:top w:val="none" w:sz="0" w:space="0" w:color="auto"/>
        <w:left w:val="none" w:sz="0" w:space="0" w:color="auto"/>
        <w:bottom w:val="none" w:sz="0" w:space="0" w:color="auto"/>
        <w:right w:val="none" w:sz="0" w:space="0" w:color="auto"/>
      </w:divBdr>
    </w:div>
    <w:div w:id="1819179280">
      <w:bodyDiv w:val="1"/>
      <w:marLeft w:val="0"/>
      <w:marRight w:val="0"/>
      <w:marTop w:val="0"/>
      <w:marBottom w:val="0"/>
      <w:divBdr>
        <w:top w:val="none" w:sz="0" w:space="0" w:color="auto"/>
        <w:left w:val="none" w:sz="0" w:space="0" w:color="auto"/>
        <w:bottom w:val="none" w:sz="0" w:space="0" w:color="auto"/>
        <w:right w:val="none" w:sz="0" w:space="0" w:color="auto"/>
      </w:divBdr>
    </w:div>
    <w:div w:id="1858618856">
      <w:bodyDiv w:val="1"/>
      <w:marLeft w:val="0"/>
      <w:marRight w:val="0"/>
      <w:marTop w:val="0"/>
      <w:marBottom w:val="0"/>
      <w:divBdr>
        <w:top w:val="none" w:sz="0" w:space="0" w:color="auto"/>
        <w:left w:val="none" w:sz="0" w:space="0" w:color="auto"/>
        <w:bottom w:val="none" w:sz="0" w:space="0" w:color="auto"/>
        <w:right w:val="none" w:sz="0" w:space="0" w:color="auto"/>
      </w:divBdr>
    </w:div>
    <w:div w:id="1991400987">
      <w:bodyDiv w:val="1"/>
      <w:marLeft w:val="0"/>
      <w:marRight w:val="0"/>
      <w:marTop w:val="0"/>
      <w:marBottom w:val="0"/>
      <w:divBdr>
        <w:top w:val="none" w:sz="0" w:space="0" w:color="auto"/>
        <w:left w:val="none" w:sz="0" w:space="0" w:color="auto"/>
        <w:bottom w:val="none" w:sz="0" w:space="0" w:color="auto"/>
        <w:right w:val="none" w:sz="0" w:space="0" w:color="auto"/>
      </w:divBdr>
    </w:div>
    <w:div w:id="207758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infrastructure.gov.au/department/media/publications/infrastructure-policy-statement" TargetMode="External"/><Relationship Id="rId26" Type="http://schemas.openxmlformats.org/officeDocument/2006/relationships/hyperlink" Target="https://www.infrastructureaustralia.gov.au/sites/default/files/2021-08/Advisory%20Paper%202%20-%20A%20pathway%20to%20Infrastructure%20Resilience%20FINAL.pdf" TargetMode="External"/><Relationship Id="rId21" Type="http://schemas.openxmlformats.org/officeDocument/2006/relationships/hyperlink" Target="https://austroads.gov.au/publications/asset-management/ap-r716-24" TargetMode="External"/><Relationship Id="rId34" Type="http://schemas.openxmlformats.org/officeDocument/2006/relationships/hyperlink" Target="https://www.infrastructureaustralia.gov.au/reports/embodied-carbon-projections-australian-infrastructure-and-building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research.csiro.au/aqfx/" TargetMode="External"/><Relationship Id="rId25" Type="http://schemas.openxmlformats.org/officeDocument/2006/relationships/hyperlink" Target="https://www.infrastructureaustralia.gov.au/sites/default/files/2021-08/Advisory%20Paper%201%20-%20A%20pathway%20to%20Infrastructure%20Resilience%20FINAL.pdf" TargetMode="External"/><Relationship Id="rId33" Type="http://schemas.openxmlformats.org/officeDocument/2006/relationships/hyperlink" Target="https://www.infrastructureaustralia.gov.au/publications/2022-replacement-materials-repor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search.csiro.au/nbic/" TargetMode="External"/><Relationship Id="rId20" Type="http://schemas.openxmlformats.org/officeDocument/2006/relationships/hyperlink" Target="https://austroads.gov.au/publications/environment/ap-715-24" TargetMode="External"/><Relationship Id="rId29" Type="http://schemas.openxmlformats.org/officeDocument/2006/relationships/hyperlink" Target="https://www.tyrestewardship.org.au/proj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ustroads.gov.au/projects/project?id=ESC6516" TargetMode="External"/><Relationship Id="rId32" Type="http://schemas.openxmlformats.org/officeDocument/2006/relationships/hyperlink" Target="https://www.infrastructureaustralia.gov.au/sites/default/files/2024-03/24IA_Greenhouse-Gas-Emissions.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austroads.gov.au/projects/project?id=ESC6517" TargetMode="External"/><Relationship Id="rId28" Type="http://schemas.openxmlformats.org/officeDocument/2006/relationships/hyperlink" Target="https://www.nema.gov.au/about-us/governance-and-reporting/reviews/independent-review-of-commonwealth-disaster-funding" TargetMode="External"/><Relationship Id="rId36" Type="http://schemas.openxmlformats.org/officeDocument/2006/relationships/hyperlink" Target="https://www.aph.gov.au/Parliamentary_Business/Committees/Senate/Impact_of_Climate_Risk_on_Insurance/ClimateRiskonInsurance/Report" TargetMode="External"/><Relationship Id="rId10" Type="http://schemas.openxmlformats.org/officeDocument/2006/relationships/header" Target="header2.xml"/><Relationship Id="rId19" Type="http://schemas.openxmlformats.org/officeDocument/2006/relationships/hyperlink" Target="https://federalfinancialrelations.gov.au/agreements/land-transport-infrastructure-projects-2024-2029" TargetMode="External"/><Relationship Id="rId31" Type="http://schemas.openxmlformats.org/officeDocument/2006/relationships/hyperlink" Target="https://www.infrastructureaustralia.gov.au/reports/embodied-carbon-projections-australian-infrastructure-and-building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austroads.gov.au/projects/project?id=ESC6518" TargetMode="External"/><Relationship Id="rId27" Type="http://schemas.openxmlformats.org/officeDocument/2006/relationships/hyperlink" Target="https://www.nema.gov.au/about-us/governance-and-reporting/reviews/independent-review-of-commonwealth-disaster-funding" TargetMode="External"/><Relationship Id="rId30" Type="http://schemas.openxmlformats.org/officeDocument/2006/relationships/hyperlink" Target="https://www.freightaustralia.gov.au/sites/default/files/documents/national-freight-supply-chain-strategy-2025.pdf" TargetMode="External"/><Relationship Id="rId35" Type="http://schemas.openxmlformats.org/officeDocument/2006/relationships/hyperlink" Target="https://www.aph.gov.au/Parliamentary_Business/Committees/House/Economics/FloodInsuranceInquiry/Report"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E856B-0D2D-42A1-B901-9F1968BD6030}">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33</Pages>
  <Words>7965</Words>
  <Characters>49855</Characters>
  <Application>Microsoft Office Word</Application>
  <DocSecurity>0</DocSecurity>
  <Lines>809</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2026-03-04T22:20:00Z</dcterms:created>
  <dcterms:modified xsi:type="dcterms:W3CDTF">2026-03-04T23:28:00Z</dcterms:modified>
</cp:coreProperties>
</file>