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D424" w14:textId="0821EAAF" w:rsidR="003146BC" w:rsidRDefault="00A310A3" w:rsidP="003146BC">
      <w:pPr>
        <w:spacing w:before="360"/>
        <w:jc w:val="center"/>
      </w:pPr>
      <w:r>
        <w:rPr>
          <w:rFonts w:cs="Times New Roman"/>
          <w:b/>
          <w:noProof/>
          <w:szCs w:val="24"/>
          <w:lang w:eastAsia="en-AU"/>
        </w:rPr>
        <w:drawing>
          <wp:inline distT="0" distB="0" distL="0" distR="0" wp14:anchorId="3276337B" wp14:editId="774DBC50">
            <wp:extent cx="2991658"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013680" cy="1669550"/>
                    </a:xfrm>
                    <a:prstGeom prst="rect">
                      <a:avLst/>
                    </a:prstGeom>
                    <a:noFill/>
                    <a:ln>
                      <a:noFill/>
                    </a:ln>
                  </pic:spPr>
                </pic:pic>
              </a:graphicData>
            </a:graphic>
          </wp:inline>
        </w:drawing>
      </w:r>
    </w:p>
    <w:p w14:paraId="4D392EB0" w14:textId="7FF342FB" w:rsidR="003146BC" w:rsidRPr="00E32CAA" w:rsidRDefault="003146BC" w:rsidP="00C356F3">
      <w:pPr>
        <w:spacing w:before="600" w:after="600" w:line="240" w:lineRule="auto"/>
        <w:jc w:val="center"/>
        <w:rPr>
          <w:rFonts w:cstheme="minorHAnsi"/>
          <w:sz w:val="36"/>
          <w:szCs w:val="36"/>
        </w:rPr>
      </w:pPr>
      <w:r w:rsidRPr="00E32CAA">
        <w:rPr>
          <w:rFonts w:cstheme="minorHAnsi"/>
          <w:sz w:val="36"/>
          <w:szCs w:val="36"/>
        </w:rPr>
        <w:t xml:space="preserve">Australian Government response to the </w:t>
      </w:r>
      <w:r w:rsidRPr="00E32CAA">
        <w:rPr>
          <w:rFonts w:cstheme="minorHAnsi"/>
          <w:sz w:val="36"/>
          <w:szCs w:val="36"/>
        </w:rPr>
        <w:br/>
      </w:r>
      <w:r w:rsidR="00E32CAA" w:rsidRPr="00E32CAA">
        <w:rPr>
          <w:rFonts w:cstheme="minorHAnsi"/>
          <w:sz w:val="36"/>
          <w:szCs w:val="36"/>
        </w:rPr>
        <w:t xml:space="preserve">Rural and Regional Affairs and Transport References Committee </w:t>
      </w:r>
      <w:r w:rsidRPr="00E32CAA">
        <w:rPr>
          <w:rFonts w:cstheme="minorHAnsi"/>
          <w:sz w:val="36"/>
          <w:szCs w:val="36"/>
        </w:rPr>
        <w:t>report</w:t>
      </w:r>
      <w:r w:rsidR="001368B1">
        <w:rPr>
          <w:rFonts w:cstheme="minorHAnsi"/>
          <w:sz w:val="36"/>
          <w:szCs w:val="36"/>
        </w:rPr>
        <w:t>s</w:t>
      </w:r>
      <w:r w:rsidRPr="00E32CAA">
        <w:rPr>
          <w:rFonts w:cstheme="minorHAnsi"/>
          <w:sz w:val="36"/>
          <w:szCs w:val="36"/>
        </w:rPr>
        <w:t>:</w:t>
      </w:r>
    </w:p>
    <w:p w14:paraId="603F17EE" w14:textId="31B01114" w:rsidR="00C30D16" w:rsidRPr="00340ABF" w:rsidRDefault="00C30D16" w:rsidP="00C356F3">
      <w:pPr>
        <w:spacing w:before="240" w:after="600"/>
        <w:jc w:val="center"/>
        <w:rPr>
          <w:rFonts w:cstheme="minorHAnsi"/>
          <w:iCs/>
          <w:sz w:val="36"/>
          <w:szCs w:val="36"/>
        </w:rPr>
      </w:pPr>
      <w:r w:rsidRPr="00340ABF">
        <w:rPr>
          <w:rFonts w:cstheme="minorHAnsi"/>
          <w:iCs/>
          <w:sz w:val="36"/>
          <w:szCs w:val="36"/>
        </w:rPr>
        <w:t xml:space="preserve">Australia’s preparedness to host </w:t>
      </w:r>
      <w:r w:rsidR="00C356F3" w:rsidRPr="00340ABF">
        <w:rPr>
          <w:rFonts w:cstheme="minorHAnsi"/>
          <w:iCs/>
          <w:sz w:val="36"/>
          <w:szCs w:val="36"/>
        </w:rPr>
        <w:t xml:space="preserve">the </w:t>
      </w:r>
      <w:r w:rsidRPr="00340ABF">
        <w:rPr>
          <w:rFonts w:cstheme="minorHAnsi"/>
          <w:iCs/>
          <w:sz w:val="36"/>
          <w:szCs w:val="36"/>
        </w:rPr>
        <w:t>Commonwealth, Olympic and Paralympic Games</w:t>
      </w:r>
    </w:p>
    <w:p w14:paraId="6F85F5ED" w14:textId="203B7380" w:rsidR="00C30D16" w:rsidRPr="00C356F3" w:rsidRDefault="00C30D16" w:rsidP="00C30D16">
      <w:pPr>
        <w:spacing w:before="240"/>
        <w:jc w:val="center"/>
        <w:rPr>
          <w:rFonts w:cstheme="minorHAnsi"/>
          <w:iCs/>
          <w:sz w:val="28"/>
          <w:szCs w:val="28"/>
        </w:rPr>
      </w:pPr>
      <w:r w:rsidRPr="00C356F3">
        <w:rPr>
          <w:rFonts w:cstheme="minorHAnsi"/>
          <w:iCs/>
          <w:sz w:val="28"/>
          <w:szCs w:val="28"/>
        </w:rPr>
        <w:t>Interim Report</w:t>
      </w:r>
      <w:r w:rsidR="005A533E" w:rsidRPr="00C356F3">
        <w:rPr>
          <w:rFonts w:cstheme="minorHAnsi"/>
          <w:iCs/>
          <w:sz w:val="28"/>
          <w:szCs w:val="28"/>
        </w:rPr>
        <w:t xml:space="preserve"> (September 2023)</w:t>
      </w:r>
    </w:p>
    <w:p w14:paraId="73FB886A" w14:textId="5519E7DF" w:rsidR="00E32CAA" w:rsidRPr="00C356F3" w:rsidRDefault="001368B1" w:rsidP="00E32CAA">
      <w:pPr>
        <w:spacing w:before="240"/>
        <w:jc w:val="center"/>
        <w:rPr>
          <w:rFonts w:cstheme="minorHAnsi"/>
          <w:iCs/>
          <w:sz w:val="28"/>
          <w:szCs w:val="28"/>
        </w:rPr>
      </w:pPr>
      <w:r w:rsidRPr="00C356F3">
        <w:rPr>
          <w:rFonts w:cstheme="minorHAnsi"/>
          <w:iCs/>
          <w:sz w:val="28"/>
          <w:szCs w:val="28"/>
        </w:rPr>
        <w:t xml:space="preserve">Second </w:t>
      </w:r>
      <w:r w:rsidR="00E32CAA" w:rsidRPr="00C356F3">
        <w:rPr>
          <w:rFonts w:cstheme="minorHAnsi"/>
          <w:iCs/>
          <w:sz w:val="28"/>
          <w:szCs w:val="28"/>
        </w:rPr>
        <w:t>Interim Report</w:t>
      </w:r>
      <w:r w:rsidR="005A533E" w:rsidRPr="00C356F3">
        <w:rPr>
          <w:rFonts w:cstheme="minorHAnsi"/>
          <w:iCs/>
          <w:sz w:val="28"/>
          <w:szCs w:val="28"/>
        </w:rPr>
        <w:t xml:space="preserve"> (December 2023)</w:t>
      </w:r>
    </w:p>
    <w:p w14:paraId="2DC54B8F" w14:textId="092E7714" w:rsidR="00CA3BA0" w:rsidRPr="00C356F3" w:rsidRDefault="005A533E" w:rsidP="00E32CAA">
      <w:pPr>
        <w:spacing w:before="240"/>
        <w:jc w:val="center"/>
        <w:rPr>
          <w:rFonts w:cstheme="minorHAnsi"/>
          <w:iCs/>
          <w:sz w:val="28"/>
          <w:szCs w:val="28"/>
        </w:rPr>
      </w:pPr>
      <w:r w:rsidRPr="00C356F3">
        <w:rPr>
          <w:rFonts w:cstheme="minorHAnsi"/>
          <w:iCs/>
          <w:sz w:val="28"/>
          <w:szCs w:val="28"/>
        </w:rPr>
        <w:t>a</w:t>
      </w:r>
      <w:r w:rsidR="00CA3BA0" w:rsidRPr="00C356F3">
        <w:rPr>
          <w:rFonts w:cstheme="minorHAnsi"/>
          <w:iCs/>
          <w:sz w:val="28"/>
          <w:szCs w:val="28"/>
        </w:rPr>
        <w:t>nd</w:t>
      </w:r>
    </w:p>
    <w:p w14:paraId="66560693" w14:textId="4274F5AF" w:rsidR="00CA3BA0" w:rsidRPr="00C356F3" w:rsidRDefault="00CA3BA0" w:rsidP="00CA3BA0">
      <w:pPr>
        <w:spacing w:before="240"/>
        <w:jc w:val="center"/>
        <w:rPr>
          <w:rFonts w:cstheme="minorHAnsi"/>
          <w:iCs/>
          <w:sz w:val="28"/>
          <w:szCs w:val="28"/>
        </w:rPr>
      </w:pPr>
      <w:r w:rsidRPr="00C356F3">
        <w:rPr>
          <w:rFonts w:cstheme="minorHAnsi"/>
          <w:iCs/>
          <w:sz w:val="28"/>
          <w:szCs w:val="28"/>
        </w:rPr>
        <w:t>Final Report</w:t>
      </w:r>
      <w:r w:rsidR="00A43ACA" w:rsidRPr="00C356F3">
        <w:rPr>
          <w:rFonts w:cstheme="minorHAnsi"/>
          <w:iCs/>
          <w:sz w:val="28"/>
          <w:szCs w:val="28"/>
        </w:rPr>
        <w:t xml:space="preserve"> (April 2025)</w:t>
      </w:r>
    </w:p>
    <w:p w14:paraId="3368AB91" w14:textId="020D61AA" w:rsidR="003146BC" w:rsidRDefault="003146BC" w:rsidP="00E32CAA">
      <w:pPr>
        <w:spacing w:before="240"/>
        <w:jc w:val="right"/>
        <w:sectPr w:rsidR="003146BC" w:rsidSect="00EF3D0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709" w:left="1418" w:header="709" w:footer="584" w:gutter="0"/>
          <w:cols w:space="708"/>
          <w:titlePg/>
          <w:docGrid w:linePitch="360"/>
        </w:sectPr>
      </w:pPr>
      <w:r>
        <w:br w:type="page"/>
      </w:r>
    </w:p>
    <w:p w14:paraId="10F13E20" w14:textId="77777777" w:rsidR="00C053AA" w:rsidRPr="00DE1F06" w:rsidRDefault="00C053AA" w:rsidP="001B4770">
      <w:pPr>
        <w:spacing w:after="120" w:line="240" w:lineRule="auto"/>
        <w:rPr>
          <w:rFonts w:cstheme="minorHAnsi"/>
          <w:b/>
          <w:szCs w:val="24"/>
        </w:rPr>
      </w:pPr>
      <w:r w:rsidRPr="00DE1F06">
        <w:rPr>
          <w:rFonts w:cstheme="minorHAnsi"/>
          <w:b/>
          <w:szCs w:val="24"/>
        </w:rPr>
        <w:lastRenderedPageBreak/>
        <w:t>Introduction</w:t>
      </w:r>
    </w:p>
    <w:p w14:paraId="1E29D6CF" w14:textId="593D25B1" w:rsidR="00C053AA" w:rsidRDefault="00190258" w:rsidP="001B4770">
      <w:pPr>
        <w:spacing w:after="120" w:line="240" w:lineRule="auto"/>
        <w:rPr>
          <w:rFonts w:cstheme="minorHAnsi"/>
          <w:iCs/>
          <w:szCs w:val="24"/>
        </w:rPr>
      </w:pPr>
      <w:r>
        <w:rPr>
          <w:rFonts w:cstheme="minorHAnsi"/>
          <w:iCs/>
          <w:szCs w:val="24"/>
        </w:rPr>
        <w:t>The Australian Government</w:t>
      </w:r>
      <w:r w:rsidR="00945477">
        <w:rPr>
          <w:rFonts w:cstheme="minorHAnsi"/>
          <w:iCs/>
          <w:szCs w:val="24"/>
        </w:rPr>
        <w:t xml:space="preserve"> (the </w:t>
      </w:r>
      <w:r w:rsidR="00054002">
        <w:rPr>
          <w:rFonts w:cstheme="minorHAnsi"/>
          <w:iCs/>
          <w:szCs w:val="24"/>
        </w:rPr>
        <w:t>G</w:t>
      </w:r>
      <w:r w:rsidR="00945477">
        <w:rPr>
          <w:rFonts w:cstheme="minorHAnsi"/>
          <w:iCs/>
          <w:szCs w:val="24"/>
        </w:rPr>
        <w:t>overnment)</w:t>
      </w:r>
      <w:r>
        <w:rPr>
          <w:rFonts w:cstheme="minorHAnsi"/>
          <w:iCs/>
          <w:szCs w:val="24"/>
        </w:rPr>
        <w:t xml:space="preserve"> is providing a response to the Senate </w:t>
      </w:r>
      <w:r w:rsidR="00837269" w:rsidRPr="00DE1F06">
        <w:rPr>
          <w:rFonts w:cstheme="minorHAnsi"/>
          <w:iCs/>
          <w:szCs w:val="24"/>
        </w:rPr>
        <w:t>Rural and Regional Affairs and Transport References Committee</w:t>
      </w:r>
      <w:r>
        <w:rPr>
          <w:rFonts w:cstheme="minorHAnsi"/>
          <w:iCs/>
          <w:szCs w:val="24"/>
        </w:rPr>
        <w:t>’s</w:t>
      </w:r>
      <w:r w:rsidR="00890A6A">
        <w:rPr>
          <w:rFonts w:cstheme="minorHAnsi"/>
          <w:iCs/>
          <w:szCs w:val="24"/>
        </w:rPr>
        <w:t xml:space="preserve"> (the </w:t>
      </w:r>
      <w:r w:rsidR="00711E38">
        <w:rPr>
          <w:rFonts w:cstheme="minorHAnsi"/>
          <w:iCs/>
          <w:szCs w:val="24"/>
        </w:rPr>
        <w:t>C</w:t>
      </w:r>
      <w:r w:rsidR="00890A6A">
        <w:rPr>
          <w:rFonts w:cstheme="minorHAnsi"/>
          <w:iCs/>
          <w:szCs w:val="24"/>
        </w:rPr>
        <w:t xml:space="preserve">ommittee) </w:t>
      </w:r>
      <w:r w:rsidR="005F71AA">
        <w:rPr>
          <w:rFonts w:cstheme="minorHAnsi"/>
          <w:iCs/>
          <w:szCs w:val="24"/>
        </w:rPr>
        <w:t>interim, second interim and final report</w:t>
      </w:r>
      <w:r w:rsidR="00EE3E42">
        <w:rPr>
          <w:rFonts w:cstheme="minorHAnsi"/>
          <w:iCs/>
          <w:szCs w:val="24"/>
        </w:rPr>
        <w:t>s</w:t>
      </w:r>
      <w:r w:rsidR="005F71AA">
        <w:rPr>
          <w:rFonts w:cstheme="minorHAnsi"/>
          <w:iCs/>
          <w:szCs w:val="24"/>
        </w:rPr>
        <w:t xml:space="preserve"> of the inquiry into </w:t>
      </w:r>
      <w:r w:rsidR="005F71AA" w:rsidRPr="005F71AA">
        <w:rPr>
          <w:rFonts w:cstheme="minorHAnsi"/>
          <w:i/>
          <w:szCs w:val="24"/>
        </w:rPr>
        <w:t>Australia’s preparedness to host the Commonwealth, Olympic and Paralympic Games</w:t>
      </w:r>
      <w:r w:rsidR="005F71AA">
        <w:rPr>
          <w:rFonts w:cstheme="minorHAnsi"/>
          <w:iCs/>
          <w:szCs w:val="24"/>
        </w:rPr>
        <w:t>.</w:t>
      </w:r>
    </w:p>
    <w:p w14:paraId="134D3212" w14:textId="093D5956" w:rsidR="007A001E" w:rsidRDefault="0044003E" w:rsidP="001B4770">
      <w:pPr>
        <w:spacing w:after="120" w:line="240" w:lineRule="auto"/>
        <w:rPr>
          <w:rFonts w:cstheme="minorHAnsi"/>
          <w:iCs/>
          <w:szCs w:val="24"/>
        </w:rPr>
      </w:pPr>
      <w:r>
        <w:rPr>
          <w:rFonts w:cstheme="minorHAnsi"/>
          <w:iCs/>
          <w:szCs w:val="24"/>
        </w:rPr>
        <w:t xml:space="preserve">On 30 March 2023, the Senate referred the matter to the </w:t>
      </w:r>
      <w:r w:rsidR="00711E38">
        <w:rPr>
          <w:rFonts w:cstheme="minorHAnsi"/>
          <w:iCs/>
          <w:szCs w:val="24"/>
        </w:rPr>
        <w:t>C</w:t>
      </w:r>
      <w:r>
        <w:rPr>
          <w:rFonts w:cstheme="minorHAnsi"/>
          <w:iCs/>
          <w:szCs w:val="24"/>
        </w:rPr>
        <w:t>ommittee for inqui</w:t>
      </w:r>
      <w:r w:rsidR="00681962">
        <w:rPr>
          <w:rFonts w:cstheme="minorHAnsi"/>
          <w:iCs/>
          <w:szCs w:val="24"/>
        </w:rPr>
        <w:t xml:space="preserve">ry and report by 1 September 2023. The </w:t>
      </w:r>
      <w:r w:rsidR="00613EFF">
        <w:rPr>
          <w:rFonts w:cstheme="minorHAnsi"/>
          <w:iCs/>
          <w:szCs w:val="24"/>
        </w:rPr>
        <w:t>C</w:t>
      </w:r>
      <w:r w:rsidR="00681962">
        <w:rPr>
          <w:rFonts w:cstheme="minorHAnsi"/>
          <w:iCs/>
          <w:szCs w:val="24"/>
        </w:rPr>
        <w:t xml:space="preserve">ommittee’s inquiry was </w:t>
      </w:r>
      <w:r w:rsidR="00806DC5">
        <w:rPr>
          <w:rFonts w:cstheme="minorHAnsi"/>
          <w:iCs/>
          <w:szCs w:val="24"/>
        </w:rPr>
        <w:t>subsequently extended</w:t>
      </w:r>
      <w:r w:rsidR="00BE6DF2">
        <w:rPr>
          <w:rFonts w:cstheme="minorHAnsi"/>
          <w:iCs/>
          <w:szCs w:val="24"/>
        </w:rPr>
        <w:t xml:space="preserve"> </w:t>
      </w:r>
      <w:r w:rsidR="007164A9">
        <w:rPr>
          <w:rFonts w:cstheme="minorHAnsi"/>
          <w:iCs/>
          <w:szCs w:val="24"/>
        </w:rPr>
        <w:t>to</w:t>
      </w:r>
      <w:r w:rsidR="00BE6DF2">
        <w:rPr>
          <w:rFonts w:cstheme="minorHAnsi"/>
          <w:iCs/>
          <w:szCs w:val="24"/>
        </w:rPr>
        <w:t xml:space="preserve"> 6 May 2025.</w:t>
      </w:r>
    </w:p>
    <w:p w14:paraId="389469D2" w14:textId="77777777" w:rsidR="00B41422" w:rsidRDefault="00B41422" w:rsidP="00B41422">
      <w:pPr>
        <w:spacing w:after="120" w:line="240" w:lineRule="auto"/>
        <w:rPr>
          <w:szCs w:val="24"/>
        </w:rPr>
      </w:pPr>
      <w:bookmarkStart w:id="0" w:name="_Hlk207196506"/>
      <w:r w:rsidRPr="00DE1F06">
        <w:rPr>
          <w:rFonts w:cstheme="minorHAnsi"/>
          <w:iCs/>
          <w:szCs w:val="24"/>
        </w:rPr>
        <w:t>The</w:t>
      </w:r>
      <w:r>
        <w:rPr>
          <w:rFonts w:cstheme="minorHAnsi"/>
          <w:iCs/>
          <w:szCs w:val="24"/>
        </w:rPr>
        <w:t xml:space="preserve"> G</w:t>
      </w:r>
      <w:r w:rsidRPr="00DE1F06">
        <w:rPr>
          <w:rFonts w:cstheme="minorHAnsi"/>
          <w:iCs/>
          <w:szCs w:val="24"/>
        </w:rPr>
        <w:t xml:space="preserve">overnment </w:t>
      </w:r>
      <w:r>
        <w:rPr>
          <w:rFonts w:cstheme="minorHAnsi"/>
          <w:iCs/>
          <w:szCs w:val="24"/>
        </w:rPr>
        <w:t>notes that there were no recommendations in the final report, with 24</w:t>
      </w:r>
      <w:r w:rsidRPr="00DE1F06">
        <w:rPr>
          <w:rFonts w:cstheme="minorHAnsi"/>
          <w:iCs/>
          <w:szCs w:val="24"/>
        </w:rPr>
        <w:t xml:space="preserve"> recommendations raised </w:t>
      </w:r>
      <w:r>
        <w:rPr>
          <w:rFonts w:cstheme="minorHAnsi"/>
          <w:iCs/>
          <w:szCs w:val="24"/>
        </w:rPr>
        <w:t>in interim</w:t>
      </w:r>
      <w:r w:rsidRPr="00DE1F06">
        <w:rPr>
          <w:rFonts w:cstheme="minorHAnsi"/>
          <w:iCs/>
          <w:szCs w:val="24"/>
        </w:rPr>
        <w:t xml:space="preserve"> reports.</w:t>
      </w:r>
      <w:r>
        <w:rPr>
          <w:rFonts w:cstheme="minorHAnsi"/>
          <w:iCs/>
          <w:szCs w:val="24"/>
        </w:rPr>
        <w:t xml:space="preserve"> </w:t>
      </w:r>
      <w:r w:rsidRPr="1D386089">
        <w:rPr>
          <w:szCs w:val="24"/>
        </w:rPr>
        <w:t xml:space="preserve">As the </w:t>
      </w:r>
      <w:r>
        <w:rPr>
          <w:szCs w:val="24"/>
        </w:rPr>
        <w:t>C</w:t>
      </w:r>
      <w:r w:rsidRPr="1D386089">
        <w:rPr>
          <w:szCs w:val="24"/>
        </w:rPr>
        <w:t>ommittee’s final report notes, several of the recommendations have been addressed</w:t>
      </w:r>
      <w:r>
        <w:rPr>
          <w:szCs w:val="24"/>
        </w:rPr>
        <w:t xml:space="preserve"> since their release and the Government continues to work collaboratively with stakeholders to make the Brisbane 2032 Olympic and Paralympic Games a success for all Australians.</w:t>
      </w:r>
    </w:p>
    <w:bookmarkEnd w:id="0"/>
    <w:p w14:paraId="0CB7396E" w14:textId="6031527B" w:rsidR="006133EA" w:rsidRPr="00DE1F06" w:rsidRDefault="006133EA" w:rsidP="001B4770">
      <w:pPr>
        <w:spacing w:after="120" w:line="240" w:lineRule="auto"/>
        <w:rPr>
          <w:rFonts w:cstheme="minorHAnsi"/>
          <w:iCs/>
          <w:szCs w:val="24"/>
        </w:rPr>
      </w:pPr>
      <w:r>
        <w:rPr>
          <w:rFonts w:cstheme="minorHAnsi"/>
          <w:iCs/>
          <w:szCs w:val="24"/>
        </w:rPr>
        <w:t>The Olympic and Paralympic Games coming to Brisbane in 2032 provides a unique opportunity to engage Australian communities, reinforcing unity, health and wellbeing and celebrating an enduring love of sport. The Government is working to maximise the impact of hosting this pinnacle global event</w:t>
      </w:r>
      <w:r w:rsidR="0067634B">
        <w:rPr>
          <w:rFonts w:cstheme="minorHAnsi"/>
          <w:iCs/>
          <w:szCs w:val="24"/>
        </w:rPr>
        <w:t>,</w:t>
      </w:r>
      <w:r>
        <w:rPr>
          <w:rFonts w:cstheme="minorHAnsi"/>
          <w:iCs/>
          <w:szCs w:val="24"/>
        </w:rPr>
        <w:t xml:space="preserve"> and secure a range of benefits for Queensland, Australia and the broader Oceania region.</w:t>
      </w:r>
    </w:p>
    <w:p w14:paraId="2494822D" w14:textId="14E4D43F" w:rsidR="003B5F5E" w:rsidRPr="000C413B" w:rsidRDefault="003B5F5E" w:rsidP="000C413B">
      <w:pPr>
        <w:spacing w:after="120" w:line="240" w:lineRule="auto"/>
        <w:rPr>
          <w:szCs w:val="24"/>
        </w:rPr>
      </w:pPr>
      <w:r w:rsidRPr="000C413B">
        <w:rPr>
          <w:szCs w:val="24"/>
        </w:rPr>
        <w:t>Collaboration across all Games Delivery Partners</w:t>
      </w:r>
      <w:r w:rsidR="000C413B" w:rsidRPr="00FF2598">
        <w:rPr>
          <w:szCs w:val="24"/>
          <w:vertAlign w:val="superscript"/>
        </w:rPr>
        <w:footnoteReference w:id="2"/>
      </w:r>
      <w:r w:rsidR="000C413B" w:rsidRPr="000C413B">
        <w:rPr>
          <w:szCs w:val="24"/>
        </w:rPr>
        <w:t xml:space="preserve"> </w:t>
      </w:r>
      <w:r w:rsidRPr="000C413B">
        <w:rPr>
          <w:szCs w:val="24"/>
        </w:rPr>
        <w:t xml:space="preserve">will be fundamental to successful </w:t>
      </w:r>
      <w:r w:rsidR="000C413B">
        <w:rPr>
          <w:szCs w:val="24"/>
        </w:rPr>
        <w:t xml:space="preserve">planning, </w:t>
      </w:r>
      <w:r w:rsidRPr="000C413B">
        <w:rPr>
          <w:szCs w:val="24"/>
        </w:rPr>
        <w:t xml:space="preserve">delivery and maximising the positive impacts of the Brisbane 2032 Games. The </w:t>
      </w:r>
      <w:r w:rsidR="000C413B">
        <w:rPr>
          <w:szCs w:val="24"/>
        </w:rPr>
        <w:t>G</w:t>
      </w:r>
      <w:r w:rsidRPr="000C413B">
        <w:rPr>
          <w:szCs w:val="24"/>
        </w:rPr>
        <w:t>overnment speaks from experience. Its recent success in hosting major international sporting events in Australia, notably the 2023 FIFA Women’s World Cup, was based on genuine engagement and collaboration with delivery partners and other key stakeholders.  </w:t>
      </w:r>
    </w:p>
    <w:p w14:paraId="55F72A17" w14:textId="0AC7929C" w:rsidR="00F1355F" w:rsidRDefault="00C868E0" w:rsidP="001B4770">
      <w:pPr>
        <w:spacing w:after="120" w:line="240" w:lineRule="auto"/>
        <w:rPr>
          <w:szCs w:val="24"/>
        </w:rPr>
      </w:pPr>
      <w:r>
        <w:rPr>
          <w:szCs w:val="24"/>
        </w:rPr>
        <w:t xml:space="preserve">Government </w:t>
      </w:r>
      <w:r w:rsidR="00FF2598">
        <w:rPr>
          <w:szCs w:val="24"/>
        </w:rPr>
        <w:t xml:space="preserve">contributions </w:t>
      </w:r>
      <w:r w:rsidR="004D1BDB">
        <w:rPr>
          <w:szCs w:val="24"/>
        </w:rPr>
        <w:t xml:space="preserve">to the </w:t>
      </w:r>
      <w:r w:rsidRPr="1D386089">
        <w:rPr>
          <w:szCs w:val="24"/>
        </w:rPr>
        <w:t>Brisbane 2032 Games</w:t>
      </w:r>
      <w:r w:rsidR="005551C8" w:rsidRPr="1D386089">
        <w:rPr>
          <w:szCs w:val="24"/>
        </w:rPr>
        <w:t xml:space="preserve"> include direct</w:t>
      </w:r>
      <w:r w:rsidR="00BF14B4" w:rsidRPr="1D386089">
        <w:rPr>
          <w:szCs w:val="24"/>
        </w:rPr>
        <w:t xml:space="preserve"> financial</w:t>
      </w:r>
      <w:r w:rsidR="00E8070A">
        <w:rPr>
          <w:szCs w:val="24"/>
        </w:rPr>
        <w:t xml:space="preserve"> support</w:t>
      </w:r>
      <w:r w:rsidR="00CF0AEB">
        <w:rPr>
          <w:szCs w:val="24"/>
        </w:rPr>
        <w:t>, record investment in venue and transport</w:t>
      </w:r>
      <w:r w:rsidR="004B2A34" w:rsidRPr="1D386089">
        <w:rPr>
          <w:szCs w:val="24"/>
        </w:rPr>
        <w:t xml:space="preserve"> infrastructure</w:t>
      </w:r>
      <w:r w:rsidR="00B73A6B" w:rsidRPr="1D386089">
        <w:rPr>
          <w:szCs w:val="24"/>
        </w:rPr>
        <w:t xml:space="preserve">, </w:t>
      </w:r>
      <w:r w:rsidR="004D1BDB">
        <w:rPr>
          <w:szCs w:val="24"/>
        </w:rPr>
        <w:t xml:space="preserve">in-kind provision of </w:t>
      </w:r>
      <w:r w:rsidR="00B73A6B" w:rsidRPr="1D386089">
        <w:rPr>
          <w:szCs w:val="24"/>
        </w:rPr>
        <w:t>operational</w:t>
      </w:r>
      <w:r w:rsidR="004D1BDB">
        <w:rPr>
          <w:szCs w:val="24"/>
        </w:rPr>
        <w:t xml:space="preserve"> services in areas of Commonwealth responsibility</w:t>
      </w:r>
      <w:r w:rsidR="00B73A6B" w:rsidRPr="1D386089">
        <w:rPr>
          <w:szCs w:val="24"/>
        </w:rPr>
        <w:t xml:space="preserve"> (including </w:t>
      </w:r>
      <w:r w:rsidR="004D1BDB">
        <w:rPr>
          <w:szCs w:val="24"/>
        </w:rPr>
        <w:t xml:space="preserve">for instance, </w:t>
      </w:r>
      <w:r w:rsidR="00B73A6B" w:rsidRPr="1D386089">
        <w:rPr>
          <w:szCs w:val="24"/>
        </w:rPr>
        <w:t>national security arrangements, intellectual property rights</w:t>
      </w:r>
      <w:r w:rsidR="00C217FF" w:rsidRPr="1D386089">
        <w:rPr>
          <w:szCs w:val="24"/>
        </w:rPr>
        <w:t xml:space="preserve"> protection, and anti-doping arrangements)</w:t>
      </w:r>
      <w:r w:rsidR="004D1BDB">
        <w:rPr>
          <w:szCs w:val="24"/>
        </w:rPr>
        <w:t>.</w:t>
      </w:r>
      <w:r w:rsidR="00870F2F">
        <w:rPr>
          <w:szCs w:val="24"/>
        </w:rPr>
        <w:t xml:space="preserve"> </w:t>
      </w:r>
    </w:p>
    <w:p w14:paraId="0878F78B" w14:textId="15550F24" w:rsidR="00B82093" w:rsidRDefault="004D1BDB" w:rsidP="001B4770">
      <w:pPr>
        <w:spacing w:after="120" w:line="240" w:lineRule="auto"/>
        <w:rPr>
          <w:szCs w:val="24"/>
        </w:rPr>
      </w:pPr>
      <w:r>
        <w:rPr>
          <w:szCs w:val="24"/>
        </w:rPr>
        <w:t>The Government is also considering strategic opportunities to leverage the Brisbane 2032 Games to achieve broader</w:t>
      </w:r>
      <w:r w:rsidR="002F62B4">
        <w:rPr>
          <w:szCs w:val="24"/>
        </w:rPr>
        <w:t xml:space="preserve"> policy</w:t>
      </w:r>
      <w:r>
        <w:rPr>
          <w:szCs w:val="24"/>
        </w:rPr>
        <w:t xml:space="preserve"> priorities</w:t>
      </w:r>
      <w:r w:rsidR="002F62B4">
        <w:rPr>
          <w:szCs w:val="24"/>
        </w:rPr>
        <w:t xml:space="preserve"> in areas such as trade and tourism, diplomacy, community sport participation, inclusion, reconciliation and </w:t>
      </w:r>
      <w:proofErr w:type="gramStart"/>
      <w:r w:rsidR="002F62B4">
        <w:rPr>
          <w:szCs w:val="24"/>
        </w:rPr>
        <w:t>high performance</w:t>
      </w:r>
      <w:proofErr w:type="gramEnd"/>
      <w:r w:rsidR="002F62B4">
        <w:rPr>
          <w:szCs w:val="24"/>
        </w:rPr>
        <w:t xml:space="preserve"> sport.</w:t>
      </w:r>
    </w:p>
    <w:p w14:paraId="78BD2243" w14:textId="0F59484B" w:rsidR="00FB0D5D" w:rsidRDefault="00FB0D5D" w:rsidP="001B4770">
      <w:pPr>
        <w:spacing w:after="120" w:line="240" w:lineRule="auto"/>
        <w:rPr>
          <w:rFonts w:cstheme="minorHAnsi"/>
          <w:iCs/>
          <w:szCs w:val="24"/>
        </w:rPr>
      </w:pPr>
      <w:r w:rsidRPr="00DE1F06">
        <w:rPr>
          <w:rFonts w:cstheme="minorHAnsi"/>
          <w:iCs/>
          <w:szCs w:val="24"/>
        </w:rPr>
        <w:t>The</w:t>
      </w:r>
      <w:r w:rsidR="008E3147">
        <w:rPr>
          <w:rFonts w:cstheme="minorHAnsi"/>
          <w:iCs/>
          <w:szCs w:val="24"/>
        </w:rPr>
        <w:t xml:space="preserve"> </w:t>
      </w:r>
      <w:r w:rsidR="00870F2F">
        <w:rPr>
          <w:rFonts w:cstheme="minorHAnsi"/>
          <w:iCs/>
          <w:szCs w:val="24"/>
        </w:rPr>
        <w:t>G</w:t>
      </w:r>
      <w:r w:rsidRPr="00DE1F06">
        <w:rPr>
          <w:rFonts w:cstheme="minorHAnsi"/>
          <w:iCs/>
          <w:szCs w:val="24"/>
        </w:rPr>
        <w:t xml:space="preserve">overnment would like to thank the </w:t>
      </w:r>
      <w:r w:rsidR="002101CE">
        <w:rPr>
          <w:rFonts w:cstheme="minorHAnsi"/>
          <w:iCs/>
          <w:szCs w:val="24"/>
        </w:rPr>
        <w:t>C</w:t>
      </w:r>
      <w:r w:rsidRPr="00DE1F06">
        <w:rPr>
          <w:rFonts w:cstheme="minorHAnsi"/>
          <w:iCs/>
          <w:szCs w:val="24"/>
        </w:rPr>
        <w:t xml:space="preserve">ommittee for </w:t>
      </w:r>
      <w:r w:rsidR="0067634B">
        <w:rPr>
          <w:rFonts w:cstheme="minorHAnsi"/>
          <w:iCs/>
          <w:szCs w:val="24"/>
        </w:rPr>
        <w:t>its</w:t>
      </w:r>
      <w:r w:rsidRPr="00DE1F06">
        <w:rPr>
          <w:rFonts w:cstheme="minorHAnsi"/>
          <w:iCs/>
          <w:szCs w:val="24"/>
        </w:rPr>
        <w:t xml:space="preserve"> work </w:t>
      </w:r>
      <w:r w:rsidR="0059746B" w:rsidRPr="00DE1F06">
        <w:rPr>
          <w:rFonts w:cstheme="minorHAnsi"/>
          <w:iCs/>
          <w:szCs w:val="24"/>
        </w:rPr>
        <w:t xml:space="preserve">in preparing </w:t>
      </w:r>
      <w:r w:rsidR="00C35A59" w:rsidRPr="00DE1F06">
        <w:rPr>
          <w:rFonts w:cstheme="minorHAnsi"/>
          <w:iCs/>
          <w:szCs w:val="24"/>
        </w:rPr>
        <w:t>the interim</w:t>
      </w:r>
      <w:r w:rsidR="00E34960">
        <w:rPr>
          <w:rFonts w:cstheme="minorHAnsi"/>
          <w:iCs/>
          <w:szCs w:val="24"/>
        </w:rPr>
        <w:t>, second interim</w:t>
      </w:r>
      <w:r w:rsidR="00C35A59" w:rsidRPr="00DE1F06">
        <w:rPr>
          <w:rFonts w:cstheme="minorHAnsi"/>
          <w:iCs/>
          <w:szCs w:val="24"/>
        </w:rPr>
        <w:t xml:space="preserve"> and final reports</w:t>
      </w:r>
      <w:r w:rsidR="00AA147A">
        <w:rPr>
          <w:rFonts w:cstheme="minorHAnsi"/>
          <w:iCs/>
          <w:szCs w:val="24"/>
        </w:rPr>
        <w:t xml:space="preserve">. The </w:t>
      </w:r>
      <w:r w:rsidR="00870F2F">
        <w:rPr>
          <w:rFonts w:cstheme="minorHAnsi"/>
          <w:iCs/>
          <w:szCs w:val="24"/>
        </w:rPr>
        <w:t>G</w:t>
      </w:r>
      <w:r w:rsidR="00AA147A">
        <w:rPr>
          <w:rFonts w:cstheme="minorHAnsi"/>
          <w:iCs/>
          <w:szCs w:val="24"/>
        </w:rPr>
        <w:t xml:space="preserve">overnment acknowledges the </w:t>
      </w:r>
      <w:r w:rsidR="00C678C4">
        <w:rPr>
          <w:rFonts w:cstheme="minorHAnsi"/>
          <w:iCs/>
          <w:szCs w:val="24"/>
        </w:rPr>
        <w:t xml:space="preserve">additional comments and dissenting reports made by the </w:t>
      </w:r>
      <w:r w:rsidR="009109B0">
        <w:rPr>
          <w:rFonts w:cstheme="minorHAnsi"/>
          <w:iCs/>
          <w:szCs w:val="24"/>
        </w:rPr>
        <w:t>Labor Senators and Australian Greens</w:t>
      </w:r>
      <w:r w:rsidR="009A3630">
        <w:rPr>
          <w:rFonts w:cstheme="minorHAnsi"/>
          <w:iCs/>
          <w:szCs w:val="24"/>
        </w:rPr>
        <w:t>.</w:t>
      </w:r>
    </w:p>
    <w:p w14:paraId="330C1818" w14:textId="12DD6811" w:rsidR="00E8070A" w:rsidRDefault="00870F2F" w:rsidP="00C51415">
      <w:pPr>
        <w:spacing w:after="120" w:line="240" w:lineRule="auto"/>
        <w:rPr>
          <w:rFonts w:cstheme="minorHAnsi"/>
          <w:iCs/>
          <w:szCs w:val="24"/>
        </w:rPr>
      </w:pPr>
      <w:r>
        <w:rPr>
          <w:rFonts w:cstheme="minorHAnsi"/>
          <w:iCs/>
          <w:szCs w:val="24"/>
        </w:rPr>
        <w:t xml:space="preserve">The Government </w:t>
      </w:r>
      <w:r w:rsidR="0050756D">
        <w:rPr>
          <w:rFonts w:cstheme="minorHAnsi"/>
          <w:iCs/>
          <w:szCs w:val="24"/>
        </w:rPr>
        <w:t xml:space="preserve">is making unprecedented investment towards Australia’s next Games in Brisbane and will </w:t>
      </w:r>
      <w:r>
        <w:rPr>
          <w:rFonts w:cstheme="minorHAnsi"/>
          <w:iCs/>
          <w:szCs w:val="24"/>
        </w:rPr>
        <w:t>continue to</w:t>
      </w:r>
      <w:r w:rsidR="0050756D">
        <w:rPr>
          <w:rFonts w:cstheme="minorHAnsi"/>
          <w:iCs/>
          <w:szCs w:val="24"/>
        </w:rPr>
        <w:t xml:space="preserve"> work with Games Delivery Partners to ensure this once-in-a-generation opportunity delivers positive outcomes for Australia</w:t>
      </w:r>
      <w:r>
        <w:rPr>
          <w:rFonts w:cstheme="minorHAnsi"/>
          <w:iCs/>
          <w:szCs w:val="24"/>
        </w:rPr>
        <w:t>.</w:t>
      </w:r>
    </w:p>
    <w:p w14:paraId="0AA77791" w14:textId="0C0FC32E" w:rsidR="00E3775B" w:rsidRPr="00BC292E" w:rsidRDefault="00655A0D" w:rsidP="006D4A1C">
      <w:pPr>
        <w:pStyle w:val="Heading1"/>
        <w:spacing w:after="240"/>
        <w:jc w:val="center"/>
        <w:rPr>
          <w:rFonts w:asciiTheme="minorHAnsi" w:hAnsiTheme="minorHAnsi" w:cstheme="minorHAnsi"/>
          <w:color w:val="auto"/>
          <w:lang w:val="en" w:eastAsia="en-AU"/>
        </w:rPr>
      </w:pPr>
      <w:r>
        <w:rPr>
          <w:rFonts w:asciiTheme="minorHAnsi" w:hAnsiTheme="minorHAnsi" w:cstheme="minorHAnsi"/>
          <w:color w:val="auto"/>
          <w:lang w:val="en" w:eastAsia="en-AU"/>
        </w:rPr>
        <w:lastRenderedPageBreak/>
        <w:t xml:space="preserve">Australian Government </w:t>
      </w:r>
      <w:r w:rsidR="00E3775B" w:rsidRPr="00BC292E">
        <w:rPr>
          <w:rFonts w:asciiTheme="minorHAnsi" w:hAnsiTheme="minorHAnsi" w:cstheme="minorHAnsi"/>
          <w:color w:val="auto"/>
          <w:lang w:val="en" w:eastAsia="en-AU"/>
        </w:rPr>
        <w:t>Response to Recommendations</w:t>
      </w:r>
    </w:p>
    <w:tbl>
      <w:tblPr>
        <w:tblStyle w:val="TableGrid"/>
        <w:tblW w:w="0" w:type="auto"/>
        <w:tblBorders>
          <w:insideH w:val="none" w:sz="0" w:space="0" w:color="auto"/>
        </w:tblBorders>
        <w:tblLook w:val="04A0" w:firstRow="1" w:lastRow="0" w:firstColumn="1" w:lastColumn="0" w:noHBand="0" w:noVBand="1"/>
      </w:tblPr>
      <w:tblGrid>
        <w:gridCol w:w="9016"/>
      </w:tblGrid>
      <w:tr w:rsidR="00587992" w14:paraId="7BAEEFFE" w14:textId="77777777" w:rsidTr="00587992">
        <w:tc>
          <w:tcPr>
            <w:tcW w:w="9016" w:type="dxa"/>
          </w:tcPr>
          <w:p w14:paraId="4CA89D7F" w14:textId="49FAE713" w:rsidR="00587992" w:rsidRPr="00587992" w:rsidRDefault="00587992" w:rsidP="00DC1C66">
            <w:pPr>
              <w:pStyle w:val="Heading2"/>
              <w:spacing w:before="160" w:after="160" w:line="240" w:lineRule="auto"/>
            </w:pPr>
            <w:r w:rsidRPr="006D4A1C">
              <w:t>Key Theme: 2026 Commonwealth Games</w:t>
            </w:r>
          </w:p>
        </w:tc>
      </w:tr>
      <w:tr w:rsidR="00587992" w14:paraId="249953EA" w14:textId="77777777" w:rsidTr="00587992">
        <w:tc>
          <w:tcPr>
            <w:tcW w:w="9016" w:type="dxa"/>
            <w:shd w:val="clear" w:color="auto" w:fill="D0CECE" w:themeFill="background2" w:themeFillShade="E6"/>
          </w:tcPr>
          <w:p w14:paraId="71CF9F1D" w14:textId="77777777" w:rsidR="00587992" w:rsidRPr="00E32CAA" w:rsidRDefault="00587992" w:rsidP="00893CBE">
            <w:pPr>
              <w:spacing w:after="0" w:line="240" w:lineRule="auto"/>
              <w:rPr>
                <w:rFonts w:cstheme="minorHAnsi"/>
                <w:b/>
                <w:szCs w:val="24"/>
              </w:rPr>
            </w:pPr>
            <w:r>
              <w:rPr>
                <w:rFonts w:cstheme="minorHAnsi"/>
                <w:b/>
                <w:szCs w:val="24"/>
              </w:rPr>
              <w:t xml:space="preserve">Interim Report </w:t>
            </w:r>
            <w:r w:rsidRPr="00E32CAA">
              <w:rPr>
                <w:rFonts w:cstheme="minorHAnsi"/>
                <w:b/>
                <w:szCs w:val="24"/>
              </w:rPr>
              <w:t>Recommendation 1</w:t>
            </w:r>
          </w:p>
          <w:p w14:paraId="45181E5C" w14:textId="77777777" w:rsidR="00587992" w:rsidRPr="004531AB" w:rsidRDefault="00587992" w:rsidP="00893CBE">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that the Australian Government takes on a facilitation and coordination role </w:t>
            </w:r>
            <w:proofErr w:type="gramStart"/>
            <w:r w:rsidRPr="64A64454">
              <w:rPr>
                <w:i/>
                <w:iCs/>
              </w:rPr>
              <w:t>in order to</w:t>
            </w:r>
            <w:proofErr w:type="gramEnd"/>
            <w:r w:rsidRPr="64A64454">
              <w:rPr>
                <w:i/>
                <w:iCs/>
              </w:rPr>
              <w:t xml:space="preserve"> salvage the 2026 Commonwealth Games being held in Australia. Before the end of 2023, the Australian Government should:</w:t>
            </w:r>
          </w:p>
          <w:p w14:paraId="49518EF5" w14:textId="77777777" w:rsidR="00587992" w:rsidRPr="00893CBE" w:rsidRDefault="00587992" w:rsidP="00893CBE">
            <w:pPr>
              <w:pStyle w:val="ListParagraph"/>
              <w:numPr>
                <w:ilvl w:val="0"/>
                <w:numId w:val="33"/>
              </w:numPr>
              <w:spacing w:after="120" w:line="240" w:lineRule="auto"/>
              <w:rPr>
                <w:rFonts w:cstheme="minorHAnsi"/>
                <w:i/>
                <w:szCs w:val="24"/>
              </w:rPr>
            </w:pPr>
            <w:r w:rsidRPr="00893CBE">
              <w:rPr>
                <w:rFonts w:cstheme="minorHAnsi"/>
                <w:i/>
                <w:szCs w:val="24"/>
              </w:rPr>
              <w:t xml:space="preserve">establish an intergovernmental forum, through National Cabinet or a bespoke mechanism, bringing together representatives from all three levels of government, business associations and community groups, to examine options to salvage the Commonwealth </w:t>
            </w:r>
            <w:proofErr w:type="gramStart"/>
            <w:r w:rsidRPr="00893CBE">
              <w:rPr>
                <w:rFonts w:cstheme="minorHAnsi"/>
                <w:i/>
                <w:szCs w:val="24"/>
              </w:rPr>
              <w:t>Games;</w:t>
            </w:r>
            <w:proofErr w:type="gramEnd"/>
          </w:p>
          <w:p w14:paraId="58E6172F" w14:textId="77777777" w:rsidR="00587992" w:rsidRPr="00893CBE" w:rsidRDefault="00587992" w:rsidP="00893CBE">
            <w:pPr>
              <w:pStyle w:val="ListParagraph"/>
              <w:numPr>
                <w:ilvl w:val="0"/>
                <w:numId w:val="33"/>
              </w:numPr>
              <w:spacing w:after="120" w:line="240" w:lineRule="auto"/>
              <w:rPr>
                <w:rFonts w:cstheme="minorHAnsi"/>
                <w:i/>
                <w:szCs w:val="24"/>
              </w:rPr>
            </w:pPr>
            <w:r w:rsidRPr="00893CBE">
              <w:rPr>
                <w:rFonts w:cstheme="minorHAnsi"/>
                <w:i/>
                <w:szCs w:val="24"/>
              </w:rPr>
              <w:t>direct the Departments of Health and Aged Care and Infrastructure, Transport, Regional Development, Communications and the Arts to produce low, medium and high funding options for the Australian Government that would enable the Commonwealth Games to be salvaged and hosted in 2026; and</w:t>
            </w:r>
          </w:p>
          <w:p w14:paraId="0E14392C" w14:textId="77777777" w:rsidR="00587992" w:rsidRPr="00893CBE" w:rsidRDefault="00587992" w:rsidP="00893CBE">
            <w:pPr>
              <w:pStyle w:val="ListParagraph"/>
              <w:numPr>
                <w:ilvl w:val="0"/>
                <w:numId w:val="33"/>
              </w:numPr>
              <w:spacing w:after="120" w:line="240" w:lineRule="auto"/>
              <w:rPr>
                <w:rFonts w:cstheme="minorHAnsi"/>
                <w:i/>
                <w:szCs w:val="24"/>
              </w:rPr>
            </w:pPr>
            <w:r w:rsidRPr="00893CBE">
              <w:rPr>
                <w:rFonts w:cstheme="minorHAnsi"/>
                <w:i/>
                <w:szCs w:val="24"/>
              </w:rPr>
              <w:t xml:space="preserve">subject to the above, and in coordination with any other relevant stakeholders, including Gold Coast City Council and other local governments, </w:t>
            </w:r>
            <w:proofErr w:type="gramStart"/>
            <w:r w:rsidRPr="00893CBE">
              <w:rPr>
                <w:rFonts w:cstheme="minorHAnsi"/>
                <w:i/>
                <w:szCs w:val="24"/>
              </w:rPr>
              <w:t>enter into</w:t>
            </w:r>
            <w:proofErr w:type="gramEnd"/>
            <w:r w:rsidRPr="00893CBE">
              <w:rPr>
                <w:rFonts w:cstheme="minorHAnsi"/>
                <w:i/>
                <w:szCs w:val="24"/>
              </w:rPr>
              <w:t xml:space="preserve"> discussions with Commonwealth Games Federation and Commonwealth Games Australia about prospects for hosting the Games, including a reduced or decentralised Games if necessary.</w:t>
            </w:r>
          </w:p>
          <w:p w14:paraId="38E21152" w14:textId="77777777" w:rsidR="00587992" w:rsidRPr="00892A46" w:rsidRDefault="00587992" w:rsidP="00893CBE">
            <w:pPr>
              <w:spacing w:after="0" w:line="240" w:lineRule="auto"/>
              <w:rPr>
                <w:rFonts w:cstheme="minorHAnsi"/>
                <w:b/>
                <w:szCs w:val="24"/>
              </w:rPr>
            </w:pPr>
            <w:r w:rsidRPr="00892A46">
              <w:rPr>
                <w:rFonts w:cstheme="minorHAnsi"/>
                <w:b/>
                <w:szCs w:val="24"/>
              </w:rPr>
              <w:t>Interim Report Recommendation 2</w:t>
            </w:r>
          </w:p>
          <w:p w14:paraId="53BF4371" w14:textId="77777777" w:rsidR="00587992" w:rsidRPr="004531AB" w:rsidRDefault="00587992" w:rsidP="00893CBE">
            <w:pPr>
              <w:spacing w:after="120" w:line="240" w:lineRule="auto"/>
              <w:rPr>
                <w:i/>
                <w:iCs/>
              </w:rPr>
            </w:pPr>
            <w:r w:rsidRPr="64A64454">
              <w:rPr>
                <w:i/>
                <w:iCs/>
              </w:rPr>
              <w:t xml:space="preserve">If stakeholders cannot agree on an approach to salvage the Games, the </w:t>
            </w:r>
            <w:r w:rsidRPr="64A64454" w:rsidDel="00491666">
              <w:rPr>
                <w:i/>
                <w:iCs/>
              </w:rPr>
              <w:t xml:space="preserve">committee </w:t>
            </w:r>
            <w:r w:rsidRPr="64A64454">
              <w:rPr>
                <w:i/>
                <w:iCs/>
              </w:rPr>
              <w:t>recommends that the Australian Government develops a policy to address the missed opportunities and impacts from the cancellation of Victoria 2026. The policy, developed in consultation with National Sporting Organisations and National Sporting Organisations for People with Disability, should:</w:t>
            </w:r>
          </w:p>
          <w:p w14:paraId="6B8B18EB" w14:textId="77777777" w:rsidR="00587992" w:rsidRPr="00893CBE" w:rsidRDefault="00587992" w:rsidP="00893CBE">
            <w:pPr>
              <w:pStyle w:val="ListParagraph"/>
              <w:numPr>
                <w:ilvl w:val="0"/>
                <w:numId w:val="34"/>
              </w:numPr>
              <w:spacing w:after="120" w:line="240" w:lineRule="auto"/>
              <w:rPr>
                <w:rFonts w:cstheme="minorHAnsi"/>
                <w:i/>
                <w:szCs w:val="24"/>
              </w:rPr>
            </w:pPr>
            <w:r w:rsidRPr="00893CBE">
              <w:rPr>
                <w:rFonts w:cstheme="minorHAnsi"/>
                <w:i/>
                <w:szCs w:val="24"/>
              </w:rPr>
              <w:t>identify which sports and disciplines have been disproportionately impacted by the cancellation, for example those that were relying on 2026 as a pathway to the 2028 Summer Olympics in Los Angeles (LA 2028) and Brisbane 2032, or which have not yet featured at the Olympics and Paralympics (for example, netball</w:t>
            </w:r>
            <w:proofErr w:type="gramStart"/>
            <w:r w:rsidRPr="00893CBE">
              <w:rPr>
                <w:rFonts w:cstheme="minorHAnsi"/>
                <w:i/>
                <w:szCs w:val="24"/>
              </w:rPr>
              <w:t>);</w:t>
            </w:r>
            <w:proofErr w:type="gramEnd"/>
          </w:p>
          <w:p w14:paraId="5247EB87" w14:textId="77777777" w:rsidR="00587992" w:rsidRPr="00893CBE" w:rsidRDefault="00587992" w:rsidP="00893CBE">
            <w:pPr>
              <w:pStyle w:val="ListParagraph"/>
              <w:numPr>
                <w:ilvl w:val="0"/>
                <w:numId w:val="34"/>
              </w:numPr>
              <w:spacing w:after="120" w:line="240" w:lineRule="auto"/>
              <w:rPr>
                <w:rFonts w:cstheme="minorHAnsi"/>
                <w:i/>
                <w:szCs w:val="24"/>
              </w:rPr>
            </w:pPr>
            <w:r w:rsidRPr="00893CBE">
              <w:rPr>
                <w:rFonts w:cstheme="minorHAnsi"/>
                <w:i/>
                <w:szCs w:val="24"/>
              </w:rPr>
              <w:t>enable paralympic athletes to access classification events internationally; and</w:t>
            </w:r>
          </w:p>
          <w:p w14:paraId="2C237322" w14:textId="77777777" w:rsidR="00587992" w:rsidRPr="00893CBE" w:rsidRDefault="00587992" w:rsidP="00893CBE">
            <w:pPr>
              <w:pStyle w:val="ListParagraph"/>
              <w:numPr>
                <w:ilvl w:val="0"/>
                <w:numId w:val="34"/>
              </w:numPr>
              <w:spacing w:after="120" w:line="240" w:lineRule="auto"/>
              <w:rPr>
                <w:rFonts w:cstheme="minorHAnsi"/>
                <w:i/>
                <w:szCs w:val="24"/>
              </w:rPr>
            </w:pPr>
            <w:r w:rsidRPr="00893CBE">
              <w:rPr>
                <w:rFonts w:cstheme="minorHAnsi"/>
                <w:i/>
                <w:szCs w:val="24"/>
              </w:rPr>
              <w:t>address a shortfall in infrastructure which will not now be funded.</w:t>
            </w:r>
          </w:p>
          <w:p w14:paraId="6704B811" w14:textId="77777777" w:rsidR="00587992" w:rsidRPr="00783110" w:rsidRDefault="00587992" w:rsidP="00893CBE">
            <w:pPr>
              <w:spacing w:after="0" w:line="240" w:lineRule="auto"/>
              <w:rPr>
                <w:rFonts w:cstheme="minorHAnsi"/>
                <w:b/>
                <w:color w:val="FF0000"/>
                <w:szCs w:val="24"/>
              </w:rPr>
            </w:pPr>
            <w:r w:rsidRPr="00892A46">
              <w:rPr>
                <w:rFonts w:cstheme="minorHAnsi"/>
                <w:b/>
                <w:szCs w:val="24"/>
              </w:rPr>
              <w:t xml:space="preserve">Interim Report Recommendation </w:t>
            </w:r>
            <w:r>
              <w:rPr>
                <w:rFonts w:cstheme="minorHAnsi"/>
                <w:b/>
                <w:szCs w:val="24"/>
              </w:rPr>
              <w:t>4</w:t>
            </w:r>
          </w:p>
          <w:p w14:paraId="3B16406A" w14:textId="77777777" w:rsidR="00587992" w:rsidRPr="004531AB" w:rsidRDefault="00587992" w:rsidP="00893CBE">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that the Australian Government encourages the Victorian Government to prioritise the delivery of its $2 billion alternative rural and regional funding package, including by publicly releasing full details on where funding will be allocated, what projects it will be allocated to, and accountable timeframes for delivery.</w:t>
            </w:r>
          </w:p>
          <w:p w14:paraId="5FB1ECFC" w14:textId="77777777" w:rsidR="00587992" w:rsidRPr="00892A46" w:rsidRDefault="00587992" w:rsidP="00893CBE">
            <w:pPr>
              <w:spacing w:after="0" w:line="240" w:lineRule="auto"/>
              <w:rPr>
                <w:rFonts w:cstheme="minorHAnsi"/>
                <w:b/>
                <w:szCs w:val="24"/>
              </w:rPr>
            </w:pPr>
            <w:r>
              <w:rPr>
                <w:rFonts w:cstheme="minorHAnsi"/>
                <w:b/>
                <w:szCs w:val="24"/>
              </w:rPr>
              <w:t xml:space="preserve">Second </w:t>
            </w:r>
            <w:r w:rsidRPr="00892A46">
              <w:rPr>
                <w:rFonts w:cstheme="minorHAnsi"/>
                <w:b/>
                <w:szCs w:val="24"/>
              </w:rPr>
              <w:t xml:space="preserve">Interim Report Recommendation </w:t>
            </w:r>
            <w:r>
              <w:rPr>
                <w:rFonts w:cstheme="minorHAnsi"/>
                <w:b/>
                <w:szCs w:val="24"/>
              </w:rPr>
              <w:t>16</w:t>
            </w:r>
          </w:p>
          <w:p w14:paraId="47DD6E84" w14:textId="77777777" w:rsidR="00587992" w:rsidRDefault="00587992" w:rsidP="00893CBE">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that the Australian Government lead the development with interested stakeholders of an Australian bid to host the 2026 Commonwealth Games. Additionally, the committee recommends the Australian Government provide public reasoning for any decisions made on the proposals.</w:t>
            </w:r>
          </w:p>
          <w:p w14:paraId="3354197F" w14:textId="77777777" w:rsidR="0067634B" w:rsidRDefault="0067634B" w:rsidP="00893CBE">
            <w:pPr>
              <w:spacing w:after="0" w:line="240" w:lineRule="auto"/>
              <w:rPr>
                <w:rFonts w:cstheme="minorHAnsi"/>
                <w:b/>
                <w:szCs w:val="24"/>
              </w:rPr>
            </w:pPr>
          </w:p>
          <w:p w14:paraId="14E5982B" w14:textId="6F3730B2" w:rsidR="00587992" w:rsidRPr="00892A46" w:rsidRDefault="00587992" w:rsidP="00893CBE">
            <w:pPr>
              <w:spacing w:after="0" w:line="240" w:lineRule="auto"/>
              <w:rPr>
                <w:rFonts w:cstheme="minorHAnsi"/>
                <w:b/>
                <w:szCs w:val="24"/>
              </w:rPr>
            </w:pPr>
            <w:r>
              <w:rPr>
                <w:rFonts w:cstheme="minorHAnsi"/>
                <w:b/>
                <w:szCs w:val="24"/>
              </w:rPr>
              <w:lastRenderedPageBreak/>
              <w:t xml:space="preserve">Second </w:t>
            </w:r>
            <w:r w:rsidRPr="00892A46">
              <w:rPr>
                <w:rFonts w:cstheme="minorHAnsi"/>
                <w:b/>
                <w:szCs w:val="24"/>
              </w:rPr>
              <w:t xml:space="preserve">Interim Report Recommendation </w:t>
            </w:r>
            <w:r>
              <w:rPr>
                <w:rFonts w:cstheme="minorHAnsi"/>
                <w:b/>
                <w:szCs w:val="24"/>
              </w:rPr>
              <w:t>17</w:t>
            </w:r>
          </w:p>
          <w:p w14:paraId="0139E1D5" w14:textId="17DC1D47" w:rsidR="00587992" w:rsidRPr="00587992" w:rsidRDefault="00587992" w:rsidP="00893CBE">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Government comprehensively review, and report to Parliament, the missed economic, social, and legacy opportunities following the cancellation of the 2026 Commonwealth Games. This review and report should include the impact on Athletes and the proposed regional host communities of Bendigo, Ballarat, Gippsland, and Geelong.</w:t>
            </w:r>
          </w:p>
        </w:tc>
      </w:tr>
    </w:tbl>
    <w:p w14:paraId="616677D2" w14:textId="77777777" w:rsidR="00D81588" w:rsidRPr="00783110" w:rsidRDefault="00D81588" w:rsidP="00892A46">
      <w:pPr>
        <w:spacing w:after="120" w:line="240" w:lineRule="auto"/>
        <w:rPr>
          <w:rFonts w:cstheme="minorHAnsi"/>
          <w:bCs/>
          <w:szCs w:val="24"/>
        </w:rPr>
      </w:pPr>
    </w:p>
    <w:p w14:paraId="3FF10D95" w14:textId="1FA3FFD2" w:rsidR="00892A46" w:rsidRPr="00E457F6" w:rsidRDefault="00CA15E3" w:rsidP="00892A46">
      <w:pPr>
        <w:spacing w:after="120" w:line="240" w:lineRule="auto"/>
        <w:rPr>
          <w:rFonts w:cstheme="minorHAnsi"/>
          <w:b/>
          <w:szCs w:val="24"/>
          <w:u w:val="single"/>
        </w:rPr>
      </w:pPr>
      <w:r w:rsidRPr="00E457F6">
        <w:rPr>
          <w:rFonts w:cstheme="minorHAnsi"/>
          <w:b/>
          <w:szCs w:val="24"/>
          <w:u w:val="single"/>
        </w:rPr>
        <w:t>Government r</w:t>
      </w:r>
      <w:r w:rsidR="00892A46" w:rsidRPr="00E457F6">
        <w:rPr>
          <w:rFonts w:cstheme="minorHAnsi"/>
          <w:b/>
          <w:szCs w:val="24"/>
          <w:u w:val="single"/>
        </w:rPr>
        <w:t>esponse</w:t>
      </w:r>
    </w:p>
    <w:p w14:paraId="38972521" w14:textId="22CDB1BF" w:rsidR="0056044B" w:rsidRPr="00E457F6" w:rsidRDefault="006A6F85" w:rsidP="00DC1C66">
      <w:pPr>
        <w:spacing w:after="120" w:line="240" w:lineRule="auto"/>
        <w:rPr>
          <w:rFonts w:cstheme="minorHAnsi"/>
          <w:b/>
          <w:iCs/>
          <w:szCs w:val="24"/>
        </w:rPr>
      </w:pPr>
      <w:r w:rsidRPr="00E457F6">
        <w:rPr>
          <w:rFonts w:cstheme="minorHAnsi"/>
          <w:b/>
          <w:iCs/>
          <w:szCs w:val="24"/>
        </w:rPr>
        <w:t xml:space="preserve">The </w:t>
      </w:r>
      <w:r w:rsidR="00E8070A">
        <w:rPr>
          <w:rFonts w:cstheme="minorHAnsi"/>
          <w:b/>
          <w:iCs/>
          <w:szCs w:val="24"/>
        </w:rPr>
        <w:t>G</w:t>
      </w:r>
      <w:r w:rsidRPr="00E457F6">
        <w:rPr>
          <w:rFonts w:cstheme="minorHAnsi"/>
          <w:b/>
          <w:iCs/>
          <w:szCs w:val="24"/>
        </w:rPr>
        <w:t xml:space="preserve">overnment </w:t>
      </w:r>
      <w:r w:rsidR="00151872" w:rsidRPr="00E457F6">
        <w:rPr>
          <w:rFonts w:cstheme="minorHAnsi"/>
          <w:b/>
          <w:bCs/>
          <w:iCs/>
          <w:szCs w:val="24"/>
        </w:rPr>
        <w:t>notes</w:t>
      </w:r>
      <w:r w:rsidR="00151872" w:rsidRPr="00E457F6">
        <w:rPr>
          <w:rFonts w:cstheme="minorHAnsi"/>
          <w:b/>
          <w:iCs/>
          <w:szCs w:val="24"/>
        </w:rPr>
        <w:t xml:space="preserve"> </w:t>
      </w:r>
      <w:r w:rsidR="00D31698" w:rsidRPr="00E457F6">
        <w:rPr>
          <w:rFonts w:cstheme="minorHAnsi"/>
          <w:b/>
          <w:iCs/>
          <w:szCs w:val="24"/>
        </w:rPr>
        <w:t>Interim Report Recommendations 1</w:t>
      </w:r>
      <w:r w:rsidR="00980528" w:rsidRPr="00E457F6">
        <w:rPr>
          <w:rFonts w:cstheme="minorHAnsi"/>
          <w:b/>
          <w:iCs/>
          <w:szCs w:val="24"/>
        </w:rPr>
        <w:t xml:space="preserve"> and 2 and Second Interim Report Recommendation 16</w:t>
      </w:r>
      <w:r w:rsidR="00CF0370" w:rsidRPr="00E457F6">
        <w:rPr>
          <w:rFonts w:cstheme="minorHAnsi"/>
          <w:b/>
          <w:iCs/>
          <w:szCs w:val="24"/>
        </w:rPr>
        <w:t>.</w:t>
      </w:r>
    </w:p>
    <w:p w14:paraId="0AD5CD8A" w14:textId="3E6BC6AC" w:rsidR="00DE3BE4" w:rsidRDefault="0037454F" w:rsidP="00DC1C66">
      <w:pPr>
        <w:spacing w:after="120" w:line="240" w:lineRule="auto"/>
        <w:rPr>
          <w:rFonts w:cstheme="minorHAnsi"/>
          <w:iCs/>
          <w:szCs w:val="24"/>
        </w:rPr>
      </w:pPr>
      <w:r>
        <w:rPr>
          <w:rFonts w:cstheme="minorHAnsi"/>
          <w:iCs/>
          <w:szCs w:val="24"/>
        </w:rPr>
        <w:t>Glasgow will host t</w:t>
      </w:r>
      <w:r w:rsidR="007115E2" w:rsidRPr="00EE402D">
        <w:rPr>
          <w:rFonts w:cstheme="minorHAnsi"/>
          <w:iCs/>
          <w:szCs w:val="24"/>
        </w:rPr>
        <w:t xml:space="preserve">he </w:t>
      </w:r>
      <w:r w:rsidR="007115E2">
        <w:rPr>
          <w:rFonts w:cstheme="minorHAnsi"/>
          <w:iCs/>
          <w:szCs w:val="24"/>
        </w:rPr>
        <w:t>2026 Commonwealth Games</w:t>
      </w:r>
      <w:r w:rsidR="00C17A31">
        <w:rPr>
          <w:rFonts w:cstheme="minorHAnsi"/>
          <w:iCs/>
          <w:szCs w:val="24"/>
        </w:rPr>
        <w:t>.</w:t>
      </w:r>
      <w:r w:rsidR="007115E2">
        <w:rPr>
          <w:rFonts w:cstheme="minorHAnsi"/>
          <w:iCs/>
          <w:szCs w:val="24"/>
        </w:rPr>
        <w:t xml:space="preserve"> </w:t>
      </w:r>
      <w:r w:rsidR="00C17A31">
        <w:rPr>
          <w:rFonts w:cstheme="minorHAnsi"/>
          <w:iCs/>
          <w:szCs w:val="24"/>
        </w:rPr>
        <w:t>T</w:t>
      </w:r>
      <w:r w:rsidR="00BD3703">
        <w:rPr>
          <w:rFonts w:cstheme="minorHAnsi"/>
          <w:iCs/>
          <w:szCs w:val="24"/>
        </w:rPr>
        <w:t xml:space="preserve">he </w:t>
      </w:r>
      <w:r w:rsidR="000E4B7E">
        <w:rPr>
          <w:rFonts w:cstheme="minorHAnsi"/>
          <w:iCs/>
          <w:szCs w:val="24"/>
        </w:rPr>
        <w:t>G</w:t>
      </w:r>
      <w:r w:rsidR="007A7271">
        <w:rPr>
          <w:rFonts w:cstheme="minorHAnsi"/>
          <w:iCs/>
          <w:szCs w:val="24"/>
        </w:rPr>
        <w:t xml:space="preserve">overnment considers </w:t>
      </w:r>
      <w:r w:rsidR="00C17A31">
        <w:rPr>
          <w:rFonts w:cstheme="minorHAnsi"/>
          <w:iCs/>
          <w:szCs w:val="24"/>
        </w:rPr>
        <w:t>these recommendations require</w:t>
      </w:r>
      <w:r w:rsidR="007A7271">
        <w:rPr>
          <w:rFonts w:cstheme="minorHAnsi"/>
          <w:iCs/>
          <w:szCs w:val="24"/>
        </w:rPr>
        <w:t xml:space="preserve"> no further action.</w:t>
      </w:r>
    </w:p>
    <w:p w14:paraId="4E59F48B" w14:textId="674AF0BA" w:rsidR="00671F8F" w:rsidRPr="00653C2C" w:rsidRDefault="00D8082E" w:rsidP="00DC1C66">
      <w:pPr>
        <w:spacing w:after="120" w:line="240" w:lineRule="auto"/>
        <w:rPr>
          <w:rFonts w:eastAsia="Times New Roman"/>
          <w:szCs w:val="24"/>
        </w:rPr>
      </w:pPr>
      <w:r>
        <w:rPr>
          <w:rFonts w:eastAsia="Times New Roman"/>
          <w:szCs w:val="24"/>
        </w:rPr>
        <w:t>T</w:t>
      </w:r>
      <w:r w:rsidR="00C0568F">
        <w:rPr>
          <w:rFonts w:eastAsia="Times New Roman"/>
          <w:szCs w:val="24"/>
        </w:rPr>
        <w:t>h</w:t>
      </w:r>
      <w:r w:rsidR="00BA7CBB" w:rsidRPr="00BA7CBB">
        <w:rPr>
          <w:rFonts w:eastAsia="Times New Roman"/>
          <w:szCs w:val="24"/>
        </w:rPr>
        <w:t>e decision to host a major sporting event is a matter for</w:t>
      </w:r>
      <w:r w:rsidR="00E457F6">
        <w:rPr>
          <w:rFonts w:eastAsia="Times New Roman"/>
          <w:szCs w:val="24"/>
        </w:rPr>
        <w:t xml:space="preserve"> s</w:t>
      </w:r>
      <w:r w:rsidR="00BA7CBB" w:rsidRPr="00BA7CBB">
        <w:rPr>
          <w:rFonts w:eastAsia="Times New Roman"/>
          <w:szCs w:val="24"/>
        </w:rPr>
        <w:t xml:space="preserve">tate and </w:t>
      </w:r>
      <w:r w:rsidR="00E457F6">
        <w:rPr>
          <w:rFonts w:eastAsia="Times New Roman"/>
          <w:szCs w:val="24"/>
        </w:rPr>
        <w:t>t</w:t>
      </w:r>
      <w:r w:rsidR="00BA7CBB" w:rsidRPr="00BA7CBB">
        <w:rPr>
          <w:rFonts w:eastAsia="Times New Roman"/>
          <w:szCs w:val="24"/>
        </w:rPr>
        <w:t>erritory governments</w:t>
      </w:r>
      <w:r w:rsidR="00882004">
        <w:rPr>
          <w:rFonts w:eastAsia="Times New Roman"/>
          <w:szCs w:val="24"/>
        </w:rPr>
        <w:t xml:space="preserve">. </w:t>
      </w:r>
      <w:r w:rsidR="00736258">
        <w:rPr>
          <w:rFonts w:eastAsia="Times New Roman"/>
          <w:szCs w:val="24"/>
        </w:rPr>
        <w:t>It is</w:t>
      </w:r>
      <w:r w:rsidR="00E93033">
        <w:rPr>
          <w:rFonts w:eastAsia="Times New Roman"/>
          <w:szCs w:val="24"/>
        </w:rPr>
        <w:t xml:space="preserve"> </w:t>
      </w:r>
      <w:r w:rsidR="007D29D5">
        <w:rPr>
          <w:rFonts w:eastAsia="Times New Roman"/>
          <w:szCs w:val="24"/>
        </w:rPr>
        <w:t xml:space="preserve">a </w:t>
      </w:r>
      <w:r w:rsidR="00E93033">
        <w:rPr>
          <w:rFonts w:eastAsia="Times New Roman"/>
          <w:szCs w:val="24"/>
        </w:rPr>
        <w:t xml:space="preserve">state and territory government </w:t>
      </w:r>
      <w:r w:rsidR="00C17A31">
        <w:rPr>
          <w:rFonts w:eastAsia="Times New Roman"/>
          <w:szCs w:val="24"/>
        </w:rPr>
        <w:t>that</w:t>
      </w:r>
      <w:r w:rsidR="00BA7CBB" w:rsidRPr="00BA7CBB">
        <w:rPr>
          <w:rFonts w:eastAsia="Times New Roman"/>
          <w:szCs w:val="24"/>
        </w:rPr>
        <w:t xml:space="preserve"> </w:t>
      </w:r>
      <w:proofErr w:type="gramStart"/>
      <w:r w:rsidR="00BA7CBB" w:rsidRPr="00BA7CBB">
        <w:rPr>
          <w:rFonts w:eastAsia="Times New Roman"/>
          <w:szCs w:val="24"/>
        </w:rPr>
        <w:t>enter</w:t>
      </w:r>
      <w:r w:rsidR="000C31C4">
        <w:rPr>
          <w:rFonts w:eastAsia="Times New Roman"/>
          <w:szCs w:val="24"/>
        </w:rPr>
        <w:t>s</w:t>
      </w:r>
      <w:r w:rsidR="00BA7CBB" w:rsidRPr="00BA7CBB">
        <w:rPr>
          <w:rFonts w:eastAsia="Times New Roman"/>
          <w:szCs w:val="24"/>
        </w:rPr>
        <w:t xml:space="preserve"> into</w:t>
      </w:r>
      <w:proofErr w:type="gramEnd"/>
      <w:r w:rsidR="00BA7CBB" w:rsidRPr="00BA7CBB">
        <w:rPr>
          <w:rFonts w:eastAsia="Times New Roman"/>
          <w:szCs w:val="24"/>
        </w:rPr>
        <w:t xml:space="preserve"> </w:t>
      </w:r>
      <w:r w:rsidR="00C17A31">
        <w:rPr>
          <w:rFonts w:eastAsia="Times New Roman"/>
          <w:szCs w:val="24"/>
        </w:rPr>
        <w:t>a</w:t>
      </w:r>
      <w:r w:rsidR="00BA7CBB" w:rsidRPr="00BA7CBB">
        <w:rPr>
          <w:rFonts w:eastAsia="Times New Roman"/>
          <w:szCs w:val="24"/>
        </w:rPr>
        <w:t xml:space="preserve"> host contract with the </w:t>
      </w:r>
      <w:r w:rsidR="0067634B">
        <w:rPr>
          <w:rFonts w:eastAsia="Times New Roman"/>
          <w:szCs w:val="24"/>
        </w:rPr>
        <w:t xml:space="preserve">event </w:t>
      </w:r>
      <w:r w:rsidR="00BA7CBB" w:rsidRPr="00BA7CBB">
        <w:rPr>
          <w:rFonts w:eastAsia="Times New Roman"/>
          <w:szCs w:val="24"/>
        </w:rPr>
        <w:t>organising body and</w:t>
      </w:r>
      <w:r w:rsidR="000C31C4">
        <w:rPr>
          <w:rFonts w:eastAsia="Times New Roman"/>
          <w:szCs w:val="24"/>
        </w:rPr>
        <w:t xml:space="preserve"> is</w:t>
      </w:r>
      <w:r w:rsidR="00BA7CBB" w:rsidRPr="00BA7CBB">
        <w:rPr>
          <w:rFonts w:eastAsia="Times New Roman"/>
          <w:szCs w:val="24"/>
        </w:rPr>
        <w:t xml:space="preserve"> responsible for deliver</w:t>
      </w:r>
      <w:r w:rsidR="00C17A31">
        <w:rPr>
          <w:rFonts w:eastAsia="Times New Roman"/>
          <w:szCs w:val="24"/>
        </w:rPr>
        <w:t>y</w:t>
      </w:r>
      <w:r w:rsidR="00BA7CBB" w:rsidRPr="00BA7CBB">
        <w:rPr>
          <w:rFonts w:eastAsia="Times New Roman"/>
          <w:szCs w:val="24"/>
        </w:rPr>
        <w:t>.</w:t>
      </w:r>
      <w:r w:rsidR="00671F8F">
        <w:rPr>
          <w:rFonts w:eastAsia="Times New Roman"/>
          <w:szCs w:val="24"/>
        </w:rPr>
        <w:t xml:space="preserve"> </w:t>
      </w:r>
      <w:r w:rsidR="00671F8F" w:rsidRPr="00653C2C">
        <w:rPr>
          <w:rFonts w:eastAsia="Times New Roman"/>
          <w:szCs w:val="24"/>
        </w:rPr>
        <w:t xml:space="preserve">The </w:t>
      </w:r>
      <w:r w:rsidR="00E457F6">
        <w:rPr>
          <w:rFonts w:eastAsia="Times New Roman"/>
          <w:szCs w:val="24"/>
        </w:rPr>
        <w:t>G</w:t>
      </w:r>
      <w:r w:rsidR="00671F8F" w:rsidRPr="00653C2C">
        <w:rPr>
          <w:rFonts w:eastAsia="Times New Roman"/>
          <w:szCs w:val="24"/>
        </w:rPr>
        <w:t xml:space="preserve">overnment cannot produce funding </w:t>
      </w:r>
      <w:r w:rsidR="006133EA">
        <w:rPr>
          <w:rFonts w:eastAsia="Times New Roman"/>
          <w:szCs w:val="24"/>
        </w:rPr>
        <w:t>option</w:t>
      </w:r>
      <w:r w:rsidR="00CE5CCE">
        <w:rPr>
          <w:rFonts w:eastAsia="Times New Roman"/>
          <w:szCs w:val="24"/>
        </w:rPr>
        <w:t>s</w:t>
      </w:r>
      <w:r w:rsidR="006133EA">
        <w:rPr>
          <w:rFonts w:eastAsia="Times New Roman"/>
          <w:szCs w:val="24"/>
        </w:rPr>
        <w:t xml:space="preserve"> to support events</w:t>
      </w:r>
      <w:r w:rsidR="00671F8F" w:rsidRPr="00653C2C">
        <w:rPr>
          <w:rFonts w:eastAsia="Times New Roman"/>
          <w:szCs w:val="24"/>
        </w:rPr>
        <w:t xml:space="preserve"> without a host jurisdiction</w:t>
      </w:r>
      <w:r w:rsidR="0096150F">
        <w:rPr>
          <w:rFonts w:eastAsia="Times New Roman"/>
          <w:szCs w:val="24"/>
        </w:rPr>
        <w:t xml:space="preserve"> or host contract in place.</w:t>
      </w:r>
    </w:p>
    <w:p w14:paraId="32B6B640" w14:textId="28B0B0A3" w:rsidR="00BA7CBB" w:rsidRPr="005D44BD" w:rsidRDefault="00671F8F" w:rsidP="00DC1C66">
      <w:pPr>
        <w:spacing w:after="120" w:line="240" w:lineRule="auto"/>
        <w:rPr>
          <w:rFonts w:eastAsia="Times New Roman"/>
          <w:szCs w:val="24"/>
        </w:rPr>
      </w:pPr>
      <w:r>
        <w:rPr>
          <w:rFonts w:eastAsia="Times New Roman"/>
          <w:szCs w:val="24"/>
        </w:rPr>
        <w:t>T</w:t>
      </w:r>
      <w:r w:rsidR="00A01AEF">
        <w:rPr>
          <w:rFonts w:eastAsia="Times New Roman"/>
          <w:szCs w:val="24"/>
        </w:rPr>
        <w:t xml:space="preserve">he </w:t>
      </w:r>
      <w:r w:rsidR="00E457F6">
        <w:rPr>
          <w:rFonts w:eastAsia="Times New Roman"/>
          <w:szCs w:val="24"/>
        </w:rPr>
        <w:t>G</w:t>
      </w:r>
      <w:r w:rsidR="00A01AEF">
        <w:rPr>
          <w:rFonts w:eastAsia="Times New Roman"/>
          <w:szCs w:val="24"/>
        </w:rPr>
        <w:t>overnment notes that p</w:t>
      </w:r>
      <w:r w:rsidR="00BA7CBB" w:rsidRPr="005D44BD">
        <w:rPr>
          <w:rFonts w:eastAsia="Times New Roman"/>
          <w:szCs w:val="24"/>
        </w:rPr>
        <w:t xml:space="preserve">rior to the </w:t>
      </w:r>
      <w:r w:rsidR="006E2957">
        <w:rPr>
          <w:rFonts w:eastAsia="Times New Roman"/>
          <w:szCs w:val="24"/>
        </w:rPr>
        <w:t xml:space="preserve">first </w:t>
      </w:r>
      <w:r w:rsidR="00BA7CBB" w:rsidRPr="005D44BD">
        <w:rPr>
          <w:rFonts w:eastAsia="Times New Roman"/>
          <w:szCs w:val="24"/>
        </w:rPr>
        <w:t>public hearing of th</w:t>
      </w:r>
      <w:r w:rsidR="00A01AEF">
        <w:rPr>
          <w:rFonts w:eastAsia="Times New Roman"/>
          <w:szCs w:val="24"/>
        </w:rPr>
        <w:t xml:space="preserve">is </w:t>
      </w:r>
      <w:r w:rsidR="00BA7CBB" w:rsidRPr="005D44BD">
        <w:rPr>
          <w:rFonts w:eastAsia="Times New Roman"/>
          <w:szCs w:val="24"/>
        </w:rPr>
        <w:t xml:space="preserve">Senate Inquiry, all </w:t>
      </w:r>
      <w:r w:rsidR="00A01AEF">
        <w:rPr>
          <w:rFonts w:eastAsia="Times New Roman"/>
          <w:szCs w:val="24"/>
        </w:rPr>
        <w:t>s</w:t>
      </w:r>
      <w:r w:rsidR="00BA7CBB" w:rsidRPr="005D44BD">
        <w:rPr>
          <w:rFonts w:eastAsia="Times New Roman"/>
          <w:szCs w:val="24"/>
        </w:rPr>
        <w:t xml:space="preserve">tate and </w:t>
      </w:r>
      <w:r w:rsidR="00A01AEF">
        <w:rPr>
          <w:rFonts w:eastAsia="Times New Roman"/>
          <w:szCs w:val="24"/>
        </w:rPr>
        <w:t>t</w:t>
      </w:r>
      <w:r w:rsidR="00BA7CBB" w:rsidRPr="005D44BD">
        <w:rPr>
          <w:rFonts w:eastAsia="Times New Roman"/>
          <w:szCs w:val="24"/>
        </w:rPr>
        <w:t>erritory leaders</w:t>
      </w:r>
      <w:r w:rsidR="00CB7482">
        <w:rPr>
          <w:rFonts w:eastAsia="Times New Roman"/>
          <w:szCs w:val="24"/>
        </w:rPr>
        <w:t xml:space="preserve"> had publicly</w:t>
      </w:r>
      <w:r w:rsidR="00BA7CBB" w:rsidRPr="005D44BD">
        <w:rPr>
          <w:rFonts w:eastAsia="Times New Roman"/>
          <w:szCs w:val="24"/>
        </w:rPr>
        <w:t xml:space="preserve"> ruled out bidding for the 2026 Commonwealth Games.</w:t>
      </w:r>
      <w:r w:rsidR="00CB7482">
        <w:rPr>
          <w:rFonts w:eastAsia="Times New Roman"/>
          <w:szCs w:val="24"/>
        </w:rPr>
        <w:t xml:space="preserve"> </w:t>
      </w:r>
      <w:r w:rsidR="00847056">
        <w:rPr>
          <w:rFonts w:eastAsia="Times New Roman"/>
          <w:szCs w:val="24"/>
        </w:rPr>
        <w:t xml:space="preserve">This position was confirmed on multiple occasions in meetings between </w:t>
      </w:r>
      <w:r w:rsidR="00932A7A">
        <w:rPr>
          <w:rFonts w:eastAsia="Times New Roman"/>
          <w:szCs w:val="24"/>
        </w:rPr>
        <w:t>the Australian and state and territory governments at various levels.</w:t>
      </w:r>
    </w:p>
    <w:p w14:paraId="0C81474C" w14:textId="23174AA4" w:rsidR="00EF62C8" w:rsidRDefault="00F71381" w:rsidP="00DC1C66">
      <w:pPr>
        <w:spacing w:after="120" w:line="240" w:lineRule="auto"/>
        <w:rPr>
          <w:rFonts w:eastAsia="Times New Roman"/>
          <w:szCs w:val="24"/>
        </w:rPr>
      </w:pPr>
      <w:r>
        <w:rPr>
          <w:rFonts w:eastAsia="Times New Roman"/>
          <w:szCs w:val="24"/>
        </w:rPr>
        <w:t>There we</w:t>
      </w:r>
      <w:r w:rsidR="004B39D5">
        <w:rPr>
          <w:rFonts w:eastAsia="Times New Roman"/>
          <w:szCs w:val="24"/>
        </w:rPr>
        <w:t xml:space="preserve">re no changes to </w:t>
      </w:r>
      <w:r w:rsidR="00A557BD">
        <w:rPr>
          <w:rFonts w:eastAsia="Times New Roman"/>
          <w:szCs w:val="24"/>
        </w:rPr>
        <w:t xml:space="preserve">the </w:t>
      </w:r>
      <w:r w:rsidR="000E4B7E">
        <w:rPr>
          <w:rFonts w:eastAsia="Times New Roman"/>
          <w:szCs w:val="24"/>
        </w:rPr>
        <w:t>G</w:t>
      </w:r>
      <w:r w:rsidR="004B39D5">
        <w:rPr>
          <w:rFonts w:eastAsia="Times New Roman"/>
          <w:szCs w:val="24"/>
        </w:rPr>
        <w:t>overnment</w:t>
      </w:r>
      <w:r w:rsidR="00A557BD">
        <w:rPr>
          <w:rFonts w:eastAsia="Times New Roman"/>
          <w:szCs w:val="24"/>
        </w:rPr>
        <w:t>’s</w:t>
      </w:r>
      <w:r w:rsidR="004B39D5">
        <w:rPr>
          <w:rFonts w:eastAsia="Times New Roman"/>
          <w:szCs w:val="24"/>
        </w:rPr>
        <w:t xml:space="preserve"> </w:t>
      </w:r>
      <w:r w:rsidR="00604F9B">
        <w:rPr>
          <w:rFonts w:eastAsia="Times New Roman"/>
          <w:szCs w:val="24"/>
        </w:rPr>
        <w:t>funding</w:t>
      </w:r>
      <w:r w:rsidR="000E5095">
        <w:rPr>
          <w:rFonts w:eastAsia="Times New Roman"/>
          <w:szCs w:val="24"/>
        </w:rPr>
        <w:t xml:space="preserve"> for National Sporting Organisations</w:t>
      </w:r>
      <w:r w:rsidR="004B39D5">
        <w:rPr>
          <w:rFonts w:eastAsia="Times New Roman"/>
          <w:szCs w:val="24"/>
        </w:rPr>
        <w:t xml:space="preserve"> (NSOs)</w:t>
      </w:r>
      <w:r w:rsidR="000E5095">
        <w:rPr>
          <w:rFonts w:eastAsia="Times New Roman"/>
          <w:szCs w:val="24"/>
        </w:rPr>
        <w:t xml:space="preserve"> and National Sporting Organisations for people with a Disability</w:t>
      </w:r>
      <w:r w:rsidR="00D146EC">
        <w:rPr>
          <w:rFonts w:eastAsia="Times New Roman"/>
          <w:szCs w:val="24"/>
        </w:rPr>
        <w:t xml:space="preserve"> (NSODs) </w:t>
      </w:r>
      <w:proofErr w:type="gramStart"/>
      <w:r w:rsidR="00EF62C8" w:rsidRPr="00255549">
        <w:rPr>
          <w:rFonts w:eastAsia="Times New Roman"/>
          <w:szCs w:val="24"/>
        </w:rPr>
        <w:t>as a result of</w:t>
      </w:r>
      <w:proofErr w:type="gramEnd"/>
      <w:r w:rsidR="00EF62C8" w:rsidRPr="00255549">
        <w:rPr>
          <w:rFonts w:eastAsia="Times New Roman"/>
          <w:szCs w:val="24"/>
        </w:rPr>
        <w:t xml:space="preserve"> the Victorian Government’s decision to</w:t>
      </w:r>
      <w:r w:rsidR="008752DF">
        <w:rPr>
          <w:rFonts w:eastAsia="Times New Roman"/>
          <w:szCs w:val="24"/>
        </w:rPr>
        <w:t xml:space="preserve"> withdraw as</w:t>
      </w:r>
      <w:r w:rsidR="00EF62C8" w:rsidRPr="00255549">
        <w:rPr>
          <w:rFonts w:eastAsia="Times New Roman"/>
          <w:szCs w:val="24"/>
        </w:rPr>
        <w:t xml:space="preserve"> host</w:t>
      </w:r>
      <w:r w:rsidR="008752DF">
        <w:rPr>
          <w:rFonts w:eastAsia="Times New Roman"/>
          <w:szCs w:val="24"/>
        </w:rPr>
        <w:t xml:space="preserve"> of</w:t>
      </w:r>
      <w:r w:rsidR="00EF62C8" w:rsidRPr="00255549">
        <w:rPr>
          <w:rFonts w:eastAsia="Times New Roman"/>
          <w:szCs w:val="24"/>
        </w:rPr>
        <w:t xml:space="preserve"> the 2026 Commonwealth Games. </w:t>
      </w:r>
    </w:p>
    <w:p w14:paraId="1218FA54" w14:textId="4101EB0F" w:rsidR="00A9214C" w:rsidRPr="00CB7D41" w:rsidRDefault="00DD20D8" w:rsidP="00DC1C66">
      <w:pPr>
        <w:spacing w:after="120" w:line="240" w:lineRule="auto"/>
        <w:rPr>
          <w:rFonts w:cstheme="minorHAnsi"/>
          <w:iCs/>
          <w:color w:val="FF0000"/>
          <w:szCs w:val="24"/>
        </w:rPr>
      </w:pPr>
      <w:r>
        <w:rPr>
          <w:rFonts w:eastAsia="Times New Roman"/>
          <w:szCs w:val="24"/>
        </w:rPr>
        <w:t xml:space="preserve">The Australian Sports Commission (ASC) </w:t>
      </w:r>
      <w:r w:rsidR="00CB7D41">
        <w:rPr>
          <w:rFonts w:eastAsia="Times New Roman"/>
          <w:szCs w:val="24"/>
        </w:rPr>
        <w:t>works closely with Olympic, Para</w:t>
      </w:r>
      <w:r w:rsidR="00A9214C" w:rsidRPr="00CB7D41">
        <w:rPr>
          <w:rFonts w:eastAsia="Times New Roman"/>
          <w:szCs w:val="24"/>
        </w:rPr>
        <w:t>lympic and Commonwealth Games sport</w:t>
      </w:r>
      <w:r w:rsidR="001824FC">
        <w:rPr>
          <w:rFonts w:eastAsia="Times New Roman"/>
          <w:szCs w:val="24"/>
        </w:rPr>
        <w:t>s</w:t>
      </w:r>
      <w:r w:rsidR="00A9214C" w:rsidRPr="00CB7D41">
        <w:rPr>
          <w:rFonts w:eastAsia="Times New Roman"/>
          <w:szCs w:val="24"/>
        </w:rPr>
        <w:t xml:space="preserve"> to support athletes, coaches and performance support staff in the lead up to their pinnacle sporting events.</w:t>
      </w:r>
      <w:r w:rsidR="00C13500">
        <w:rPr>
          <w:rFonts w:eastAsia="Times New Roman"/>
          <w:szCs w:val="24"/>
        </w:rPr>
        <w:t xml:space="preserve"> More information on </w:t>
      </w:r>
      <w:r w:rsidR="004B7BA8">
        <w:rPr>
          <w:rFonts w:eastAsia="Times New Roman"/>
          <w:szCs w:val="24"/>
        </w:rPr>
        <w:t>the Gov</w:t>
      </w:r>
      <w:r w:rsidR="00067ED5">
        <w:rPr>
          <w:rFonts w:eastAsia="Times New Roman"/>
          <w:szCs w:val="24"/>
        </w:rPr>
        <w:t>ernment</w:t>
      </w:r>
      <w:r w:rsidR="004B7BA8">
        <w:rPr>
          <w:rFonts w:eastAsia="Times New Roman"/>
          <w:szCs w:val="24"/>
        </w:rPr>
        <w:t>’s</w:t>
      </w:r>
      <w:r w:rsidR="00067ED5">
        <w:rPr>
          <w:rFonts w:eastAsia="Times New Roman"/>
          <w:szCs w:val="24"/>
        </w:rPr>
        <w:t xml:space="preserve"> investment in</w:t>
      </w:r>
      <w:r w:rsidR="0030270E">
        <w:rPr>
          <w:rFonts w:eastAsia="Times New Roman"/>
          <w:szCs w:val="24"/>
        </w:rPr>
        <w:t xml:space="preserve"> support of Australia’s </w:t>
      </w:r>
      <w:proofErr w:type="gramStart"/>
      <w:r w:rsidR="0030270E">
        <w:rPr>
          <w:rFonts w:eastAsia="Times New Roman"/>
          <w:szCs w:val="24"/>
        </w:rPr>
        <w:t>high performance</w:t>
      </w:r>
      <w:proofErr w:type="gramEnd"/>
      <w:r w:rsidR="0030270E">
        <w:rPr>
          <w:rFonts w:eastAsia="Times New Roman"/>
          <w:szCs w:val="24"/>
        </w:rPr>
        <w:t xml:space="preserve"> athletes and pathways can be found </w:t>
      </w:r>
      <w:r w:rsidR="0000275C">
        <w:rPr>
          <w:rFonts w:eastAsia="Times New Roman"/>
          <w:szCs w:val="24"/>
        </w:rPr>
        <w:t>under</w:t>
      </w:r>
      <w:r w:rsidR="00005F39">
        <w:rPr>
          <w:rFonts w:eastAsia="Times New Roman"/>
          <w:szCs w:val="24"/>
        </w:rPr>
        <w:t xml:space="preserve"> the </w:t>
      </w:r>
      <w:r w:rsidR="00C17A31">
        <w:rPr>
          <w:rFonts w:eastAsia="Times New Roman"/>
          <w:szCs w:val="24"/>
        </w:rPr>
        <w:t>‘</w:t>
      </w:r>
      <w:r w:rsidR="00005F39">
        <w:rPr>
          <w:rFonts w:eastAsia="Times New Roman"/>
          <w:szCs w:val="24"/>
        </w:rPr>
        <w:t>high performance funding</w:t>
      </w:r>
      <w:r w:rsidR="00C17A31">
        <w:rPr>
          <w:rFonts w:eastAsia="Times New Roman"/>
          <w:szCs w:val="24"/>
        </w:rPr>
        <w:t>’</w:t>
      </w:r>
      <w:r w:rsidR="00005F39">
        <w:rPr>
          <w:rFonts w:eastAsia="Times New Roman"/>
          <w:szCs w:val="24"/>
        </w:rPr>
        <w:t xml:space="preserve"> key theme.</w:t>
      </w:r>
    </w:p>
    <w:p w14:paraId="2C178308" w14:textId="5A8C6751" w:rsidR="0056044B" w:rsidRPr="00E457F6" w:rsidRDefault="00D31698" w:rsidP="00DC1C66">
      <w:pPr>
        <w:spacing w:after="120" w:line="240" w:lineRule="auto"/>
        <w:rPr>
          <w:rFonts w:eastAsia="Times New Roman"/>
          <w:b/>
          <w:szCs w:val="24"/>
        </w:rPr>
      </w:pPr>
      <w:r w:rsidRPr="00E457F6">
        <w:rPr>
          <w:rFonts w:eastAsia="Times New Roman"/>
          <w:b/>
          <w:szCs w:val="24"/>
        </w:rPr>
        <w:t xml:space="preserve">The </w:t>
      </w:r>
      <w:r w:rsidR="00E8070A">
        <w:rPr>
          <w:rFonts w:eastAsia="Times New Roman"/>
          <w:b/>
          <w:szCs w:val="24"/>
        </w:rPr>
        <w:t>G</w:t>
      </w:r>
      <w:r w:rsidRPr="00E457F6">
        <w:rPr>
          <w:rFonts w:eastAsia="Times New Roman"/>
          <w:b/>
          <w:szCs w:val="24"/>
        </w:rPr>
        <w:t xml:space="preserve">overnment </w:t>
      </w:r>
      <w:r w:rsidRPr="00E457F6">
        <w:rPr>
          <w:rFonts w:eastAsia="Times New Roman"/>
          <w:b/>
          <w:bCs/>
          <w:szCs w:val="24"/>
        </w:rPr>
        <w:t xml:space="preserve">does not </w:t>
      </w:r>
      <w:r w:rsidR="009A3630" w:rsidRPr="00E457F6">
        <w:rPr>
          <w:rFonts w:eastAsia="Times New Roman"/>
          <w:b/>
          <w:bCs/>
          <w:szCs w:val="24"/>
        </w:rPr>
        <w:t>support</w:t>
      </w:r>
      <w:r w:rsidRPr="00E457F6">
        <w:rPr>
          <w:rFonts w:eastAsia="Times New Roman"/>
          <w:b/>
          <w:szCs w:val="24"/>
        </w:rPr>
        <w:t xml:space="preserve"> Interim Report Recommendation 4</w:t>
      </w:r>
      <w:r w:rsidR="00841495" w:rsidRPr="00E457F6">
        <w:rPr>
          <w:rFonts w:eastAsia="Times New Roman"/>
          <w:b/>
          <w:szCs w:val="24"/>
        </w:rPr>
        <w:t xml:space="preserve"> or Second Interim Report Recommendation 1</w:t>
      </w:r>
      <w:r w:rsidR="00783110" w:rsidRPr="00E457F6">
        <w:rPr>
          <w:rFonts w:eastAsia="Times New Roman"/>
          <w:b/>
          <w:szCs w:val="24"/>
        </w:rPr>
        <w:t>7</w:t>
      </w:r>
      <w:r w:rsidRPr="00E457F6">
        <w:rPr>
          <w:rFonts w:eastAsia="Times New Roman"/>
          <w:b/>
          <w:szCs w:val="24"/>
        </w:rPr>
        <w:t>.</w:t>
      </w:r>
    </w:p>
    <w:p w14:paraId="04E5124F" w14:textId="7574E8FF" w:rsidR="00D31698" w:rsidRDefault="00D31698" w:rsidP="00DC1C66">
      <w:pPr>
        <w:spacing w:after="120" w:line="240" w:lineRule="auto"/>
        <w:rPr>
          <w:rFonts w:eastAsia="Times New Roman"/>
          <w:szCs w:val="24"/>
        </w:rPr>
      </w:pPr>
      <w:r w:rsidRPr="0022132E">
        <w:rPr>
          <w:rFonts w:eastAsia="Times New Roman"/>
          <w:szCs w:val="24"/>
        </w:rPr>
        <w:t xml:space="preserve">Unilateral </w:t>
      </w:r>
      <w:r w:rsidRPr="005C2542">
        <w:rPr>
          <w:rFonts w:eastAsia="Times New Roman"/>
          <w:szCs w:val="24"/>
        </w:rPr>
        <w:t xml:space="preserve">funding decisions taken by state </w:t>
      </w:r>
      <w:r w:rsidR="00C33CF6">
        <w:rPr>
          <w:rFonts w:eastAsia="Times New Roman"/>
          <w:szCs w:val="24"/>
        </w:rPr>
        <w:t xml:space="preserve">and </w:t>
      </w:r>
      <w:r>
        <w:rPr>
          <w:rFonts w:eastAsia="Times New Roman"/>
          <w:szCs w:val="24"/>
        </w:rPr>
        <w:t xml:space="preserve">territory </w:t>
      </w:r>
      <w:r w:rsidRPr="005C2542">
        <w:rPr>
          <w:rFonts w:eastAsia="Times New Roman"/>
          <w:szCs w:val="24"/>
        </w:rPr>
        <w:t xml:space="preserve">governments remain matters for </w:t>
      </w:r>
      <w:r w:rsidR="009170A9">
        <w:rPr>
          <w:rFonts w:eastAsia="Times New Roman"/>
          <w:szCs w:val="24"/>
        </w:rPr>
        <w:t xml:space="preserve">consideration by </w:t>
      </w:r>
      <w:r>
        <w:rPr>
          <w:rFonts w:eastAsia="Times New Roman"/>
          <w:szCs w:val="24"/>
        </w:rPr>
        <w:t xml:space="preserve">those </w:t>
      </w:r>
      <w:r w:rsidR="001A65F6">
        <w:rPr>
          <w:rFonts w:eastAsia="Times New Roman"/>
          <w:szCs w:val="24"/>
        </w:rPr>
        <w:t>state and terr</w:t>
      </w:r>
      <w:r w:rsidR="00C33CF6">
        <w:rPr>
          <w:rFonts w:eastAsia="Times New Roman"/>
          <w:szCs w:val="24"/>
        </w:rPr>
        <w:t>i</w:t>
      </w:r>
      <w:r w:rsidR="001A65F6">
        <w:rPr>
          <w:rFonts w:eastAsia="Times New Roman"/>
          <w:szCs w:val="24"/>
        </w:rPr>
        <w:t>t</w:t>
      </w:r>
      <w:r w:rsidR="00C33CF6">
        <w:rPr>
          <w:rFonts w:eastAsia="Times New Roman"/>
          <w:szCs w:val="24"/>
        </w:rPr>
        <w:t>or</w:t>
      </w:r>
      <w:r w:rsidR="001A65F6">
        <w:rPr>
          <w:rFonts w:eastAsia="Times New Roman"/>
          <w:szCs w:val="24"/>
        </w:rPr>
        <w:t xml:space="preserve">y </w:t>
      </w:r>
      <w:r w:rsidRPr="005C2542">
        <w:rPr>
          <w:rFonts w:eastAsia="Times New Roman"/>
          <w:szCs w:val="24"/>
        </w:rPr>
        <w:t>governments and parliamen</w:t>
      </w:r>
      <w:r w:rsidR="00A04ADF">
        <w:rPr>
          <w:rFonts w:eastAsia="Times New Roman"/>
          <w:szCs w:val="24"/>
        </w:rPr>
        <w:t>ts.</w:t>
      </w:r>
    </w:p>
    <w:p w14:paraId="4239A234" w14:textId="4776FC99" w:rsidR="009170A9" w:rsidRDefault="0010289E" w:rsidP="009170A9">
      <w:pPr>
        <w:spacing w:after="120" w:line="240" w:lineRule="auto"/>
        <w:rPr>
          <w:rFonts w:eastAsia="Times New Roman"/>
          <w:szCs w:val="24"/>
        </w:rPr>
      </w:pPr>
      <w:r>
        <w:rPr>
          <w:rFonts w:eastAsia="Times New Roman"/>
          <w:szCs w:val="24"/>
        </w:rPr>
        <w:t xml:space="preserve">The Parliament of Victoria </w:t>
      </w:r>
      <w:r w:rsidR="00DD1568">
        <w:rPr>
          <w:rFonts w:eastAsia="Times New Roman"/>
          <w:szCs w:val="24"/>
        </w:rPr>
        <w:t xml:space="preserve">held an inquiry into the 2026 Commonwealth Games bid and </w:t>
      </w:r>
      <w:r w:rsidR="00082B7C">
        <w:rPr>
          <w:rFonts w:eastAsia="Times New Roman"/>
          <w:szCs w:val="24"/>
        </w:rPr>
        <w:t>produced a comprehensive final report in April 2025</w:t>
      </w:r>
      <w:r w:rsidR="006902D8">
        <w:rPr>
          <w:rStyle w:val="FootnoteReference"/>
          <w:rFonts w:eastAsia="Times New Roman"/>
          <w:szCs w:val="24"/>
        </w:rPr>
        <w:footnoteReference w:id="3"/>
      </w:r>
      <w:r w:rsidR="00082B7C">
        <w:rPr>
          <w:rFonts w:eastAsia="Times New Roman"/>
          <w:szCs w:val="24"/>
        </w:rPr>
        <w:t>.</w:t>
      </w:r>
      <w:r w:rsidR="006032A7">
        <w:rPr>
          <w:rFonts w:eastAsia="Times New Roman"/>
          <w:szCs w:val="24"/>
        </w:rPr>
        <w:t xml:space="preserve"> The report includes </w:t>
      </w:r>
      <w:r w:rsidR="004336D6">
        <w:rPr>
          <w:rFonts w:eastAsia="Times New Roman"/>
          <w:szCs w:val="24"/>
        </w:rPr>
        <w:t xml:space="preserve">information </w:t>
      </w:r>
      <w:r w:rsidR="004B1D52">
        <w:rPr>
          <w:rFonts w:eastAsia="Times New Roman"/>
          <w:szCs w:val="24"/>
        </w:rPr>
        <w:t xml:space="preserve">both </w:t>
      </w:r>
      <w:r w:rsidR="004336D6">
        <w:rPr>
          <w:rFonts w:eastAsia="Times New Roman"/>
          <w:szCs w:val="24"/>
        </w:rPr>
        <w:t xml:space="preserve">on the </w:t>
      </w:r>
      <w:r w:rsidR="004B1D52">
        <w:rPr>
          <w:rFonts w:eastAsia="Times New Roman"/>
          <w:szCs w:val="24"/>
        </w:rPr>
        <w:t>status of the Victorian Government’s rural and regional funding package, and</w:t>
      </w:r>
      <w:r w:rsidR="004336D6">
        <w:rPr>
          <w:rFonts w:eastAsia="Times New Roman"/>
          <w:szCs w:val="24"/>
        </w:rPr>
        <w:t xml:space="preserve"> the impact of the Victorian Government’s withdrawal as host</w:t>
      </w:r>
      <w:r w:rsidR="00671F8F">
        <w:rPr>
          <w:rFonts w:eastAsia="Times New Roman"/>
          <w:szCs w:val="24"/>
        </w:rPr>
        <w:t>.</w:t>
      </w:r>
    </w:p>
    <w:p w14:paraId="3AC5458F" w14:textId="77777777" w:rsidR="009170A9" w:rsidRDefault="009170A9">
      <w:pPr>
        <w:spacing w:after="160" w:line="259" w:lineRule="auto"/>
        <w:rPr>
          <w:rFonts w:eastAsia="Times New Roman"/>
          <w:szCs w:val="24"/>
        </w:rPr>
      </w:pPr>
      <w:r>
        <w:rPr>
          <w:rFonts w:eastAsia="Times New Roman"/>
          <w:szCs w:val="24"/>
        </w:rPr>
        <w:br w:type="page"/>
      </w:r>
    </w:p>
    <w:tbl>
      <w:tblPr>
        <w:tblStyle w:val="TableGrid"/>
        <w:tblW w:w="0" w:type="auto"/>
        <w:tblBorders>
          <w:insideH w:val="none" w:sz="0" w:space="0" w:color="auto"/>
        </w:tblBorders>
        <w:tblLook w:val="04A0" w:firstRow="1" w:lastRow="0" w:firstColumn="1" w:lastColumn="0" w:noHBand="0" w:noVBand="1"/>
      </w:tblPr>
      <w:tblGrid>
        <w:gridCol w:w="9016"/>
      </w:tblGrid>
      <w:tr w:rsidR="005A192F" w14:paraId="7EF6D82A" w14:textId="77777777" w:rsidTr="00797926">
        <w:tc>
          <w:tcPr>
            <w:tcW w:w="9016" w:type="dxa"/>
          </w:tcPr>
          <w:p w14:paraId="0521DBB8" w14:textId="54ACD5B4" w:rsidR="005A192F" w:rsidRDefault="005A192F" w:rsidP="00DC1C66">
            <w:pPr>
              <w:pStyle w:val="Heading2"/>
              <w:spacing w:before="160" w:after="160" w:line="240" w:lineRule="auto"/>
            </w:pPr>
            <w:r w:rsidRPr="006D4A1C">
              <w:lastRenderedPageBreak/>
              <w:t xml:space="preserve">Key Theme: </w:t>
            </w:r>
            <w:r>
              <w:t xml:space="preserve">Brisbane 2032 Olympic and Paralympic Games – Infrastructure </w:t>
            </w:r>
          </w:p>
        </w:tc>
      </w:tr>
      <w:tr w:rsidR="005A192F" w14:paraId="61C14C1A" w14:textId="77777777" w:rsidTr="00797926">
        <w:tc>
          <w:tcPr>
            <w:tcW w:w="9016" w:type="dxa"/>
            <w:shd w:val="clear" w:color="auto" w:fill="D0CECE" w:themeFill="background2" w:themeFillShade="E6"/>
          </w:tcPr>
          <w:p w14:paraId="73C284C9" w14:textId="77777777" w:rsidR="005A192F" w:rsidRPr="00E32CAA" w:rsidRDefault="005A192F" w:rsidP="00797926">
            <w:pPr>
              <w:spacing w:after="0" w:line="240" w:lineRule="auto"/>
              <w:rPr>
                <w:rFonts w:cstheme="minorHAnsi"/>
                <w:b/>
                <w:szCs w:val="24"/>
              </w:rPr>
            </w:pPr>
            <w:r>
              <w:rPr>
                <w:rFonts w:cstheme="minorHAnsi"/>
                <w:b/>
                <w:szCs w:val="24"/>
              </w:rPr>
              <w:t xml:space="preserve">Interim Report </w:t>
            </w:r>
            <w:r w:rsidRPr="00E32CAA">
              <w:rPr>
                <w:rFonts w:cstheme="minorHAnsi"/>
                <w:b/>
                <w:szCs w:val="24"/>
              </w:rPr>
              <w:t xml:space="preserve">Recommendation </w:t>
            </w:r>
            <w:r>
              <w:rPr>
                <w:rFonts w:cstheme="minorHAnsi"/>
                <w:b/>
                <w:szCs w:val="24"/>
              </w:rPr>
              <w:t>5</w:t>
            </w:r>
          </w:p>
          <w:p w14:paraId="086CFDF2" w14:textId="77777777" w:rsidR="005A192F" w:rsidRPr="00DC1F94"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Government works with the Queensland Government, affected communities and Olympics Games organising bodies to urgently review the decision to host Athletics events at the Gabba stadium and the associated plans to demolish the East Brisbane State School and temporarily remove community access to Raymond Park. The review should consider the feasibility of alternative options, including using existing infrastructure, and work to find a solution that is acceptable to these communities.</w:t>
            </w:r>
          </w:p>
          <w:p w14:paraId="5856E82E" w14:textId="77777777" w:rsidR="005A192F" w:rsidRPr="00DC1F94" w:rsidRDefault="005A192F" w:rsidP="00797926">
            <w:pPr>
              <w:spacing w:after="0" w:line="240" w:lineRule="auto"/>
              <w:rPr>
                <w:rFonts w:cstheme="minorHAnsi"/>
                <w:b/>
                <w:szCs w:val="24"/>
              </w:rPr>
            </w:pPr>
            <w:r w:rsidRPr="00DC1F94">
              <w:rPr>
                <w:rFonts w:cstheme="minorHAnsi"/>
                <w:b/>
                <w:szCs w:val="24"/>
              </w:rPr>
              <w:t>Interim Report Recommendation 6</w:t>
            </w:r>
          </w:p>
          <w:p w14:paraId="1916208E" w14:textId="23EA6E32" w:rsidR="005A192F" w:rsidRPr="00DC1F94" w:rsidRDefault="005A192F" w:rsidP="00797926">
            <w:pPr>
              <w:spacing w:after="120" w:line="240" w:lineRule="auto"/>
              <w:rPr>
                <w:rFonts w:cstheme="minorHAnsi"/>
                <w:bCs/>
                <w:i/>
                <w:szCs w:val="24"/>
              </w:rPr>
            </w:pPr>
            <w:r w:rsidRPr="00DC1F94">
              <w:rPr>
                <w:rFonts w:cstheme="minorHAnsi"/>
                <w:bCs/>
                <w:i/>
                <w:szCs w:val="24"/>
              </w:rPr>
              <w:t>If the result of a review of the Gabba stadium decision still requires the demolition of the East Brisbane School, the Queensland Government should work with the local community to build a new school in closer proximity to the existing school than the proposed Coorparoo school.</w:t>
            </w:r>
          </w:p>
          <w:p w14:paraId="00EB9406" w14:textId="77777777" w:rsidR="005A192F" w:rsidRPr="00DC1F94" w:rsidRDefault="005A192F" w:rsidP="00797926">
            <w:pPr>
              <w:spacing w:after="0" w:line="240" w:lineRule="auto"/>
              <w:rPr>
                <w:rFonts w:cstheme="minorHAnsi"/>
                <w:b/>
                <w:szCs w:val="24"/>
              </w:rPr>
            </w:pPr>
            <w:r w:rsidRPr="00DC1F94">
              <w:rPr>
                <w:rFonts w:cstheme="minorHAnsi"/>
                <w:b/>
                <w:szCs w:val="24"/>
              </w:rPr>
              <w:t>Interim Report Recommendation 7</w:t>
            </w:r>
          </w:p>
          <w:p w14:paraId="689A52A4" w14:textId="77777777" w:rsidR="005A192F" w:rsidRPr="00DC1F94"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Government works through an intergovernmental forum, such as National Cabinet, to explore the most cost-effective solution for hosting the canoe slalom events at the Brisbane 2032 Games. If it is feasible to host the events at the Penrith Whitewater Centre in New South Wales, including with refurbishments, this option should be prioritised over building a new facility.</w:t>
            </w:r>
          </w:p>
          <w:p w14:paraId="03613AB8" w14:textId="77777777" w:rsidR="005A192F" w:rsidRPr="00DC1F94" w:rsidRDefault="005A192F" w:rsidP="00797926">
            <w:pPr>
              <w:spacing w:after="0" w:line="240" w:lineRule="auto"/>
              <w:rPr>
                <w:rFonts w:cstheme="minorHAnsi"/>
                <w:b/>
                <w:szCs w:val="24"/>
              </w:rPr>
            </w:pPr>
            <w:r w:rsidRPr="00DC1F94">
              <w:rPr>
                <w:rFonts w:cstheme="minorHAnsi"/>
                <w:b/>
                <w:szCs w:val="24"/>
              </w:rPr>
              <w:t>Second Interim Report Recommendation 3</w:t>
            </w:r>
          </w:p>
          <w:p w14:paraId="44165B51" w14:textId="77777777" w:rsidR="005A192F" w:rsidRPr="00DC1F94"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reiterates its recommendation in the first interim report and recommends that the Australian Government works with the Queensland Government to halt the redevelopment of the Brisbane Cricket Ground (Gabba) until such time that a review of the business case and a socioeconomic cost benefit analysis of the decision to redevelop the Gabba has been completed. This business case should consider the costs of relocating the East Brisbane State School, as stated in the first interim report, as well as the additional costs of displacing sporting codes that currently use the Gabba.</w:t>
            </w:r>
          </w:p>
          <w:p w14:paraId="28BA0E4A" w14:textId="77777777" w:rsidR="005A192F" w:rsidRPr="00797926" w:rsidRDefault="005A192F" w:rsidP="00797926">
            <w:pPr>
              <w:spacing w:after="0" w:line="240" w:lineRule="auto"/>
              <w:rPr>
                <w:rFonts w:cstheme="minorHAnsi"/>
                <w:b/>
                <w:szCs w:val="24"/>
              </w:rPr>
            </w:pPr>
            <w:r w:rsidRPr="00DC1F94">
              <w:rPr>
                <w:rFonts w:cstheme="minorHAnsi"/>
                <w:b/>
                <w:szCs w:val="24"/>
              </w:rPr>
              <w:t>Second Interim Report Recommendation 8</w:t>
            </w:r>
          </w:p>
          <w:p w14:paraId="04C2FAE3" w14:textId="77777777" w:rsidR="005A192F" w:rsidRPr="00DC1F94"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Parliament consider amendments to the Infrastructure Australia Amendment (Independent Review) Bill 2023 to expand Infrastructure Australia’s functions to include nationally significant social infrastructure and provide a greater level of overview for the Brisbane Live Arena project.</w:t>
            </w:r>
          </w:p>
          <w:p w14:paraId="471F8D50" w14:textId="77777777" w:rsidR="005A192F" w:rsidRPr="00797926" w:rsidRDefault="005A192F" w:rsidP="00797926">
            <w:pPr>
              <w:spacing w:after="0" w:line="240" w:lineRule="auto"/>
              <w:rPr>
                <w:rFonts w:cstheme="minorHAnsi"/>
                <w:b/>
                <w:szCs w:val="24"/>
              </w:rPr>
            </w:pPr>
            <w:r w:rsidRPr="00DC1F94">
              <w:rPr>
                <w:rFonts w:cstheme="minorHAnsi"/>
                <w:b/>
                <w:szCs w:val="24"/>
              </w:rPr>
              <w:t>Second Interim Report Recommendation 9</w:t>
            </w:r>
          </w:p>
          <w:p w14:paraId="6F9C4E6E" w14:textId="606616C3" w:rsidR="005A192F" w:rsidRPr="00797926"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Government work cohesively with the Queensland Government to ensure completion of the Sunshine Coast Direct Line from Beerwah to Maroochydore. To de-risk the delivery timelines the project should be delivered in 2029–30 as set out in the March 2022–23 Budget to ensure the rail is operational well in advance of the Brisbane 2032 Games.</w:t>
            </w:r>
          </w:p>
          <w:p w14:paraId="5A79BF21" w14:textId="77777777" w:rsidR="005A192F" w:rsidRDefault="005A192F" w:rsidP="00797926">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10</w:t>
            </w:r>
          </w:p>
          <w:p w14:paraId="5ECFB78C" w14:textId="3B4E6977" w:rsidR="005A192F" w:rsidRPr="005A192F" w:rsidRDefault="005A192F" w:rsidP="00797926">
            <w:pPr>
              <w:spacing w:after="120" w:line="240" w:lineRule="auto"/>
              <w:rPr>
                <w:i/>
                <w:iCs/>
              </w:rPr>
            </w:pPr>
            <w:r w:rsidRPr="64A64454">
              <w:rPr>
                <w:i/>
                <w:iCs/>
              </w:rPr>
              <w:t xml:space="preserve">The </w:t>
            </w:r>
            <w:r w:rsidRPr="64A64454" w:rsidDel="00491666">
              <w:rPr>
                <w:i/>
                <w:iCs/>
              </w:rPr>
              <w:t>committee</w:t>
            </w:r>
            <w:r w:rsidRPr="64A64454">
              <w:rPr>
                <w:i/>
                <w:iCs/>
              </w:rPr>
              <w:t xml:space="preserve"> recommends the Australian Government provide greater clarity and transparency on the delivery of infrastructure projects for the Brisbane 2032 Games, or for projects that will have an impact on the Games. As part of this work the </w:t>
            </w:r>
            <w:r w:rsidRPr="64A64454" w:rsidDel="00491666">
              <w:rPr>
                <w:i/>
                <w:iCs/>
              </w:rPr>
              <w:t xml:space="preserve">committee </w:t>
            </w:r>
            <w:r w:rsidRPr="64A64454">
              <w:rPr>
                <w:i/>
                <w:iCs/>
              </w:rPr>
              <w:t xml:space="preserve">also </w:t>
            </w:r>
            <w:r w:rsidRPr="64A64454">
              <w:rPr>
                <w:i/>
                <w:iCs/>
              </w:rPr>
              <w:lastRenderedPageBreak/>
              <w:t>recommends that the business case for the Brisbane Live Arena be put to Infrastructure Australia for assessment to ensure it meets the Australian Government’s infrastructure priorities.</w:t>
            </w:r>
          </w:p>
        </w:tc>
      </w:tr>
    </w:tbl>
    <w:p w14:paraId="3BDF5996" w14:textId="77777777" w:rsidR="005F2F2D" w:rsidRPr="00783110" w:rsidRDefault="005F2F2D" w:rsidP="005F2F2D">
      <w:pPr>
        <w:spacing w:after="160" w:line="259" w:lineRule="auto"/>
        <w:rPr>
          <w:rFonts w:cstheme="minorHAnsi"/>
          <w:szCs w:val="24"/>
          <w:lang w:val="en" w:eastAsia="en-AU"/>
        </w:rPr>
      </w:pPr>
    </w:p>
    <w:p w14:paraId="027CACDB" w14:textId="5A0BC4BF" w:rsidR="005F2F2D" w:rsidRPr="00B44790" w:rsidRDefault="00CA15E3" w:rsidP="005F2F2D">
      <w:pPr>
        <w:spacing w:after="120" w:line="240" w:lineRule="auto"/>
        <w:rPr>
          <w:rFonts w:cstheme="minorHAnsi"/>
          <w:b/>
          <w:szCs w:val="24"/>
          <w:u w:val="single"/>
        </w:rPr>
      </w:pPr>
      <w:r w:rsidRPr="00B44790">
        <w:rPr>
          <w:rFonts w:cstheme="minorHAnsi"/>
          <w:b/>
          <w:szCs w:val="24"/>
          <w:u w:val="single"/>
        </w:rPr>
        <w:t>Government response</w:t>
      </w:r>
    </w:p>
    <w:p w14:paraId="018341B8" w14:textId="43D8352A" w:rsidR="00435AD5" w:rsidRPr="00B44790" w:rsidRDefault="002743EA" w:rsidP="00CE5CCE">
      <w:pPr>
        <w:spacing w:after="120" w:line="240" w:lineRule="auto"/>
        <w:rPr>
          <w:b/>
        </w:rPr>
      </w:pPr>
      <w:r w:rsidRPr="00B44790">
        <w:rPr>
          <w:b/>
        </w:rPr>
        <w:t xml:space="preserve">The </w:t>
      </w:r>
      <w:r w:rsidR="00E8070A">
        <w:rPr>
          <w:b/>
        </w:rPr>
        <w:t>G</w:t>
      </w:r>
      <w:r w:rsidRPr="00B44790">
        <w:rPr>
          <w:b/>
        </w:rPr>
        <w:t xml:space="preserve">overnment notes </w:t>
      </w:r>
      <w:r w:rsidR="00435AD5" w:rsidRPr="00B44790">
        <w:rPr>
          <w:b/>
        </w:rPr>
        <w:t>Interim Report Recommendation</w:t>
      </w:r>
      <w:r w:rsidR="00A60BA1" w:rsidRPr="00B44790">
        <w:rPr>
          <w:b/>
        </w:rPr>
        <w:t>s</w:t>
      </w:r>
      <w:r w:rsidR="00435AD5" w:rsidRPr="00B44790">
        <w:rPr>
          <w:b/>
        </w:rPr>
        <w:t xml:space="preserve"> 5</w:t>
      </w:r>
      <w:r w:rsidR="00D90B40" w:rsidRPr="00B44790">
        <w:rPr>
          <w:b/>
        </w:rPr>
        <w:t>, 6 and 7</w:t>
      </w:r>
      <w:r w:rsidR="00435AD5" w:rsidRPr="00B44790">
        <w:rPr>
          <w:b/>
        </w:rPr>
        <w:t>, and Second Interim Report Recommendation</w:t>
      </w:r>
      <w:r w:rsidR="00A60BA1" w:rsidRPr="00B44790">
        <w:rPr>
          <w:b/>
        </w:rPr>
        <w:t>s</w:t>
      </w:r>
      <w:r w:rsidR="00435AD5" w:rsidRPr="00B44790">
        <w:rPr>
          <w:b/>
        </w:rPr>
        <w:t xml:space="preserve"> 3, 8, 9 and 10.</w:t>
      </w:r>
    </w:p>
    <w:p w14:paraId="237CDF47" w14:textId="69C040B4" w:rsidR="00435AD5" w:rsidRDefault="00435AD5" w:rsidP="00CE5CCE">
      <w:pPr>
        <w:spacing w:after="120" w:line="240" w:lineRule="auto"/>
      </w:pPr>
      <w:r w:rsidRPr="00DC1F94">
        <w:t xml:space="preserve">As the </w:t>
      </w:r>
      <w:r w:rsidR="00845FFD">
        <w:t>C</w:t>
      </w:r>
      <w:r w:rsidRPr="00DC1F94">
        <w:t xml:space="preserve">ommittee’s final report notes, several of the recommendations made in the interim and second interim reports have been addressed. </w:t>
      </w:r>
    </w:p>
    <w:p w14:paraId="5FC82E45" w14:textId="5286F542" w:rsidR="001D03CD" w:rsidRPr="00716CB7" w:rsidRDefault="001D03CD" w:rsidP="00CE5CCE">
      <w:pPr>
        <w:spacing w:after="120" w:line="240" w:lineRule="auto"/>
      </w:pPr>
      <w:r w:rsidRPr="63DDA5D2">
        <w:t xml:space="preserve">The </w:t>
      </w:r>
      <w:r w:rsidRPr="00716CB7">
        <w:t xml:space="preserve">Intergovernmental Agreement (IGA) </w:t>
      </w:r>
      <w:r w:rsidR="00E56EFF" w:rsidRPr="00716CB7">
        <w:t>on the Brisbane 2032 Olympic and Paralympic</w:t>
      </w:r>
      <w:r w:rsidR="00E56EFF">
        <w:t xml:space="preserve"> </w:t>
      </w:r>
      <w:r w:rsidR="00716CB7" w:rsidRPr="00716CB7">
        <w:t>Games</w:t>
      </w:r>
      <w:r w:rsidR="00716CB7" w:rsidRPr="00716CB7">
        <w:rPr>
          <w:vertAlign w:val="superscript"/>
        </w:rPr>
        <w:footnoteReference w:id="4"/>
      </w:r>
      <w:r w:rsidR="00716CB7" w:rsidRPr="00716CB7">
        <w:t xml:space="preserve"> </w:t>
      </w:r>
      <w:r w:rsidRPr="63DDA5D2">
        <w:t>outlines the framework for the Government’s enduring partnership with the Queensland Government on Games venue projects</w:t>
      </w:r>
      <w:r w:rsidR="00716CB7">
        <w:t>.</w:t>
      </w:r>
    </w:p>
    <w:p w14:paraId="088E5973" w14:textId="32D1D0E8" w:rsidR="00435AD5" w:rsidRDefault="00435AD5" w:rsidP="00CE5CCE">
      <w:pPr>
        <w:spacing w:after="120" w:line="240" w:lineRule="auto"/>
      </w:pPr>
      <w:r w:rsidRPr="00DC1F94">
        <w:t xml:space="preserve">The venue infrastructure projects the </w:t>
      </w:r>
      <w:r w:rsidR="00E8070A">
        <w:t>G</w:t>
      </w:r>
      <w:r w:rsidR="00B052AE" w:rsidRPr="00DC1F94">
        <w:t xml:space="preserve">overnment </w:t>
      </w:r>
      <w:r w:rsidRPr="00DC1F94">
        <w:t>is investing in can be found in the IGA</w:t>
      </w:r>
      <w:r w:rsidR="00E8070A">
        <w:t xml:space="preserve">. </w:t>
      </w:r>
    </w:p>
    <w:p w14:paraId="162E09B3" w14:textId="45E6D929" w:rsidR="00716CB7" w:rsidRPr="00716CB7" w:rsidRDefault="00A73747" w:rsidP="00CE5CCE">
      <w:pPr>
        <w:spacing w:after="120" w:line="240" w:lineRule="auto"/>
      </w:pPr>
      <w:r>
        <w:t>T</w:t>
      </w:r>
      <w:r w:rsidR="00534E90">
        <w:t xml:space="preserve">he Queensland Government </w:t>
      </w:r>
      <w:r w:rsidR="00986042">
        <w:t>is responsible for working</w:t>
      </w:r>
      <w:r w:rsidR="00534E90">
        <w:t xml:space="preserve"> alongside </w:t>
      </w:r>
      <w:r w:rsidR="00716CB7">
        <w:t xml:space="preserve">the International Olympic Committee </w:t>
      </w:r>
      <w:r w:rsidR="00534E90">
        <w:t>to finalise the</w:t>
      </w:r>
      <w:r w:rsidR="00716CB7">
        <w:t xml:space="preserve"> location of Olympic sports</w:t>
      </w:r>
      <w:r w:rsidR="009F6061">
        <w:t xml:space="preserve"> based on sporting and host contract requirements</w:t>
      </w:r>
      <w:r w:rsidR="00716CB7">
        <w:t>.</w:t>
      </w:r>
      <w:r>
        <w:t xml:space="preserve"> </w:t>
      </w:r>
    </w:p>
    <w:p w14:paraId="6B146592" w14:textId="77777777" w:rsidR="001B14E8" w:rsidRDefault="00A73747" w:rsidP="00CE5CCE">
      <w:pPr>
        <w:spacing w:after="120" w:line="240" w:lineRule="auto"/>
      </w:pPr>
      <w:r>
        <w:t xml:space="preserve">The Government currently administers </w:t>
      </w:r>
      <w:proofErr w:type="gramStart"/>
      <w:r>
        <w:t>a number of</w:t>
      </w:r>
      <w:proofErr w:type="gramEnd"/>
      <w:r>
        <w:t xml:space="preserve"> measures to ensure transparency and clarity around delivery of infrastructure project for the Brisbane 2032 Games. </w:t>
      </w:r>
      <w:r w:rsidR="00435AD5" w:rsidRPr="00DC1F94">
        <w:t xml:space="preserve">Accountability mechanisms are prescribed in the IGA and the </w:t>
      </w:r>
      <w:r w:rsidR="00E8070A">
        <w:t>G</w:t>
      </w:r>
      <w:r w:rsidR="00435AD5" w:rsidRPr="00DC1F94">
        <w:t>overnment’s investment in venue infrastructure is supported by project validation</w:t>
      </w:r>
      <w:r w:rsidR="009F6061">
        <w:t xml:space="preserve"> reports (or business cases)</w:t>
      </w:r>
      <w:r w:rsidR="00435AD5" w:rsidRPr="00DC1F94">
        <w:t xml:space="preserve"> and independent assurance work to ensure value for money and </w:t>
      </w:r>
      <w:r w:rsidR="009F6061">
        <w:t xml:space="preserve">long-term </w:t>
      </w:r>
      <w:r w:rsidR="00435AD5" w:rsidRPr="00DC1F94">
        <w:t>community benefits</w:t>
      </w:r>
      <w:r w:rsidR="009F6061">
        <w:t xml:space="preserve">. </w:t>
      </w:r>
    </w:p>
    <w:p w14:paraId="580A47A9" w14:textId="556A538F" w:rsidR="00435AD5" w:rsidRPr="00DC1F94" w:rsidRDefault="001B14E8" w:rsidP="00CE5CCE">
      <w:pPr>
        <w:spacing w:after="120" w:line="240" w:lineRule="auto"/>
      </w:pPr>
      <w:r>
        <w:t xml:space="preserve">Milestones </w:t>
      </w:r>
      <w:r w:rsidR="009F6061">
        <w:t>for project payments are outli</w:t>
      </w:r>
      <w:r w:rsidR="006C6AB4">
        <w:t>n</w:t>
      </w:r>
      <w:r w:rsidR="009F6061">
        <w:t>ed in the relate</w:t>
      </w:r>
      <w:r w:rsidR="006C6AB4">
        <w:t>d</w:t>
      </w:r>
      <w:r w:rsidR="009F6061">
        <w:t xml:space="preserve"> Federation Funding Agreement (FFA) published online at: </w:t>
      </w:r>
      <w:r w:rsidR="009F6061" w:rsidRPr="009F6061">
        <w:rPr>
          <w:u w:val="single"/>
        </w:rPr>
        <w:t>www.federalfinancialrelations.gov.au</w:t>
      </w:r>
      <w:r w:rsidR="009F6061">
        <w:t>.</w:t>
      </w:r>
    </w:p>
    <w:p w14:paraId="1D6C0D67" w14:textId="6353C8CF" w:rsidR="00435AD5" w:rsidRPr="00DC1F94" w:rsidRDefault="00435AD5" w:rsidP="00CE5CCE">
      <w:pPr>
        <w:spacing w:after="120" w:line="240" w:lineRule="auto"/>
      </w:pPr>
      <w:r w:rsidRPr="00DC1F94">
        <w:t xml:space="preserve">The IGA’s rigorous, self-contained arrangements </w:t>
      </w:r>
      <w:r w:rsidR="00FA65EE">
        <w:t>give</w:t>
      </w:r>
      <w:r w:rsidRPr="00DC1F94">
        <w:t xml:space="preserve"> a high level of assurance over the projects, including </w:t>
      </w:r>
      <w:r w:rsidR="00F50BC1">
        <w:t xml:space="preserve">joint Australian and Queensland Government selection of design and delivery partners, </w:t>
      </w:r>
      <w:r w:rsidRPr="00DC1F94">
        <w:t>review under the Queensland Gateway Review process</w:t>
      </w:r>
      <w:r w:rsidR="00F50BC1">
        <w:t>,</w:t>
      </w:r>
      <w:r w:rsidRPr="00DC1F94">
        <w:t xml:space="preserve"> independent health checks</w:t>
      </w:r>
      <w:r w:rsidR="00F50BC1">
        <w:t>, and a requirement for the Queensland Government to provide updates and advice on project issues.</w:t>
      </w:r>
    </w:p>
    <w:p w14:paraId="6B7B4CE8" w14:textId="638EC61F" w:rsidR="004C5426" w:rsidRDefault="009F6061" w:rsidP="00CE5CCE">
      <w:pPr>
        <w:spacing w:after="120" w:line="240" w:lineRule="auto"/>
      </w:pPr>
      <w:r>
        <w:t>On Second Interim Report Recommendation 8, t</w:t>
      </w:r>
      <w:r w:rsidR="00435AD5" w:rsidRPr="00DC1F94">
        <w:t>he</w:t>
      </w:r>
      <w:r w:rsidR="00374320">
        <w:t xml:space="preserve"> </w:t>
      </w:r>
      <w:r w:rsidR="00374320" w:rsidRPr="00374320">
        <w:rPr>
          <w:i/>
        </w:rPr>
        <w:t>Infrastructure Australia Act 2008</w:t>
      </w:r>
      <w:r w:rsidR="00374320">
        <w:t xml:space="preserve"> already defines </w:t>
      </w:r>
      <w:r w:rsidR="00607F75">
        <w:t>‘</w:t>
      </w:r>
      <w:r w:rsidR="00374320">
        <w:t>nationally significant infrastructure</w:t>
      </w:r>
      <w:r w:rsidR="00607F75">
        <w:t>’</w:t>
      </w:r>
      <w:r w:rsidR="00B50013">
        <w:t xml:space="preserve"> as</w:t>
      </w:r>
      <w:r w:rsidR="00374320">
        <w:t xml:space="preserve"> including social infrastructure</w:t>
      </w:r>
      <w:r w:rsidR="00435AD5" w:rsidRPr="00DC1F94">
        <w:t>.</w:t>
      </w:r>
    </w:p>
    <w:p w14:paraId="27C45286" w14:textId="16757F98" w:rsidR="009F6061" w:rsidRDefault="009F6061" w:rsidP="00CE5CCE">
      <w:pPr>
        <w:spacing w:after="120" w:line="240" w:lineRule="auto"/>
      </w:pPr>
      <w:r>
        <w:t xml:space="preserve">The Government is working collaboratively with the Queensland Government on </w:t>
      </w:r>
      <w:r w:rsidR="00635C35">
        <w:t xml:space="preserve">transport </w:t>
      </w:r>
      <w:r>
        <w:t xml:space="preserve">projects necessary to help with the movement of </w:t>
      </w:r>
      <w:r w:rsidR="00374320">
        <w:t xml:space="preserve">athletes, </w:t>
      </w:r>
      <w:r>
        <w:t>officials and spectators for the Brisbane 2032 Games.</w:t>
      </w:r>
    </w:p>
    <w:p w14:paraId="761A4059" w14:textId="34ACB021" w:rsidR="003C1060" w:rsidRDefault="00435AD5" w:rsidP="00142720">
      <w:pPr>
        <w:spacing w:after="120" w:line="240" w:lineRule="auto"/>
        <w:rPr>
          <w:rFonts w:cstheme="minorHAnsi"/>
          <w:bCs/>
          <w:i/>
          <w:szCs w:val="24"/>
          <w:highlight w:val="green"/>
        </w:rPr>
      </w:pPr>
      <w:r w:rsidRPr="004803D8">
        <w:rPr>
          <w:rFonts w:cstheme="minorHAnsi"/>
          <w:bCs/>
          <w:iCs/>
          <w:szCs w:val="24"/>
        </w:rPr>
        <w:t>The Government will consider funding requests as part of its usual budget processes.</w:t>
      </w:r>
      <w:r w:rsidR="003C1060">
        <w:rPr>
          <w:rFonts w:cstheme="minorHAnsi"/>
          <w:bCs/>
          <w:i/>
          <w:szCs w:val="24"/>
          <w:highlight w:val="green"/>
        </w:rPr>
        <w:br w:type="page"/>
      </w:r>
    </w:p>
    <w:tbl>
      <w:tblPr>
        <w:tblStyle w:val="TableGrid"/>
        <w:tblW w:w="0" w:type="auto"/>
        <w:tblBorders>
          <w:insideH w:val="none" w:sz="0" w:space="0" w:color="auto"/>
        </w:tblBorders>
        <w:tblLook w:val="04A0" w:firstRow="1" w:lastRow="0" w:firstColumn="1" w:lastColumn="0" w:noHBand="0" w:noVBand="1"/>
      </w:tblPr>
      <w:tblGrid>
        <w:gridCol w:w="9016"/>
      </w:tblGrid>
      <w:tr w:rsidR="00797926" w14:paraId="1C26C0B8" w14:textId="77777777" w:rsidTr="00782053">
        <w:tc>
          <w:tcPr>
            <w:tcW w:w="9016" w:type="dxa"/>
          </w:tcPr>
          <w:p w14:paraId="5B7B16CE" w14:textId="6C218D59" w:rsidR="00797926" w:rsidRDefault="00797926" w:rsidP="00DC1C66">
            <w:pPr>
              <w:pStyle w:val="Heading2"/>
              <w:spacing w:before="160" w:after="160" w:line="240" w:lineRule="auto"/>
            </w:pPr>
            <w:r w:rsidRPr="003C1060">
              <w:lastRenderedPageBreak/>
              <w:t>Key Theme: Brisbane 2032 Olympic and Paralympic Games</w:t>
            </w:r>
            <w:r>
              <w:t xml:space="preserve"> – Regional Queensland and legacy</w:t>
            </w:r>
          </w:p>
        </w:tc>
      </w:tr>
      <w:tr w:rsidR="00797926" w14:paraId="6A06210D" w14:textId="77777777" w:rsidTr="00782053">
        <w:tc>
          <w:tcPr>
            <w:tcW w:w="9016" w:type="dxa"/>
            <w:shd w:val="clear" w:color="auto" w:fill="D0CECE" w:themeFill="background2" w:themeFillShade="E6"/>
          </w:tcPr>
          <w:p w14:paraId="20217E11" w14:textId="77777777" w:rsidR="00797926" w:rsidRPr="00E32CAA" w:rsidRDefault="00797926"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 1</w:t>
            </w:r>
          </w:p>
          <w:p w14:paraId="3FEE03A1" w14:textId="77777777" w:rsidR="00797926" w:rsidRPr="000A1F0D" w:rsidRDefault="00797926" w:rsidP="00782053">
            <w:pPr>
              <w:spacing w:after="120" w:line="240" w:lineRule="auto"/>
              <w:rPr>
                <w:i/>
                <w:iCs/>
              </w:rPr>
            </w:pPr>
            <w:r w:rsidRPr="64A64454">
              <w:rPr>
                <w:i/>
                <w:iCs/>
              </w:rPr>
              <w:t xml:space="preserve">The </w:t>
            </w:r>
            <w:r w:rsidRPr="64A64454" w:rsidDel="00E20258">
              <w:rPr>
                <w:i/>
                <w:iCs/>
              </w:rPr>
              <w:t>committee</w:t>
            </w:r>
            <w:r w:rsidRPr="64A64454">
              <w:rPr>
                <w:i/>
                <w:iCs/>
              </w:rPr>
              <w:t xml:space="preserve"> recommends that the Australian Government work with the Queensland Government to undertake a review of the potential benefits and opportunities on offer across regional Queensland to support the Brisbane 2032 Games, improve sports outcomes, and subsequently boost regional development. This review should: </w:t>
            </w:r>
          </w:p>
          <w:p w14:paraId="290E0CD5" w14:textId="77777777" w:rsidR="00797926" w:rsidRPr="00797926" w:rsidRDefault="00797926" w:rsidP="00782053">
            <w:pPr>
              <w:pStyle w:val="ListParagraph"/>
              <w:numPr>
                <w:ilvl w:val="0"/>
                <w:numId w:val="35"/>
              </w:numPr>
              <w:spacing w:after="120" w:line="240" w:lineRule="auto"/>
              <w:rPr>
                <w:rFonts w:cstheme="minorHAnsi"/>
                <w:bCs/>
                <w:i/>
                <w:szCs w:val="24"/>
              </w:rPr>
            </w:pPr>
            <w:r w:rsidRPr="00797926">
              <w:rPr>
                <w:rFonts w:cstheme="minorHAnsi"/>
                <w:bCs/>
                <w:i/>
                <w:szCs w:val="24"/>
              </w:rPr>
              <w:t xml:space="preserve">include an audit of all sporting infrastructure in regional Queensland to assess the quality, size, and location of venues to maximise use of venues including through multi-use facilities, reduce duplication and identify infrastructure gaps that act as a barrier to sport participation and </w:t>
            </w:r>
            <w:proofErr w:type="gramStart"/>
            <w:r w:rsidRPr="00797926">
              <w:rPr>
                <w:rFonts w:cstheme="minorHAnsi"/>
                <w:bCs/>
                <w:i/>
                <w:szCs w:val="24"/>
              </w:rPr>
              <w:t>high performance</w:t>
            </w:r>
            <w:proofErr w:type="gramEnd"/>
            <w:r w:rsidRPr="00797926">
              <w:rPr>
                <w:rFonts w:cstheme="minorHAnsi"/>
                <w:bCs/>
                <w:i/>
                <w:szCs w:val="24"/>
              </w:rPr>
              <w:t xml:space="preserve"> outcomes; and</w:t>
            </w:r>
          </w:p>
          <w:p w14:paraId="1B0F1CF3" w14:textId="77777777" w:rsidR="00797926" w:rsidRPr="00797926" w:rsidRDefault="00797926" w:rsidP="00782053">
            <w:pPr>
              <w:pStyle w:val="ListParagraph"/>
              <w:numPr>
                <w:ilvl w:val="0"/>
                <w:numId w:val="35"/>
              </w:numPr>
              <w:spacing w:after="120" w:line="240" w:lineRule="auto"/>
              <w:rPr>
                <w:rFonts w:cstheme="minorHAnsi"/>
                <w:bCs/>
                <w:i/>
                <w:szCs w:val="24"/>
              </w:rPr>
            </w:pPr>
            <w:r w:rsidRPr="00797926">
              <w:rPr>
                <w:rFonts w:cstheme="minorHAnsi"/>
                <w:bCs/>
                <w:i/>
                <w:szCs w:val="24"/>
              </w:rPr>
              <w:t>build on the work of the Local Government Association of Queensland's sports inventory project.</w:t>
            </w:r>
          </w:p>
          <w:p w14:paraId="2DD65A63" w14:textId="77777777" w:rsidR="00797926" w:rsidRPr="00E32CAA" w:rsidRDefault="00797926"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 xml:space="preserve">Recommendation </w:t>
            </w:r>
            <w:r>
              <w:rPr>
                <w:rFonts w:cstheme="minorHAnsi"/>
                <w:b/>
                <w:szCs w:val="24"/>
              </w:rPr>
              <w:t>2</w:t>
            </w:r>
          </w:p>
          <w:p w14:paraId="13566614" w14:textId="6317C45F" w:rsidR="00797926" w:rsidRPr="00DC1F94" w:rsidRDefault="00797926" w:rsidP="00782053">
            <w:pPr>
              <w:spacing w:after="120" w:line="240" w:lineRule="auto"/>
              <w:rPr>
                <w:i/>
                <w:iCs/>
              </w:rPr>
            </w:pPr>
            <w:r w:rsidRPr="64A64454">
              <w:rPr>
                <w:i/>
                <w:iCs/>
              </w:rPr>
              <w:t xml:space="preserve">The </w:t>
            </w:r>
            <w:r w:rsidRPr="64A64454" w:rsidDel="00E20258">
              <w:rPr>
                <w:i/>
                <w:iCs/>
              </w:rPr>
              <w:t>committee</w:t>
            </w:r>
            <w:r w:rsidRPr="64A64454">
              <w:rPr>
                <w:i/>
                <w:iCs/>
              </w:rPr>
              <w:t xml:space="preserve"> recommends against any further upgrades to sporting infrastructure in Brisbane to replace events displaced by the construction of Olympics infrastructure. Instead, the </w:t>
            </w:r>
            <w:r w:rsidRPr="64A64454" w:rsidDel="00DB4C9A">
              <w:rPr>
                <w:i/>
                <w:iCs/>
              </w:rPr>
              <w:t xml:space="preserve">committee </w:t>
            </w:r>
            <w:r w:rsidRPr="64A64454">
              <w:rPr>
                <w:i/>
                <w:iCs/>
              </w:rPr>
              <w:t>recommends that:</w:t>
            </w:r>
          </w:p>
          <w:p w14:paraId="7496C622" w14:textId="77777777" w:rsidR="00797926" w:rsidRPr="00797926" w:rsidRDefault="00797926" w:rsidP="00782053">
            <w:pPr>
              <w:pStyle w:val="ListParagraph"/>
              <w:numPr>
                <w:ilvl w:val="0"/>
                <w:numId w:val="15"/>
              </w:numPr>
              <w:spacing w:after="120" w:line="240" w:lineRule="auto"/>
              <w:ind w:left="357" w:hanging="357"/>
              <w:rPr>
                <w:rFonts w:cstheme="minorHAnsi"/>
                <w:bCs/>
                <w:i/>
                <w:szCs w:val="24"/>
              </w:rPr>
            </w:pPr>
            <w:r w:rsidRPr="00797926">
              <w:rPr>
                <w:rFonts w:cstheme="minorHAnsi"/>
                <w:bCs/>
                <w:i/>
                <w:szCs w:val="24"/>
              </w:rPr>
              <w:t>the Australian Government and the Queensland Governments work with affected sporting codes to upgrade infrastructure outside of Brisbane to provide more tangible legacy outcomes from the 2032 Games; and</w:t>
            </w:r>
          </w:p>
          <w:p w14:paraId="573C0162" w14:textId="77777777" w:rsidR="00797926" w:rsidRPr="00797926" w:rsidRDefault="00797926" w:rsidP="00782053">
            <w:pPr>
              <w:pStyle w:val="ListParagraph"/>
              <w:numPr>
                <w:ilvl w:val="0"/>
                <w:numId w:val="15"/>
              </w:numPr>
              <w:spacing w:after="120" w:line="240" w:lineRule="auto"/>
              <w:ind w:left="357" w:hanging="357"/>
              <w:rPr>
                <w:rFonts w:cstheme="minorHAnsi"/>
                <w:bCs/>
                <w:i/>
                <w:szCs w:val="24"/>
              </w:rPr>
            </w:pPr>
            <w:r w:rsidRPr="00797926">
              <w:rPr>
                <w:rFonts w:cstheme="minorHAnsi"/>
                <w:bCs/>
                <w:i/>
                <w:szCs w:val="24"/>
              </w:rPr>
              <w:t xml:space="preserve">the Australian Government establishes a 2032 Olympics Rural and Remote Queensland funding program to ensure that areas outside </w:t>
            </w:r>
            <w:proofErr w:type="gramStart"/>
            <w:r w:rsidRPr="00797926">
              <w:rPr>
                <w:rFonts w:cstheme="minorHAnsi"/>
                <w:bCs/>
                <w:i/>
                <w:szCs w:val="24"/>
              </w:rPr>
              <w:t>South East</w:t>
            </w:r>
            <w:proofErr w:type="gramEnd"/>
            <w:r w:rsidRPr="00797926">
              <w:rPr>
                <w:rFonts w:cstheme="minorHAnsi"/>
                <w:bCs/>
                <w:i/>
                <w:szCs w:val="24"/>
              </w:rPr>
              <w:t xml:space="preserve"> Queensland receive equitable funding for essential infrastructure and community facilities to maximise and broaden the benefits of the Brisbane 2032 Games. </w:t>
            </w:r>
          </w:p>
          <w:p w14:paraId="340DF055" w14:textId="77777777" w:rsidR="00797926" w:rsidRDefault="00797926"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4</w:t>
            </w:r>
          </w:p>
          <w:p w14:paraId="15C9BDA8" w14:textId="77777777" w:rsidR="00797926" w:rsidRDefault="00797926" w:rsidP="00782053">
            <w:pPr>
              <w:spacing w:after="120" w:line="240" w:lineRule="auto"/>
              <w:rPr>
                <w:i/>
                <w:iCs/>
              </w:rPr>
            </w:pPr>
            <w:r w:rsidRPr="64A64454">
              <w:rPr>
                <w:i/>
                <w:iCs/>
              </w:rPr>
              <w:t xml:space="preserve">The </w:t>
            </w:r>
            <w:r w:rsidRPr="64A64454" w:rsidDel="00E20258">
              <w:rPr>
                <w:i/>
                <w:iCs/>
              </w:rPr>
              <w:t>committee</w:t>
            </w:r>
            <w:r w:rsidRPr="64A64454">
              <w:rPr>
                <w:i/>
                <w:iCs/>
              </w:rPr>
              <w:t xml:space="preserve"> recommends that the Australian Government works with the Queensland Government to update the Brisbane 2032 legacy strategy, </w:t>
            </w:r>
            <w:proofErr w:type="gramStart"/>
            <w:r w:rsidRPr="64A64454">
              <w:rPr>
                <w:i/>
                <w:iCs/>
              </w:rPr>
              <w:t>Elevate</w:t>
            </w:r>
            <w:proofErr w:type="gramEnd"/>
            <w:r w:rsidRPr="64A64454">
              <w:rPr>
                <w:i/>
                <w:iCs/>
              </w:rPr>
              <w:t xml:space="preserve"> 2042, to include specific focus areas on regional infrastructure and tourism. This work should also consider consolidating the four separate focus areas that currently target environmental issues (Focus 7, 8, 9 and 10) and ensure focus areas are adequate to support </w:t>
            </w:r>
            <w:proofErr w:type="gramStart"/>
            <w:r w:rsidRPr="64A64454">
              <w:rPr>
                <w:i/>
                <w:iCs/>
              </w:rPr>
              <w:t>a lasting legacy</w:t>
            </w:r>
            <w:proofErr w:type="gramEnd"/>
            <w:r w:rsidRPr="64A64454">
              <w:rPr>
                <w:i/>
                <w:iCs/>
              </w:rPr>
              <w:t xml:space="preserve"> following the Olympic Games.</w:t>
            </w:r>
          </w:p>
          <w:p w14:paraId="777D8229" w14:textId="77777777" w:rsidR="00797926" w:rsidRDefault="00797926"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6</w:t>
            </w:r>
          </w:p>
          <w:p w14:paraId="24F75E93" w14:textId="77777777" w:rsidR="00797926" w:rsidRPr="00F0744D" w:rsidRDefault="00797926" w:rsidP="00782053">
            <w:pPr>
              <w:spacing w:after="120" w:line="240" w:lineRule="auto"/>
              <w:rPr>
                <w:i/>
                <w:iCs/>
              </w:rPr>
            </w:pPr>
            <w:r w:rsidRPr="64A64454">
              <w:rPr>
                <w:i/>
                <w:iCs/>
              </w:rPr>
              <w:t xml:space="preserve">The </w:t>
            </w:r>
            <w:r w:rsidRPr="64A64454" w:rsidDel="001D3C87">
              <w:rPr>
                <w:i/>
                <w:iCs/>
              </w:rPr>
              <w:t xml:space="preserve">committee </w:t>
            </w:r>
            <w:r w:rsidRPr="64A64454">
              <w:rPr>
                <w:i/>
                <w:iCs/>
              </w:rPr>
              <w:t>recommends that the Australian Government actively engage with the Queensland Government to:</w:t>
            </w:r>
          </w:p>
          <w:p w14:paraId="40F3F4A9" w14:textId="77777777" w:rsidR="00797926" w:rsidRPr="00782053" w:rsidRDefault="00797926" w:rsidP="00782053">
            <w:pPr>
              <w:pStyle w:val="ListParagraph"/>
              <w:numPr>
                <w:ilvl w:val="0"/>
                <w:numId w:val="36"/>
              </w:numPr>
              <w:spacing w:after="120" w:line="240" w:lineRule="auto"/>
              <w:rPr>
                <w:rFonts w:cstheme="minorHAnsi"/>
                <w:bCs/>
                <w:i/>
                <w:iCs/>
                <w:szCs w:val="24"/>
              </w:rPr>
            </w:pPr>
            <w:r w:rsidRPr="00782053">
              <w:rPr>
                <w:rFonts w:cstheme="minorHAnsi"/>
                <w:bCs/>
                <w:i/>
                <w:iCs/>
                <w:szCs w:val="24"/>
              </w:rPr>
              <w:t>undertake a housing needs analysis in Games locations, with a view to mobilising all levels of government and stakeholders in the housing industry to coordinate responses in identifying opportunities to increase housing supply without impacts to housing affordability; and</w:t>
            </w:r>
          </w:p>
          <w:p w14:paraId="15BC0B31" w14:textId="1B957F67" w:rsidR="00797926" w:rsidRPr="00782053" w:rsidRDefault="00797926" w:rsidP="00782053">
            <w:pPr>
              <w:pStyle w:val="ListParagraph"/>
              <w:numPr>
                <w:ilvl w:val="0"/>
                <w:numId w:val="36"/>
              </w:numPr>
              <w:spacing w:after="120" w:line="240" w:lineRule="auto"/>
              <w:rPr>
                <w:rFonts w:cstheme="minorHAnsi"/>
                <w:bCs/>
                <w:i/>
                <w:iCs/>
                <w:szCs w:val="24"/>
              </w:rPr>
            </w:pPr>
            <w:r w:rsidRPr="00782053">
              <w:rPr>
                <w:rFonts w:cstheme="minorHAnsi"/>
                <w:bCs/>
                <w:i/>
                <w:iCs/>
                <w:szCs w:val="24"/>
              </w:rPr>
              <w:t>agree a co-funding arrangement that ensures the athlete’s accommodation is converted into social and affordable housing when the Games conclude.</w:t>
            </w:r>
          </w:p>
        </w:tc>
      </w:tr>
    </w:tbl>
    <w:p w14:paraId="677586F9" w14:textId="31D9EE8E" w:rsidR="001972ED" w:rsidRDefault="001972ED" w:rsidP="00BB7009">
      <w:pPr>
        <w:spacing w:after="120" w:line="240" w:lineRule="auto"/>
        <w:rPr>
          <w:rFonts w:cstheme="minorHAnsi"/>
          <w:bCs/>
          <w:szCs w:val="24"/>
          <w:highlight w:val="yellow"/>
        </w:rPr>
      </w:pPr>
    </w:p>
    <w:p w14:paraId="10A18525" w14:textId="77777777" w:rsidR="00DC1C66" w:rsidRPr="00BB7009" w:rsidRDefault="00DC1C66" w:rsidP="00BB7009">
      <w:pPr>
        <w:spacing w:after="120" w:line="240" w:lineRule="auto"/>
        <w:rPr>
          <w:rFonts w:cstheme="minorHAnsi"/>
          <w:bCs/>
          <w:szCs w:val="24"/>
          <w:highlight w:val="yellow"/>
        </w:rPr>
      </w:pPr>
    </w:p>
    <w:p w14:paraId="11F2479D" w14:textId="58BF90B2" w:rsidR="000D065B" w:rsidRPr="00575AC0" w:rsidRDefault="00CA15E3" w:rsidP="00DC1C66">
      <w:pPr>
        <w:spacing w:after="120" w:line="240" w:lineRule="auto"/>
        <w:rPr>
          <w:rFonts w:cstheme="minorHAnsi"/>
          <w:b/>
          <w:szCs w:val="24"/>
          <w:u w:val="single"/>
        </w:rPr>
      </w:pPr>
      <w:r w:rsidRPr="00575AC0">
        <w:rPr>
          <w:rFonts w:cstheme="minorHAnsi"/>
          <w:b/>
          <w:szCs w:val="24"/>
          <w:u w:val="single"/>
        </w:rPr>
        <w:lastRenderedPageBreak/>
        <w:t>Government response</w:t>
      </w:r>
    </w:p>
    <w:p w14:paraId="16B20FDB" w14:textId="50C0AECB" w:rsidR="000D065B" w:rsidRPr="00575AC0" w:rsidRDefault="000D065B" w:rsidP="00142720">
      <w:pPr>
        <w:spacing w:after="120" w:line="240" w:lineRule="auto"/>
        <w:rPr>
          <w:b/>
        </w:rPr>
      </w:pPr>
      <w:r w:rsidRPr="00575AC0">
        <w:rPr>
          <w:b/>
        </w:rPr>
        <w:t xml:space="preserve">The </w:t>
      </w:r>
      <w:r w:rsidR="00657C12">
        <w:rPr>
          <w:b/>
        </w:rPr>
        <w:t>G</w:t>
      </w:r>
      <w:r w:rsidRPr="00575AC0">
        <w:rPr>
          <w:b/>
        </w:rPr>
        <w:t xml:space="preserve">overnment notes </w:t>
      </w:r>
      <w:r w:rsidR="005B3A30" w:rsidRPr="00575AC0">
        <w:rPr>
          <w:b/>
        </w:rPr>
        <w:t>Second Interim</w:t>
      </w:r>
      <w:r w:rsidRPr="00575AC0">
        <w:rPr>
          <w:b/>
        </w:rPr>
        <w:t xml:space="preserve"> Report Recommendation</w:t>
      </w:r>
      <w:r w:rsidR="00A42825" w:rsidRPr="00575AC0">
        <w:rPr>
          <w:b/>
        </w:rPr>
        <w:t>s</w:t>
      </w:r>
      <w:r w:rsidR="005B3A30" w:rsidRPr="00575AC0">
        <w:rPr>
          <w:b/>
        </w:rPr>
        <w:t xml:space="preserve"> 1</w:t>
      </w:r>
      <w:r w:rsidR="00F54235" w:rsidRPr="00575AC0">
        <w:rPr>
          <w:b/>
        </w:rPr>
        <w:t>, 2</w:t>
      </w:r>
      <w:r w:rsidR="00F035E2" w:rsidRPr="00575AC0">
        <w:rPr>
          <w:b/>
        </w:rPr>
        <w:t>,</w:t>
      </w:r>
      <w:r w:rsidR="00F54235" w:rsidRPr="00575AC0">
        <w:rPr>
          <w:b/>
        </w:rPr>
        <w:t xml:space="preserve"> 4 and 6</w:t>
      </w:r>
      <w:r w:rsidRPr="00575AC0">
        <w:rPr>
          <w:b/>
        </w:rPr>
        <w:t>.</w:t>
      </w:r>
    </w:p>
    <w:p w14:paraId="08630508" w14:textId="4D9ED0BE" w:rsidR="00A36B9E" w:rsidRPr="00DC1F94" w:rsidRDefault="00D50D00" w:rsidP="00142720">
      <w:pPr>
        <w:spacing w:after="120" w:line="240" w:lineRule="auto"/>
      </w:pPr>
      <w:r w:rsidRPr="00DC1F94">
        <w:t xml:space="preserve">The Government has committed up to $3.435 billion for </w:t>
      </w:r>
      <w:r w:rsidR="00D85A34">
        <w:t xml:space="preserve">Brisbane 2032 </w:t>
      </w:r>
      <w:r w:rsidRPr="00DC1F94">
        <w:t>Games venue infrastructure, outlined in the I</w:t>
      </w:r>
      <w:r w:rsidR="00D85A34">
        <w:t>GA</w:t>
      </w:r>
      <w:r w:rsidR="00F75A80">
        <w:t>. This commitment</w:t>
      </w:r>
      <w:r w:rsidR="00725177" w:rsidRPr="00DC1F94">
        <w:t xml:space="preserve"> includes capped funding for regional venues</w:t>
      </w:r>
      <w:r w:rsidR="004F7209">
        <w:t xml:space="preserve"> identified </w:t>
      </w:r>
      <w:r w:rsidR="00575AC0">
        <w:t>by the Queensland Government as necessary for Brisbane 2032 Games events and legacy outcomes</w:t>
      </w:r>
      <w:r w:rsidR="00725177" w:rsidRPr="00DC1F94">
        <w:t>.</w:t>
      </w:r>
    </w:p>
    <w:p w14:paraId="55DB0697" w14:textId="0241A52B" w:rsidR="00FC0DCE" w:rsidRDefault="00FA65EE" w:rsidP="00142720">
      <w:pPr>
        <w:spacing w:after="120" w:line="240" w:lineRule="auto"/>
      </w:pPr>
      <w:r>
        <w:t>The Government also has a range of o</w:t>
      </w:r>
      <w:r w:rsidR="00FC0DCE" w:rsidRPr="00DC1F94">
        <w:t>pen and competitive grants program</w:t>
      </w:r>
      <w:r>
        <w:t>s</w:t>
      </w:r>
      <w:r w:rsidR="00FC0DCE" w:rsidRPr="00DC1F94">
        <w:t xml:space="preserve"> for capital works projects available to regional communities throughout Australia.</w:t>
      </w:r>
    </w:p>
    <w:p w14:paraId="753047F1" w14:textId="4EDA8FC7" w:rsidR="009B5F7B" w:rsidRPr="00EE2603" w:rsidRDefault="00D85A34" w:rsidP="00142720">
      <w:pPr>
        <w:spacing w:after="120" w:line="240" w:lineRule="auto"/>
      </w:pPr>
      <w:r>
        <w:t xml:space="preserve">The </w:t>
      </w:r>
      <w:r w:rsidR="00657C12">
        <w:t>G</w:t>
      </w:r>
      <w:r>
        <w:t xml:space="preserve">overnment is </w:t>
      </w:r>
      <w:r w:rsidR="002E2A6B">
        <w:t>committed to improving opportunities for community participation in sport and physical activity across Australia</w:t>
      </w:r>
      <w:r w:rsidR="00FA65EE">
        <w:t>. The</w:t>
      </w:r>
      <w:r w:rsidR="00C022EC">
        <w:t xml:space="preserve"> </w:t>
      </w:r>
      <w:r w:rsidR="0002128F">
        <w:t>Play Our Way</w:t>
      </w:r>
      <w:r w:rsidR="00C022EC">
        <w:t xml:space="preserve"> grant program</w:t>
      </w:r>
      <w:r w:rsidR="0002128F">
        <w:t xml:space="preserve"> – a $200</w:t>
      </w:r>
      <w:r w:rsidR="00FA5E4B">
        <w:t> </w:t>
      </w:r>
      <w:r w:rsidR="0002128F">
        <w:t>milli</w:t>
      </w:r>
      <w:r w:rsidR="005436C3">
        <w:t xml:space="preserve">on investment </w:t>
      </w:r>
      <w:r w:rsidR="00A276D2">
        <w:t>giving women and girls greater opportunity to access, participate and stay involved in sport and physical activity</w:t>
      </w:r>
      <w:r w:rsidR="00FA65EE">
        <w:t xml:space="preserve"> </w:t>
      </w:r>
      <w:r w:rsidR="00BB7218">
        <w:t xml:space="preserve">– </w:t>
      </w:r>
      <w:r w:rsidR="00FA65EE">
        <w:t>is</w:t>
      </w:r>
      <w:r w:rsidR="00BB7218">
        <w:t xml:space="preserve"> </w:t>
      </w:r>
      <w:r w:rsidR="00FA65EE">
        <w:t>a clear example of this commitment</w:t>
      </w:r>
      <w:r w:rsidR="00A276D2">
        <w:t>.</w:t>
      </w:r>
      <w:r w:rsidR="00A351DE">
        <w:t xml:space="preserve"> </w:t>
      </w:r>
      <w:r w:rsidR="005F1623">
        <w:t xml:space="preserve">Australia’s </w:t>
      </w:r>
      <w:r w:rsidR="00EE2603">
        <w:t>National Sport Strategy</w:t>
      </w:r>
      <w:r w:rsidR="005F1623">
        <w:t xml:space="preserve"> 2024-2034, </w:t>
      </w:r>
      <w:r w:rsidR="00EE2603">
        <w:rPr>
          <w:i/>
        </w:rPr>
        <w:t>Sport Horizon</w:t>
      </w:r>
      <w:r w:rsidR="00D31C99">
        <w:rPr>
          <w:rStyle w:val="FootnoteReference"/>
          <w:i/>
        </w:rPr>
        <w:footnoteReference w:id="5"/>
      </w:r>
      <w:r w:rsidR="00BB7218">
        <w:t>,</w:t>
      </w:r>
      <w:r w:rsidR="00EE2603">
        <w:t xml:space="preserve"> </w:t>
      </w:r>
      <w:r w:rsidR="00D31C99">
        <w:t>will</w:t>
      </w:r>
      <w:r w:rsidR="00EE2603">
        <w:t xml:space="preserve"> guide</w:t>
      </w:r>
      <w:r w:rsidR="00D31C99">
        <w:t xml:space="preserve"> the Government’s </w:t>
      </w:r>
      <w:r w:rsidR="00EE2603">
        <w:t>investment in Australia’s sport sector to drive healthy, active and connected communities.</w:t>
      </w:r>
    </w:p>
    <w:p w14:paraId="7E10896D" w14:textId="4370E3E5" w:rsidR="006C09F7" w:rsidRPr="00575AC0" w:rsidRDefault="006C09F7" w:rsidP="00142720">
      <w:pPr>
        <w:spacing w:after="120" w:line="240" w:lineRule="auto"/>
      </w:pPr>
      <w:r w:rsidRPr="00DC1F94">
        <w:t xml:space="preserve">The </w:t>
      </w:r>
      <w:r w:rsidR="00657C12">
        <w:t>G</w:t>
      </w:r>
      <w:r w:rsidRPr="00DC1F94">
        <w:t xml:space="preserve">overnment supported the development of </w:t>
      </w:r>
      <w:r w:rsidRPr="00C44AB7">
        <w:rPr>
          <w:i/>
          <w:iCs/>
        </w:rPr>
        <w:t>Elevate 2042</w:t>
      </w:r>
      <w:r w:rsidRPr="00DC1F94">
        <w:rPr>
          <w:rStyle w:val="FootnoteReference"/>
          <w:rFonts w:cstheme="minorHAnsi"/>
          <w:i/>
          <w:szCs w:val="24"/>
        </w:rPr>
        <w:footnoteReference w:id="6"/>
      </w:r>
      <w:r w:rsidRPr="00DC1F94">
        <w:t xml:space="preserve"> in 2023 and is committed to ensuring the Brisbane 2032 Games have broad legacy impacts not just in </w:t>
      </w:r>
      <w:proofErr w:type="gramStart"/>
      <w:r w:rsidR="00575AC0">
        <w:t>S</w:t>
      </w:r>
      <w:r w:rsidRPr="00DC1F94">
        <w:t xml:space="preserve">outh </w:t>
      </w:r>
      <w:r w:rsidR="00575AC0">
        <w:t>E</w:t>
      </w:r>
      <w:r w:rsidRPr="00DC1F94">
        <w:t>ast</w:t>
      </w:r>
      <w:proofErr w:type="gramEnd"/>
      <w:r w:rsidRPr="00DC1F94">
        <w:t xml:space="preserve"> Queensland, but across Australia and the Pacific. Th</w:t>
      </w:r>
      <w:r w:rsidR="008157C6">
        <w:t xml:space="preserve">is already includes focus areas </w:t>
      </w:r>
      <w:r w:rsidR="0084017A">
        <w:t>t</w:t>
      </w:r>
      <w:r w:rsidR="008157C6">
        <w:t>argeting</w:t>
      </w:r>
      <w:r w:rsidR="0084017A">
        <w:t xml:space="preserve"> </w:t>
      </w:r>
      <w:r w:rsidR="00B14CDF">
        <w:t xml:space="preserve">the tourism sector and </w:t>
      </w:r>
      <w:r w:rsidRPr="00DC1F94">
        <w:t xml:space="preserve">greater housing accessibility and affordability in target locations. </w:t>
      </w:r>
      <w:r w:rsidRPr="00BB7218">
        <w:rPr>
          <w:i/>
        </w:rPr>
        <w:t>Elevate 2042</w:t>
      </w:r>
      <w:r w:rsidRPr="00DC1F94">
        <w:t xml:space="preserve"> and subsequent implementation plans </w:t>
      </w:r>
      <w:r w:rsidR="00D4074D">
        <w:t>are</w:t>
      </w:r>
      <w:r w:rsidRPr="00DC1F94">
        <w:t xml:space="preserve"> the collective work of </w:t>
      </w:r>
      <w:r w:rsidR="00D4074D">
        <w:t xml:space="preserve">all </w:t>
      </w:r>
      <w:r w:rsidRPr="00DC1F94">
        <w:t>Games Delivery Partners</w:t>
      </w:r>
      <w:r w:rsidR="00D4074D">
        <w:t>. A</w:t>
      </w:r>
      <w:r w:rsidRPr="00DC1F94">
        <w:t>ny changes to its focus areas will be at the discretion of th</w:t>
      </w:r>
      <w:r w:rsidR="00CE5CCE">
        <w:t>at cohort</w:t>
      </w:r>
      <w:r w:rsidR="00575AC0">
        <w:t>.</w:t>
      </w:r>
      <w:r w:rsidR="00575AC0" w:rsidRPr="00575AC0">
        <w:t xml:space="preserve"> </w:t>
      </w:r>
    </w:p>
    <w:p w14:paraId="5DF6AA8C" w14:textId="24CF723D" w:rsidR="0070203D" w:rsidRDefault="009B5F7B" w:rsidP="00142720">
      <w:pPr>
        <w:spacing w:after="120" w:line="240" w:lineRule="auto"/>
      </w:pPr>
      <w:r>
        <w:t>Location, design and funding of athletes’ villages are a matter for the Queensland Government</w:t>
      </w:r>
      <w:r w:rsidR="001771AD">
        <w:t>. T</w:t>
      </w:r>
      <w:r>
        <w:t xml:space="preserve">he </w:t>
      </w:r>
      <w:r w:rsidR="00657C12">
        <w:t>G</w:t>
      </w:r>
      <w:r>
        <w:t>overnment notes the intention of Queensland to convert a portion of these villages to</w:t>
      </w:r>
      <w:r w:rsidR="00575AC0">
        <w:t xml:space="preserve"> a mix of housing types</w:t>
      </w:r>
      <w:r>
        <w:t xml:space="preserve"> following the Brisbane 2032 Games</w:t>
      </w:r>
      <w:r w:rsidR="001771AD">
        <w:t>.</w:t>
      </w:r>
    </w:p>
    <w:p w14:paraId="25C62AA0" w14:textId="31F4AC41" w:rsidR="00F4299C" w:rsidRDefault="0070203D" w:rsidP="00142720">
      <w:pPr>
        <w:spacing w:after="120" w:line="240" w:lineRule="auto"/>
      </w:pPr>
      <w:r>
        <w:br w:type="page"/>
      </w:r>
    </w:p>
    <w:tbl>
      <w:tblPr>
        <w:tblStyle w:val="TableGrid"/>
        <w:tblW w:w="0" w:type="auto"/>
        <w:tblBorders>
          <w:insideH w:val="none" w:sz="0" w:space="0" w:color="auto"/>
        </w:tblBorders>
        <w:tblLook w:val="04A0" w:firstRow="1" w:lastRow="0" w:firstColumn="1" w:lastColumn="0" w:noHBand="0" w:noVBand="1"/>
      </w:tblPr>
      <w:tblGrid>
        <w:gridCol w:w="9016"/>
      </w:tblGrid>
      <w:tr w:rsidR="00782053" w14:paraId="37C08531" w14:textId="77777777" w:rsidTr="00782053">
        <w:tc>
          <w:tcPr>
            <w:tcW w:w="9016" w:type="dxa"/>
          </w:tcPr>
          <w:p w14:paraId="6235746E" w14:textId="2773E053" w:rsidR="00782053" w:rsidRDefault="00782053" w:rsidP="00DC1C66">
            <w:pPr>
              <w:pStyle w:val="Heading2"/>
              <w:spacing w:before="160" w:after="160" w:line="240" w:lineRule="auto"/>
            </w:pPr>
            <w:r w:rsidRPr="003C1060">
              <w:lastRenderedPageBreak/>
              <w:t>Key Theme: Brisbane 2032 Olympic and Paralympic Games</w:t>
            </w:r>
            <w:r>
              <w:t xml:space="preserve"> – Governance</w:t>
            </w:r>
          </w:p>
        </w:tc>
      </w:tr>
      <w:tr w:rsidR="00782053" w14:paraId="10A26737" w14:textId="77777777" w:rsidTr="00782053">
        <w:tc>
          <w:tcPr>
            <w:tcW w:w="9016" w:type="dxa"/>
            <w:shd w:val="clear" w:color="auto" w:fill="D0CECE" w:themeFill="background2" w:themeFillShade="E6"/>
          </w:tcPr>
          <w:p w14:paraId="441DB098" w14:textId="77777777" w:rsidR="00782053" w:rsidRDefault="00782053"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5</w:t>
            </w:r>
            <w:r w:rsidRPr="00782053">
              <w:rPr>
                <w:rFonts w:cstheme="minorHAnsi"/>
                <w:b/>
                <w:szCs w:val="24"/>
              </w:rPr>
              <w:t xml:space="preserve"> </w:t>
            </w:r>
          </w:p>
          <w:p w14:paraId="420CA13E" w14:textId="77777777" w:rsidR="00782053" w:rsidRPr="00B9473C" w:rsidRDefault="00782053" w:rsidP="00782053">
            <w:pPr>
              <w:spacing w:after="120" w:line="240" w:lineRule="auto"/>
              <w:rPr>
                <w:i/>
                <w:iCs/>
              </w:rPr>
            </w:pPr>
            <w:r w:rsidRPr="27023A04">
              <w:rPr>
                <w:i/>
                <w:iCs/>
              </w:rPr>
              <w:t>The committee recommends that the Australian Government work with the Queensland Government to appoint a regional Queensland community leader to the board of the Brisbane 2032 Organising Committee. The community leader should act as a liaison for consultation, decision-making and ensure effective regional representation.</w:t>
            </w:r>
          </w:p>
          <w:p w14:paraId="7992A22F" w14:textId="77777777" w:rsidR="00782053" w:rsidRDefault="00782053"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7</w:t>
            </w:r>
            <w:r w:rsidRPr="00782053">
              <w:rPr>
                <w:rFonts w:cstheme="minorHAnsi"/>
                <w:b/>
                <w:szCs w:val="24"/>
              </w:rPr>
              <w:t xml:space="preserve"> </w:t>
            </w:r>
          </w:p>
          <w:p w14:paraId="0964DD0A" w14:textId="77777777" w:rsidR="00782053" w:rsidRPr="00B9473C" w:rsidRDefault="00782053" w:rsidP="00782053">
            <w:pPr>
              <w:spacing w:after="120" w:line="240" w:lineRule="auto"/>
              <w:rPr>
                <w:i/>
                <w:iCs/>
              </w:rPr>
            </w:pPr>
            <w:r w:rsidRPr="27023A04">
              <w:rPr>
                <w:i/>
                <w:iCs/>
              </w:rPr>
              <w:t>The committee recommends that the Australian Government work with the Queensland Government to explore options to improve transparency and accountability mechanisms. As part of this process, an independent and integrated Olympic Coordination Authority, with representation from all three levels of government should be considered as an alternative governance arrangement.</w:t>
            </w:r>
          </w:p>
          <w:p w14:paraId="7D8074C3" w14:textId="77777777" w:rsidR="00782053" w:rsidRDefault="00782053" w:rsidP="00782053">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Recommendation</w:t>
            </w:r>
            <w:r>
              <w:rPr>
                <w:rFonts w:cstheme="minorHAnsi"/>
                <w:b/>
                <w:szCs w:val="24"/>
              </w:rPr>
              <w:t xml:space="preserve"> 13</w:t>
            </w:r>
            <w:r w:rsidRPr="00782053">
              <w:rPr>
                <w:rFonts w:cstheme="minorHAnsi"/>
                <w:b/>
                <w:szCs w:val="24"/>
              </w:rPr>
              <w:t xml:space="preserve"> </w:t>
            </w:r>
          </w:p>
          <w:p w14:paraId="6FC26B7C" w14:textId="22B21BE6" w:rsidR="00782053" w:rsidRPr="00782053" w:rsidRDefault="00782053" w:rsidP="00782053">
            <w:pPr>
              <w:spacing w:after="120" w:line="240" w:lineRule="auto"/>
              <w:rPr>
                <w:rFonts w:eastAsia="Times New Roman"/>
                <w:i/>
                <w:iCs/>
              </w:rPr>
            </w:pPr>
            <w:r w:rsidRPr="27023A04">
              <w:rPr>
                <w:rFonts w:eastAsia="Times New Roman"/>
                <w:i/>
                <w:iCs/>
              </w:rPr>
              <w:t>The committee recommends that the Australian Government undertake more frequent meetings with the whole-of-government Inter-Departmental Committee to discuss arrangements for visas in the lead up to the Brisbane 2032 Olympic and Paralympic Games, and any other upcoming events to ensure swift access can be provided to athletes, coaches, and officials, particularly from neighbouring Pacific Island nations.</w:t>
            </w:r>
          </w:p>
        </w:tc>
      </w:tr>
    </w:tbl>
    <w:p w14:paraId="632763B3" w14:textId="77777777" w:rsidR="00BD7989" w:rsidRPr="00783110" w:rsidRDefault="00BD7989">
      <w:pPr>
        <w:spacing w:after="160" w:line="259" w:lineRule="auto"/>
        <w:rPr>
          <w:rFonts w:cstheme="minorHAnsi"/>
          <w:szCs w:val="24"/>
          <w:lang w:val="en" w:eastAsia="en-AU"/>
        </w:rPr>
      </w:pPr>
    </w:p>
    <w:p w14:paraId="62C93923" w14:textId="75713E8A" w:rsidR="00BD7989" w:rsidRPr="004728D4" w:rsidRDefault="00CA15E3" w:rsidP="00DC1C66">
      <w:pPr>
        <w:spacing w:after="120" w:line="240" w:lineRule="auto"/>
        <w:rPr>
          <w:rFonts w:cstheme="minorHAnsi"/>
          <w:b/>
          <w:szCs w:val="24"/>
          <w:u w:val="single"/>
        </w:rPr>
      </w:pPr>
      <w:r w:rsidRPr="004728D4">
        <w:rPr>
          <w:rFonts w:cstheme="minorHAnsi"/>
          <w:b/>
          <w:szCs w:val="24"/>
          <w:u w:val="single"/>
        </w:rPr>
        <w:t>Government response</w:t>
      </w:r>
    </w:p>
    <w:p w14:paraId="3BCBC16D" w14:textId="4D450DA9" w:rsidR="005A79F5" w:rsidRPr="004728D4" w:rsidRDefault="0084625D" w:rsidP="00142720">
      <w:pPr>
        <w:spacing w:after="120" w:line="240" w:lineRule="auto"/>
        <w:rPr>
          <w:b/>
        </w:rPr>
      </w:pPr>
      <w:r w:rsidRPr="004728D4">
        <w:rPr>
          <w:b/>
        </w:rPr>
        <w:t xml:space="preserve">The </w:t>
      </w:r>
      <w:r w:rsidR="00657C12">
        <w:rPr>
          <w:b/>
        </w:rPr>
        <w:t>G</w:t>
      </w:r>
      <w:r w:rsidRPr="004728D4">
        <w:rPr>
          <w:b/>
        </w:rPr>
        <w:t xml:space="preserve">overnment </w:t>
      </w:r>
      <w:r w:rsidRPr="004728D4">
        <w:rPr>
          <w:b/>
          <w:bCs/>
        </w:rPr>
        <w:t>notes</w:t>
      </w:r>
      <w:r w:rsidRPr="004728D4">
        <w:rPr>
          <w:b/>
        </w:rPr>
        <w:t xml:space="preserve"> </w:t>
      </w:r>
      <w:r w:rsidR="00F63223" w:rsidRPr="004728D4">
        <w:rPr>
          <w:b/>
        </w:rPr>
        <w:t>Second Interim Report Recommendation</w:t>
      </w:r>
      <w:r w:rsidR="00121B63" w:rsidRPr="004728D4">
        <w:rPr>
          <w:b/>
        </w:rPr>
        <w:t>s</w:t>
      </w:r>
      <w:r w:rsidR="00F63223" w:rsidRPr="004728D4">
        <w:rPr>
          <w:b/>
        </w:rPr>
        <w:t xml:space="preserve"> </w:t>
      </w:r>
      <w:r w:rsidR="005A79F5" w:rsidRPr="004728D4">
        <w:rPr>
          <w:b/>
        </w:rPr>
        <w:t>5, 7 and 13.</w:t>
      </w:r>
    </w:p>
    <w:p w14:paraId="370DE05B" w14:textId="16267F7B" w:rsidR="00ED04D9" w:rsidRPr="00185C05" w:rsidRDefault="00ED04D9" w:rsidP="00142720">
      <w:pPr>
        <w:spacing w:after="120" w:line="240" w:lineRule="auto"/>
      </w:pPr>
      <w:r w:rsidRPr="00185C05">
        <w:t xml:space="preserve">As the </w:t>
      </w:r>
      <w:r w:rsidR="00635090">
        <w:t>C</w:t>
      </w:r>
      <w:r w:rsidRPr="00185C05">
        <w:t>ommittee’s final report notes, several of the recommendations made in the interim and second interim reports have been addressed</w:t>
      </w:r>
      <w:r w:rsidR="00635090">
        <w:t xml:space="preserve"> since their release</w:t>
      </w:r>
      <w:r w:rsidRPr="00185C05">
        <w:t>.</w:t>
      </w:r>
    </w:p>
    <w:p w14:paraId="5D8436B1" w14:textId="6BF89770" w:rsidR="00746230" w:rsidRPr="0015208D" w:rsidRDefault="00ED04D9" w:rsidP="00142720">
      <w:pPr>
        <w:spacing w:after="120" w:line="240" w:lineRule="auto"/>
      </w:pPr>
      <w:r w:rsidRPr="0015208D">
        <w:rPr>
          <w:iCs/>
        </w:rPr>
        <w:t xml:space="preserve">The governance for the Brisbane 2032 Games is </w:t>
      </w:r>
      <w:r w:rsidR="00A0668E">
        <w:rPr>
          <w:iCs/>
        </w:rPr>
        <w:t>set out in</w:t>
      </w:r>
      <w:r w:rsidR="00C40C3F">
        <w:rPr>
          <w:iCs/>
        </w:rPr>
        <w:t xml:space="preserve"> the </w:t>
      </w:r>
      <w:r w:rsidR="00C40C3F">
        <w:rPr>
          <w:i/>
          <w:iCs/>
        </w:rPr>
        <w:t xml:space="preserve">Brisbane Olympic and Paralympic Games Arrangements Act 2021 </w:t>
      </w:r>
      <w:r w:rsidR="00C40C3F">
        <w:rPr>
          <w:iCs/>
        </w:rPr>
        <w:t>(Qld)</w:t>
      </w:r>
      <w:r w:rsidRPr="0015208D">
        <w:rPr>
          <w:iCs/>
        </w:rPr>
        <w:t>. Under the I</w:t>
      </w:r>
      <w:r w:rsidR="006876DF" w:rsidRPr="0015208D">
        <w:rPr>
          <w:iCs/>
        </w:rPr>
        <w:t>GA</w:t>
      </w:r>
      <w:r w:rsidRPr="0015208D">
        <w:rPr>
          <w:iCs/>
        </w:rPr>
        <w:t>, the Government has accountability mechanisms as well as protections for governance arrangements</w:t>
      </w:r>
      <w:r w:rsidR="000E001E">
        <w:rPr>
          <w:iCs/>
        </w:rPr>
        <w:t xml:space="preserve"> to </w:t>
      </w:r>
      <w:r w:rsidRPr="0015208D">
        <w:rPr>
          <w:iCs/>
        </w:rPr>
        <w:t xml:space="preserve">ensure the </w:t>
      </w:r>
      <w:r w:rsidR="00C40C3F">
        <w:rPr>
          <w:iCs/>
        </w:rPr>
        <w:t xml:space="preserve">Government’s representation in Brisbane 2032 Games </w:t>
      </w:r>
      <w:r w:rsidR="000E001E">
        <w:rPr>
          <w:iCs/>
        </w:rPr>
        <w:t>matters.</w:t>
      </w:r>
    </w:p>
    <w:p w14:paraId="128FBFC1" w14:textId="7596683D" w:rsidR="00746230" w:rsidRPr="0015208D" w:rsidRDefault="00746230" w:rsidP="00142720">
      <w:pPr>
        <w:spacing w:after="120" w:line="240" w:lineRule="auto"/>
      </w:pPr>
      <w:r w:rsidRPr="10D75C01">
        <w:rPr>
          <w:lang w:val="en-US"/>
        </w:rPr>
        <w:t xml:space="preserve">The </w:t>
      </w:r>
      <w:r w:rsidR="000E001E">
        <w:rPr>
          <w:lang w:val="en-US"/>
        </w:rPr>
        <w:t>G</w:t>
      </w:r>
      <w:r w:rsidRPr="10D75C01">
        <w:rPr>
          <w:lang w:val="en-US"/>
        </w:rPr>
        <w:t xml:space="preserve">overnment </w:t>
      </w:r>
      <w:r w:rsidR="000E001E">
        <w:rPr>
          <w:lang w:val="en-US"/>
        </w:rPr>
        <w:t>continues to work collaboratively with the Queensland Government to ensure representation on Brisbane 2032 Games governance forums remains relevant and appropriate to its level of investment and areas of responsibility.</w:t>
      </w:r>
    </w:p>
    <w:p w14:paraId="372070D1" w14:textId="14670C63" w:rsidR="00D63476" w:rsidRDefault="00ED04D9" w:rsidP="00142720">
      <w:pPr>
        <w:spacing w:after="120" w:line="240" w:lineRule="auto"/>
        <w:rPr>
          <w:rFonts w:eastAsiaTheme="majorEastAsia" w:cstheme="minorHAnsi"/>
          <w:b/>
          <w:bCs/>
          <w:sz w:val="26"/>
          <w:szCs w:val="26"/>
          <w:lang w:val="en" w:eastAsia="en-AU"/>
        </w:rPr>
      </w:pPr>
      <w:r w:rsidRPr="00185C05">
        <w:rPr>
          <w:iCs/>
        </w:rPr>
        <w:t xml:space="preserve">The </w:t>
      </w:r>
      <w:r w:rsidR="00657C12">
        <w:rPr>
          <w:iCs/>
        </w:rPr>
        <w:t>G</w:t>
      </w:r>
      <w:r w:rsidRPr="00185C05">
        <w:rPr>
          <w:iCs/>
        </w:rPr>
        <w:t xml:space="preserve">overnment has also committed to supporting the hosting of the Brisbane 2032 Games through delivery of operational support services, including in relation to </w:t>
      </w:r>
      <w:r w:rsidR="00FA5E4B">
        <w:rPr>
          <w:iCs/>
        </w:rPr>
        <w:t xml:space="preserve">national security, </w:t>
      </w:r>
      <w:r w:rsidRPr="00185C05">
        <w:rPr>
          <w:iCs/>
        </w:rPr>
        <w:t xml:space="preserve">visas, telecommunications and so on. To support the delivery of these commitments, the Office for Sport convenes regular Interdepartmental Committee meetings. The frequency of these meetings may increase in the lead up to the Brisbane 2032 Games, </w:t>
      </w:r>
      <w:r w:rsidR="0000275C" w:rsidRPr="00185C05">
        <w:rPr>
          <w:iCs/>
        </w:rPr>
        <w:t>however,</w:t>
      </w:r>
      <w:r w:rsidRPr="00185C05">
        <w:rPr>
          <w:iCs/>
        </w:rPr>
        <w:t xml:space="preserve"> is currently fit for purpose.</w:t>
      </w:r>
      <w:r w:rsidR="00D63476">
        <w:rPr>
          <w:rFonts w:cstheme="minorHAnsi"/>
          <w:b/>
          <w:bCs/>
          <w:lang w:val="en" w:eastAsia="en-AU"/>
        </w:rPr>
        <w:br w:type="page"/>
      </w:r>
    </w:p>
    <w:tbl>
      <w:tblPr>
        <w:tblStyle w:val="TableGrid"/>
        <w:tblW w:w="0" w:type="auto"/>
        <w:tblBorders>
          <w:insideH w:val="none" w:sz="0" w:space="0" w:color="auto"/>
        </w:tblBorders>
        <w:tblLook w:val="04A0" w:firstRow="1" w:lastRow="0" w:firstColumn="1" w:lastColumn="0" w:noHBand="0" w:noVBand="1"/>
      </w:tblPr>
      <w:tblGrid>
        <w:gridCol w:w="9016"/>
      </w:tblGrid>
      <w:tr w:rsidR="00A81E48" w14:paraId="0618F5F6" w14:textId="77777777" w:rsidTr="00A81E48">
        <w:tc>
          <w:tcPr>
            <w:tcW w:w="9016" w:type="dxa"/>
          </w:tcPr>
          <w:p w14:paraId="4089EB69" w14:textId="3DEF3D9A" w:rsidR="00A81E48" w:rsidRDefault="00A81E48" w:rsidP="00DC1C66">
            <w:pPr>
              <w:pStyle w:val="Heading2"/>
              <w:spacing w:before="160" w:after="160" w:line="240" w:lineRule="auto"/>
            </w:pPr>
            <w:r w:rsidRPr="006D4A1C">
              <w:lastRenderedPageBreak/>
              <w:t xml:space="preserve">Key Theme: </w:t>
            </w:r>
            <w:r>
              <w:t>Major sporting events funding and policy</w:t>
            </w:r>
          </w:p>
        </w:tc>
      </w:tr>
      <w:tr w:rsidR="00A81E48" w14:paraId="59E25350" w14:textId="77777777" w:rsidTr="00A81E48">
        <w:tc>
          <w:tcPr>
            <w:tcW w:w="9016" w:type="dxa"/>
            <w:shd w:val="clear" w:color="auto" w:fill="D0CECE" w:themeFill="background2" w:themeFillShade="E6"/>
          </w:tcPr>
          <w:p w14:paraId="0736489E" w14:textId="77777777" w:rsidR="00A81E48" w:rsidRPr="00E32CAA" w:rsidRDefault="00A81E48" w:rsidP="00A81E48">
            <w:pPr>
              <w:spacing w:after="0" w:line="240" w:lineRule="auto"/>
              <w:rPr>
                <w:rFonts w:cstheme="minorHAnsi"/>
                <w:b/>
                <w:szCs w:val="24"/>
              </w:rPr>
            </w:pPr>
            <w:r>
              <w:rPr>
                <w:rFonts w:cstheme="minorHAnsi"/>
                <w:b/>
                <w:szCs w:val="24"/>
              </w:rPr>
              <w:t xml:space="preserve">Interim Report </w:t>
            </w:r>
            <w:r w:rsidRPr="00E32CAA">
              <w:rPr>
                <w:rFonts w:cstheme="minorHAnsi"/>
                <w:b/>
                <w:szCs w:val="24"/>
              </w:rPr>
              <w:t>Recommendation 3</w:t>
            </w:r>
          </w:p>
          <w:p w14:paraId="488C7F5C" w14:textId="77777777" w:rsidR="00A81E48" w:rsidRDefault="00A81E48" w:rsidP="00A81E48">
            <w:pPr>
              <w:spacing w:after="120" w:line="240" w:lineRule="auto"/>
              <w:rPr>
                <w:i/>
                <w:iCs/>
              </w:rPr>
            </w:pPr>
            <w:r w:rsidRPr="27023A04">
              <w:rPr>
                <w:i/>
                <w:iCs/>
              </w:rPr>
              <w:t>The committee recommends that the Australian Government develops guidelines for future major sporting events which make Commonwealth funding, regulatory, policy and operational support conditional on state and territory governments being required to notify the Australian Government well in advance of cancelling, or making major changes to, a major sporting event for which hosting rights have been awarded.</w:t>
            </w:r>
          </w:p>
          <w:p w14:paraId="50FEBB78" w14:textId="77777777" w:rsidR="00A81E48" w:rsidRPr="00E32CAA" w:rsidRDefault="00A81E48" w:rsidP="00A81E48">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 xml:space="preserve">Recommendation </w:t>
            </w:r>
            <w:r>
              <w:rPr>
                <w:rFonts w:cstheme="minorHAnsi"/>
                <w:b/>
                <w:szCs w:val="24"/>
              </w:rPr>
              <w:t>11</w:t>
            </w:r>
          </w:p>
          <w:p w14:paraId="576ADCA2" w14:textId="77777777" w:rsidR="00A81E48" w:rsidRDefault="00A81E48" w:rsidP="00A81E48">
            <w:pPr>
              <w:spacing w:after="120" w:line="240" w:lineRule="auto"/>
              <w:rPr>
                <w:i/>
                <w:iCs/>
              </w:rPr>
            </w:pPr>
            <w:r w:rsidRPr="27023A04">
              <w:rPr>
                <w:i/>
                <w:iCs/>
              </w:rPr>
              <w:t>The committee recommends that the Australian Government through the Office for Sport, progress the establishment of a national strategy for major sporting events in collaboration with all governments, sporting associations and event organisers to maximise Australia’s sporting events calendar and the subsequent participation, economic, social, and legacy benefits.</w:t>
            </w:r>
          </w:p>
          <w:p w14:paraId="399F1E39" w14:textId="77777777" w:rsidR="00A81E48" w:rsidRPr="00E32CAA" w:rsidRDefault="00A81E48" w:rsidP="00A81E48">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 xml:space="preserve">Recommendation </w:t>
            </w:r>
            <w:r>
              <w:rPr>
                <w:rFonts w:cstheme="minorHAnsi"/>
                <w:b/>
                <w:szCs w:val="24"/>
              </w:rPr>
              <w:t>12</w:t>
            </w:r>
          </w:p>
          <w:p w14:paraId="06A0978B" w14:textId="5AC5AD7F" w:rsidR="00A81E48" w:rsidRPr="00A81E48" w:rsidRDefault="00A81E48" w:rsidP="00A81E48">
            <w:pPr>
              <w:spacing w:after="120" w:line="240" w:lineRule="auto"/>
              <w:rPr>
                <w:i/>
                <w:iCs/>
              </w:rPr>
            </w:pPr>
            <w:r w:rsidRPr="27023A04">
              <w:rPr>
                <w:i/>
                <w:iCs/>
              </w:rPr>
              <w:t>The committee recommends that the Australian Government develops guidelines for future major sporting events which make Commonwealth funding, regulatory, policy and operational support conditional on state and territory governments providing concrete, measurable evidence of the legacy benefits for the community, and evidence that they have undertaken timely, adequate, and meaningful consultation with communities before making decisions on venues and infrastructure.</w:t>
            </w:r>
          </w:p>
        </w:tc>
      </w:tr>
    </w:tbl>
    <w:p w14:paraId="7221688C" w14:textId="77777777" w:rsidR="004C518D" w:rsidRPr="00FE67EC" w:rsidRDefault="004C518D" w:rsidP="001B4770">
      <w:pPr>
        <w:spacing w:after="120" w:line="240" w:lineRule="auto"/>
        <w:rPr>
          <w:rFonts w:cstheme="minorHAnsi"/>
          <w:iCs/>
          <w:szCs w:val="24"/>
        </w:rPr>
      </w:pPr>
    </w:p>
    <w:p w14:paraId="4725D44C" w14:textId="3A1F1714" w:rsidR="00E32CAA" w:rsidRPr="006154CA" w:rsidRDefault="00CA15E3" w:rsidP="00DC1C66">
      <w:pPr>
        <w:spacing w:after="120" w:line="240" w:lineRule="auto"/>
        <w:rPr>
          <w:rFonts w:cstheme="minorHAnsi"/>
          <w:b/>
          <w:bCs/>
          <w:iCs/>
          <w:szCs w:val="24"/>
        </w:rPr>
      </w:pPr>
      <w:r w:rsidRPr="000E001E">
        <w:rPr>
          <w:rFonts w:cstheme="minorHAnsi"/>
          <w:b/>
          <w:szCs w:val="24"/>
          <w:u w:val="single"/>
        </w:rPr>
        <w:t>Government response</w:t>
      </w:r>
    </w:p>
    <w:p w14:paraId="616B6753" w14:textId="6992EC6E" w:rsidR="00913392" w:rsidRPr="000E001E" w:rsidRDefault="006154CA" w:rsidP="00984E55">
      <w:pPr>
        <w:spacing w:after="120" w:line="240" w:lineRule="auto"/>
        <w:rPr>
          <w:rFonts w:cstheme="minorHAnsi"/>
          <w:b/>
          <w:iCs/>
          <w:color w:val="FF0000"/>
          <w:szCs w:val="24"/>
        </w:rPr>
      </w:pPr>
      <w:r w:rsidRPr="000E001E">
        <w:rPr>
          <w:rFonts w:cstheme="minorHAnsi"/>
          <w:b/>
          <w:iCs/>
          <w:szCs w:val="24"/>
        </w:rPr>
        <w:t xml:space="preserve">The </w:t>
      </w:r>
      <w:r w:rsidR="00657C12">
        <w:rPr>
          <w:rFonts w:cstheme="minorHAnsi"/>
          <w:b/>
          <w:iCs/>
          <w:szCs w:val="24"/>
        </w:rPr>
        <w:t>G</w:t>
      </w:r>
      <w:r w:rsidRPr="000E001E">
        <w:rPr>
          <w:rFonts w:cstheme="minorHAnsi"/>
          <w:b/>
          <w:iCs/>
          <w:szCs w:val="24"/>
        </w:rPr>
        <w:t>overnment</w:t>
      </w:r>
      <w:r w:rsidR="00307DD7" w:rsidRPr="000E001E">
        <w:rPr>
          <w:rFonts w:cstheme="minorHAnsi"/>
          <w:b/>
          <w:iCs/>
          <w:szCs w:val="24"/>
        </w:rPr>
        <w:t xml:space="preserve"> </w:t>
      </w:r>
      <w:r w:rsidR="00307DD7" w:rsidRPr="000E001E">
        <w:rPr>
          <w:rFonts w:cstheme="minorHAnsi"/>
          <w:b/>
          <w:bCs/>
          <w:iCs/>
          <w:szCs w:val="24"/>
        </w:rPr>
        <w:t>notes</w:t>
      </w:r>
      <w:r w:rsidR="00FB250F" w:rsidRPr="000E001E">
        <w:rPr>
          <w:rFonts w:cstheme="minorHAnsi"/>
          <w:b/>
          <w:iCs/>
          <w:szCs w:val="24"/>
        </w:rPr>
        <w:t xml:space="preserve"> Interim Report Recommendation 3 and</w:t>
      </w:r>
      <w:r w:rsidRPr="000E001E">
        <w:rPr>
          <w:rFonts w:cstheme="minorHAnsi"/>
          <w:b/>
          <w:iCs/>
          <w:szCs w:val="24"/>
        </w:rPr>
        <w:t xml:space="preserve"> </w:t>
      </w:r>
      <w:r w:rsidR="00805C8A" w:rsidRPr="000E001E">
        <w:rPr>
          <w:rFonts w:cstheme="minorHAnsi"/>
          <w:b/>
          <w:bCs/>
          <w:iCs/>
          <w:szCs w:val="24"/>
        </w:rPr>
        <w:t xml:space="preserve">supports in </w:t>
      </w:r>
      <w:r w:rsidR="0000275C" w:rsidRPr="000E001E">
        <w:rPr>
          <w:rFonts w:cstheme="minorHAnsi"/>
          <w:b/>
          <w:bCs/>
          <w:iCs/>
          <w:szCs w:val="24"/>
        </w:rPr>
        <w:t xml:space="preserve">principle </w:t>
      </w:r>
      <w:r w:rsidR="0000275C" w:rsidRPr="000E001E">
        <w:rPr>
          <w:rFonts w:cstheme="minorHAnsi"/>
          <w:b/>
          <w:iCs/>
          <w:szCs w:val="24"/>
        </w:rPr>
        <w:t>Second</w:t>
      </w:r>
      <w:r w:rsidR="00522103" w:rsidRPr="000E001E">
        <w:rPr>
          <w:rFonts w:cstheme="minorHAnsi"/>
          <w:b/>
          <w:iCs/>
          <w:szCs w:val="24"/>
        </w:rPr>
        <w:t xml:space="preserve"> Interim Report Recommendations 11 and 12</w:t>
      </w:r>
      <w:r w:rsidR="00C55A00" w:rsidRPr="000E001E">
        <w:rPr>
          <w:rFonts w:cstheme="minorHAnsi"/>
          <w:b/>
          <w:iCs/>
          <w:szCs w:val="24"/>
        </w:rPr>
        <w:t>.</w:t>
      </w:r>
    </w:p>
    <w:p w14:paraId="589B44E3" w14:textId="77777777" w:rsidR="002A2A82" w:rsidRDefault="002A2A82" w:rsidP="00984E55">
      <w:pPr>
        <w:spacing w:after="120" w:line="240" w:lineRule="auto"/>
      </w:pPr>
      <w:r>
        <w:t xml:space="preserve">The Government will not seek to replace or duplicate the role of states and territories as host governments for major sporting events. </w:t>
      </w:r>
    </w:p>
    <w:p w14:paraId="57AEAEA0" w14:textId="77777777" w:rsidR="002A2A82" w:rsidRDefault="002A2A82" w:rsidP="00984E55">
      <w:pPr>
        <w:spacing w:after="120" w:line="240" w:lineRule="auto"/>
      </w:pPr>
      <w:r>
        <w:t>Where the Government is supporting the funding and/or delivery of events, it expects close collaboration with the organisers and host state and territory governments, including clear and timely communications. Funding agreements between the Government and event organisers already contain clauses relating to ‘changes with material effect’ for major sporting events and appropriate notice periods to the government in these circumstances.</w:t>
      </w:r>
    </w:p>
    <w:p w14:paraId="636E1B1F" w14:textId="77777777" w:rsidR="002A2A82" w:rsidRDefault="002A2A82" w:rsidP="00984E55">
      <w:pPr>
        <w:spacing w:after="120" w:line="240" w:lineRule="auto"/>
      </w:pPr>
      <w:r>
        <w:t>The Government developed</w:t>
      </w:r>
      <w:r>
        <w:rPr>
          <w:i/>
        </w:rPr>
        <w:t xml:space="preserve"> Sport Horizon</w:t>
      </w:r>
      <w:r>
        <w:t xml:space="preserve"> with and for the Australian sport sector. It sets a collective vision and priorities for sport in Australia over the next decade.</w:t>
      </w:r>
    </w:p>
    <w:p w14:paraId="12135CCA" w14:textId="77777777" w:rsidR="002A2A82" w:rsidRDefault="002A2A82" w:rsidP="00984E55">
      <w:pPr>
        <w:spacing w:after="120" w:line="240" w:lineRule="auto"/>
      </w:pPr>
      <w:r>
        <w:t xml:space="preserve">The focus of </w:t>
      </w:r>
      <w:r>
        <w:rPr>
          <w:i/>
        </w:rPr>
        <w:t>Sport Horizon</w:t>
      </w:r>
      <w:r>
        <w:t xml:space="preserve"> is on sport, including organised sport, development pathways and high performance. Given the health and wellbeing benefits of an active lifestyle and emerging pathways into sport, </w:t>
      </w:r>
      <w:r>
        <w:rPr>
          <w:i/>
        </w:rPr>
        <w:t>Sport Horizon</w:t>
      </w:r>
      <w:r>
        <w:t xml:space="preserve"> also seeks to leverage opportunities created through active recreation and physical activity in schools and the community.</w:t>
      </w:r>
    </w:p>
    <w:p w14:paraId="0BDB73C6" w14:textId="77777777" w:rsidR="002A2A82" w:rsidRDefault="002A2A82" w:rsidP="00984E55">
      <w:pPr>
        <w:spacing w:after="120" w:line="240" w:lineRule="auto"/>
      </w:pPr>
      <w:r>
        <w:rPr>
          <w:i/>
        </w:rPr>
        <w:t>Sport Horizon</w:t>
      </w:r>
      <w:r>
        <w:t xml:space="preserve"> will maximise the opportunities created by the decade of major sporting events leading up to and including the Brisbane 2032 Games.</w:t>
      </w:r>
    </w:p>
    <w:p w14:paraId="6A66B427" w14:textId="086DDBD4" w:rsidR="002A2A82" w:rsidRPr="00984E55" w:rsidRDefault="002A2A82" w:rsidP="00984E55">
      <w:pPr>
        <w:autoSpaceDE w:val="0"/>
        <w:autoSpaceDN w:val="0"/>
        <w:adjustRightInd w:val="0"/>
        <w:spacing w:after="120" w:line="240" w:lineRule="auto"/>
      </w:pPr>
      <w:r>
        <w:lastRenderedPageBreak/>
        <w:t xml:space="preserve">In 2024 the Government published the </w:t>
      </w:r>
      <w:r>
        <w:rPr>
          <w:rFonts w:eastAsia="Times New Roman"/>
          <w:i/>
          <w:szCs w:val="24"/>
        </w:rPr>
        <w:t>Major Sporting Events Legacy Framework</w:t>
      </w:r>
      <w:r>
        <w:rPr>
          <w:rStyle w:val="FootnoteReference"/>
          <w:rFonts w:eastAsia="Times New Roman"/>
          <w:szCs w:val="24"/>
        </w:rPr>
        <w:footnoteReference w:id="7"/>
      </w:r>
      <w:r>
        <w:rPr>
          <w:rFonts w:eastAsia="Times New Roman"/>
          <w:i/>
          <w:szCs w:val="24"/>
        </w:rPr>
        <w:t xml:space="preserve"> </w:t>
      </w:r>
      <w:r>
        <w:t>to provide guidance to sporting organisations seeking support. It helps the Government consider which proposals offer the greatest return on investment and broadest legacy impacts in line with strategic objectives.</w:t>
      </w:r>
    </w:p>
    <w:p w14:paraId="304D40B3" w14:textId="2FE58DCA" w:rsidR="004C518D" w:rsidRDefault="004C518D">
      <w:pPr>
        <w:spacing w:after="160" w:line="259" w:lineRule="auto"/>
        <w:rPr>
          <w:rFonts w:cstheme="minorHAnsi"/>
          <w:iCs/>
          <w:color w:val="FF0000"/>
          <w:szCs w:val="24"/>
        </w:rPr>
      </w:pPr>
      <w:r>
        <w:rPr>
          <w:rFonts w:cstheme="minorHAnsi"/>
          <w:iCs/>
          <w:color w:val="FF0000"/>
          <w:szCs w:val="24"/>
        </w:rPr>
        <w:br w:type="page"/>
      </w:r>
    </w:p>
    <w:tbl>
      <w:tblPr>
        <w:tblStyle w:val="TableGrid"/>
        <w:tblW w:w="0" w:type="auto"/>
        <w:tblBorders>
          <w:insideH w:val="none" w:sz="0" w:space="0" w:color="auto"/>
        </w:tblBorders>
        <w:tblLook w:val="04A0" w:firstRow="1" w:lastRow="0" w:firstColumn="1" w:lastColumn="0" w:noHBand="0" w:noVBand="1"/>
      </w:tblPr>
      <w:tblGrid>
        <w:gridCol w:w="9016"/>
      </w:tblGrid>
      <w:tr w:rsidR="00587992" w14:paraId="2D47E1C7" w14:textId="77777777" w:rsidTr="00587992">
        <w:tc>
          <w:tcPr>
            <w:tcW w:w="9016" w:type="dxa"/>
          </w:tcPr>
          <w:p w14:paraId="18E1E62C" w14:textId="74EE78B0" w:rsidR="00587992" w:rsidRDefault="00587992" w:rsidP="00DC1C66">
            <w:pPr>
              <w:pStyle w:val="Heading2"/>
              <w:spacing w:before="160" w:after="160" w:line="240" w:lineRule="auto"/>
            </w:pPr>
            <w:r w:rsidRPr="006D4A1C">
              <w:lastRenderedPageBreak/>
              <w:t xml:space="preserve">Key Theme: </w:t>
            </w:r>
            <w:r>
              <w:t>High performance funding</w:t>
            </w:r>
          </w:p>
        </w:tc>
      </w:tr>
      <w:tr w:rsidR="00587992" w14:paraId="4C5C5263" w14:textId="77777777" w:rsidTr="00587992">
        <w:tc>
          <w:tcPr>
            <w:tcW w:w="9016" w:type="dxa"/>
            <w:shd w:val="clear" w:color="auto" w:fill="D0CECE" w:themeFill="background2" w:themeFillShade="E6"/>
          </w:tcPr>
          <w:p w14:paraId="36313C11" w14:textId="77777777" w:rsidR="00587992" w:rsidRDefault="00587992" w:rsidP="00A81E48">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 xml:space="preserve">Recommendation </w:t>
            </w:r>
            <w:r>
              <w:rPr>
                <w:rFonts w:cstheme="minorHAnsi"/>
                <w:b/>
                <w:szCs w:val="24"/>
              </w:rPr>
              <w:t>14</w:t>
            </w:r>
          </w:p>
          <w:p w14:paraId="5ED6E56F" w14:textId="2A31EF7F" w:rsidR="00893CBE" w:rsidRPr="00A81E48" w:rsidRDefault="00587992" w:rsidP="00A81E48">
            <w:pPr>
              <w:spacing w:after="120" w:line="240" w:lineRule="auto"/>
              <w:rPr>
                <w:i/>
                <w:iCs/>
              </w:rPr>
            </w:pPr>
            <w:r w:rsidRPr="27023A04">
              <w:rPr>
                <w:i/>
                <w:iCs/>
              </w:rPr>
              <w:t>The committee recommends that the Australian Government review current funding mechanisms and investment levels for Australian Sports Commission funded Commonwealth, Olympic and Paralympic Games sports and their associations to ensure funding levels are appropriate and sufficient to meet the needs of athletes and their teams to produce successful outcomes in upcoming major events including Paris 2024 and through to Brisbane 2032. This review should also recognise additional para-athlete qualification requirements.</w:t>
            </w:r>
          </w:p>
          <w:p w14:paraId="5E8A857E" w14:textId="77777777" w:rsidR="00587992" w:rsidRPr="00E32CAA" w:rsidRDefault="00587992" w:rsidP="00A81E48">
            <w:pPr>
              <w:spacing w:after="0" w:line="240" w:lineRule="auto"/>
              <w:rPr>
                <w:rFonts w:cstheme="minorHAnsi"/>
                <w:b/>
                <w:szCs w:val="24"/>
              </w:rPr>
            </w:pPr>
            <w:r>
              <w:rPr>
                <w:rFonts w:cstheme="minorHAnsi"/>
                <w:b/>
                <w:szCs w:val="24"/>
              </w:rPr>
              <w:t xml:space="preserve">Second Interim Report </w:t>
            </w:r>
            <w:r w:rsidRPr="00E32CAA">
              <w:rPr>
                <w:rFonts w:cstheme="minorHAnsi"/>
                <w:b/>
                <w:szCs w:val="24"/>
              </w:rPr>
              <w:t xml:space="preserve">Recommendation </w:t>
            </w:r>
            <w:r>
              <w:rPr>
                <w:rFonts w:cstheme="minorHAnsi"/>
                <w:b/>
                <w:szCs w:val="24"/>
              </w:rPr>
              <w:t>15</w:t>
            </w:r>
          </w:p>
          <w:p w14:paraId="39AD672F" w14:textId="46698AB4" w:rsidR="00587992" w:rsidRPr="00587992" w:rsidRDefault="00587992" w:rsidP="00A81E48">
            <w:pPr>
              <w:spacing w:after="120" w:line="240" w:lineRule="auto"/>
              <w:rPr>
                <w:i/>
                <w:iCs/>
              </w:rPr>
            </w:pPr>
            <w:r w:rsidRPr="27023A04">
              <w:rPr>
                <w:i/>
                <w:iCs/>
              </w:rPr>
              <w:t>The committee recommends that the Australian Government does not relocate the Australian Institute of Sport (AIS) from Canberra. Any funding that would be required to relocate the AIS should instead be invested into upgrading the current AIS location in Bruce, Canberra to ensure the facility is fit-for-purpose and can support the needs of Australia's athletes leading up to and beyond the Brisbane 2032 Games.</w:t>
            </w:r>
          </w:p>
        </w:tc>
      </w:tr>
    </w:tbl>
    <w:p w14:paraId="5E7C9DDB" w14:textId="77777777" w:rsidR="00893CBE" w:rsidRDefault="00893CBE" w:rsidP="005A16B3">
      <w:pPr>
        <w:spacing w:after="120" w:line="240" w:lineRule="auto"/>
        <w:rPr>
          <w:rFonts w:cstheme="minorHAnsi"/>
          <w:b/>
          <w:bCs/>
          <w:iCs/>
          <w:szCs w:val="24"/>
        </w:rPr>
      </w:pPr>
    </w:p>
    <w:p w14:paraId="50A0A255" w14:textId="6A2C602B" w:rsidR="005A16B3" w:rsidRPr="006154CA" w:rsidRDefault="00CA15E3" w:rsidP="00DC1C66">
      <w:pPr>
        <w:spacing w:after="120" w:line="240" w:lineRule="auto"/>
        <w:rPr>
          <w:rFonts w:cstheme="minorHAnsi"/>
          <w:b/>
          <w:bCs/>
          <w:iCs/>
          <w:szCs w:val="24"/>
        </w:rPr>
      </w:pPr>
      <w:r w:rsidRPr="00854CD4">
        <w:rPr>
          <w:rFonts w:cstheme="minorHAnsi"/>
          <w:b/>
          <w:szCs w:val="24"/>
          <w:u w:val="single"/>
        </w:rPr>
        <w:t>Government response</w:t>
      </w:r>
    </w:p>
    <w:p w14:paraId="3D806CE6" w14:textId="4DA6D027" w:rsidR="005A16B3" w:rsidRPr="00854CD4" w:rsidRDefault="005A16B3" w:rsidP="00142720">
      <w:pPr>
        <w:spacing w:after="120" w:line="240" w:lineRule="auto"/>
        <w:rPr>
          <w:rFonts w:cstheme="minorHAnsi"/>
          <w:b/>
          <w:iCs/>
          <w:szCs w:val="24"/>
        </w:rPr>
      </w:pPr>
      <w:r w:rsidRPr="00854CD4">
        <w:rPr>
          <w:rFonts w:cstheme="minorHAnsi"/>
          <w:b/>
          <w:iCs/>
          <w:szCs w:val="24"/>
        </w:rPr>
        <w:t xml:space="preserve">The </w:t>
      </w:r>
      <w:r w:rsidR="00762D29">
        <w:rPr>
          <w:rFonts w:cstheme="minorHAnsi"/>
          <w:b/>
          <w:iCs/>
          <w:szCs w:val="24"/>
        </w:rPr>
        <w:t>G</w:t>
      </w:r>
      <w:r w:rsidRPr="00854CD4">
        <w:rPr>
          <w:rFonts w:cstheme="minorHAnsi"/>
          <w:b/>
          <w:iCs/>
          <w:szCs w:val="24"/>
        </w:rPr>
        <w:t xml:space="preserve">overnment </w:t>
      </w:r>
      <w:r w:rsidR="00E53981" w:rsidRPr="00854CD4">
        <w:rPr>
          <w:rFonts w:cstheme="minorHAnsi"/>
          <w:b/>
          <w:bCs/>
          <w:iCs/>
          <w:szCs w:val="24"/>
        </w:rPr>
        <w:t>notes</w:t>
      </w:r>
      <w:r w:rsidRPr="00854CD4">
        <w:rPr>
          <w:rFonts w:cstheme="minorHAnsi"/>
          <w:b/>
          <w:iCs/>
          <w:szCs w:val="24"/>
        </w:rPr>
        <w:t xml:space="preserve"> </w:t>
      </w:r>
      <w:r w:rsidR="007E5950" w:rsidRPr="00854CD4">
        <w:rPr>
          <w:rFonts w:cstheme="minorHAnsi"/>
          <w:b/>
          <w:iCs/>
          <w:szCs w:val="24"/>
        </w:rPr>
        <w:t xml:space="preserve">Second Interim Report Recommendation 14 and </w:t>
      </w:r>
      <w:r w:rsidR="007E5950" w:rsidRPr="00854CD4">
        <w:rPr>
          <w:rFonts w:cstheme="minorHAnsi"/>
          <w:b/>
          <w:bCs/>
          <w:iCs/>
          <w:szCs w:val="24"/>
        </w:rPr>
        <w:t>supports</w:t>
      </w:r>
      <w:r w:rsidR="007E5950" w:rsidRPr="00854CD4">
        <w:rPr>
          <w:rFonts w:cstheme="minorHAnsi"/>
          <w:b/>
          <w:iCs/>
          <w:szCs w:val="24"/>
        </w:rPr>
        <w:t xml:space="preserve"> Second Interim Report Recommendation 15.</w:t>
      </w:r>
    </w:p>
    <w:p w14:paraId="7A1DF3ED" w14:textId="63665A02" w:rsidR="002B6856" w:rsidRPr="008F6F3B" w:rsidRDefault="008D1583" w:rsidP="00142720">
      <w:pPr>
        <w:spacing w:after="120" w:line="240" w:lineRule="auto"/>
        <w:rPr>
          <w:rFonts w:eastAsiaTheme="minorEastAsia"/>
          <w:color w:val="000000" w:themeColor="text1"/>
        </w:rPr>
      </w:pPr>
      <w:r w:rsidRPr="143B95FA">
        <w:rPr>
          <w:rFonts w:eastAsiaTheme="minorEastAsia"/>
          <w:color w:val="000000" w:themeColor="text1"/>
        </w:rPr>
        <w:t xml:space="preserve">In the 2024-25 Federal Budget, the ASC </w:t>
      </w:r>
      <w:r w:rsidR="00A0668E">
        <w:rPr>
          <w:rFonts w:eastAsiaTheme="minorEastAsia"/>
          <w:color w:val="000000" w:themeColor="text1"/>
        </w:rPr>
        <w:t>received</w:t>
      </w:r>
      <w:r w:rsidRPr="143B95FA">
        <w:rPr>
          <w:rFonts w:eastAsiaTheme="minorEastAsia"/>
          <w:color w:val="000000" w:themeColor="text1"/>
        </w:rPr>
        <w:t xml:space="preserve"> a record investment of $283.5 million to support athletes, coaches and support staff starting preparations for the Los Angeles 2028 Olympic and Paralympic Games cycle</w:t>
      </w:r>
      <w:r w:rsidR="002B6856" w:rsidRPr="143B95FA">
        <w:rPr>
          <w:rFonts w:eastAsiaTheme="minorEastAsia"/>
          <w:color w:val="000000" w:themeColor="text1"/>
        </w:rPr>
        <w:t xml:space="preserve">. </w:t>
      </w:r>
      <w:r w:rsidR="002B6856" w:rsidRPr="008F6F3B">
        <w:rPr>
          <w:rFonts w:eastAsiaTheme="minorEastAsia"/>
          <w:color w:val="000000" w:themeColor="text1"/>
        </w:rPr>
        <w:t>This is the largest ever</w:t>
      </w:r>
      <w:r w:rsidR="00A0668E">
        <w:rPr>
          <w:rFonts w:eastAsiaTheme="minorEastAsia"/>
          <w:color w:val="000000" w:themeColor="text1"/>
        </w:rPr>
        <w:t xml:space="preserve"> investment from the</w:t>
      </w:r>
      <w:r w:rsidR="002B6856" w:rsidRPr="008F6F3B">
        <w:rPr>
          <w:rFonts w:eastAsiaTheme="minorEastAsia"/>
          <w:color w:val="000000" w:themeColor="text1"/>
        </w:rPr>
        <w:t xml:space="preserve"> </w:t>
      </w:r>
      <w:r w:rsidR="00A0668E">
        <w:rPr>
          <w:rFonts w:eastAsiaTheme="minorEastAsia"/>
          <w:color w:val="000000" w:themeColor="text1"/>
        </w:rPr>
        <w:t>G</w:t>
      </w:r>
      <w:r w:rsidR="002B6856" w:rsidRPr="008F6F3B">
        <w:rPr>
          <w:rFonts w:eastAsiaTheme="minorEastAsia"/>
          <w:color w:val="000000" w:themeColor="text1"/>
        </w:rPr>
        <w:t xml:space="preserve">overnment in Olympic and Paralympic sports to help Australian athletes achieve success on world stages. This new funding is in addition to existing $102.8 million annual ASC base high-performance funding and brings the </w:t>
      </w:r>
      <w:r w:rsidR="00762D29">
        <w:rPr>
          <w:rFonts w:eastAsiaTheme="minorEastAsia"/>
          <w:color w:val="000000" w:themeColor="text1"/>
        </w:rPr>
        <w:t>G</w:t>
      </w:r>
      <w:r w:rsidR="002B6856" w:rsidRPr="008F6F3B">
        <w:rPr>
          <w:rFonts w:eastAsiaTheme="minorEastAsia"/>
          <w:color w:val="000000" w:themeColor="text1"/>
        </w:rPr>
        <w:t>overnment’s total high-performance investment to $489.0 million over two years. </w:t>
      </w:r>
    </w:p>
    <w:p w14:paraId="6A23CA19" w14:textId="199D17B6" w:rsidR="002B6856" w:rsidRPr="008F6F3B" w:rsidRDefault="002B6856" w:rsidP="00142720">
      <w:pPr>
        <w:spacing w:after="120" w:line="240" w:lineRule="auto"/>
        <w:rPr>
          <w:rFonts w:eastAsiaTheme="minorEastAsia"/>
          <w:color w:val="000000" w:themeColor="text1"/>
        </w:rPr>
      </w:pPr>
      <w:r w:rsidRPr="008F6F3B">
        <w:rPr>
          <w:rFonts w:eastAsiaTheme="minorEastAsia"/>
          <w:color w:val="000000" w:themeColor="text1"/>
        </w:rPr>
        <w:t>This boost to high-performance funding will strengthen Australia’s position as a world leading sporting nation in the lead up to the Brisbane 2032 Games. It will create more opportunities and better development pathways for high-performance athletes to thrive, win well and inspire the next generation of healthier Australians. </w:t>
      </w:r>
    </w:p>
    <w:p w14:paraId="4EB50143" w14:textId="01BC5FE8" w:rsidR="00437398" w:rsidRPr="008F6F3B" w:rsidRDefault="002B6856" w:rsidP="00142720">
      <w:pPr>
        <w:spacing w:after="120" w:line="240" w:lineRule="auto"/>
        <w:rPr>
          <w:rFonts w:eastAsiaTheme="minorEastAsia"/>
          <w:color w:val="000000" w:themeColor="text1"/>
        </w:rPr>
      </w:pPr>
      <w:r w:rsidRPr="008F6F3B">
        <w:rPr>
          <w:rFonts w:eastAsiaTheme="minorEastAsia"/>
          <w:color w:val="000000" w:themeColor="text1"/>
        </w:rPr>
        <w:t>The investment provides support for recruitment and retention of athletes, coaches and leadership personnel; ensures athletes have the day-to-day resources, support and guidance for training and preparation to achieve international success; and supports access to appropriate domestic and international competitions. Programs that will support high-performance athletes now, and in the lead up to, the Brisbane 2032 Games include:</w:t>
      </w:r>
    </w:p>
    <w:p w14:paraId="641646F3" w14:textId="27F8DEB5" w:rsidR="002B6856" w:rsidRPr="008F6F3B" w:rsidRDefault="002B6856" w:rsidP="00142720">
      <w:pPr>
        <w:numPr>
          <w:ilvl w:val="0"/>
          <w:numId w:val="28"/>
        </w:numPr>
        <w:spacing w:after="120" w:line="240" w:lineRule="auto"/>
        <w:ind w:left="714" w:hanging="357"/>
        <w:rPr>
          <w:rFonts w:eastAsiaTheme="minorEastAsia"/>
          <w:color w:val="000000" w:themeColor="text1"/>
        </w:rPr>
      </w:pPr>
      <w:r w:rsidRPr="008F6F3B">
        <w:rPr>
          <w:rFonts w:eastAsiaTheme="minorEastAsia"/>
          <w:color w:val="000000" w:themeColor="text1"/>
        </w:rPr>
        <w:t>High-Performance Grants to national sporting organisations ($118.5 million)</w:t>
      </w:r>
      <w:r w:rsidR="008B1F36">
        <w:rPr>
          <w:rFonts w:eastAsiaTheme="minorEastAsia"/>
          <w:color w:val="000000" w:themeColor="text1"/>
        </w:rPr>
        <w:t>.</w:t>
      </w:r>
      <w:r w:rsidRPr="008F6F3B">
        <w:rPr>
          <w:rFonts w:eastAsiaTheme="minorEastAsia"/>
          <w:color w:val="000000" w:themeColor="text1"/>
        </w:rPr>
        <w:t>  </w:t>
      </w:r>
    </w:p>
    <w:p w14:paraId="45ACC2E6" w14:textId="78C7E714" w:rsidR="002B6856" w:rsidRPr="00230B7E" w:rsidRDefault="002B6856" w:rsidP="0037454F">
      <w:pPr>
        <w:pStyle w:val="ListParagraph"/>
        <w:numPr>
          <w:ilvl w:val="0"/>
          <w:numId w:val="28"/>
        </w:numPr>
        <w:spacing w:after="120" w:line="240" w:lineRule="auto"/>
        <w:rPr>
          <w:rFonts w:eastAsiaTheme="minorEastAsia"/>
          <w:color w:val="000000" w:themeColor="text1"/>
          <w:szCs w:val="24"/>
        </w:rPr>
      </w:pPr>
      <w:r w:rsidRPr="00230B7E">
        <w:rPr>
          <w:rFonts w:eastAsiaTheme="minorEastAsia"/>
          <w:color w:val="000000" w:themeColor="text1"/>
          <w:szCs w:val="24"/>
        </w:rPr>
        <w:t>Olympic and Paralympic Fund ($40.5 million to cover increased competition costs)</w:t>
      </w:r>
      <w:r w:rsidR="008B1F36">
        <w:rPr>
          <w:rFonts w:eastAsiaTheme="minorEastAsia"/>
          <w:color w:val="000000" w:themeColor="text1"/>
          <w:szCs w:val="24"/>
        </w:rPr>
        <w:t>.</w:t>
      </w:r>
      <w:r w:rsidRPr="00230B7E">
        <w:rPr>
          <w:rFonts w:eastAsiaTheme="minorEastAsia"/>
          <w:color w:val="000000" w:themeColor="text1"/>
          <w:szCs w:val="24"/>
        </w:rPr>
        <w:t> </w:t>
      </w:r>
    </w:p>
    <w:p w14:paraId="0FBDDD9B" w14:textId="54130587" w:rsidR="002B6856" w:rsidRPr="008F6F3B" w:rsidRDefault="002B6856" w:rsidP="00C17A31">
      <w:pPr>
        <w:numPr>
          <w:ilvl w:val="0"/>
          <w:numId w:val="30"/>
        </w:numPr>
        <w:spacing w:after="120" w:line="240" w:lineRule="auto"/>
        <w:ind w:left="714" w:hanging="357"/>
        <w:rPr>
          <w:rFonts w:eastAsiaTheme="minorEastAsia"/>
          <w:color w:val="000000" w:themeColor="text1"/>
        </w:rPr>
      </w:pPr>
      <w:r w:rsidRPr="00230B7E">
        <w:rPr>
          <w:rFonts w:eastAsiaTheme="minorEastAsia"/>
          <w:color w:val="000000" w:themeColor="text1"/>
          <w:szCs w:val="24"/>
        </w:rPr>
        <w:t>Performance Pathways and Athlete Pathways Grants ($51.9 million) to support athletes</w:t>
      </w:r>
      <w:r w:rsidRPr="008F6F3B">
        <w:rPr>
          <w:rFonts w:eastAsiaTheme="minorEastAsia"/>
          <w:color w:val="000000" w:themeColor="text1"/>
        </w:rPr>
        <w:t xml:space="preserve"> to reach their potential</w:t>
      </w:r>
      <w:r w:rsidR="008B1F36">
        <w:rPr>
          <w:rFonts w:eastAsiaTheme="minorEastAsia"/>
          <w:color w:val="000000" w:themeColor="text1"/>
        </w:rPr>
        <w:t>.</w:t>
      </w:r>
      <w:r w:rsidRPr="008F6F3B">
        <w:rPr>
          <w:rFonts w:eastAsiaTheme="minorEastAsia"/>
          <w:color w:val="000000" w:themeColor="text1"/>
        </w:rPr>
        <w:t> </w:t>
      </w:r>
    </w:p>
    <w:p w14:paraId="01EB33F1" w14:textId="07C96421" w:rsidR="002B6856" w:rsidRPr="008F6F3B" w:rsidRDefault="002B6856">
      <w:pPr>
        <w:numPr>
          <w:ilvl w:val="0"/>
          <w:numId w:val="31"/>
        </w:numPr>
        <w:spacing w:after="120" w:line="240" w:lineRule="auto"/>
        <w:ind w:left="714" w:hanging="357"/>
        <w:rPr>
          <w:rFonts w:eastAsiaTheme="minorEastAsia"/>
          <w:color w:val="000000" w:themeColor="text1"/>
        </w:rPr>
      </w:pPr>
      <w:r w:rsidRPr="008F6F3B">
        <w:rPr>
          <w:rFonts w:eastAsiaTheme="minorEastAsia"/>
          <w:color w:val="000000" w:themeColor="text1"/>
        </w:rPr>
        <w:t>Paralympic sport uplift to address systemic and structural barriers to performance</w:t>
      </w:r>
      <w:r>
        <w:rPr>
          <w:rFonts w:eastAsiaTheme="minorEastAsia"/>
          <w:color w:val="000000" w:themeColor="text1"/>
        </w:rPr>
        <w:t xml:space="preserve"> including para-athlete qualification requirements</w:t>
      </w:r>
      <w:r w:rsidRPr="008F6F3B">
        <w:rPr>
          <w:rFonts w:eastAsiaTheme="minorEastAsia"/>
          <w:color w:val="000000" w:themeColor="text1"/>
        </w:rPr>
        <w:t xml:space="preserve"> ($54.9 million)</w:t>
      </w:r>
      <w:r w:rsidR="008B1F36">
        <w:rPr>
          <w:rFonts w:eastAsiaTheme="minorEastAsia"/>
          <w:color w:val="000000" w:themeColor="text1"/>
        </w:rPr>
        <w:t>.</w:t>
      </w:r>
      <w:r w:rsidRPr="008F6F3B">
        <w:rPr>
          <w:rFonts w:eastAsiaTheme="minorEastAsia"/>
          <w:color w:val="000000" w:themeColor="text1"/>
        </w:rPr>
        <w:t> </w:t>
      </w:r>
    </w:p>
    <w:p w14:paraId="09E2EE44" w14:textId="664DDA04" w:rsidR="008D1583" w:rsidRPr="003C43BF" w:rsidRDefault="002B6856">
      <w:pPr>
        <w:numPr>
          <w:ilvl w:val="0"/>
          <w:numId w:val="32"/>
        </w:numPr>
        <w:spacing w:after="120" w:line="240" w:lineRule="auto"/>
        <w:ind w:left="714" w:hanging="357"/>
        <w:rPr>
          <w:rFonts w:eastAsiaTheme="minorEastAsia"/>
        </w:rPr>
      </w:pPr>
      <w:r w:rsidRPr="008F6F3B">
        <w:rPr>
          <w:rFonts w:eastAsiaTheme="minorEastAsia"/>
          <w:color w:val="000000" w:themeColor="text1"/>
        </w:rPr>
        <w:lastRenderedPageBreak/>
        <w:t>Direct Athlete Support Grants to assist with cost-of-living pressures ($17.6 million</w:t>
      </w:r>
      <w:r>
        <w:rPr>
          <w:rFonts w:eastAsiaTheme="minorEastAsia"/>
          <w:color w:val="000000" w:themeColor="text1"/>
        </w:rPr>
        <w:t>s)</w:t>
      </w:r>
      <w:r w:rsidR="0082550B">
        <w:rPr>
          <w:rFonts w:eastAsiaTheme="minorEastAsia"/>
          <w:color w:val="000000" w:themeColor="text1"/>
        </w:rPr>
        <w:t xml:space="preserve">. This </w:t>
      </w:r>
      <w:r w:rsidR="00FC575B">
        <w:rPr>
          <w:rFonts w:eastAsiaTheme="minorEastAsia"/>
          <w:color w:val="000000" w:themeColor="text1"/>
        </w:rPr>
        <w:t>provides direct fina</w:t>
      </w:r>
      <w:r w:rsidR="006D6CA8">
        <w:rPr>
          <w:rFonts w:eastAsiaTheme="minorEastAsia"/>
          <w:color w:val="000000" w:themeColor="text1"/>
        </w:rPr>
        <w:t xml:space="preserve">ncial support to more than 900 athletes across 30 </w:t>
      </w:r>
      <w:r w:rsidR="006D6CA8" w:rsidRPr="003A1DE6">
        <w:rPr>
          <w:rFonts w:eastAsiaTheme="minorEastAsia"/>
          <w:color w:val="000000" w:themeColor="text1"/>
          <w:szCs w:val="24"/>
        </w:rPr>
        <w:t>NSOs</w:t>
      </w:r>
      <w:r w:rsidR="006D6CA8">
        <w:rPr>
          <w:rFonts w:eastAsiaTheme="minorEastAsia"/>
          <w:color w:val="000000" w:themeColor="text1"/>
          <w:szCs w:val="24"/>
        </w:rPr>
        <w:t>/NSODs</w:t>
      </w:r>
      <w:r w:rsidR="006D6CA8" w:rsidRPr="003A1DE6">
        <w:rPr>
          <w:rFonts w:eastAsiaTheme="minorEastAsia"/>
          <w:color w:val="000000" w:themeColor="text1"/>
          <w:szCs w:val="24"/>
        </w:rPr>
        <w:t xml:space="preserve"> training in Olympic, Paralympic and Commonwealth Games sports</w:t>
      </w:r>
      <w:r w:rsidR="003C43BF">
        <w:rPr>
          <w:rFonts w:eastAsiaTheme="minorEastAsia"/>
          <w:color w:val="000000" w:themeColor="text1"/>
        </w:rPr>
        <w:t>.</w:t>
      </w:r>
    </w:p>
    <w:p w14:paraId="3D43E73D" w14:textId="319EFD9D" w:rsidR="00696833" w:rsidRDefault="00696833" w:rsidP="00142720">
      <w:pPr>
        <w:spacing w:after="120" w:line="240" w:lineRule="auto"/>
        <w:rPr>
          <w:rFonts w:eastAsiaTheme="minorEastAsia"/>
          <w:color w:val="000000" w:themeColor="text1"/>
        </w:rPr>
      </w:pPr>
      <w:r>
        <w:rPr>
          <w:rFonts w:eastAsiaTheme="minorEastAsia"/>
          <w:color w:val="000000" w:themeColor="text1"/>
        </w:rPr>
        <w:t xml:space="preserve">The Government also announced $2.058 million investment on 22 June 2025 to support the Australian Team for the Milano Cortina </w:t>
      </w:r>
      <w:r w:rsidR="00FA5E4B">
        <w:rPr>
          <w:rFonts w:eastAsiaTheme="minorEastAsia"/>
          <w:color w:val="000000" w:themeColor="text1"/>
        </w:rPr>
        <w:t xml:space="preserve">2026 </w:t>
      </w:r>
      <w:r>
        <w:rPr>
          <w:rFonts w:eastAsiaTheme="minorEastAsia"/>
          <w:color w:val="000000" w:themeColor="text1"/>
        </w:rPr>
        <w:t>Paralympic Games.</w:t>
      </w:r>
    </w:p>
    <w:p w14:paraId="02A93228" w14:textId="45A56135" w:rsidR="00735FEC" w:rsidRDefault="009B3F15" w:rsidP="00B41422">
      <w:pPr>
        <w:spacing w:after="120" w:line="240" w:lineRule="auto"/>
      </w:pPr>
      <w:r>
        <w:t xml:space="preserve">On 10 May 2024, the </w:t>
      </w:r>
      <w:r w:rsidR="00B65C90">
        <w:t>G</w:t>
      </w:r>
      <w:r>
        <w:t xml:space="preserve">overnment announced a $249.7 million investment to upgrade </w:t>
      </w:r>
      <w:r w:rsidR="00B92C77">
        <w:t>AIS facilities</w:t>
      </w:r>
      <w:r w:rsidR="007E5E94">
        <w:t xml:space="preserve"> in Canberra</w:t>
      </w:r>
      <w:r w:rsidR="00B92C77">
        <w:t xml:space="preserve"> to ensure they are modern and </w:t>
      </w:r>
      <w:proofErr w:type="gramStart"/>
      <w:r w:rsidR="00EB5F12">
        <w:t>world</w:t>
      </w:r>
      <w:r w:rsidR="00A0668E">
        <w:t>-</w:t>
      </w:r>
      <w:r w:rsidR="00EB5F12">
        <w:t>leading</w:t>
      </w:r>
      <w:proofErr w:type="gramEnd"/>
      <w:r w:rsidR="00B92C77">
        <w:t>.</w:t>
      </w:r>
      <w:r w:rsidR="007E5E94">
        <w:t xml:space="preserve"> This investment followed </w:t>
      </w:r>
      <w:r w:rsidR="00C46E19">
        <w:t xml:space="preserve">the </w:t>
      </w:r>
      <w:r w:rsidR="00C46E19">
        <w:rPr>
          <w:i/>
        </w:rPr>
        <w:t xml:space="preserve">Independent Review </w:t>
      </w:r>
      <w:r w:rsidR="00B155D0">
        <w:rPr>
          <w:i/>
        </w:rPr>
        <w:t>into</w:t>
      </w:r>
      <w:r w:rsidR="00C46E19">
        <w:rPr>
          <w:i/>
        </w:rPr>
        <w:t xml:space="preserve"> AIS Infrastructure</w:t>
      </w:r>
      <w:r w:rsidR="00502F01">
        <w:t xml:space="preserve"> and will see the construction of three new high performance sport facilities at the existing AIS campus</w:t>
      </w:r>
      <w:r w:rsidR="00B41422">
        <w:t>.</w:t>
      </w:r>
    </w:p>
    <w:p w14:paraId="4F60F394" w14:textId="77777777" w:rsidR="00B41422" w:rsidRDefault="00D53214" w:rsidP="00142720">
      <w:pPr>
        <w:spacing w:after="120" w:line="240" w:lineRule="auto"/>
      </w:pPr>
      <w:r w:rsidRPr="143B95FA">
        <w:t>The ASC anticipate</w:t>
      </w:r>
      <w:r w:rsidR="00854CD4">
        <w:t>s</w:t>
      </w:r>
      <w:r w:rsidRPr="143B95FA">
        <w:t xml:space="preserve"> construction to be complete by early 2027 to enhance athlete preparations in the leadup to the Los Angeles 2028 Olympic and Paralympic Games,</w:t>
      </w:r>
      <w:r w:rsidR="00854CD4">
        <w:t xml:space="preserve"> the </w:t>
      </w:r>
      <w:r w:rsidRPr="143B95FA">
        <w:t>Brisbane 2032</w:t>
      </w:r>
      <w:r w:rsidR="00854CD4">
        <w:t xml:space="preserve"> Games</w:t>
      </w:r>
      <w:r w:rsidRPr="143B95FA">
        <w:t xml:space="preserve"> and beyond. </w:t>
      </w:r>
    </w:p>
    <w:p w14:paraId="1EDC969C" w14:textId="309BB0D8" w:rsidR="00382809" w:rsidRPr="00250971" w:rsidRDefault="00D53214" w:rsidP="00142720">
      <w:pPr>
        <w:spacing w:after="120" w:line="240" w:lineRule="auto"/>
      </w:pPr>
      <w:r w:rsidRPr="58B0ACB2">
        <w:t xml:space="preserve">The ASC </w:t>
      </w:r>
      <w:proofErr w:type="gramStart"/>
      <w:r w:rsidRPr="58B0ACB2">
        <w:t>is connected with</w:t>
      </w:r>
      <w:proofErr w:type="gramEnd"/>
      <w:r w:rsidRPr="58B0ACB2">
        <w:t xml:space="preserve"> the ACT Government to participate in preliminary discussions regarding the Masterplan for the broader Bruce, A</w:t>
      </w:r>
      <w:r w:rsidR="00CD628E">
        <w:t xml:space="preserve">ustralian Capital Territory </w:t>
      </w:r>
      <w:r w:rsidRPr="58B0ACB2">
        <w:t>precinct.</w:t>
      </w:r>
    </w:p>
    <w:sectPr w:rsidR="00382809" w:rsidRPr="002509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D5DA" w14:textId="77777777" w:rsidR="00B101D3" w:rsidRDefault="00B101D3" w:rsidP="00594ABC">
      <w:pPr>
        <w:spacing w:after="0" w:line="240" w:lineRule="auto"/>
      </w:pPr>
      <w:r>
        <w:separator/>
      </w:r>
    </w:p>
  </w:endnote>
  <w:endnote w:type="continuationSeparator" w:id="0">
    <w:p w14:paraId="0C9C4D14" w14:textId="77777777" w:rsidR="00B101D3" w:rsidRDefault="00B101D3" w:rsidP="00594ABC">
      <w:pPr>
        <w:spacing w:after="0" w:line="240" w:lineRule="auto"/>
      </w:pPr>
      <w:r>
        <w:continuationSeparator/>
      </w:r>
    </w:p>
  </w:endnote>
  <w:endnote w:type="continuationNotice" w:id="1">
    <w:p w14:paraId="032DC5F3" w14:textId="77777777" w:rsidR="00B101D3" w:rsidRDefault="00B10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1DDE" w14:textId="275D6A86" w:rsidR="002C3A7E" w:rsidRDefault="002C3A7E">
    <w:pPr>
      <w:pStyle w:val="Footer"/>
    </w:pPr>
    <w:r>
      <w:rPr>
        <w:noProof/>
      </w:rPr>
      <mc:AlternateContent>
        <mc:Choice Requires="wps">
          <w:drawing>
            <wp:anchor distT="0" distB="0" distL="0" distR="0" simplePos="0" relativeHeight="251662848" behindDoc="0" locked="0" layoutInCell="1" allowOverlap="1" wp14:anchorId="45CC5911" wp14:editId="00819D36">
              <wp:simplePos x="635" y="635"/>
              <wp:positionH relativeFrom="page">
                <wp:align>center</wp:align>
              </wp:positionH>
              <wp:positionV relativeFrom="page">
                <wp:align>bottom</wp:align>
              </wp:positionV>
              <wp:extent cx="726440" cy="440055"/>
              <wp:effectExtent l="0" t="0" r="16510" b="0"/>
              <wp:wrapNone/>
              <wp:docPr id="2295423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5C6446BB" w14:textId="0DFA5BCA"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C5911" id="_x0000_t202" coordsize="21600,21600" o:spt="202" path="m,l,21600r21600,l21600,xe">
              <v:stroke joinstyle="miter"/>
              <v:path gradientshapeok="t" o:connecttype="rect"/>
            </v:shapetype>
            <v:shape id="Text Box 5" o:spid="_x0000_s1028" type="#_x0000_t202" alt="OFFICIAL" style="position:absolute;margin-left:0;margin-top:0;width:57.2pt;height:34.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1wDAIAABwEAAAOAAAAZHJzL2Uyb0RvYy54bWysU01v2zAMvQ/YfxB0X+wETbc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" filled="f" stroked="f">
              <v:fill o:detectmouseclick="t"/>
              <v:textbox style="mso-fit-shape-to-text:t" inset="0,0,0,15pt">
                <w:txbxContent>
                  <w:p w14:paraId="5C6446BB" w14:textId="0DFA5BCA"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4B71" w14:textId="405F3A8C" w:rsidR="008E61B6" w:rsidRDefault="002C3A7E">
    <w:pPr>
      <w:pStyle w:val="Footer"/>
      <w:jc w:val="right"/>
    </w:pPr>
    <w:r>
      <w:rPr>
        <w:noProof/>
      </w:rPr>
      <mc:AlternateContent>
        <mc:Choice Requires="wps">
          <w:drawing>
            <wp:anchor distT="0" distB="0" distL="0" distR="0" simplePos="0" relativeHeight="251663872" behindDoc="0" locked="0" layoutInCell="1" allowOverlap="1" wp14:anchorId="2055F580" wp14:editId="1E8A9BF5">
              <wp:simplePos x="914400" y="9867900"/>
              <wp:positionH relativeFrom="page">
                <wp:align>center</wp:align>
              </wp:positionH>
              <wp:positionV relativeFrom="page">
                <wp:align>bottom</wp:align>
              </wp:positionV>
              <wp:extent cx="726440" cy="440055"/>
              <wp:effectExtent l="0" t="0" r="16510" b="0"/>
              <wp:wrapNone/>
              <wp:docPr id="824572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2022AA17" w14:textId="6CE3FB4F"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5F580"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34.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" filled="f" stroked="f">
              <v:fill o:detectmouseclick="t"/>
              <v:textbox style="mso-fit-shape-to-text:t" inset="0,0,0,15pt">
                <w:txbxContent>
                  <w:p w14:paraId="2022AA17" w14:textId="6CE3FB4F"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sdt>
      <w:sdtPr>
        <w:id w:val="-2092537912"/>
        <w:docPartObj>
          <w:docPartGallery w:val="Page Numbers (Bottom of Page)"/>
          <w:docPartUnique/>
        </w:docPartObj>
      </w:sdtPr>
      <w:sdtEndPr>
        <w:rPr>
          <w:noProof/>
        </w:rPr>
      </w:sdtEndPr>
      <w:sdtContent>
        <w:r w:rsidR="008E61B6">
          <w:fldChar w:fldCharType="begin"/>
        </w:r>
        <w:r w:rsidR="008E61B6">
          <w:instrText xml:space="preserve"> PAGE   \* MERGEFORMAT </w:instrText>
        </w:r>
        <w:r w:rsidR="008E61B6">
          <w:fldChar w:fldCharType="separate"/>
        </w:r>
        <w:r w:rsidR="008E61B6">
          <w:rPr>
            <w:noProof/>
          </w:rPr>
          <w:t>2</w:t>
        </w:r>
        <w:r w:rsidR="008E61B6">
          <w:rPr>
            <w:noProof/>
          </w:rPr>
          <w:fldChar w:fldCharType="end"/>
        </w:r>
      </w:sdtContent>
    </w:sdt>
  </w:p>
  <w:p w14:paraId="2D729CBB" w14:textId="77777777" w:rsidR="00594ABC" w:rsidRDefault="00594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8CA" w14:textId="538BF8CD" w:rsidR="002C3A7E" w:rsidRDefault="002C3A7E">
    <w:pPr>
      <w:pStyle w:val="Footer"/>
    </w:pPr>
    <w:r>
      <w:rPr>
        <w:noProof/>
      </w:rPr>
      <mc:AlternateContent>
        <mc:Choice Requires="wps">
          <w:drawing>
            <wp:anchor distT="0" distB="0" distL="0" distR="0" simplePos="0" relativeHeight="251661824" behindDoc="0" locked="0" layoutInCell="1" allowOverlap="1" wp14:anchorId="3BD4B0C2" wp14:editId="35707C7D">
              <wp:simplePos x="904875" y="10134600"/>
              <wp:positionH relativeFrom="page">
                <wp:align>center</wp:align>
              </wp:positionH>
              <wp:positionV relativeFrom="page">
                <wp:align>bottom</wp:align>
              </wp:positionV>
              <wp:extent cx="726440" cy="440055"/>
              <wp:effectExtent l="0" t="0" r="16510" b="0"/>
              <wp:wrapNone/>
              <wp:docPr id="12032062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61F60099" w14:textId="3581E3E5"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4B0C2" id="_x0000_t202" coordsize="21600,21600" o:spt="202" path="m,l,21600r21600,l21600,xe">
              <v:stroke joinstyle="miter"/>
              <v:path gradientshapeok="t" o:connecttype="rect"/>
            </v:shapetype>
            <v:shape id="Text Box 4" o:spid="_x0000_s1031" type="#_x0000_t202" alt="OFFICIAL" style="position:absolute;margin-left:0;margin-top:0;width:57.2pt;height:34.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" filled="f" stroked="f">
              <v:fill o:detectmouseclick="t"/>
              <v:textbox style="mso-fit-shape-to-text:t" inset="0,0,0,15pt">
                <w:txbxContent>
                  <w:p w14:paraId="61F60099" w14:textId="3581E3E5"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646D" w14:textId="77777777" w:rsidR="00B101D3" w:rsidRDefault="00B101D3" w:rsidP="00594ABC">
      <w:pPr>
        <w:spacing w:after="0" w:line="240" w:lineRule="auto"/>
      </w:pPr>
      <w:r>
        <w:separator/>
      </w:r>
    </w:p>
  </w:footnote>
  <w:footnote w:type="continuationSeparator" w:id="0">
    <w:p w14:paraId="0BFC7D30" w14:textId="77777777" w:rsidR="00B101D3" w:rsidRDefault="00B101D3" w:rsidP="00594ABC">
      <w:pPr>
        <w:spacing w:after="0" w:line="240" w:lineRule="auto"/>
      </w:pPr>
      <w:r>
        <w:continuationSeparator/>
      </w:r>
    </w:p>
  </w:footnote>
  <w:footnote w:type="continuationNotice" w:id="1">
    <w:p w14:paraId="7A0DD893" w14:textId="77777777" w:rsidR="00B101D3" w:rsidRDefault="00B101D3">
      <w:pPr>
        <w:spacing w:after="0" w:line="240" w:lineRule="auto"/>
      </w:pPr>
    </w:p>
  </w:footnote>
  <w:footnote w:id="2">
    <w:p w14:paraId="797DF7F3" w14:textId="5BF80C11" w:rsidR="000C413B" w:rsidRDefault="000C413B" w:rsidP="000C413B">
      <w:pPr>
        <w:pStyle w:val="FootnoteText"/>
      </w:pPr>
      <w:r>
        <w:rPr>
          <w:rStyle w:val="FootnoteReference"/>
        </w:rPr>
        <w:footnoteRef/>
      </w:r>
      <w:r>
        <w:t xml:space="preserve"> Games Delivery Partners: Australian Government, Queensland Government, Brisbane City Council, Sunshine Coast Council, Gold Coast Council, </w:t>
      </w:r>
      <w:proofErr w:type="gramStart"/>
      <w:r>
        <w:t>South East</w:t>
      </w:r>
      <w:proofErr w:type="gramEnd"/>
      <w:r>
        <w:t xml:space="preserve"> Queensland Council of Mayors, Australian Olympic Committee, Paralympics Australia, Brisbane 2032 Games Organising Committee, Games Independent Infrastructure and Coordination Authority.</w:t>
      </w:r>
    </w:p>
  </w:footnote>
  <w:footnote w:id="3">
    <w:p w14:paraId="4BA7F4E8" w14:textId="08897CF7" w:rsidR="006902D8" w:rsidRDefault="006902D8">
      <w:pPr>
        <w:pStyle w:val="FootnoteText"/>
      </w:pPr>
      <w:r>
        <w:rPr>
          <w:rStyle w:val="FootnoteReference"/>
        </w:rPr>
        <w:footnoteRef/>
      </w:r>
      <w:r>
        <w:t xml:space="preserve"> </w:t>
      </w:r>
      <w:hyperlink r:id="rId1" w:history="1">
        <w:r w:rsidRPr="006902D8">
          <w:rPr>
            <w:rStyle w:val="Hyperlink"/>
          </w:rPr>
          <w:t>Reports - Inquiry into the 2026 Commonwealth Games Bid - Parliament of Victoria</w:t>
        </w:r>
      </w:hyperlink>
    </w:p>
  </w:footnote>
  <w:footnote w:id="4">
    <w:p w14:paraId="52404CC7" w14:textId="076A36FE" w:rsidR="00716CB7" w:rsidRDefault="00716CB7" w:rsidP="00716CB7">
      <w:pPr>
        <w:pStyle w:val="FootnoteText"/>
      </w:pPr>
      <w:r>
        <w:rPr>
          <w:rStyle w:val="FootnoteReference"/>
        </w:rPr>
        <w:footnoteRef/>
      </w:r>
      <w:r>
        <w:t xml:space="preserve"> Published on </w:t>
      </w:r>
      <w:hyperlink r:id="rId2" w:history="1">
        <w:r w:rsidR="00286F9B">
          <w:rPr>
            <w:rStyle w:val="Hyperlink"/>
          </w:rPr>
          <w:t>Federation.gov.au</w:t>
        </w:r>
      </w:hyperlink>
      <w:r>
        <w:t xml:space="preserve">. The IGA is subject to updates. Further information can be found in the 3 July 2025 media release </w:t>
      </w:r>
      <w:hyperlink r:id="rId3" w:history="1">
        <w:r>
          <w:rPr>
            <w:rStyle w:val="Hyperlink"/>
          </w:rPr>
          <w:t>https://minister.infrastructure.gov.au/c-king/media-release/2032-games-infrastructure-funding-deal-confirmed</w:t>
        </w:r>
      </w:hyperlink>
      <w:r>
        <w:t>.</w:t>
      </w:r>
    </w:p>
  </w:footnote>
  <w:footnote w:id="5">
    <w:p w14:paraId="4A8D4FA4" w14:textId="31D4F71E" w:rsidR="00D31C99" w:rsidRDefault="00D31C99">
      <w:pPr>
        <w:pStyle w:val="FootnoteText"/>
      </w:pPr>
      <w:r>
        <w:rPr>
          <w:rStyle w:val="FootnoteReference"/>
        </w:rPr>
        <w:footnoteRef/>
      </w:r>
      <w:r>
        <w:t xml:space="preserve"> </w:t>
      </w:r>
      <w:hyperlink r:id="rId4" w:history="1">
        <w:r>
          <w:rPr>
            <w:rStyle w:val="Hyperlink"/>
          </w:rPr>
          <w:t>National Sport Strategy 2024-2034</w:t>
        </w:r>
      </w:hyperlink>
    </w:p>
  </w:footnote>
  <w:footnote w:id="6">
    <w:p w14:paraId="7DB8BDFD" w14:textId="521908B9" w:rsidR="006C09F7" w:rsidRDefault="006C09F7" w:rsidP="006C09F7">
      <w:pPr>
        <w:pStyle w:val="FootnoteText"/>
      </w:pPr>
      <w:r>
        <w:rPr>
          <w:rStyle w:val="FootnoteReference"/>
        </w:rPr>
        <w:footnoteRef/>
      </w:r>
      <w:r>
        <w:t xml:space="preserve"> </w:t>
      </w:r>
      <w:hyperlink r:id="rId5" w:history="1">
        <w:r w:rsidRPr="005F09A2">
          <w:rPr>
            <w:rStyle w:val="Hyperlink"/>
          </w:rPr>
          <w:t xml:space="preserve">cdn.giica.au/documents/ELEVATE 2042 Legacy </w:t>
        </w:r>
        <w:proofErr w:type="spellStart"/>
        <w:r w:rsidRPr="005F09A2">
          <w:rPr>
            <w:rStyle w:val="Hyperlink"/>
          </w:rPr>
          <w:t>Strategy_FULL</w:t>
        </w:r>
        <w:proofErr w:type="spellEnd"/>
        <w:r w:rsidRPr="005F09A2">
          <w:rPr>
            <w:rStyle w:val="Hyperlink"/>
          </w:rPr>
          <w:t xml:space="preserve"> LENGTH.pdf</w:t>
        </w:r>
      </w:hyperlink>
    </w:p>
  </w:footnote>
  <w:footnote w:id="7">
    <w:p w14:paraId="636D79D9" w14:textId="25707E58" w:rsidR="002A2A82" w:rsidRDefault="002A2A82" w:rsidP="002A2A82">
      <w:pPr>
        <w:pStyle w:val="FootnoteText"/>
      </w:pPr>
      <w:r>
        <w:rPr>
          <w:rStyle w:val="FootnoteReference"/>
        </w:rPr>
        <w:footnoteRef/>
      </w:r>
      <w:r>
        <w:t xml:space="preserve"> </w:t>
      </w:r>
      <w:hyperlink r:id="rId6" w:history="1">
        <w:r>
          <w:rPr>
            <w:rStyle w:val="Hyperlink"/>
          </w:rPr>
          <w:t>Major Sporting Events Legacy Framework | Australian Government Department of Health and Aged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297C" w14:textId="53C6E64A" w:rsidR="002C3A7E" w:rsidRDefault="002C3A7E">
    <w:pPr>
      <w:pStyle w:val="Header"/>
    </w:pPr>
    <w:r>
      <w:rPr>
        <w:noProof/>
      </w:rPr>
      <mc:AlternateContent>
        <mc:Choice Requires="wps">
          <w:drawing>
            <wp:anchor distT="0" distB="0" distL="0" distR="0" simplePos="0" relativeHeight="251659776" behindDoc="0" locked="0" layoutInCell="1" allowOverlap="1" wp14:anchorId="107D8984" wp14:editId="491FF09A">
              <wp:simplePos x="635" y="635"/>
              <wp:positionH relativeFrom="page">
                <wp:align>center</wp:align>
              </wp:positionH>
              <wp:positionV relativeFrom="page">
                <wp:align>top</wp:align>
              </wp:positionV>
              <wp:extent cx="726440" cy="440055"/>
              <wp:effectExtent l="0" t="0" r="16510" b="17145"/>
              <wp:wrapNone/>
              <wp:docPr id="20870940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2D095A6A" w14:textId="5ADE57DE"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D8984" id="_x0000_t202" coordsize="21600,21600" o:spt="202" path="m,l,21600r21600,l21600,xe">
              <v:stroke joinstyle="miter"/>
              <v:path gradientshapeok="t" o:connecttype="rect"/>
            </v:shapetype>
            <v:shape id="Text Box 2" o:spid="_x0000_s1026" type="#_x0000_t202" alt="OFFICIAL" style="position:absolute;margin-left:0;margin-top:0;width:57.2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QPCgIAABwEAAAOAAAAZHJzL2Uyb0RvYy54bWysU8Fu2zAMvQ/YPwi6L3aCpl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" filled="f" stroked="f">
              <v:fill o:detectmouseclick="t"/>
              <v:textbox style="mso-fit-shape-to-text:t" inset="0,15pt,0,0">
                <w:txbxContent>
                  <w:p w14:paraId="2D095A6A" w14:textId="5ADE57DE"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E6CA" w14:textId="7933FABC" w:rsidR="00594ABC" w:rsidRDefault="002C3A7E">
    <w:pPr>
      <w:pStyle w:val="Header"/>
    </w:pPr>
    <w:r>
      <w:rPr>
        <w:noProof/>
      </w:rPr>
      <mc:AlternateContent>
        <mc:Choice Requires="wps">
          <w:drawing>
            <wp:anchor distT="0" distB="0" distL="0" distR="0" simplePos="0" relativeHeight="251660800" behindDoc="0" locked="0" layoutInCell="1" allowOverlap="1" wp14:anchorId="6A3E6F82" wp14:editId="17B4D173">
              <wp:simplePos x="914400" y="447675"/>
              <wp:positionH relativeFrom="page">
                <wp:align>center</wp:align>
              </wp:positionH>
              <wp:positionV relativeFrom="page">
                <wp:align>top</wp:align>
              </wp:positionV>
              <wp:extent cx="726440" cy="440055"/>
              <wp:effectExtent l="0" t="0" r="16510" b="17145"/>
              <wp:wrapNone/>
              <wp:docPr id="14937999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1C4DD054" w14:textId="703DDDCF"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3E6F82" id="_x0000_t202" coordsize="21600,21600" o:spt="202" path="m,l,21600r21600,l21600,xe">
              <v:stroke joinstyle="miter"/>
              <v:path gradientshapeok="t" o:connecttype="rect"/>
            </v:shapetype>
            <v:shape id="Text Box 3" o:spid="_x0000_s1027" type="#_x0000_t202" alt="OFFICIAL" style="position:absolute;margin-left:0;margin-top:0;width:57.2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NJDAIAABwEAAAOAAAAZHJzL2Uyb0RvYy54bWysU8Fu2zAMvQ/YPwi6L3aCptu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" filled="f" stroked="f">
              <v:fill o:detectmouseclick="t"/>
              <v:textbox style="mso-fit-shape-to-text:t" inset="0,15pt,0,0">
                <w:txbxContent>
                  <w:p w14:paraId="1C4DD054" w14:textId="703DDDCF"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8C5C" w14:textId="029F0483" w:rsidR="002C3A7E" w:rsidRDefault="002C3A7E">
    <w:pPr>
      <w:pStyle w:val="Header"/>
    </w:pPr>
    <w:r>
      <w:rPr>
        <w:noProof/>
      </w:rPr>
      <mc:AlternateContent>
        <mc:Choice Requires="wps">
          <w:drawing>
            <wp:anchor distT="0" distB="0" distL="0" distR="0" simplePos="0" relativeHeight="251658752" behindDoc="0" locked="0" layoutInCell="1" allowOverlap="1" wp14:anchorId="297CCE9D" wp14:editId="69043432">
              <wp:simplePos x="904875" y="447675"/>
              <wp:positionH relativeFrom="page">
                <wp:align>center</wp:align>
              </wp:positionH>
              <wp:positionV relativeFrom="page">
                <wp:align>top</wp:align>
              </wp:positionV>
              <wp:extent cx="726440" cy="440055"/>
              <wp:effectExtent l="0" t="0" r="16510" b="17145"/>
              <wp:wrapNone/>
              <wp:docPr id="2056953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0055"/>
                      </a:xfrm>
                      <a:prstGeom prst="rect">
                        <a:avLst/>
                      </a:prstGeom>
                      <a:noFill/>
                      <a:ln>
                        <a:noFill/>
                      </a:ln>
                    </wps:spPr>
                    <wps:txbx>
                      <w:txbxContent>
                        <w:p w14:paraId="1F37183C" w14:textId="1FA98A51"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CCE9D" id="_x0000_t202" coordsize="21600,21600" o:spt="202" path="m,l,21600r21600,l21600,xe">
              <v:stroke joinstyle="miter"/>
              <v:path gradientshapeok="t" o:connecttype="rect"/>
            </v:shapetype>
            <v:shape id="Text Box 1" o:spid="_x0000_s1030" type="#_x0000_t202" alt="OFFICIAL" style="position:absolute;margin-left:0;margin-top:0;width:57.2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" filled="f" stroked="f">
              <v:fill o:detectmouseclick="t"/>
              <v:textbox style="mso-fit-shape-to-text:t" inset="0,15pt,0,0">
                <w:txbxContent>
                  <w:p w14:paraId="1F37183C" w14:textId="1FA98A51" w:rsidR="002C3A7E" w:rsidRPr="002C3A7E" w:rsidRDefault="002C3A7E" w:rsidP="002C3A7E">
                    <w:pPr>
                      <w:spacing w:after="0"/>
                      <w:rPr>
                        <w:rFonts w:ascii="Aptos" w:eastAsia="Aptos" w:hAnsi="Aptos" w:cs="Aptos"/>
                        <w:noProof/>
                        <w:color w:val="FF0000"/>
                        <w:sz w:val="28"/>
                        <w:szCs w:val="28"/>
                      </w:rPr>
                    </w:pPr>
                    <w:r w:rsidRPr="002C3A7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6C9"/>
    <w:multiLevelType w:val="hybridMultilevel"/>
    <w:tmpl w:val="928A5B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3B7172"/>
    <w:multiLevelType w:val="hybridMultilevel"/>
    <w:tmpl w:val="F4A89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20907"/>
    <w:multiLevelType w:val="hybridMultilevel"/>
    <w:tmpl w:val="1A22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85F96"/>
    <w:multiLevelType w:val="multilevel"/>
    <w:tmpl w:val="1F40436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E90BEB"/>
    <w:multiLevelType w:val="hybridMultilevel"/>
    <w:tmpl w:val="BAC4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F527F9"/>
    <w:multiLevelType w:val="hybridMultilevel"/>
    <w:tmpl w:val="595EE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16FBB"/>
    <w:multiLevelType w:val="hybridMultilevel"/>
    <w:tmpl w:val="735AD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C90666"/>
    <w:multiLevelType w:val="multilevel"/>
    <w:tmpl w:val="0DB8A2B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B071412"/>
    <w:multiLevelType w:val="hybridMultilevel"/>
    <w:tmpl w:val="75A4B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E1E3C"/>
    <w:multiLevelType w:val="hybridMultilevel"/>
    <w:tmpl w:val="5AB4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534DA"/>
    <w:multiLevelType w:val="hybridMultilevel"/>
    <w:tmpl w:val="E8520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F7D31B5"/>
    <w:multiLevelType w:val="hybridMultilevel"/>
    <w:tmpl w:val="5B788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A0300"/>
    <w:multiLevelType w:val="hybridMultilevel"/>
    <w:tmpl w:val="B172D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560E30"/>
    <w:multiLevelType w:val="hybridMultilevel"/>
    <w:tmpl w:val="1908A2AA"/>
    <w:lvl w:ilvl="0" w:tplc="72E64024">
      <w:start w:val="1"/>
      <w:numFmt w:val="bullet"/>
      <w:lvlText w:val=""/>
      <w:lvlJc w:val="left"/>
      <w:pPr>
        <w:ind w:left="360" w:hanging="360"/>
      </w:pPr>
      <w:rPr>
        <w:rFonts w:ascii="Symbol" w:hAnsi="Symbol" w:hint="default"/>
      </w:rPr>
    </w:lvl>
    <w:lvl w:ilvl="1" w:tplc="196C8262">
      <w:start w:val="1"/>
      <w:numFmt w:val="bullet"/>
      <w:lvlText w:val="o"/>
      <w:lvlJc w:val="left"/>
      <w:pPr>
        <w:ind w:left="1080" w:hanging="360"/>
      </w:pPr>
      <w:rPr>
        <w:rFonts w:ascii="Courier New" w:hAnsi="Courier New" w:cs="Courier New" w:hint="default"/>
      </w:rPr>
    </w:lvl>
    <w:lvl w:ilvl="2" w:tplc="706A03D6" w:tentative="1">
      <w:start w:val="1"/>
      <w:numFmt w:val="bullet"/>
      <w:lvlText w:val=""/>
      <w:lvlJc w:val="left"/>
      <w:pPr>
        <w:ind w:left="1800" w:hanging="360"/>
      </w:pPr>
      <w:rPr>
        <w:rFonts w:ascii="Wingdings" w:hAnsi="Wingdings" w:hint="default"/>
      </w:rPr>
    </w:lvl>
    <w:lvl w:ilvl="3" w:tplc="7D5EE78C" w:tentative="1">
      <w:start w:val="1"/>
      <w:numFmt w:val="bullet"/>
      <w:lvlText w:val=""/>
      <w:lvlJc w:val="left"/>
      <w:pPr>
        <w:ind w:left="2520" w:hanging="360"/>
      </w:pPr>
      <w:rPr>
        <w:rFonts w:ascii="Symbol" w:hAnsi="Symbol" w:hint="default"/>
      </w:rPr>
    </w:lvl>
    <w:lvl w:ilvl="4" w:tplc="739EF8F8" w:tentative="1">
      <w:start w:val="1"/>
      <w:numFmt w:val="bullet"/>
      <w:lvlText w:val="o"/>
      <w:lvlJc w:val="left"/>
      <w:pPr>
        <w:ind w:left="3240" w:hanging="360"/>
      </w:pPr>
      <w:rPr>
        <w:rFonts w:ascii="Courier New" w:hAnsi="Courier New" w:cs="Courier New" w:hint="default"/>
      </w:rPr>
    </w:lvl>
    <w:lvl w:ilvl="5" w:tplc="F91A1BDE" w:tentative="1">
      <w:start w:val="1"/>
      <w:numFmt w:val="bullet"/>
      <w:lvlText w:val=""/>
      <w:lvlJc w:val="left"/>
      <w:pPr>
        <w:ind w:left="3960" w:hanging="360"/>
      </w:pPr>
      <w:rPr>
        <w:rFonts w:ascii="Wingdings" w:hAnsi="Wingdings" w:hint="default"/>
      </w:rPr>
    </w:lvl>
    <w:lvl w:ilvl="6" w:tplc="57AE3AA2" w:tentative="1">
      <w:start w:val="1"/>
      <w:numFmt w:val="bullet"/>
      <w:lvlText w:val=""/>
      <w:lvlJc w:val="left"/>
      <w:pPr>
        <w:ind w:left="4680" w:hanging="360"/>
      </w:pPr>
      <w:rPr>
        <w:rFonts w:ascii="Symbol" w:hAnsi="Symbol" w:hint="default"/>
      </w:rPr>
    </w:lvl>
    <w:lvl w:ilvl="7" w:tplc="ECA4010A" w:tentative="1">
      <w:start w:val="1"/>
      <w:numFmt w:val="bullet"/>
      <w:lvlText w:val="o"/>
      <w:lvlJc w:val="left"/>
      <w:pPr>
        <w:ind w:left="5400" w:hanging="360"/>
      </w:pPr>
      <w:rPr>
        <w:rFonts w:ascii="Courier New" w:hAnsi="Courier New" w:cs="Courier New" w:hint="default"/>
      </w:rPr>
    </w:lvl>
    <w:lvl w:ilvl="8" w:tplc="356845CA" w:tentative="1">
      <w:start w:val="1"/>
      <w:numFmt w:val="bullet"/>
      <w:lvlText w:val=""/>
      <w:lvlJc w:val="left"/>
      <w:pPr>
        <w:ind w:left="6120" w:hanging="360"/>
      </w:pPr>
      <w:rPr>
        <w:rFonts w:ascii="Wingdings" w:hAnsi="Wingdings" w:hint="default"/>
      </w:rPr>
    </w:lvl>
  </w:abstractNum>
  <w:abstractNum w:abstractNumId="14" w15:restartNumberingAfterBreak="0">
    <w:nsid w:val="31333891"/>
    <w:multiLevelType w:val="hybridMultilevel"/>
    <w:tmpl w:val="AC909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846BA2"/>
    <w:multiLevelType w:val="hybridMultilevel"/>
    <w:tmpl w:val="D8027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B776B3"/>
    <w:multiLevelType w:val="multilevel"/>
    <w:tmpl w:val="C64E4E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7F3197D"/>
    <w:multiLevelType w:val="hybridMultilevel"/>
    <w:tmpl w:val="2CFAF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8E5D24"/>
    <w:multiLevelType w:val="hybridMultilevel"/>
    <w:tmpl w:val="CE40F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8478F"/>
    <w:multiLevelType w:val="hybridMultilevel"/>
    <w:tmpl w:val="14E84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C467DF"/>
    <w:multiLevelType w:val="multilevel"/>
    <w:tmpl w:val="3648E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2A443C4"/>
    <w:multiLevelType w:val="hybridMultilevel"/>
    <w:tmpl w:val="21787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3758E1"/>
    <w:multiLevelType w:val="multilevel"/>
    <w:tmpl w:val="0374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4A4104"/>
    <w:multiLevelType w:val="hybridMultilevel"/>
    <w:tmpl w:val="46C20FCA"/>
    <w:lvl w:ilvl="0" w:tplc="CC848C9A">
      <w:start w:val="1"/>
      <w:numFmt w:val="bullet"/>
      <w:lvlText w:val=""/>
      <w:lvlJc w:val="left"/>
      <w:pPr>
        <w:ind w:left="1080" w:hanging="360"/>
      </w:pPr>
      <w:rPr>
        <w:rFonts w:ascii="Symbol" w:hAnsi="Symbol"/>
      </w:rPr>
    </w:lvl>
    <w:lvl w:ilvl="1" w:tplc="1608A6E2">
      <w:start w:val="1"/>
      <w:numFmt w:val="bullet"/>
      <w:lvlText w:val=""/>
      <w:lvlJc w:val="left"/>
      <w:pPr>
        <w:ind w:left="1800" w:hanging="360"/>
      </w:pPr>
      <w:rPr>
        <w:rFonts w:ascii="Symbol" w:hAnsi="Symbol"/>
      </w:rPr>
    </w:lvl>
    <w:lvl w:ilvl="2" w:tplc="D96C8490">
      <w:start w:val="1"/>
      <w:numFmt w:val="bullet"/>
      <w:lvlText w:val=""/>
      <w:lvlJc w:val="left"/>
      <w:pPr>
        <w:ind w:left="1080" w:hanging="360"/>
      </w:pPr>
      <w:rPr>
        <w:rFonts w:ascii="Symbol" w:hAnsi="Symbol"/>
      </w:rPr>
    </w:lvl>
    <w:lvl w:ilvl="3" w:tplc="0E5AEFC4">
      <w:start w:val="1"/>
      <w:numFmt w:val="bullet"/>
      <w:lvlText w:val=""/>
      <w:lvlJc w:val="left"/>
      <w:pPr>
        <w:ind w:left="1080" w:hanging="360"/>
      </w:pPr>
      <w:rPr>
        <w:rFonts w:ascii="Symbol" w:hAnsi="Symbol"/>
      </w:rPr>
    </w:lvl>
    <w:lvl w:ilvl="4" w:tplc="F662A5AC">
      <w:start w:val="1"/>
      <w:numFmt w:val="bullet"/>
      <w:lvlText w:val=""/>
      <w:lvlJc w:val="left"/>
      <w:pPr>
        <w:ind w:left="1080" w:hanging="360"/>
      </w:pPr>
      <w:rPr>
        <w:rFonts w:ascii="Symbol" w:hAnsi="Symbol"/>
      </w:rPr>
    </w:lvl>
    <w:lvl w:ilvl="5" w:tplc="23F0F07E">
      <w:start w:val="1"/>
      <w:numFmt w:val="bullet"/>
      <w:lvlText w:val=""/>
      <w:lvlJc w:val="left"/>
      <w:pPr>
        <w:ind w:left="1080" w:hanging="360"/>
      </w:pPr>
      <w:rPr>
        <w:rFonts w:ascii="Symbol" w:hAnsi="Symbol"/>
      </w:rPr>
    </w:lvl>
    <w:lvl w:ilvl="6" w:tplc="D4F095C6">
      <w:start w:val="1"/>
      <w:numFmt w:val="bullet"/>
      <w:lvlText w:val=""/>
      <w:lvlJc w:val="left"/>
      <w:pPr>
        <w:ind w:left="1080" w:hanging="360"/>
      </w:pPr>
      <w:rPr>
        <w:rFonts w:ascii="Symbol" w:hAnsi="Symbol"/>
      </w:rPr>
    </w:lvl>
    <w:lvl w:ilvl="7" w:tplc="3EF6E72A">
      <w:start w:val="1"/>
      <w:numFmt w:val="bullet"/>
      <w:lvlText w:val=""/>
      <w:lvlJc w:val="left"/>
      <w:pPr>
        <w:ind w:left="1080" w:hanging="360"/>
      </w:pPr>
      <w:rPr>
        <w:rFonts w:ascii="Symbol" w:hAnsi="Symbol"/>
      </w:rPr>
    </w:lvl>
    <w:lvl w:ilvl="8" w:tplc="FC921D86">
      <w:start w:val="1"/>
      <w:numFmt w:val="bullet"/>
      <w:lvlText w:val=""/>
      <w:lvlJc w:val="left"/>
      <w:pPr>
        <w:ind w:left="1080" w:hanging="360"/>
      </w:pPr>
      <w:rPr>
        <w:rFonts w:ascii="Symbol" w:hAnsi="Symbol"/>
      </w:rPr>
    </w:lvl>
  </w:abstractNum>
  <w:abstractNum w:abstractNumId="25" w15:restartNumberingAfterBreak="0">
    <w:nsid w:val="436832AE"/>
    <w:multiLevelType w:val="hybridMultilevel"/>
    <w:tmpl w:val="E31EA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310F4C"/>
    <w:multiLevelType w:val="hybridMultilevel"/>
    <w:tmpl w:val="36142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4868F3"/>
    <w:multiLevelType w:val="hybridMultilevel"/>
    <w:tmpl w:val="1D940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C604B2"/>
    <w:multiLevelType w:val="hybridMultilevel"/>
    <w:tmpl w:val="BDC6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3027C2"/>
    <w:multiLevelType w:val="hybridMultilevel"/>
    <w:tmpl w:val="FFB09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3904C0"/>
    <w:multiLevelType w:val="hybridMultilevel"/>
    <w:tmpl w:val="C0B0C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D9459B"/>
    <w:multiLevelType w:val="hybridMultilevel"/>
    <w:tmpl w:val="09626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1043C8"/>
    <w:multiLevelType w:val="multilevel"/>
    <w:tmpl w:val="0C4AD0C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34C30DF"/>
    <w:multiLevelType w:val="hybridMultilevel"/>
    <w:tmpl w:val="6310E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5A5ED8"/>
    <w:multiLevelType w:val="hybridMultilevel"/>
    <w:tmpl w:val="A186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24A92"/>
    <w:multiLevelType w:val="hybridMultilevel"/>
    <w:tmpl w:val="FA02D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93788D"/>
    <w:multiLevelType w:val="hybridMultilevel"/>
    <w:tmpl w:val="F50A3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0503289">
    <w:abstractNumId w:val="13"/>
  </w:num>
  <w:num w:numId="2" w16cid:durableId="341400508">
    <w:abstractNumId w:val="19"/>
  </w:num>
  <w:num w:numId="3" w16cid:durableId="1346858965">
    <w:abstractNumId w:val="20"/>
  </w:num>
  <w:num w:numId="4" w16cid:durableId="2026978920">
    <w:abstractNumId w:val="25"/>
  </w:num>
  <w:num w:numId="5" w16cid:durableId="1951014235">
    <w:abstractNumId w:val="15"/>
  </w:num>
  <w:num w:numId="6" w16cid:durableId="8878097">
    <w:abstractNumId w:val="8"/>
  </w:num>
  <w:num w:numId="7" w16cid:durableId="1464041187">
    <w:abstractNumId w:val="29"/>
  </w:num>
  <w:num w:numId="8" w16cid:durableId="91122526">
    <w:abstractNumId w:val="31"/>
  </w:num>
  <w:num w:numId="9" w16cid:durableId="713386149">
    <w:abstractNumId w:val="22"/>
  </w:num>
  <w:num w:numId="10" w16cid:durableId="1280644098">
    <w:abstractNumId w:val="0"/>
  </w:num>
  <w:num w:numId="11" w16cid:durableId="346249736">
    <w:abstractNumId w:val="17"/>
  </w:num>
  <w:num w:numId="12" w16cid:durableId="1059790727">
    <w:abstractNumId w:val="34"/>
  </w:num>
  <w:num w:numId="13" w16cid:durableId="935987335">
    <w:abstractNumId w:val="5"/>
  </w:num>
  <w:num w:numId="14" w16cid:durableId="1350065389">
    <w:abstractNumId w:val="6"/>
  </w:num>
  <w:num w:numId="15" w16cid:durableId="204972">
    <w:abstractNumId w:val="33"/>
  </w:num>
  <w:num w:numId="16" w16cid:durableId="1911503807">
    <w:abstractNumId w:val="9"/>
  </w:num>
  <w:num w:numId="17" w16cid:durableId="901521935">
    <w:abstractNumId w:val="28"/>
  </w:num>
  <w:num w:numId="18" w16cid:durableId="1196700377">
    <w:abstractNumId w:val="18"/>
  </w:num>
  <w:num w:numId="19" w16cid:durableId="775831585">
    <w:abstractNumId w:val="35"/>
  </w:num>
  <w:num w:numId="20" w16cid:durableId="2143425281">
    <w:abstractNumId w:val="30"/>
  </w:num>
  <w:num w:numId="21" w16cid:durableId="817109357">
    <w:abstractNumId w:val="10"/>
  </w:num>
  <w:num w:numId="22" w16cid:durableId="587345791">
    <w:abstractNumId w:val="2"/>
  </w:num>
  <w:num w:numId="23" w16cid:durableId="1292973988">
    <w:abstractNumId w:val="1"/>
  </w:num>
  <w:num w:numId="24" w16cid:durableId="1983804150">
    <w:abstractNumId w:val="24"/>
  </w:num>
  <w:num w:numId="25" w16cid:durableId="1360467028">
    <w:abstractNumId w:val="14"/>
  </w:num>
  <w:num w:numId="26" w16cid:durableId="389034402">
    <w:abstractNumId w:val="23"/>
  </w:num>
  <w:num w:numId="27" w16cid:durableId="2001688205">
    <w:abstractNumId w:val="36"/>
  </w:num>
  <w:num w:numId="28" w16cid:durableId="1832788598">
    <w:abstractNumId w:val="3"/>
  </w:num>
  <w:num w:numId="29" w16cid:durableId="809639336">
    <w:abstractNumId w:val="21"/>
  </w:num>
  <w:num w:numId="30" w16cid:durableId="1283729597">
    <w:abstractNumId w:val="16"/>
  </w:num>
  <w:num w:numId="31" w16cid:durableId="1465201049">
    <w:abstractNumId w:val="32"/>
  </w:num>
  <w:num w:numId="32" w16cid:durableId="76247293">
    <w:abstractNumId w:val="7"/>
  </w:num>
  <w:num w:numId="33" w16cid:durableId="2030914025">
    <w:abstractNumId w:val="12"/>
  </w:num>
  <w:num w:numId="34" w16cid:durableId="1076056078">
    <w:abstractNumId w:val="26"/>
  </w:num>
  <w:num w:numId="35" w16cid:durableId="1551529185">
    <w:abstractNumId w:val="27"/>
  </w:num>
  <w:num w:numId="36" w16cid:durableId="303508942">
    <w:abstractNumId w:val="4"/>
  </w:num>
  <w:num w:numId="37" w16cid:durableId="291834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BC"/>
    <w:rsid w:val="00000C94"/>
    <w:rsid w:val="0000125A"/>
    <w:rsid w:val="00002108"/>
    <w:rsid w:val="0000275C"/>
    <w:rsid w:val="00005908"/>
    <w:rsid w:val="00005F39"/>
    <w:rsid w:val="000070E5"/>
    <w:rsid w:val="00010120"/>
    <w:rsid w:val="00012D69"/>
    <w:rsid w:val="000139BC"/>
    <w:rsid w:val="000139FA"/>
    <w:rsid w:val="000142E4"/>
    <w:rsid w:val="00016ACF"/>
    <w:rsid w:val="00020BB1"/>
    <w:rsid w:val="0002128F"/>
    <w:rsid w:val="00021523"/>
    <w:rsid w:val="00021EDB"/>
    <w:rsid w:val="00023132"/>
    <w:rsid w:val="00023195"/>
    <w:rsid w:val="000232E4"/>
    <w:rsid w:val="00023731"/>
    <w:rsid w:val="00023812"/>
    <w:rsid w:val="0002429C"/>
    <w:rsid w:val="0002467A"/>
    <w:rsid w:val="00024851"/>
    <w:rsid w:val="00024CAC"/>
    <w:rsid w:val="00025D23"/>
    <w:rsid w:val="00026023"/>
    <w:rsid w:val="00027226"/>
    <w:rsid w:val="00031AEA"/>
    <w:rsid w:val="00032261"/>
    <w:rsid w:val="000336F4"/>
    <w:rsid w:val="00034104"/>
    <w:rsid w:val="000349AF"/>
    <w:rsid w:val="00036074"/>
    <w:rsid w:val="00036C42"/>
    <w:rsid w:val="00041BFB"/>
    <w:rsid w:val="00041F28"/>
    <w:rsid w:val="000436EA"/>
    <w:rsid w:val="00043C53"/>
    <w:rsid w:val="00043FFF"/>
    <w:rsid w:val="00053149"/>
    <w:rsid w:val="00053760"/>
    <w:rsid w:val="00054002"/>
    <w:rsid w:val="00057AC0"/>
    <w:rsid w:val="000605B3"/>
    <w:rsid w:val="000636FC"/>
    <w:rsid w:val="00063A2F"/>
    <w:rsid w:val="00066F6F"/>
    <w:rsid w:val="000679D7"/>
    <w:rsid w:val="00067ED5"/>
    <w:rsid w:val="0007025F"/>
    <w:rsid w:val="000721E6"/>
    <w:rsid w:val="000740BC"/>
    <w:rsid w:val="000750CA"/>
    <w:rsid w:val="000758F5"/>
    <w:rsid w:val="00076242"/>
    <w:rsid w:val="00076F2D"/>
    <w:rsid w:val="00080F3E"/>
    <w:rsid w:val="00081759"/>
    <w:rsid w:val="00082B7C"/>
    <w:rsid w:val="0008501F"/>
    <w:rsid w:val="00090CDD"/>
    <w:rsid w:val="00091EA6"/>
    <w:rsid w:val="00093175"/>
    <w:rsid w:val="0009390D"/>
    <w:rsid w:val="00094A62"/>
    <w:rsid w:val="00096795"/>
    <w:rsid w:val="000968C7"/>
    <w:rsid w:val="00096BFC"/>
    <w:rsid w:val="000970A5"/>
    <w:rsid w:val="000974E1"/>
    <w:rsid w:val="000A1529"/>
    <w:rsid w:val="000A1D26"/>
    <w:rsid w:val="000A1F0D"/>
    <w:rsid w:val="000A3177"/>
    <w:rsid w:val="000A3FBB"/>
    <w:rsid w:val="000A451F"/>
    <w:rsid w:val="000A5500"/>
    <w:rsid w:val="000A67FB"/>
    <w:rsid w:val="000A72FC"/>
    <w:rsid w:val="000B1199"/>
    <w:rsid w:val="000B1B00"/>
    <w:rsid w:val="000B22EC"/>
    <w:rsid w:val="000B24CC"/>
    <w:rsid w:val="000B3B7D"/>
    <w:rsid w:val="000B4984"/>
    <w:rsid w:val="000B5993"/>
    <w:rsid w:val="000B6337"/>
    <w:rsid w:val="000B677F"/>
    <w:rsid w:val="000C31C4"/>
    <w:rsid w:val="000C3FFB"/>
    <w:rsid w:val="000C413B"/>
    <w:rsid w:val="000C6AF3"/>
    <w:rsid w:val="000C6F44"/>
    <w:rsid w:val="000C71A4"/>
    <w:rsid w:val="000D065B"/>
    <w:rsid w:val="000D0DF4"/>
    <w:rsid w:val="000D2A4B"/>
    <w:rsid w:val="000D305D"/>
    <w:rsid w:val="000E001E"/>
    <w:rsid w:val="000E0E3A"/>
    <w:rsid w:val="000E1440"/>
    <w:rsid w:val="000E17BB"/>
    <w:rsid w:val="000E3E9F"/>
    <w:rsid w:val="000E482C"/>
    <w:rsid w:val="000E4B7E"/>
    <w:rsid w:val="000E5095"/>
    <w:rsid w:val="000E7697"/>
    <w:rsid w:val="000F1ADD"/>
    <w:rsid w:val="000F1E88"/>
    <w:rsid w:val="000F3F96"/>
    <w:rsid w:val="000F44B8"/>
    <w:rsid w:val="000F4B33"/>
    <w:rsid w:val="000F61B4"/>
    <w:rsid w:val="000F78CB"/>
    <w:rsid w:val="0010289E"/>
    <w:rsid w:val="001029B3"/>
    <w:rsid w:val="001052DC"/>
    <w:rsid w:val="00106718"/>
    <w:rsid w:val="0010707A"/>
    <w:rsid w:val="00107D4D"/>
    <w:rsid w:val="00112037"/>
    <w:rsid w:val="00113958"/>
    <w:rsid w:val="00114B79"/>
    <w:rsid w:val="00116766"/>
    <w:rsid w:val="00121B63"/>
    <w:rsid w:val="00121EEC"/>
    <w:rsid w:val="001233C3"/>
    <w:rsid w:val="00126733"/>
    <w:rsid w:val="00127011"/>
    <w:rsid w:val="0012714E"/>
    <w:rsid w:val="001303BB"/>
    <w:rsid w:val="0013174B"/>
    <w:rsid w:val="001320C5"/>
    <w:rsid w:val="00132C74"/>
    <w:rsid w:val="0013588A"/>
    <w:rsid w:val="001368B1"/>
    <w:rsid w:val="00137407"/>
    <w:rsid w:val="00137BBE"/>
    <w:rsid w:val="0014058F"/>
    <w:rsid w:val="001421A1"/>
    <w:rsid w:val="001424CC"/>
    <w:rsid w:val="001425C0"/>
    <w:rsid w:val="00142720"/>
    <w:rsid w:val="00143534"/>
    <w:rsid w:val="00143F2E"/>
    <w:rsid w:val="00145D25"/>
    <w:rsid w:val="00147DC0"/>
    <w:rsid w:val="00150851"/>
    <w:rsid w:val="00151201"/>
    <w:rsid w:val="00151872"/>
    <w:rsid w:val="0015208D"/>
    <w:rsid w:val="00152570"/>
    <w:rsid w:val="0015293B"/>
    <w:rsid w:val="001532DF"/>
    <w:rsid w:val="0015459C"/>
    <w:rsid w:val="00154F18"/>
    <w:rsid w:val="00155C17"/>
    <w:rsid w:val="001613D2"/>
    <w:rsid w:val="001618FA"/>
    <w:rsid w:val="00162DCE"/>
    <w:rsid w:val="00163AF3"/>
    <w:rsid w:val="00167571"/>
    <w:rsid w:val="00172032"/>
    <w:rsid w:val="00172C45"/>
    <w:rsid w:val="0017308F"/>
    <w:rsid w:val="00176614"/>
    <w:rsid w:val="001769BC"/>
    <w:rsid w:val="00176EBB"/>
    <w:rsid w:val="001771AD"/>
    <w:rsid w:val="0017A2A2"/>
    <w:rsid w:val="001824FC"/>
    <w:rsid w:val="00183831"/>
    <w:rsid w:val="00185C05"/>
    <w:rsid w:val="00186155"/>
    <w:rsid w:val="00186EF5"/>
    <w:rsid w:val="00190258"/>
    <w:rsid w:val="00192FB4"/>
    <w:rsid w:val="00193158"/>
    <w:rsid w:val="0019405D"/>
    <w:rsid w:val="00194764"/>
    <w:rsid w:val="0019514B"/>
    <w:rsid w:val="001972ED"/>
    <w:rsid w:val="0019754F"/>
    <w:rsid w:val="001A043B"/>
    <w:rsid w:val="001A097D"/>
    <w:rsid w:val="001A141A"/>
    <w:rsid w:val="001A2457"/>
    <w:rsid w:val="001A39E0"/>
    <w:rsid w:val="001A54AF"/>
    <w:rsid w:val="001A55CA"/>
    <w:rsid w:val="001A5EC4"/>
    <w:rsid w:val="001A6413"/>
    <w:rsid w:val="001A65F6"/>
    <w:rsid w:val="001B05D6"/>
    <w:rsid w:val="001B14E8"/>
    <w:rsid w:val="001B1EA8"/>
    <w:rsid w:val="001B393C"/>
    <w:rsid w:val="001B3BE6"/>
    <w:rsid w:val="001B4770"/>
    <w:rsid w:val="001B4E37"/>
    <w:rsid w:val="001C0903"/>
    <w:rsid w:val="001C09A1"/>
    <w:rsid w:val="001C3C30"/>
    <w:rsid w:val="001C42D7"/>
    <w:rsid w:val="001C4D1F"/>
    <w:rsid w:val="001C552B"/>
    <w:rsid w:val="001C5730"/>
    <w:rsid w:val="001C771C"/>
    <w:rsid w:val="001D00CC"/>
    <w:rsid w:val="001D03CD"/>
    <w:rsid w:val="001D0E02"/>
    <w:rsid w:val="001D2112"/>
    <w:rsid w:val="001D2120"/>
    <w:rsid w:val="001D3C87"/>
    <w:rsid w:val="001D3EEE"/>
    <w:rsid w:val="001D6961"/>
    <w:rsid w:val="001E2BB3"/>
    <w:rsid w:val="001E2EB0"/>
    <w:rsid w:val="001E36D8"/>
    <w:rsid w:val="001E609E"/>
    <w:rsid w:val="001E62C6"/>
    <w:rsid w:val="001E62FD"/>
    <w:rsid w:val="001E7A9A"/>
    <w:rsid w:val="001F340C"/>
    <w:rsid w:val="001F35E4"/>
    <w:rsid w:val="001F4863"/>
    <w:rsid w:val="001F69BF"/>
    <w:rsid w:val="00201203"/>
    <w:rsid w:val="002014F8"/>
    <w:rsid w:val="002027C9"/>
    <w:rsid w:val="00202A93"/>
    <w:rsid w:val="002044CC"/>
    <w:rsid w:val="002055B5"/>
    <w:rsid w:val="00207356"/>
    <w:rsid w:val="002101CE"/>
    <w:rsid w:val="002108C8"/>
    <w:rsid w:val="00212947"/>
    <w:rsid w:val="002129C4"/>
    <w:rsid w:val="00212A6F"/>
    <w:rsid w:val="00213058"/>
    <w:rsid w:val="00213F6A"/>
    <w:rsid w:val="002150B7"/>
    <w:rsid w:val="00215F4C"/>
    <w:rsid w:val="0021605C"/>
    <w:rsid w:val="00217F72"/>
    <w:rsid w:val="00220F91"/>
    <w:rsid w:val="00221001"/>
    <w:rsid w:val="0022132E"/>
    <w:rsid w:val="002257F0"/>
    <w:rsid w:val="00225900"/>
    <w:rsid w:val="00225C57"/>
    <w:rsid w:val="002271EF"/>
    <w:rsid w:val="00230B7E"/>
    <w:rsid w:val="002320D1"/>
    <w:rsid w:val="00235960"/>
    <w:rsid w:val="002362EF"/>
    <w:rsid w:val="0023640E"/>
    <w:rsid w:val="0024088B"/>
    <w:rsid w:val="00241DC3"/>
    <w:rsid w:val="00242412"/>
    <w:rsid w:val="0024276C"/>
    <w:rsid w:val="00246C72"/>
    <w:rsid w:val="00246DBF"/>
    <w:rsid w:val="00247664"/>
    <w:rsid w:val="002478E2"/>
    <w:rsid w:val="00250971"/>
    <w:rsid w:val="002544C6"/>
    <w:rsid w:val="00254955"/>
    <w:rsid w:val="00255549"/>
    <w:rsid w:val="00256FF3"/>
    <w:rsid w:val="0026098F"/>
    <w:rsid w:val="002624F9"/>
    <w:rsid w:val="00264B66"/>
    <w:rsid w:val="00265C34"/>
    <w:rsid w:val="002668A2"/>
    <w:rsid w:val="002668C2"/>
    <w:rsid w:val="00272145"/>
    <w:rsid w:val="00274338"/>
    <w:rsid w:val="002743EA"/>
    <w:rsid w:val="002745AE"/>
    <w:rsid w:val="00280050"/>
    <w:rsid w:val="002804E7"/>
    <w:rsid w:val="002816A7"/>
    <w:rsid w:val="002821DA"/>
    <w:rsid w:val="00284E67"/>
    <w:rsid w:val="00286F9B"/>
    <w:rsid w:val="0028738F"/>
    <w:rsid w:val="00287540"/>
    <w:rsid w:val="00290A22"/>
    <w:rsid w:val="0029273F"/>
    <w:rsid w:val="002961BA"/>
    <w:rsid w:val="002A078B"/>
    <w:rsid w:val="002A21B4"/>
    <w:rsid w:val="002A2A82"/>
    <w:rsid w:val="002A3A9C"/>
    <w:rsid w:val="002A509C"/>
    <w:rsid w:val="002A5898"/>
    <w:rsid w:val="002A5BDE"/>
    <w:rsid w:val="002A7A6C"/>
    <w:rsid w:val="002B12F5"/>
    <w:rsid w:val="002B1938"/>
    <w:rsid w:val="002B6856"/>
    <w:rsid w:val="002C1112"/>
    <w:rsid w:val="002C1DDB"/>
    <w:rsid w:val="002C2714"/>
    <w:rsid w:val="002C3A7E"/>
    <w:rsid w:val="002C3AE6"/>
    <w:rsid w:val="002C6651"/>
    <w:rsid w:val="002C674D"/>
    <w:rsid w:val="002C6776"/>
    <w:rsid w:val="002D01E4"/>
    <w:rsid w:val="002D1C4F"/>
    <w:rsid w:val="002D24B3"/>
    <w:rsid w:val="002D3872"/>
    <w:rsid w:val="002D4D13"/>
    <w:rsid w:val="002D7A4C"/>
    <w:rsid w:val="002E0534"/>
    <w:rsid w:val="002E1FA1"/>
    <w:rsid w:val="002E238C"/>
    <w:rsid w:val="002E24F8"/>
    <w:rsid w:val="002E2A6B"/>
    <w:rsid w:val="002E3BD7"/>
    <w:rsid w:val="002E4F3C"/>
    <w:rsid w:val="002E66BA"/>
    <w:rsid w:val="002E7DCD"/>
    <w:rsid w:val="002E7DFD"/>
    <w:rsid w:val="002F00E4"/>
    <w:rsid w:val="002F1594"/>
    <w:rsid w:val="002F1DEC"/>
    <w:rsid w:val="002F475B"/>
    <w:rsid w:val="002F57B9"/>
    <w:rsid w:val="002F5A90"/>
    <w:rsid w:val="002F62B4"/>
    <w:rsid w:val="002F697A"/>
    <w:rsid w:val="00300144"/>
    <w:rsid w:val="003007C5"/>
    <w:rsid w:val="003025E4"/>
    <w:rsid w:val="0030270E"/>
    <w:rsid w:val="00304F9B"/>
    <w:rsid w:val="003055FE"/>
    <w:rsid w:val="003057D7"/>
    <w:rsid w:val="00307DD7"/>
    <w:rsid w:val="00310F8B"/>
    <w:rsid w:val="00312575"/>
    <w:rsid w:val="003146BC"/>
    <w:rsid w:val="00316023"/>
    <w:rsid w:val="0031612D"/>
    <w:rsid w:val="00316570"/>
    <w:rsid w:val="0031666C"/>
    <w:rsid w:val="00321C79"/>
    <w:rsid w:val="003227FD"/>
    <w:rsid w:val="00322D1A"/>
    <w:rsid w:val="00324777"/>
    <w:rsid w:val="00324ACD"/>
    <w:rsid w:val="00325053"/>
    <w:rsid w:val="00326D68"/>
    <w:rsid w:val="0033316A"/>
    <w:rsid w:val="003334DF"/>
    <w:rsid w:val="00335638"/>
    <w:rsid w:val="00340ABF"/>
    <w:rsid w:val="003417A0"/>
    <w:rsid w:val="00342A7D"/>
    <w:rsid w:val="0034533D"/>
    <w:rsid w:val="00345385"/>
    <w:rsid w:val="00345748"/>
    <w:rsid w:val="00346132"/>
    <w:rsid w:val="0034695B"/>
    <w:rsid w:val="00347684"/>
    <w:rsid w:val="00350529"/>
    <w:rsid w:val="00350530"/>
    <w:rsid w:val="003529EB"/>
    <w:rsid w:val="00352EAE"/>
    <w:rsid w:val="003552E5"/>
    <w:rsid w:val="00355685"/>
    <w:rsid w:val="003600A8"/>
    <w:rsid w:val="00360BAB"/>
    <w:rsid w:val="00361895"/>
    <w:rsid w:val="0036240A"/>
    <w:rsid w:val="00362877"/>
    <w:rsid w:val="00366DCC"/>
    <w:rsid w:val="0036755E"/>
    <w:rsid w:val="00367A27"/>
    <w:rsid w:val="003701BD"/>
    <w:rsid w:val="0037053B"/>
    <w:rsid w:val="003725C7"/>
    <w:rsid w:val="00373B43"/>
    <w:rsid w:val="00374320"/>
    <w:rsid w:val="0037454F"/>
    <w:rsid w:val="00374E0C"/>
    <w:rsid w:val="00375787"/>
    <w:rsid w:val="0037615C"/>
    <w:rsid w:val="00376848"/>
    <w:rsid w:val="00376EC9"/>
    <w:rsid w:val="003804D7"/>
    <w:rsid w:val="00382809"/>
    <w:rsid w:val="00382DB9"/>
    <w:rsid w:val="00384029"/>
    <w:rsid w:val="003846F8"/>
    <w:rsid w:val="003872DF"/>
    <w:rsid w:val="00387416"/>
    <w:rsid w:val="00387812"/>
    <w:rsid w:val="00387F1A"/>
    <w:rsid w:val="003912DC"/>
    <w:rsid w:val="00391D8D"/>
    <w:rsid w:val="00392BF4"/>
    <w:rsid w:val="00393728"/>
    <w:rsid w:val="00393F3B"/>
    <w:rsid w:val="00397612"/>
    <w:rsid w:val="00397F49"/>
    <w:rsid w:val="003A02ED"/>
    <w:rsid w:val="003A37E9"/>
    <w:rsid w:val="003A3D25"/>
    <w:rsid w:val="003A4E9C"/>
    <w:rsid w:val="003A5062"/>
    <w:rsid w:val="003A5BED"/>
    <w:rsid w:val="003B08FC"/>
    <w:rsid w:val="003B1578"/>
    <w:rsid w:val="003B21DF"/>
    <w:rsid w:val="003B499C"/>
    <w:rsid w:val="003B4B44"/>
    <w:rsid w:val="003B53BE"/>
    <w:rsid w:val="003B5F5E"/>
    <w:rsid w:val="003B60AC"/>
    <w:rsid w:val="003B6ACF"/>
    <w:rsid w:val="003C0A87"/>
    <w:rsid w:val="003C1060"/>
    <w:rsid w:val="003C1DFC"/>
    <w:rsid w:val="003C1FED"/>
    <w:rsid w:val="003C2E2D"/>
    <w:rsid w:val="003C34B9"/>
    <w:rsid w:val="003C3F63"/>
    <w:rsid w:val="003C43BF"/>
    <w:rsid w:val="003C5F23"/>
    <w:rsid w:val="003C60E3"/>
    <w:rsid w:val="003C677D"/>
    <w:rsid w:val="003D0E67"/>
    <w:rsid w:val="003D329F"/>
    <w:rsid w:val="003D33E6"/>
    <w:rsid w:val="003D52CF"/>
    <w:rsid w:val="003D5D95"/>
    <w:rsid w:val="003D67DB"/>
    <w:rsid w:val="003E1386"/>
    <w:rsid w:val="003E16E6"/>
    <w:rsid w:val="003E2102"/>
    <w:rsid w:val="003E2ADE"/>
    <w:rsid w:val="003E49BA"/>
    <w:rsid w:val="003E4D6C"/>
    <w:rsid w:val="003E6DBB"/>
    <w:rsid w:val="003E7DCC"/>
    <w:rsid w:val="003F085C"/>
    <w:rsid w:val="003F3960"/>
    <w:rsid w:val="003F48D9"/>
    <w:rsid w:val="003F52E0"/>
    <w:rsid w:val="003F55FE"/>
    <w:rsid w:val="0040073D"/>
    <w:rsid w:val="0040096D"/>
    <w:rsid w:val="00401546"/>
    <w:rsid w:val="00401BB6"/>
    <w:rsid w:val="00402DD1"/>
    <w:rsid w:val="0040540A"/>
    <w:rsid w:val="0040647D"/>
    <w:rsid w:val="004064BA"/>
    <w:rsid w:val="00407810"/>
    <w:rsid w:val="00407C48"/>
    <w:rsid w:val="00411DD1"/>
    <w:rsid w:val="00412044"/>
    <w:rsid w:val="00413248"/>
    <w:rsid w:val="00414402"/>
    <w:rsid w:val="00415342"/>
    <w:rsid w:val="00415A45"/>
    <w:rsid w:val="00416D4E"/>
    <w:rsid w:val="0041729E"/>
    <w:rsid w:val="00417430"/>
    <w:rsid w:val="004177F3"/>
    <w:rsid w:val="00420052"/>
    <w:rsid w:val="00420C32"/>
    <w:rsid w:val="00421CD8"/>
    <w:rsid w:val="00424633"/>
    <w:rsid w:val="00424E3F"/>
    <w:rsid w:val="0042562D"/>
    <w:rsid w:val="00427C82"/>
    <w:rsid w:val="00431479"/>
    <w:rsid w:val="00432F14"/>
    <w:rsid w:val="004336D6"/>
    <w:rsid w:val="00434FAF"/>
    <w:rsid w:val="00435710"/>
    <w:rsid w:val="00435AD5"/>
    <w:rsid w:val="0043650C"/>
    <w:rsid w:val="00436CBB"/>
    <w:rsid w:val="00437398"/>
    <w:rsid w:val="00437FC6"/>
    <w:rsid w:val="0044003E"/>
    <w:rsid w:val="004400B3"/>
    <w:rsid w:val="0044027B"/>
    <w:rsid w:val="00440542"/>
    <w:rsid w:val="004428FC"/>
    <w:rsid w:val="004458CD"/>
    <w:rsid w:val="00446AE4"/>
    <w:rsid w:val="00446EFC"/>
    <w:rsid w:val="004470DC"/>
    <w:rsid w:val="004479E2"/>
    <w:rsid w:val="00450C78"/>
    <w:rsid w:val="00453084"/>
    <w:rsid w:val="004531AB"/>
    <w:rsid w:val="0045403A"/>
    <w:rsid w:val="00454C29"/>
    <w:rsid w:val="00454CD0"/>
    <w:rsid w:val="004556B2"/>
    <w:rsid w:val="00455A46"/>
    <w:rsid w:val="00456AE3"/>
    <w:rsid w:val="00456FC3"/>
    <w:rsid w:val="004607F2"/>
    <w:rsid w:val="00461558"/>
    <w:rsid w:val="00462015"/>
    <w:rsid w:val="0046258C"/>
    <w:rsid w:val="0046269B"/>
    <w:rsid w:val="00463931"/>
    <w:rsid w:val="00464DCF"/>
    <w:rsid w:val="00465323"/>
    <w:rsid w:val="00465956"/>
    <w:rsid w:val="00466B25"/>
    <w:rsid w:val="004675BB"/>
    <w:rsid w:val="0046788E"/>
    <w:rsid w:val="00470C37"/>
    <w:rsid w:val="0047168D"/>
    <w:rsid w:val="00471B9E"/>
    <w:rsid w:val="00472057"/>
    <w:rsid w:val="004728D4"/>
    <w:rsid w:val="00474C91"/>
    <w:rsid w:val="0047602A"/>
    <w:rsid w:val="004803D8"/>
    <w:rsid w:val="0048085D"/>
    <w:rsid w:val="004808CF"/>
    <w:rsid w:val="0048510D"/>
    <w:rsid w:val="00491666"/>
    <w:rsid w:val="00493135"/>
    <w:rsid w:val="00495932"/>
    <w:rsid w:val="00495F07"/>
    <w:rsid w:val="004960B8"/>
    <w:rsid w:val="004A26A3"/>
    <w:rsid w:val="004A3B7B"/>
    <w:rsid w:val="004A732B"/>
    <w:rsid w:val="004B03E9"/>
    <w:rsid w:val="004B0C6D"/>
    <w:rsid w:val="004B1D52"/>
    <w:rsid w:val="004B2A34"/>
    <w:rsid w:val="004B34DD"/>
    <w:rsid w:val="004B39D5"/>
    <w:rsid w:val="004B3C43"/>
    <w:rsid w:val="004B67E0"/>
    <w:rsid w:val="004B6AB5"/>
    <w:rsid w:val="004B6E0D"/>
    <w:rsid w:val="004B7BA8"/>
    <w:rsid w:val="004C114D"/>
    <w:rsid w:val="004C518D"/>
    <w:rsid w:val="004C5245"/>
    <w:rsid w:val="004C5426"/>
    <w:rsid w:val="004C542D"/>
    <w:rsid w:val="004C7D87"/>
    <w:rsid w:val="004D0C8D"/>
    <w:rsid w:val="004D0DC8"/>
    <w:rsid w:val="004D1BDB"/>
    <w:rsid w:val="004D22EF"/>
    <w:rsid w:val="004D7119"/>
    <w:rsid w:val="004E40F1"/>
    <w:rsid w:val="004E4151"/>
    <w:rsid w:val="004E68FC"/>
    <w:rsid w:val="004F1DFA"/>
    <w:rsid w:val="004F2CF3"/>
    <w:rsid w:val="004F3019"/>
    <w:rsid w:val="004F386B"/>
    <w:rsid w:val="004F3EF5"/>
    <w:rsid w:val="004F4680"/>
    <w:rsid w:val="004F4BCE"/>
    <w:rsid w:val="004F7209"/>
    <w:rsid w:val="004F75AA"/>
    <w:rsid w:val="0050039B"/>
    <w:rsid w:val="00500B78"/>
    <w:rsid w:val="00502F01"/>
    <w:rsid w:val="00503C54"/>
    <w:rsid w:val="00505FA2"/>
    <w:rsid w:val="005067F1"/>
    <w:rsid w:val="0050698A"/>
    <w:rsid w:val="00506C60"/>
    <w:rsid w:val="0050756D"/>
    <w:rsid w:val="00507616"/>
    <w:rsid w:val="005100C4"/>
    <w:rsid w:val="00511770"/>
    <w:rsid w:val="0051206F"/>
    <w:rsid w:val="00512388"/>
    <w:rsid w:val="0051257C"/>
    <w:rsid w:val="00514AD6"/>
    <w:rsid w:val="00514CDD"/>
    <w:rsid w:val="00515820"/>
    <w:rsid w:val="005159D2"/>
    <w:rsid w:val="00516C7C"/>
    <w:rsid w:val="005209F1"/>
    <w:rsid w:val="00521EE1"/>
    <w:rsid w:val="00522103"/>
    <w:rsid w:val="00522DB9"/>
    <w:rsid w:val="00522DCB"/>
    <w:rsid w:val="005234FD"/>
    <w:rsid w:val="00524DE4"/>
    <w:rsid w:val="005261B0"/>
    <w:rsid w:val="0052683E"/>
    <w:rsid w:val="005313F9"/>
    <w:rsid w:val="005322F0"/>
    <w:rsid w:val="00532C6B"/>
    <w:rsid w:val="005335A7"/>
    <w:rsid w:val="00534E90"/>
    <w:rsid w:val="00536137"/>
    <w:rsid w:val="00541F2C"/>
    <w:rsid w:val="0054296F"/>
    <w:rsid w:val="005436C3"/>
    <w:rsid w:val="0054427D"/>
    <w:rsid w:val="00551919"/>
    <w:rsid w:val="0055198A"/>
    <w:rsid w:val="00552083"/>
    <w:rsid w:val="00552D79"/>
    <w:rsid w:val="005534CE"/>
    <w:rsid w:val="005551C8"/>
    <w:rsid w:val="005570B5"/>
    <w:rsid w:val="00557176"/>
    <w:rsid w:val="00557D00"/>
    <w:rsid w:val="0056044B"/>
    <w:rsid w:val="00560C90"/>
    <w:rsid w:val="00560CE5"/>
    <w:rsid w:val="00561165"/>
    <w:rsid w:val="00562360"/>
    <w:rsid w:val="0056401D"/>
    <w:rsid w:val="00566885"/>
    <w:rsid w:val="00567032"/>
    <w:rsid w:val="00567043"/>
    <w:rsid w:val="005704BA"/>
    <w:rsid w:val="00572199"/>
    <w:rsid w:val="00575AC0"/>
    <w:rsid w:val="00576BB6"/>
    <w:rsid w:val="00577D25"/>
    <w:rsid w:val="0058126E"/>
    <w:rsid w:val="005815AD"/>
    <w:rsid w:val="00581EB3"/>
    <w:rsid w:val="005820FD"/>
    <w:rsid w:val="00582E1A"/>
    <w:rsid w:val="00582E44"/>
    <w:rsid w:val="0058382C"/>
    <w:rsid w:val="0058482C"/>
    <w:rsid w:val="00584A3E"/>
    <w:rsid w:val="00584E70"/>
    <w:rsid w:val="00587992"/>
    <w:rsid w:val="00590B2F"/>
    <w:rsid w:val="00592AA0"/>
    <w:rsid w:val="00593A3C"/>
    <w:rsid w:val="0059401A"/>
    <w:rsid w:val="00594ABC"/>
    <w:rsid w:val="0059542C"/>
    <w:rsid w:val="0059746B"/>
    <w:rsid w:val="00597CBF"/>
    <w:rsid w:val="005A09CD"/>
    <w:rsid w:val="005A16B3"/>
    <w:rsid w:val="005A192F"/>
    <w:rsid w:val="005A263A"/>
    <w:rsid w:val="005A2A20"/>
    <w:rsid w:val="005A3F9A"/>
    <w:rsid w:val="005A533E"/>
    <w:rsid w:val="005A5CA8"/>
    <w:rsid w:val="005A6159"/>
    <w:rsid w:val="005A61EE"/>
    <w:rsid w:val="005A79F5"/>
    <w:rsid w:val="005A7C8A"/>
    <w:rsid w:val="005B189C"/>
    <w:rsid w:val="005B3A30"/>
    <w:rsid w:val="005B41C4"/>
    <w:rsid w:val="005B5B3E"/>
    <w:rsid w:val="005B6D75"/>
    <w:rsid w:val="005C03DD"/>
    <w:rsid w:val="005C1D3E"/>
    <w:rsid w:val="005C2542"/>
    <w:rsid w:val="005C2F09"/>
    <w:rsid w:val="005C5B35"/>
    <w:rsid w:val="005D27F0"/>
    <w:rsid w:val="005D31BA"/>
    <w:rsid w:val="005D3A01"/>
    <w:rsid w:val="005D3FC0"/>
    <w:rsid w:val="005D42A1"/>
    <w:rsid w:val="005D44BD"/>
    <w:rsid w:val="005D49ED"/>
    <w:rsid w:val="005D5282"/>
    <w:rsid w:val="005E160D"/>
    <w:rsid w:val="005E3525"/>
    <w:rsid w:val="005E4B21"/>
    <w:rsid w:val="005F09A2"/>
    <w:rsid w:val="005F1623"/>
    <w:rsid w:val="005F2152"/>
    <w:rsid w:val="005F2F2D"/>
    <w:rsid w:val="005F2FDD"/>
    <w:rsid w:val="005F424D"/>
    <w:rsid w:val="005F48C6"/>
    <w:rsid w:val="005F5A90"/>
    <w:rsid w:val="005F71AA"/>
    <w:rsid w:val="005F777E"/>
    <w:rsid w:val="00600654"/>
    <w:rsid w:val="00601CB8"/>
    <w:rsid w:val="006032A7"/>
    <w:rsid w:val="0060383B"/>
    <w:rsid w:val="00604F9B"/>
    <w:rsid w:val="00606825"/>
    <w:rsid w:val="00606EC5"/>
    <w:rsid w:val="00607F75"/>
    <w:rsid w:val="006133EA"/>
    <w:rsid w:val="00613EFF"/>
    <w:rsid w:val="00615034"/>
    <w:rsid w:val="006154CA"/>
    <w:rsid w:val="00615CA8"/>
    <w:rsid w:val="00615F25"/>
    <w:rsid w:val="0062121E"/>
    <w:rsid w:val="00622157"/>
    <w:rsid w:val="0062267A"/>
    <w:rsid w:val="00625A48"/>
    <w:rsid w:val="0062611F"/>
    <w:rsid w:val="006311D1"/>
    <w:rsid w:val="00633DD1"/>
    <w:rsid w:val="006345C1"/>
    <w:rsid w:val="006347F4"/>
    <w:rsid w:val="00634B90"/>
    <w:rsid w:val="00635090"/>
    <w:rsid w:val="00635C35"/>
    <w:rsid w:val="0064004E"/>
    <w:rsid w:val="00640C45"/>
    <w:rsid w:val="00645B80"/>
    <w:rsid w:val="00647292"/>
    <w:rsid w:val="00650278"/>
    <w:rsid w:val="00650317"/>
    <w:rsid w:val="00651425"/>
    <w:rsid w:val="00651D9D"/>
    <w:rsid w:val="00652C34"/>
    <w:rsid w:val="00653C2C"/>
    <w:rsid w:val="00655296"/>
    <w:rsid w:val="006554F2"/>
    <w:rsid w:val="00655A0D"/>
    <w:rsid w:val="00657A4C"/>
    <w:rsid w:val="00657C12"/>
    <w:rsid w:val="006601C2"/>
    <w:rsid w:val="00660857"/>
    <w:rsid w:val="00662351"/>
    <w:rsid w:val="006632D0"/>
    <w:rsid w:val="00663A57"/>
    <w:rsid w:val="00663B20"/>
    <w:rsid w:val="0066457D"/>
    <w:rsid w:val="00664932"/>
    <w:rsid w:val="00665106"/>
    <w:rsid w:val="00671E2E"/>
    <w:rsid w:val="00671F8F"/>
    <w:rsid w:val="006721C2"/>
    <w:rsid w:val="0067223D"/>
    <w:rsid w:val="006731E4"/>
    <w:rsid w:val="00673517"/>
    <w:rsid w:val="00673BB3"/>
    <w:rsid w:val="006749C7"/>
    <w:rsid w:val="0067634B"/>
    <w:rsid w:val="006776FA"/>
    <w:rsid w:val="00677AC4"/>
    <w:rsid w:val="00681962"/>
    <w:rsid w:val="00683343"/>
    <w:rsid w:val="00683ECC"/>
    <w:rsid w:val="00685B37"/>
    <w:rsid w:val="0068650F"/>
    <w:rsid w:val="00687282"/>
    <w:rsid w:val="006876DF"/>
    <w:rsid w:val="006902D8"/>
    <w:rsid w:val="0069403C"/>
    <w:rsid w:val="0069418F"/>
    <w:rsid w:val="006941CA"/>
    <w:rsid w:val="0069482C"/>
    <w:rsid w:val="00694A23"/>
    <w:rsid w:val="006958C7"/>
    <w:rsid w:val="00696833"/>
    <w:rsid w:val="0069705C"/>
    <w:rsid w:val="00697DE7"/>
    <w:rsid w:val="006A00B6"/>
    <w:rsid w:val="006A4465"/>
    <w:rsid w:val="006A52D2"/>
    <w:rsid w:val="006A5BA0"/>
    <w:rsid w:val="006A6F85"/>
    <w:rsid w:val="006A7E7B"/>
    <w:rsid w:val="006B1537"/>
    <w:rsid w:val="006B157F"/>
    <w:rsid w:val="006B24CA"/>
    <w:rsid w:val="006B2851"/>
    <w:rsid w:val="006B3463"/>
    <w:rsid w:val="006B598B"/>
    <w:rsid w:val="006B5F8C"/>
    <w:rsid w:val="006B7C27"/>
    <w:rsid w:val="006C0617"/>
    <w:rsid w:val="006C09F7"/>
    <w:rsid w:val="006C10D2"/>
    <w:rsid w:val="006C33F9"/>
    <w:rsid w:val="006C6AB4"/>
    <w:rsid w:val="006D05D1"/>
    <w:rsid w:val="006D1A7D"/>
    <w:rsid w:val="006D300A"/>
    <w:rsid w:val="006D3148"/>
    <w:rsid w:val="006D3577"/>
    <w:rsid w:val="006D495F"/>
    <w:rsid w:val="006D4A1C"/>
    <w:rsid w:val="006D5CEC"/>
    <w:rsid w:val="006D6CA8"/>
    <w:rsid w:val="006D6E4E"/>
    <w:rsid w:val="006D7FD6"/>
    <w:rsid w:val="006E07B4"/>
    <w:rsid w:val="006E0990"/>
    <w:rsid w:val="006E200B"/>
    <w:rsid w:val="006E2957"/>
    <w:rsid w:val="006E30AB"/>
    <w:rsid w:val="006E4C34"/>
    <w:rsid w:val="006F19B4"/>
    <w:rsid w:val="0070203D"/>
    <w:rsid w:val="00702496"/>
    <w:rsid w:val="007051B8"/>
    <w:rsid w:val="007052B0"/>
    <w:rsid w:val="00705451"/>
    <w:rsid w:val="00707D5A"/>
    <w:rsid w:val="007115E2"/>
    <w:rsid w:val="00711E38"/>
    <w:rsid w:val="0071373C"/>
    <w:rsid w:val="00713E03"/>
    <w:rsid w:val="007147EE"/>
    <w:rsid w:val="00715F17"/>
    <w:rsid w:val="007164A9"/>
    <w:rsid w:val="00716CB7"/>
    <w:rsid w:val="00716E5A"/>
    <w:rsid w:val="00716F49"/>
    <w:rsid w:val="007174C4"/>
    <w:rsid w:val="00724166"/>
    <w:rsid w:val="00724528"/>
    <w:rsid w:val="00725177"/>
    <w:rsid w:val="007277E0"/>
    <w:rsid w:val="0073147C"/>
    <w:rsid w:val="007320D5"/>
    <w:rsid w:val="00732C89"/>
    <w:rsid w:val="00733A44"/>
    <w:rsid w:val="00734256"/>
    <w:rsid w:val="007356E4"/>
    <w:rsid w:val="00735FEC"/>
    <w:rsid w:val="00736258"/>
    <w:rsid w:val="00736B27"/>
    <w:rsid w:val="00736B58"/>
    <w:rsid w:val="00736BEE"/>
    <w:rsid w:val="007370E7"/>
    <w:rsid w:val="00742D5B"/>
    <w:rsid w:val="00743ED7"/>
    <w:rsid w:val="00745BAC"/>
    <w:rsid w:val="00746230"/>
    <w:rsid w:val="00746B4D"/>
    <w:rsid w:val="0074723F"/>
    <w:rsid w:val="00747982"/>
    <w:rsid w:val="007529F0"/>
    <w:rsid w:val="00753852"/>
    <w:rsid w:val="00756E7F"/>
    <w:rsid w:val="007609C1"/>
    <w:rsid w:val="00762D29"/>
    <w:rsid w:val="00763CD3"/>
    <w:rsid w:val="00766BDD"/>
    <w:rsid w:val="00770955"/>
    <w:rsid w:val="00770AC1"/>
    <w:rsid w:val="007719F2"/>
    <w:rsid w:val="00773123"/>
    <w:rsid w:val="0077377B"/>
    <w:rsid w:val="0077521E"/>
    <w:rsid w:val="0077550C"/>
    <w:rsid w:val="00781D20"/>
    <w:rsid w:val="00782053"/>
    <w:rsid w:val="00783110"/>
    <w:rsid w:val="00783330"/>
    <w:rsid w:val="00783630"/>
    <w:rsid w:val="0078415D"/>
    <w:rsid w:val="00784860"/>
    <w:rsid w:val="007848C4"/>
    <w:rsid w:val="00786B62"/>
    <w:rsid w:val="00790E86"/>
    <w:rsid w:val="00790F70"/>
    <w:rsid w:val="00792D6F"/>
    <w:rsid w:val="00795BAC"/>
    <w:rsid w:val="0079690B"/>
    <w:rsid w:val="00797926"/>
    <w:rsid w:val="00797B81"/>
    <w:rsid w:val="00797EBF"/>
    <w:rsid w:val="007A001E"/>
    <w:rsid w:val="007A082E"/>
    <w:rsid w:val="007A5276"/>
    <w:rsid w:val="007A56AD"/>
    <w:rsid w:val="007A7271"/>
    <w:rsid w:val="007B13B9"/>
    <w:rsid w:val="007B2727"/>
    <w:rsid w:val="007B2AA6"/>
    <w:rsid w:val="007B2B2C"/>
    <w:rsid w:val="007B55AA"/>
    <w:rsid w:val="007B5C9C"/>
    <w:rsid w:val="007B621A"/>
    <w:rsid w:val="007B6FDF"/>
    <w:rsid w:val="007B77FA"/>
    <w:rsid w:val="007C1183"/>
    <w:rsid w:val="007C432C"/>
    <w:rsid w:val="007C63A5"/>
    <w:rsid w:val="007C6FDD"/>
    <w:rsid w:val="007C7E57"/>
    <w:rsid w:val="007C7EA1"/>
    <w:rsid w:val="007C7F2B"/>
    <w:rsid w:val="007D00AA"/>
    <w:rsid w:val="007D29D5"/>
    <w:rsid w:val="007D6DE9"/>
    <w:rsid w:val="007E0478"/>
    <w:rsid w:val="007E222F"/>
    <w:rsid w:val="007E3EEF"/>
    <w:rsid w:val="007E464E"/>
    <w:rsid w:val="007E47F1"/>
    <w:rsid w:val="007E5950"/>
    <w:rsid w:val="007E5E94"/>
    <w:rsid w:val="007E6846"/>
    <w:rsid w:val="007E6CF5"/>
    <w:rsid w:val="007E700F"/>
    <w:rsid w:val="007F4F29"/>
    <w:rsid w:val="007F6AC2"/>
    <w:rsid w:val="007F784A"/>
    <w:rsid w:val="00800F67"/>
    <w:rsid w:val="008016DA"/>
    <w:rsid w:val="00801E98"/>
    <w:rsid w:val="0080359C"/>
    <w:rsid w:val="008053FE"/>
    <w:rsid w:val="00805C8A"/>
    <w:rsid w:val="00806DB2"/>
    <w:rsid w:val="00806DC5"/>
    <w:rsid w:val="00807CF7"/>
    <w:rsid w:val="008105A7"/>
    <w:rsid w:val="008157C6"/>
    <w:rsid w:val="008160BF"/>
    <w:rsid w:val="00816E5A"/>
    <w:rsid w:val="008174B4"/>
    <w:rsid w:val="00817C67"/>
    <w:rsid w:val="00817E90"/>
    <w:rsid w:val="00820792"/>
    <w:rsid w:val="00821EDE"/>
    <w:rsid w:val="00821FCC"/>
    <w:rsid w:val="00822048"/>
    <w:rsid w:val="00823E60"/>
    <w:rsid w:val="008240F1"/>
    <w:rsid w:val="00824F81"/>
    <w:rsid w:val="0082550B"/>
    <w:rsid w:val="0082553D"/>
    <w:rsid w:val="00825AE7"/>
    <w:rsid w:val="008266C3"/>
    <w:rsid w:val="00826C4C"/>
    <w:rsid w:val="00831148"/>
    <w:rsid w:val="0083208F"/>
    <w:rsid w:val="0083270A"/>
    <w:rsid w:val="00832DB7"/>
    <w:rsid w:val="008341DD"/>
    <w:rsid w:val="008352C5"/>
    <w:rsid w:val="00835343"/>
    <w:rsid w:val="00835C7B"/>
    <w:rsid w:val="00837269"/>
    <w:rsid w:val="0084017A"/>
    <w:rsid w:val="008405C1"/>
    <w:rsid w:val="00840679"/>
    <w:rsid w:val="008408F8"/>
    <w:rsid w:val="00841495"/>
    <w:rsid w:val="008415C1"/>
    <w:rsid w:val="00841C69"/>
    <w:rsid w:val="00843E6C"/>
    <w:rsid w:val="00844BFF"/>
    <w:rsid w:val="008457BD"/>
    <w:rsid w:val="00845FFD"/>
    <w:rsid w:val="0084625D"/>
    <w:rsid w:val="00846C7D"/>
    <w:rsid w:val="00847056"/>
    <w:rsid w:val="008478FC"/>
    <w:rsid w:val="00847CDF"/>
    <w:rsid w:val="0085003A"/>
    <w:rsid w:val="00852093"/>
    <w:rsid w:val="00853499"/>
    <w:rsid w:val="008543ED"/>
    <w:rsid w:val="008544F3"/>
    <w:rsid w:val="00854CD4"/>
    <w:rsid w:val="00854F2A"/>
    <w:rsid w:val="0085503D"/>
    <w:rsid w:val="0085520C"/>
    <w:rsid w:val="00855A66"/>
    <w:rsid w:val="00855B46"/>
    <w:rsid w:val="0085713E"/>
    <w:rsid w:val="00857546"/>
    <w:rsid w:val="00857B58"/>
    <w:rsid w:val="0086063D"/>
    <w:rsid w:val="00861F98"/>
    <w:rsid w:val="008626FD"/>
    <w:rsid w:val="008634A1"/>
    <w:rsid w:val="00863568"/>
    <w:rsid w:val="00864172"/>
    <w:rsid w:val="00870F2F"/>
    <w:rsid w:val="00871D6B"/>
    <w:rsid w:val="008725F4"/>
    <w:rsid w:val="00873F4D"/>
    <w:rsid w:val="00874C62"/>
    <w:rsid w:val="008752DF"/>
    <w:rsid w:val="008754C2"/>
    <w:rsid w:val="0087758C"/>
    <w:rsid w:val="008779D0"/>
    <w:rsid w:val="008802FE"/>
    <w:rsid w:val="008804FB"/>
    <w:rsid w:val="00880F96"/>
    <w:rsid w:val="00881094"/>
    <w:rsid w:val="008816A4"/>
    <w:rsid w:val="00882004"/>
    <w:rsid w:val="00882039"/>
    <w:rsid w:val="00882D5F"/>
    <w:rsid w:val="00887797"/>
    <w:rsid w:val="00890A6A"/>
    <w:rsid w:val="00891D3F"/>
    <w:rsid w:val="00892188"/>
    <w:rsid w:val="008924F6"/>
    <w:rsid w:val="0089274F"/>
    <w:rsid w:val="00892A46"/>
    <w:rsid w:val="008935DD"/>
    <w:rsid w:val="00893CBE"/>
    <w:rsid w:val="0089718D"/>
    <w:rsid w:val="008A00EA"/>
    <w:rsid w:val="008A05DF"/>
    <w:rsid w:val="008B0270"/>
    <w:rsid w:val="008B1F36"/>
    <w:rsid w:val="008B2130"/>
    <w:rsid w:val="008B3F3E"/>
    <w:rsid w:val="008B4743"/>
    <w:rsid w:val="008B5772"/>
    <w:rsid w:val="008B627E"/>
    <w:rsid w:val="008C4ED7"/>
    <w:rsid w:val="008D1583"/>
    <w:rsid w:val="008D1F9C"/>
    <w:rsid w:val="008D23C1"/>
    <w:rsid w:val="008D2836"/>
    <w:rsid w:val="008D2AEE"/>
    <w:rsid w:val="008D3347"/>
    <w:rsid w:val="008D3DFD"/>
    <w:rsid w:val="008D4D6C"/>
    <w:rsid w:val="008D5160"/>
    <w:rsid w:val="008D51EE"/>
    <w:rsid w:val="008D672D"/>
    <w:rsid w:val="008D7707"/>
    <w:rsid w:val="008D7B81"/>
    <w:rsid w:val="008D7E1D"/>
    <w:rsid w:val="008E01E8"/>
    <w:rsid w:val="008E12AD"/>
    <w:rsid w:val="008E1DF3"/>
    <w:rsid w:val="008E3147"/>
    <w:rsid w:val="008E5214"/>
    <w:rsid w:val="008E557D"/>
    <w:rsid w:val="008E61B6"/>
    <w:rsid w:val="008E7B2B"/>
    <w:rsid w:val="008F1993"/>
    <w:rsid w:val="008F2E92"/>
    <w:rsid w:val="008F3BB9"/>
    <w:rsid w:val="008F43BA"/>
    <w:rsid w:val="008F46E8"/>
    <w:rsid w:val="008F5E53"/>
    <w:rsid w:val="008F6135"/>
    <w:rsid w:val="008F6217"/>
    <w:rsid w:val="008F6D19"/>
    <w:rsid w:val="009005C4"/>
    <w:rsid w:val="00900B7E"/>
    <w:rsid w:val="00901D00"/>
    <w:rsid w:val="00903CA6"/>
    <w:rsid w:val="00903D39"/>
    <w:rsid w:val="00907CB0"/>
    <w:rsid w:val="009109B0"/>
    <w:rsid w:val="00911558"/>
    <w:rsid w:val="009120E2"/>
    <w:rsid w:val="00912242"/>
    <w:rsid w:val="00913392"/>
    <w:rsid w:val="0091660F"/>
    <w:rsid w:val="009169A9"/>
    <w:rsid w:val="00916F89"/>
    <w:rsid w:val="009170A9"/>
    <w:rsid w:val="00917B0A"/>
    <w:rsid w:val="009224FF"/>
    <w:rsid w:val="009225D6"/>
    <w:rsid w:val="00922A62"/>
    <w:rsid w:val="009232F7"/>
    <w:rsid w:val="00923BE0"/>
    <w:rsid w:val="00923D5A"/>
    <w:rsid w:val="00932A7A"/>
    <w:rsid w:val="009342BD"/>
    <w:rsid w:val="00934542"/>
    <w:rsid w:val="0093507B"/>
    <w:rsid w:val="00941322"/>
    <w:rsid w:val="009428F7"/>
    <w:rsid w:val="009432FA"/>
    <w:rsid w:val="009443BD"/>
    <w:rsid w:val="00944A30"/>
    <w:rsid w:val="00944FD4"/>
    <w:rsid w:val="00945477"/>
    <w:rsid w:val="00945C5C"/>
    <w:rsid w:val="00950170"/>
    <w:rsid w:val="00950C38"/>
    <w:rsid w:val="0095112C"/>
    <w:rsid w:val="009519BE"/>
    <w:rsid w:val="009531C3"/>
    <w:rsid w:val="0095553F"/>
    <w:rsid w:val="009568B9"/>
    <w:rsid w:val="00956F82"/>
    <w:rsid w:val="00960EDF"/>
    <w:rsid w:val="0096150F"/>
    <w:rsid w:val="00961BBC"/>
    <w:rsid w:val="00963107"/>
    <w:rsid w:val="0096415C"/>
    <w:rsid w:val="00964233"/>
    <w:rsid w:val="00966E67"/>
    <w:rsid w:val="009702E6"/>
    <w:rsid w:val="00974267"/>
    <w:rsid w:val="00974339"/>
    <w:rsid w:val="00975724"/>
    <w:rsid w:val="00975A82"/>
    <w:rsid w:val="00976C19"/>
    <w:rsid w:val="0098039B"/>
    <w:rsid w:val="00980467"/>
    <w:rsid w:val="00980528"/>
    <w:rsid w:val="00981AC1"/>
    <w:rsid w:val="00981C09"/>
    <w:rsid w:val="00982253"/>
    <w:rsid w:val="009831AE"/>
    <w:rsid w:val="0098450E"/>
    <w:rsid w:val="00984E55"/>
    <w:rsid w:val="00985C2C"/>
    <w:rsid w:val="00986042"/>
    <w:rsid w:val="00986520"/>
    <w:rsid w:val="00987952"/>
    <w:rsid w:val="00987A8C"/>
    <w:rsid w:val="00991279"/>
    <w:rsid w:val="00994572"/>
    <w:rsid w:val="00994ABC"/>
    <w:rsid w:val="0099572D"/>
    <w:rsid w:val="009961D3"/>
    <w:rsid w:val="0099631D"/>
    <w:rsid w:val="00997C9E"/>
    <w:rsid w:val="009A05FF"/>
    <w:rsid w:val="009A0736"/>
    <w:rsid w:val="009A1620"/>
    <w:rsid w:val="009A2558"/>
    <w:rsid w:val="009A2B37"/>
    <w:rsid w:val="009A31D6"/>
    <w:rsid w:val="009A3630"/>
    <w:rsid w:val="009A5C4B"/>
    <w:rsid w:val="009B07B8"/>
    <w:rsid w:val="009B2A71"/>
    <w:rsid w:val="009B2B64"/>
    <w:rsid w:val="009B3151"/>
    <w:rsid w:val="009B3377"/>
    <w:rsid w:val="009B3554"/>
    <w:rsid w:val="009B3F15"/>
    <w:rsid w:val="009B498A"/>
    <w:rsid w:val="009B5390"/>
    <w:rsid w:val="009B5D0B"/>
    <w:rsid w:val="009B5F7B"/>
    <w:rsid w:val="009B72BE"/>
    <w:rsid w:val="009C269D"/>
    <w:rsid w:val="009C2FC3"/>
    <w:rsid w:val="009C5DEA"/>
    <w:rsid w:val="009C7749"/>
    <w:rsid w:val="009C7786"/>
    <w:rsid w:val="009D431A"/>
    <w:rsid w:val="009D444F"/>
    <w:rsid w:val="009D6D41"/>
    <w:rsid w:val="009E08A5"/>
    <w:rsid w:val="009E187C"/>
    <w:rsid w:val="009E22F5"/>
    <w:rsid w:val="009E24F0"/>
    <w:rsid w:val="009E2F04"/>
    <w:rsid w:val="009E3153"/>
    <w:rsid w:val="009E433E"/>
    <w:rsid w:val="009E62BB"/>
    <w:rsid w:val="009E7CB2"/>
    <w:rsid w:val="009F5677"/>
    <w:rsid w:val="009F6061"/>
    <w:rsid w:val="009F6F77"/>
    <w:rsid w:val="00A00AB0"/>
    <w:rsid w:val="00A00C8B"/>
    <w:rsid w:val="00A01AEF"/>
    <w:rsid w:val="00A026FA"/>
    <w:rsid w:val="00A02B02"/>
    <w:rsid w:val="00A0489B"/>
    <w:rsid w:val="00A04ADF"/>
    <w:rsid w:val="00A0620B"/>
    <w:rsid w:val="00A0668E"/>
    <w:rsid w:val="00A10BF7"/>
    <w:rsid w:val="00A11B12"/>
    <w:rsid w:val="00A21845"/>
    <w:rsid w:val="00A21A80"/>
    <w:rsid w:val="00A228A2"/>
    <w:rsid w:val="00A276D2"/>
    <w:rsid w:val="00A309E7"/>
    <w:rsid w:val="00A310A3"/>
    <w:rsid w:val="00A33019"/>
    <w:rsid w:val="00A351DE"/>
    <w:rsid w:val="00A3573F"/>
    <w:rsid w:val="00A360AD"/>
    <w:rsid w:val="00A36B9E"/>
    <w:rsid w:val="00A37285"/>
    <w:rsid w:val="00A41989"/>
    <w:rsid w:val="00A42825"/>
    <w:rsid w:val="00A43ACA"/>
    <w:rsid w:val="00A44853"/>
    <w:rsid w:val="00A44BA4"/>
    <w:rsid w:val="00A51A10"/>
    <w:rsid w:val="00A554D9"/>
    <w:rsid w:val="00A555AE"/>
    <w:rsid w:val="00A557BD"/>
    <w:rsid w:val="00A565F3"/>
    <w:rsid w:val="00A56633"/>
    <w:rsid w:val="00A56E79"/>
    <w:rsid w:val="00A606D8"/>
    <w:rsid w:val="00A608F6"/>
    <w:rsid w:val="00A60BA1"/>
    <w:rsid w:val="00A617DD"/>
    <w:rsid w:val="00A621A9"/>
    <w:rsid w:val="00A63305"/>
    <w:rsid w:val="00A6420B"/>
    <w:rsid w:val="00A65A33"/>
    <w:rsid w:val="00A66AA7"/>
    <w:rsid w:val="00A66AB1"/>
    <w:rsid w:val="00A67664"/>
    <w:rsid w:val="00A67D49"/>
    <w:rsid w:val="00A702FE"/>
    <w:rsid w:val="00A71AD9"/>
    <w:rsid w:val="00A73747"/>
    <w:rsid w:val="00A75399"/>
    <w:rsid w:val="00A77FCB"/>
    <w:rsid w:val="00A77FF4"/>
    <w:rsid w:val="00A80FFA"/>
    <w:rsid w:val="00A81E48"/>
    <w:rsid w:val="00A8293C"/>
    <w:rsid w:val="00A82E1F"/>
    <w:rsid w:val="00A83A27"/>
    <w:rsid w:val="00A83E6A"/>
    <w:rsid w:val="00A8447E"/>
    <w:rsid w:val="00A860B4"/>
    <w:rsid w:val="00A86221"/>
    <w:rsid w:val="00A867BB"/>
    <w:rsid w:val="00A87343"/>
    <w:rsid w:val="00A87CDE"/>
    <w:rsid w:val="00A9121B"/>
    <w:rsid w:val="00A9214C"/>
    <w:rsid w:val="00A92532"/>
    <w:rsid w:val="00A9477A"/>
    <w:rsid w:val="00A965BA"/>
    <w:rsid w:val="00A9703E"/>
    <w:rsid w:val="00A97E0E"/>
    <w:rsid w:val="00AA0D94"/>
    <w:rsid w:val="00AA147A"/>
    <w:rsid w:val="00AA17C3"/>
    <w:rsid w:val="00AA2709"/>
    <w:rsid w:val="00AA372B"/>
    <w:rsid w:val="00AA398F"/>
    <w:rsid w:val="00AA6102"/>
    <w:rsid w:val="00AA6440"/>
    <w:rsid w:val="00AA6E4E"/>
    <w:rsid w:val="00AA7383"/>
    <w:rsid w:val="00AA776B"/>
    <w:rsid w:val="00AB0280"/>
    <w:rsid w:val="00AB15EC"/>
    <w:rsid w:val="00AB1A57"/>
    <w:rsid w:val="00AB1E80"/>
    <w:rsid w:val="00AB2509"/>
    <w:rsid w:val="00AB3A03"/>
    <w:rsid w:val="00AB48CF"/>
    <w:rsid w:val="00AB5083"/>
    <w:rsid w:val="00AB73C5"/>
    <w:rsid w:val="00AB73FB"/>
    <w:rsid w:val="00AC2FDF"/>
    <w:rsid w:val="00AC3B78"/>
    <w:rsid w:val="00AC4C89"/>
    <w:rsid w:val="00AC5AB7"/>
    <w:rsid w:val="00AC5ED2"/>
    <w:rsid w:val="00AC64E6"/>
    <w:rsid w:val="00AC7370"/>
    <w:rsid w:val="00AD0257"/>
    <w:rsid w:val="00AD0370"/>
    <w:rsid w:val="00AD0FA3"/>
    <w:rsid w:val="00AD23D0"/>
    <w:rsid w:val="00AD29AE"/>
    <w:rsid w:val="00AD36E4"/>
    <w:rsid w:val="00AD4D8E"/>
    <w:rsid w:val="00AD7334"/>
    <w:rsid w:val="00AE0007"/>
    <w:rsid w:val="00AE297C"/>
    <w:rsid w:val="00AE4287"/>
    <w:rsid w:val="00AE4C2D"/>
    <w:rsid w:val="00AE4F2A"/>
    <w:rsid w:val="00AE54ED"/>
    <w:rsid w:val="00AE6725"/>
    <w:rsid w:val="00AE7408"/>
    <w:rsid w:val="00AE7DD2"/>
    <w:rsid w:val="00AE7E5B"/>
    <w:rsid w:val="00AF0537"/>
    <w:rsid w:val="00AF0D24"/>
    <w:rsid w:val="00AF17AE"/>
    <w:rsid w:val="00AF1EDC"/>
    <w:rsid w:val="00AF25F9"/>
    <w:rsid w:val="00AF292E"/>
    <w:rsid w:val="00AF3A87"/>
    <w:rsid w:val="00AF52A8"/>
    <w:rsid w:val="00AF740E"/>
    <w:rsid w:val="00B00490"/>
    <w:rsid w:val="00B004B8"/>
    <w:rsid w:val="00B03218"/>
    <w:rsid w:val="00B050D8"/>
    <w:rsid w:val="00B05211"/>
    <w:rsid w:val="00B052AE"/>
    <w:rsid w:val="00B064A0"/>
    <w:rsid w:val="00B101D3"/>
    <w:rsid w:val="00B117E8"/>
    <w:rsid w:val="00B11813"/>
    <w:rsid w:val="00B14CDF"/>
    <w:rsid w:val="00B155D0"/>
    <w:rsid w:val="00B15883"/>
    <w:rsid w:val="00B178BE"/>
    <w:rsid w:val="00B210F1"/>
    <w:rsid w:val="00B21FA8"/>
    <w:rsid w:val="00B249DD"/>
    <w:rsid w:val="00B25C61"/>
    <w:rsid w:val="00B26938"/>
    <w:rsid w:val="00B26B61"/>
    <w:rsid w:val="00B273BE"/>
    <w:rsid w:val="00B34F9B"/>
    <w:rsid w:val="00B35D93"/>
    <w:rsid w:val="00B361C8"/>
    <w:rsid w:val="00B3672C"/>
    <w:rsid w:val="00B37905"/>
    <w:rsid w:val="00B4033D"/>
    <w:rsid w:val="00B41129"/>
    <w:rsid w:val="00B4135F"/>
    <w:rsid w:val="00B41422"/>
    <w:rsid w:val="00B41D3D"/>
    <w:rsid w:val="00B43C27"/>
    <w:rsid w:val="00B44790"/>
    <w:rsid w:val="00B46A5B"/>
    <w:rsid w:val="00B46FB3"/>
    <w:rsid w:val="00B50013"/>
    <w:rsid w:val="00B52F0C"/>
    <w:rsid w:val="00B533DC"/>
    <w:rsid w:val="00B534A8"/>
    <w:rsid w:val="00B53A6E"/>
    <w:rsid w:val="00B55ABD"/>
    <w:rsid w:val="00B56F03"/>
    <w:rsid w:val="00B63168"/>
    <w:rsid w:val="00B65291"/>
    <w:rsid w:val="00B654C3"/>
    <w:rsid w:val="00B65C90"/>
    <w:rsid w:val="00B66527"/>
    <w:rsid w:val="00B675CC"/>
    <w:rsid w:val="00B67962"/>
    <w:rsid w:val="00B713CF"/>
    <w:rsid w:val="00B72322"/>
    <w:rsid w:val="00B7249D"/>
    <w:rsid w:val="00B729B2"/>
    <w:rsid w:val="00B73A6B"/>
    <w:rsid w:val="00B73BEA"/>
    <w:rsid w:val="00B74D8E"/>
    <w:rsid w:val="00B750D1"/>
    <w:rsid w:val="00B76785"/>
    <w:rsid w:val="00B77773"/>
    <w:rsid w:val="00B82093"/>
    <w:rsid w:val="00B8251B"/>
    <w:rsid w:val="00B83891"/>
    <w:rsid w:val="00B85255"/>
    <w:rsid w:val="00B858BE"/>
    <w:rsid w:val="00B85AFE"/>
    <w:rsid w:val="00B90413"/>
    <w:rsid w:val="00B90965"/>
    <w:rsid w:val="00B91ED2"/>
    <w:rsid w:val="00B92C77"/>
    <w:rsid w:val="00B93877"/>
    <w:rsid w:val="00B9473C"/>
    <w:rsid w:val="00B95A5F"/>
    <w:rsid w:val="00B96021"/>
    <w:rsid w:val="00B97DAE"/>
    <w:rsid w:val="00BA0265"/>
    <w:rsid w:val="00BA0A10"/>
    <w:rsid w:val="00BA0A9A"/>
    <w:rsid w:val="00BA2A02"/>
    <w:rsid w:val="00BA5098"/>
    <w:rsid w:val="00BA6B82"/>
    <w:rsid w:val="00BA7CBB"/>
    <w:rsid w:val="00BA7DA2"/>
    <w:rsid w:val="00BB026C"/>
    <w:rsid w:val="00BB2B01"/>
    <w:rsid w:val="00BB2C05"/>
    <w:rsid w:val="00BB3E33"/>
    <w:rsid w:val="00BB3EA7"/>
    <w:rsid w:val="00BB417A"/>
    <w:rsid w:val="00BB4F5F"/>
    <w:rsid w:val="00BB59FA"/>
    <w:rsid w:val="00BB632B"/>
    <w:rsid w:val="00BB7009"/>
    <w:rsid w:val="00BB7218"/>
    <w:rsid w:val="00BB726C"/>
    <w:rsid w:val="00BC15DD"/>
    <w:rsid w:val="00BC1D42"/>
    <w:rsid w:val="00BC292E"/>
    <w:rsid w:val="00BC3568"/>
    <w:rsid w:val="00BC4CC4"/>
    <w:rsid w:val="00BC6D04"/>
    <w:rsid w:val="00BC732A"/>
    <w:rsid w:val="00BD00E6"/>
    <w:rsid w:val="00BD3614"/>
    <w:rsid w:val="00BD3703"/>
    <w:rsid w:val="00BD40D8"/>
    <w:rsid w:val="00BD5B48"/>
    <w:rsid w:val="00BD7989"/>
    <w:rsid w:val="00BD7E29"/>
    <w:rsid w:val="00BE16A8"/>
    <w:rsid w:val="00BE1A80"/>
    <w:rsid w:val="00BE2953"/>
    <w:rsid w:val="00BE2BC9"/>
    <w:rsid w:val="00BE3979"/>
    <w:rsid w:val="00BE4644"/>
    <w:rsid w:val="00BE47D8"/>
    <w:rsid w:val="00BE502E"/>
    <w:rsid w:val="00BE6DF2"/>
    <w:rsid w:val="00BF14B4"/>
    <w:rsid w:val="00BF1D59"/>
    <w:rsid w:val="00BF409D"/>
    <w:rsid w:val="00BF59C8"/>
    <w:rsid w:val="00BF59F0"/>
    <w:rsid w:val="00BF6220"/>
    <w:rsid w:val="00BF6A83"/>
    <w:rsid w:val="00C0022F"/>
    <w:rsid w:val="00C022EC"/>
    <w:rsid w:val="00C02754"/>
    <w:rsid w:val="00C03313"/>
    <w:rsid w:val="00C040DD"/>
    <w:rsid w:val="00C053AA"/>
    <w:rsid w:val="00C053FF"/>
    <w:rsid w:val="00C0568F"/>
    <w:rsid w:val="00C07F4F"/>
    <w:rsid w:val="00C10D8F"/>
    <w:rsid w:val="00C110E9"/>
    <w:rsid w:val="00C11C1A"/>
    <w:rsid w:val="00C1226D"/>
    <w:rsid w:val="00C13500"/>
    <w:rsid w:val="00C166FF"/>
    <w:rsid w:val="00C17722"/>
    <w:rsid w:val="00C17A31"/>
    <w:rsid w:val="00C17EA1"/>
    <w:rsid w:val="00C208CB"/>
    <w:rsid w:val="00C217FF"/>
    <w:rsid w:val="00C23114"/>
    <w:rsid w:val="00C23F61"/>
    <w:rsid w:val="00C24484"/>
    <w:rsid w:val="00C24491"/>
    <w:rsid w:val="00C2714E"/>
    <w:rsid w:val="00C27D11"/>
    <w:rsid w:val="00C304A9"/>
    <w:rsid w:val="00C30D16"/>
    <w:rsid w:val="00C30DAD"/>
    <w:rsid w:val="00C3175E"/>
    <w:rsid w:val="00C31D3D"/>
    <w:rsid w:val="00C31F98"/>
    <w:rsid w:val="00C32472"/>
    <w:rsid w:val="00C32706"/>
    <w:rsid w:val="00C32F53"/>
    <w:rsid w:val="00C338DF"/>
    <w:rsid w:val="00C33CF6"/>
    <w:rsid w:val="00C3414A"/>
    <w:rsid w:val="00C356F3"/>
    <w:rsid w:val="00C35A59"/>
    <w:rsid w:val="00C35AA9"/>
    <w:rsid w:val="00C40C3F"/>
    <w:rsid w:val="00C40DA1"/>
    <w:rsid w:val="00C41846"/>
    <w:rsid w:val="00C41A1D"/>
    <w:rsid w:val="00C42438"/>
    <w:rsid w:val="00C43DD9"/>
    <w:rsid w:val="00C44AB7"/>
    <w:rsid w:val="00C46AFB"/>
    <w:rsid w:val="00C46E19"/>
    <w:rsid w:val="00C50FB2"/>
    <w:rsid w:val="00C5117A"/>
    <w:rsid w:val="00C51415"/>
    <w:rsid w:val="00C524DF"/>
    <w:rsid w:val="00C52568"/>
    <w:rsid w:val="00C52791"/>
    <w:rsid w:val="00C542BE"/>
    <w:rsid w:val="00C550D7"/>
    <w:rsid w:val="00C55A00"/>
    <w:rsid w:val="00C60D60"/>
    <w:rsid w:val="00C61565"/>
    <w:rsid w:val="00C65B29"/>
    <w:rsid w:val="00C66632"/>
    <w:rsid w:val="00C678C4"/>
    <w:rsid w:val="00C67B79"/>
    <w:rsid w:val="00C7456F"/>
    <w:rsid w:val="00C77072"/>
    <w:rsid w:val="00C77B18"/>
    <w:rsid w:val="00C77DB9"/>
    <w:rsid w:val="00C81B9D"/>
    <w:rsid w:val="00C81EC8"/>
    <w:rsid w:val="00C82714"/>
    <w:rsid w:val="00C8357E"/>
    <w:rsid w:val="00C835F6"/>
    <w:rsid w:val="00C848AF"/>
    <w:rsid w:val="00C84B0A"/>
    <w:rsid w:val="00C84B3A"/>
    <w:rsid w:val="00C855F8"/>
    <w:rsid w:val="00C868E0"/>
    <w:rsid w:val="00C87E10"/>
    <w:rsid w:val="00C908ED"/>
    <w:rsid w:val="00C9454F"/>
    <w:rsid w:val="00C94C6B"/>
    <w:rsid w:val="00C95BCC"/>
    <w:rsid w:val="00C97576"/>
    <w:rsid w:val="00CA00DE"/>
    <w:rsid w:val="00CA15E3"/>
    <w:rsid w:val="00CA3181"/>
    <w:rsid w:val="00CA3BA0"/>
    <w:rsid w:val="00CA562F"/>
    <w:rsid w:val="00CA6303"/>
    <w:rsid w:val="00CA66A0"/>
    <w:rsid w:val="00CA6928"/>
    <w:rsid w:val="00CB026E"/>
    <w:rsid w:val="00CB03B1"/>
    <w:rsid w:val="00CB0CEF"/>
    <w:rsid w:val="00CB0DBC"/>
    <w:rsid w:val="00CB1677"/>
    <w:rsid w:val="00CB483F"/>
    <w:rsid w:val="00CB7482"/>
    <w:rsid w:val="00CB7D41"/>
    <w:rsid w:val="00CC011D"/>
    <w:rsid w:val="00CC0DD0"/>
    <w:rsid w:val="00CC1249"/>
    <w:rsid w:val="00CC2EE0"/>
    <w:rsid w:val="00CC41FE"/>
    <w:rsid w:val="00CC44AB"/>
    <w:rsid w:val="00CD087D"/>
    <w:rsid w:val="00CD4750"/>
    <w:rsid w:val="00CD4CD8"/>
    <w:rsid w:val="00CD628E"/>
    <w:rsid w:val="00CD7866"/>
    <w:rsid w:val="00CD7B49"/>
    <w:rsid w:val="00CE3BC1"/>
    <w:rsid w:val="00CE4DF4"/>
    <w:rsid w:val="00CE5CCE"/>
    <w:rsid w:val="00CE604C"/>
    <w:rsid w:val="00CE6D24"/>
    <w:rsid w:val="00CE718E"/>
    <w:rsid w:val="00CE76AC"/>
    <w:rsid w:val="00CE7CEA"/>
    <w:rsid w:val="00CF0370"/>
    <w:rsid w:val="00CF0741"/>
    <w:rsid w:val="00CF0AEB"/>
    <w:rsid w:val="00CF2E58"/>
    <w:rsid w:val="00CF341F"/>
    <w:rsid w:val="00CF3592"/>
    <w:rsid w:val="00CF49A4"/>
    <w:rsid w:val="00CF4BBD"/>
    <w:rsid w:val="00D01D7D"/>
    <w:rsid w:val="00D03C34"/>
    <w:rsid w:val="00D10524"/>
    <w:rsid w:val="00D10850"/>
    <w:rsid w:val="00D1366D"/>
    <w:rsid w:val="00D13CA3"/>
    <w:rsid w:val="00D13DCD"/>
    <w:rsid w:val="00D13E7A"/>
    <w:rsid w:val="00D146EC"/>
    <w:rsid w:val="00D16E31"/>
    <w:rsid w:val="00D2019E"/>
    <w:rsid w:val="00D2031B"/>
    <w:rsid w:val="00D20D0A"/>
    <w:rsid w:val="00D222C7"/>
    <w:rsid w:val="00D2428D"/>
    <w:rsid w:val="00D25BB0"/>
    <w:rsid w:val="00D263DA"/>
    <w:rsid w:val="00D26743"/>
    <w:rsid w:val="00D274DB"/>
    <w:rsid w:val="00D27C69"/>
    <w:rsid w:val="00D31698"/>
    <w:rsid w:val="00D31C99"/>
    <w:rsid w:val="00D33AF5"/>
    <w:rsid w:val="00D33E11"/>
    <w:rsid w:val="00D36870"/>
    <w:rsid w:val="00D36B5E"/>
    <w:rsid w:val="00D36E13"/>
    <w:rsid w:val="00D374C2"/>
    <w:rsid w:val="00D375E6"/>
    <w:rsid w:val="00D3784E"/>
    <w:rsid w:val="00D37F15"/>
    <w:rsid w:val="00D4074D"/>
    <w:rsid w:val="00D40E87"/>
    <w:rsid w:val="00D4266C"/>
    <w:rsid w:val="00D46D72"/>
    <w:rsid w:val="00D474E3"/>
    <w:rsid w:val="00D50D00"/>
    <w:rsid w:val="00D51A63"/>
    <w:rsid w:val="00D53214"/>
    <w:rsid w:val="00D541E9"/>
    <w:rsid w:val="00D54886"/>
    <w:rsid w:val="00D55EBE"/>
    <w:rsid w:val="00D57631"/>
    <w:rsid w:val="00D57721"/>
    <w:rsid w:val="00D61BCB"/>
    <w:rsid w:val="00D63476"/>
    <w:rsid w:val="00D645E3"/>
    <w:rsid w:val="00D64676"/>
    <w:rsid w:val="00D65D01"/>
    <w:rsid w:val="00D66DF2"/>
    <w:rsid w:val="00D7076F"/>
    <w:rsid w:val="00D70BF4"/>
    <w:rsid w:val="00D72959"/>
    <w:rsid w:val="00D72CC1"/>
    <w:rsid w:val="00D73648"/>
    <w:rsid w:val="00D73713"/>
    <w:rsid w:val="00D73AA2"/>
    <w:rsid w:val="00D7412F"/>
    <w:rsid w:val="00D7622B"/>
    <w:rsid w:val="00D77138"/>
    <w:rsid w:val="00D77330"/>
    <w:rsid w:val="00D77F19"/>
    <w:rsid w:val="00D8082E"/>
    <w:rsid w:val="00D81588"/>
    <w:rsid w:val="00D82710"/>
    <w:rsid w:val="00D85A34"/>
    <w:rsid w:val="00D86660"/>
    <w:rsid w:val="00D86B47"/>
    <w:rsid w:val="00D90B40"/>
    <w:rsid w:val="00D9209B"/>
    <w:rsid w:val="00D9302E"/>
    <w:rsid w:val="00D93244"/>
    <w:rsid w:val="00D9368A"/>
    <w:rsid w:val="00D9630B"/>
    <w:rsid w:val="00D96542"/>
    <w:rsid w:val="00D969F9"/>
    <w:rsid w:val="00DA0F58"/>
    <w:rsid w:val="00DA123F"/>
    <w:rsid w:val="00DA198A"/>
    <w:rsid w:val="00DA2C1D"/>
    <w:rsid w:val="00DA74A2"/>
    <w:rsid w:val="00DB0E86"/>
    <w:rsid w:val="00DB2385"/>
    <w:rsid w:val="00DB2B96"/>
    <w:rsid w:val="00DB37AE"/>
    <w:rsid w:val="00DB4BB6"/>
    <w:rsid w:val="00DB4C9A"/>
    <w:rsid w:val="00DB7B4C"/>
    <w:rsid w:val="00DB7C45"/>
    <w:rsid w:val="00DC1C66"/>
    <w:rsid w:val="00DC1F94"/>
    <w:rsid w:val="00DC272D"/>
    <w:rsid w:val="00DC32E3"/>
    <w:rsid w:val="00DD039B"/>
    <w:rsid w:val="00DD1568"/>
    <w:rsid w:val="00DD1EB3"/>
    <w:rsid w:val="00DD1F86"/>
    <w:rsid w:val="00DD20D8"/>
    <w:rsid w:val="00DD2F6D"/>
    <w:rsid w:val="00DD3B5F"/>
    <w:rsid w:val="00DD60A1"/>
    <w:rsid w:val="00DE1079"/>
    <w:rsid w:val="00DE1F06"/>
    <w:rsid w:val="00DE20A5"/>
    <w:rsid w:val="00DE2385"/>
    <w:rsid w:val="00DE38DD"/>
    <w:rsid w:val="00DE3BE4"/>
    <w:rsid w:val="00DE4F30"/>
    <w:rsid w:val="00DE5D08"/>
    <w:rsid w:val="00DE5D83"/>
    <w:rsid w:val="00DE78E5"/>
    <w:rsid w:val="00DE7C90"/>
    <w:rsid w:val="00DE7EF5"/>
    <w:rsid w:val="00DF3337"/>
    <w:rsid w:val="00DF6699"/>
    <w:rsid w:val="00DF6BE2"/>
    <w:rsid w:val="00E00B47"/>
    <w:rsid w:val="00E02249"/>
    <w:rsid w:val="00E02863"/>
    <w:rsid w:val="00E10DA2"/>
    <w:rsid w:val="00E11F8C"/>
    <w:rsid w:val="00E12B1E"/>
    <w:rsid w:val="00E12BBE"/>
    <w:rsid w:val="00E130E9"/>
    <w:rsid w:val="00E139F9"/>
    <w:rsid w:val="00E14315"/>
    <w:rsid w:val="00E148AE"/>
    <w:rsid w:val="00E166B4"/>
    <w:rsid w:val="00E20258"/>
    <w:rsid w:val="00E242FB"/>
    <w:rsid w:val="00E24867"/>
    <w:rsid w:val="00E255DB"/>
    <w:rsid w:val="00E25D4A"/>
    <w:rsid w:val="00E2790A"/>
    <w:rsid w:val="00E27B5A"/>
    <w:rsid w:val="00E31552"/>
    <w:rsid w:val="00E32CAA"/>
    <w:rsid w:val="00E32FBD"/>
    <w:rsid w:val="00E331F2"/>
    <w:rsid w:val="00E33538"/>
    <w:rsid w:val="00E337FF"/>
    <w:rsid w:val="00E34960"/>
    <w:rsid w:val="00E3775B"/>
    <w:rsid w:val="00E42309"/>
    <w:rsid w:val="00E42367"/>
    <w:rsid w:val="00E42B51"/>
    <w:rsid w:val="00E457F6"/>
    <w:rsid w:val="00E4783C"/>
    <w:rsid w:val="00E51CDD"/>
    <w:rsid w:val="00E533C4"/>
    <w:rsid w:val="00E53981"/>
    <w:rsid w:val="00E53BF7"/>
    <w:rsid w:val="00E53E4B"/>
    <w:rsid w:val="00E54856"/>
    <w:rsid w:val="00E554A7"/>
    <w:rsid w:val="00E557D5"/>
    <w:rsid w:val="00E5625C"/>
    <w:rsid w:val="00E56B55"/>
    <w:rsid w:val="00E56EFF"/>
    <w:rsid w:val="00E57B42"/>
    <w:rsid w:val="00E57BC2"/>
    <w:rsid w:val="00E57F31"/>
    <w:rsid w:val="00E61259"/>
    <w:rsid w:val="00E6379E"/>
    <w:rsid w:val="00E660B8"/>
    <w:rsid w:val="00E66A55"/>
    <w:rsid w:val="00E75C6B"/>
    <w:rsid w:val="00E8070A"/>
    <w:rsid w:val="00E86EB2"/>
    <w:rsid w:val="00E93033"/>
    <w:rsid w:val="00E93EBE"/>
    <w:rsid w:val="00E93F5A"/>
    <w:rsid w:val="00E9545B"/>
    <w:rsid w:val="00E9573D"/>
    <w:rsid w:val="00EA10AD"/>
    <w:rsid w:val="00EA20EF"/>
    <w:rsid w:val="00EA2336"/>
    <w:rsid w:val="00EA3700"/>
    <w:rsid w:val="00EA5269"/>
    <w:rsid w:val="00EA6167"/>
    <w:rsid w:val="00EA6E3D"/>
    <w:rsid w:val="00EB1246"/>
    <w:rsid w:val="00EB1811"/>
    <w:rsid w:val="00EB1E14"/>
    <w:rsid w:val="00EB25E9"/>
    <w:rsid w:val="00EB3201"/>
    <w:rsid w:val="00EB5274"/>
    <w:rsid w:val="00EB5F12"/>
    <w:rsid w:val="00EB612B"/>
    <w:rsid w:val="00EB72B7"/>
    <w:rsid w:val="00EB750E"/>
    <w:rsid w:val="00EB78CE"/>
    <w:rsid w:val="00EB7A75"/>
    <w:rsid w:val="00EB7B75"/>
    <w:rsid w:val="00EC06FD"/>
    <w:rsid w:val="00EC33BD"/>
    <w:rsid w:val="00EC4977"/>
    <w:rsid w:val="00EC7AF8"/>
    <w:rsid w:val="00ED04D9"/>
    <w:rsid w:val="00ED0F10"/>
    <w:rsid w:val="00ED187D"/>
    <w:rsid w:val="00ED2BBF"/>
    <w:rsid w:val="00ED3642"/>
    <w:rsid w:val="00ED687F"/>
    <w:rsid w:val="00EE016E"/>
    <w:rsid w:val="00EE1448"/>
    <w:rsid w:val="00EE14C2"/>
    <w:rsid w:val="00EE2603"/>
    <w:rsid w:val="00EE26E9"/>
    <w:rsid w:val="00EE3DED"/>
    <w:rsid w:val="00EE3E42"/>
    <w:rsid w:val="00EE402D"/>
    <w:rsid w:val="00EE5B84"/>
    <w:rsid w:val="00EE5DAF"/>
    <w:rsid w:val="00EE77FD"/>
    <w:rsid w:val="00EF3D03"/>
    <w:rsid w:val="00EF447E"/>
    <w:rsid w:val="00EF52D4"/>
    <w:rsid w:val="00EF62C8"/>
    <w:rsid w:val="00F01B84"/>
    <w:rsid w:val="00F035E2"/>
    <w:rsid w:val="00F04CF5"/>
    <w:rsid w:val="00F0744D"/>
    <w:rsid w:val="00F07767"/>
    <w:rsid w:val="00F07C3A"/>
    <w:rsid w:val="00F11754"/>
    <w:rsid w:val="00F11E1B"/>
    <w:rsid w:val="00F12544"/>
    <w:rsid w:val="00F1355F"/>
    <w:rsid w:val="00F138D1"/>
    <w:rsid w:val="00F13B60"/>
    <w:rsid w:val="00F143C3"/>
    <w:rsid w:val="00F14D6C"/>
    <w:rsid w:val="00F16438"/>
    <w:rsid w:val="00F167E2"/>
    <w:rsid w:val="00F21B63"/>
    <w:rsid w:val="00F25E57"/>
    <w:rsid w:val="00F26F1F"/>
    <w:rsid w:val="00F30D51"/>
    <w:rsid w:val="00F314A6"/>
    <w:rsid w:val="00F34671"/>
    <w:rsid w:val="00F34827"/>
    <w:rsid w:val="00F35181"/>
    <w:rsid w:val="00F375D7"/>
    <w:rsid w:val="00F376A0"/>
    <w:rsid w:val="00F427B4"/>
    <w:rsid w:val="00F4299C"/>
    <w:rsid w:val="00F42DC1"/>
    <w:rsid w:val="00F44D3B"/>
    <w:rsid w:val="00F4715E"/>
    <w:rsid w:val="00F50BC1"/>
    <w:rsid w:val="00F51911"/>
    <w:rsid w:val="00F538FA"/>
    <w:rsid w:val="00F54235"/>
    <w:rsid w:val="00F558FD"/>
    <w:rsid w:val="00F5733D"/>
    <w:rsid w:val="00F63223"/>
    <w:rsid w:val="00F637B0"/>
    <w:rsid w:val="00F650DE"/>
    <w:rsid w:val="00F67833"/>
    <w:rsid w:val="00F71381"/>
    <w:rsid w:val="00F745AF"/>
    <w:rsid w:val="00F749CF"/>
    <w:rsid w:val="00F75A80"/>
    <w:rsid w:val="00F76BE6"/>
    <w:rsid w:val="00F80371"/>
    <w:rsid w:val="00F81F1E"/>
    <w:rsid w:val="00F91AA2"/>
    <w:rsid w:val="00F92E32"/>
    <w:rsid w:val="00F93F31"/>
    <w:rsid w:val="00F9787C"/>
    <w:rsid w:val="00F97CC6"/>
    <w:rsid w:val="00FA415A"/>
    <w:rsid w:val="00FA47A8"/>
    <w:rsid w:val="00FA4C8B"/>
    <w:rsid w:val="00FA5E4B"/>
    <w:rsid w:val="00FA65EE"/>
    <w:rsid w:val="00FA6AD3"/>
    <w:rsid w:val="00FA7FB1"/>
    <w:rsid w:val="00FB0B2E"/>
    <w:rsid w:val="00FB0D5D"/>
    <w:rsid w:val="00FB0E53"/>
    <w:rsid w:val="00FB1A2A"/>
    <w:rsid w:val="00FB250F"/>
    <w:rsid w:val="00FB271C"/>
    <w:rsid w:val="00FB2801"/>
    <w:rsid w:val="00FB35DE"/>
    <w:rsid w:val="00FB4022"/>
    <w:rsid w:val="00FB41DC"/>
    <w:rsid w:val="00FB5248"/>
    <w:rsid w:val="00FC0207"/>
    <w:rsid w:val="00FC0DCE"/>
    <w:rsid w:val="00FC4779"/>
    <w:rsid w:val="00FC575B"/>
    <w:rsid w:val="00FC5B4F"/>
    <w:rsid w:val="00FC5F6F"/>
    <w:rsid w:val="00FC6C6B"/>
    <w:rsid w:val="00FC71EE"/>
    <w:rsid w:val="00FC7502"/>
    <w:rsid w:val="00FD0045"/>
    <w:rsid w:val="00FD094F"/>
    <w:rsid w:val="00FD2027"/>
    <w:rsid w:val="00FD284E"/>
    <w:rsid w:val="00FD2AE5"/>
    <w:rsid w:val="00FD4A0B"/>
    <w:rsid w:val="00FD4B10"/>
    <w:rsid w:val="00FD7260"/>
    <w:rsid w:val="00FD77AC"/>
    <w:rsid w:val="00FE0BC5"/>
    <w:rsid w:val="00FE2503"/>
    <w:rsid w:val="00FE2C29"/>
    <w:rsid w:val="00FE2D43"/>
    <w:rsid w:val="00FE3AC1"/>
    <w:rsid w:val="00FE4243"/>
    <w:rsid w:val="00FE555F"/>
    <w:rsid w:val="00FE6766"/>
    <w:rsid w:val="00FE67EC"/>
    <w:rsid w:val="00FE7ACD"/>
    <w:rsid w:val="00FF082D"/>
    <w:rsid w:val="00FF1762"/>
    <w:rsid w:val="00FF17B2"/>
    <w:rsid w:val="00FF2598"/>
    <w:rsid w:val="00FF35CD"/>
    <w:rsid w:val="00FF5486"/>
    <w:rsid w:val="0729336F"/>
    <w:rsid w:val="0771CE15"/>
    <w:rsid w:val="0957D7E4"/>
    <w:rsid w:val="09F4C3E7"/>
    <w:rsid w:val="0AF89B46"/>
    <w:rsid w:val="0BB04378"/>
    <w:rsid w:val="0FE1ECF2"/>
    <w:rsid w:val="10D75C01"/>
    <w:rsid w:val="13EE305C"/>
    <w:rsid w:val="16FCC4B7"/>
    <w:rsid w:val="1D386089"/>
    <w:rsid w:val="24C1F635"/>
    <w:rsid w:val="24CF5D23"/>
    <w:rsid w:val="25E123A2"/>
    <w:rsid w:val="27023A04"/>
    <w:rsid w:val="29F9E8AA"/>
    <w:rsid w:val="2ADD004C"/>
    <w:rsid w:val="31F7A4F2"/>
    <w:rsid w:val="33C88AF0"/>
    <w:rsid w:val="33E04635"/>
    <w:rsid w:val="38A7C7B5"/>
    <w:rsid w:val="3BBA218A"/>
    <w:rsid w:val="409092E7"/>
    <w:rsid w:val="40E569F1"/>
    <w:rsid w:val="459D87FD"/>
    <w:rsid w:val="497BFDA4"/>
    <w:rsid w:val="56061A68"/>
    <w:rsid w:val="5CD05B29"/>
    <w:rsid w:val="5F1831C8"/>
    <w:rsid w:val="61FBBA51"/>
    <w:rsid w:val="63DDA5D2"/>
    <w:rsid w:val="64A64454"/>
    <w:rsid w:val="6C454FDD"/>
    <w:rsid w:val="6E0E0984"/>
    <w:rsid w:val="73ABBABB"/>
    <w:rsid w:val="763EFDBF"/>
    <w:rsid w:val="7801F2DE"/>
    <w:rsid w:val="7BEF0F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DA5C"/>
  <w15:chartTrackingRefBased/>
  <w15:docId w15:val="{531BDD6C-0A10-4893-AECC-1AFA46E0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0A1"/>
    <w:pPr>
      <w:spacing w:after="200" w:line="276" w:lineRule="auto"/>
    </w:pPr>
    <w:rPr>
      <w:rFonts w:asciiTheme="minorHAnsi" w:hAnsiTheme="minorHAnsi" w:cstheme="minorBidi"/>
      <w:szCs w:val="22"/>
    </w:rPr>
  </w:style>
  <w:style w:type="paragraph" w:styleId="Heading1">
    <w:name w:val="heading 1"/>
    <w:basedOn w:val="Normal"/>
    <w:next w:val="Normal"/>
    <w:link w:val="Heading1Char"/>
    <w:uiPriority w:val="9"/>
    <w:qFormat/>
    <w:rsid w:val="00BC29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1060"/>
    <w:pPr>
      <w:keepNext/>
      <w:keepLines/>
      <w:spacing w:before="40" w:after="0"/>
      <w:outlineLvl w:val="1"/>
    </w:pPr>
    <w:rPr>
      <w:rFonts w:eastAsiaTheme="majorEastAsia" w:cstheme="minorHAnsi"/>
      <w:b/>
      <w:bCs/>
      <w:sz w:val="26"/>
      <w:szCs w:val="26"/>
      <w:lang w:val="en" w:eastAsia="en-AU"/>
    </w:rPr>
  </w:style>
  <w:style w:type="paragraph" w:styleId="Heading3">
    <w:name w:val="heading 3"/>
    <w:basedOn w:val="Normal"/>
    <w:next w:val="Normal"/>
    <w:link w:val="Heading3Char"/>
    <w:uiPriority w:val="9"/>
    <w:unhideWhenUsed/>
    <w:qFormat/>
    <w:rsid w:val="009531C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iPriority w:val="9"/>
    <w:semiHidden/>
    <w:unhideWhenUsed/>
    <w:qFormat/>
    <w:rsid w:val="003146B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146BC"/>
    <w:rPr>
      <w:rFonts w:asciiTheme="majorHAnsi" w:eastAsiaTheme="majorEastAsia" w:hAnsiTheme="majorHAnsi" w:cstheme="majorBidi"/>
      <w:color w:val="1F4D78" w:themeColor="accent1" w:themeShade="7F"/>
      <w:sz w:val="22"/>
      <w:szCs w:val="22"/>
    </w:rPr>
  </w:style>
  <w:style w:type="paragraph" w:styleId="ListParagraph">
    <w:name w:val="List Paragraph"/>
    <w:aliases w:val="Bullet Points,CV text,Dot pt,F5 List Paragraph,Indicator Text,L,List Paragraph Char Char Char,List Paragraph1,List Paragraph11,List Paragraph12,MAIN CONTENT,No Spacing1,Numbered Para 1,Recommendation,bullet point list,列出段,NAST Quote,列"/>
    <w:basedOn w:val="Normal"/>
    <w:link w:val="ListParagraphChar"/>
    <w:uiPriority w:val="34"/>
    <w:qFormat/>
    <w:rsid w:val="003146BC"/>
    <w:pPr>
      <w:ind w:left="720"/>
      <w:contextualSpacing/>
    </w:pPr>
  </w:style>
  <w:style w:type="paragraph" w:customStyle="1" w:styleId="Default">
    <w:name w:val="Default"/>
    <w:rsid w:val="001A141A"/>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8F1993"/>
    <w:rPr>
      <w:sz w:val="16"/>
      <w:szCs w:val="16"/>
    </w:rPr>
  </w:style>
  <w:style w:type="paragraph" w:styleId="CommentText">
    <w:name w:val="annotation text"/>
    <w:basedOn w:val="Normal"/>
    <w:link w:val="CommentTextChar"/>
    <w:uiPriority w:val="99"/>
    <w:unhideWhenUsed/>
    <w:rsid w:val="008F1993"/>
    <w:pPr>
      <w:spacing w:line="240" w:lineRule="auto"/>
    </w:pPr>
    <w:rPr>
      <w:sz w:val="20"/>
      <w:szCs w:val="20"/>
    </w:rPr>
  </w:style>
  <w:style w:type="character" w:customStyle="1" w:styleId="CommentTextChar">
    <w:name w:val="Comment Text Char"/>
    <w:basedOn w:val="DefaultParagraphFont"/>
    <w:link w:val="CommentText"/>
    <w:uiPriority w:val="99"/>
    <w:rsid w:val="008F199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F1993"/>
    <w:rPr>
      <w:b/>
      <w:bCs/>
    </w:rPr>
  </w:style>
  <w:style w:type="character" w:customStyle="1" w:styleId="CommentSubjectChar">
    <w:name w:val="Comment Subject Char"/>
    <w:basedOn w:val="CommentTextChar"/>
    <w:link w:val="CommentSubject"/>
    <w:uiPriority w:val="99"/>
    <w:semiHidden/>
    <w:rsid w:val="008F1993"/>
    <w:rPr>
      <w:rFonts w:asciiTheme="minorHAnsi" w:hAnsiTheme="minorHAnsi" w:cstheme="minorBidi"/>
      <w:b/>
      <w:bCs/>
      <w:sz w:val="20"/>
      <w:szCs w:val="20"/>
    </w:rPr>
  </w:style>
  <w:style w:type="paragraph" w:styleId="Header">
    <w:name w:val="header"/>
    <w:basedOn w:val="Normal"/>
    <w:link w:val="HeaderChar"/>
    <w:uiPriority w:val="99"/>
    <w:unhideWhenUsed/>
    <w:rsid w:val="00594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BC"/>
    <w:rPr>
      <w:rFonts w:asciiTheme="minorHAnsi" w:hAnsiTheme="minorHAnsi" w:cstheme="minorBidi"/>
      <w:sz w:val="22"/>
      <w:szCs w:val="22"/>
    </w:rPr>
  </w:style>
  <w:style w:type="paragraph" w:styleId="Footer">
    <w:name w:val="footer"/>
    <w:basedOn w:val="Normal"/>
    <w:link w:val="FooterChar"/>
    <w:uiPriority w:val="99"/>
    <w:unhideWhenUsed/>
    <w:rsid w:val="00594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BC"/>
    <w:rPr>
      <w:rFonts w:asciiTheme="minorHAnsi" w:hAnsiTheme="minorHAnsi" w:cstheme="minorBidi"/>
      <w:sz w:val="22"/>
      <w:szCs w:val="22"/>
    </w:rPr>
  </w:style>
  <w:style w:type="paragraph" w:styleId="Revision">
    <w:name w:val="Revision"/>
    <w:hidden/>
    <w:uiPriority w:val="99"/>
    <w:semiHidden/>
    <w:rsid w:val="00945C5C"/>
    <w:pPr>
      <w:spacing w:after="0" w:line="240" w:lineRule="auto"/>
    </w:pPr>
    <w:rPr>
      <w:rFonts w:asciiTheme="minorHAnsi" w:hAnsiTheme="minorHAnsi" w:cstheme="minorBidi"/>
      <w:sz w:val="22"/>
      <w:szCs w:val="22"/>
    </w:rPr>
  </w:style>
  <w:style w:type="table" w:styleId="TableGrid">
    <w:name w:val="Table Grid"/>
    <w:basedOn w:val="TableNormal"/>
    <w:uiPriority w:val="39"/>
    <w:rsid w:val="00950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9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1060"/>
    <w:rPr>
      <w:rFonts w:asciiTheme="minorHAnsi" w:eastAsiaTheme="majorEastAsia" w:hAnsiTheme="minorHAnsi" w:cstheme="minorHAnsi"/>
      <w:b/>
      <w:bCs/>
      <w:sz w:val="26"/>
      <w:szCs w:val="26"/>
      <w:lang w:val="en" w:eastAsia="en-AU"/>
    </w:rPr>
  </w:style>
  <w:style w:type="character" w:styleId="Hyperlink">
    <w:name w:val="Hyperlink"/>
    <w:basedOn w:val="DefaultParagraphFont"/>
    <w:uiPriority w:val="99"/>
    <w:unhideWhenUsed/>
    <w:rsid w:val="00A66AB1"/>
    <w:rPr>
      <w:color w:val="0563C1"/>
      <w:u w:val="single"/>
    </w:rPr>
  </w:style>
  <w:style w:type="character" w:styleId="UnresolvedMention">
    <w:name w:val="Unresolved Mention"/>
    <w:basedOn w:val="DefaultParagraphFont"/>
    <w:uiPriority w:val="99"/>
    <w:semiHidden/>
    <w:unhideWhenUsed/>
    <w:rsid w:val="00A66AB1"/>
    <w:rPr>
      <w:color w:val="605E5C"/>
      <w:shd w:val="clear" w:color="auto" w:fill="E1DFDD"/>
    </w:rPr>
  </w:style>
  <w:style w:type="paragraph" w:styleId="FootnoteText">
    <w:name w:val="footnote text"/>
    <w:basedOn w:val="Normal"/>
    <w:link w:val="FootnoteTextChar"/>
    <w:uiPriority w:val="99"/>
    <w:semiHidden/>
    <w:unhideWhenUsed/>
    <w:rsid w:val="003417A0"/>
    <w:pPr>
      <w:spacing w:after="0"/>
    </w:pPr>
    <w:rPr>
      <w:sz w:val="20"/>
      <w:szCs w:val="20"/>
    </w:rPr>
  </w:style>
  <w:style w:type="character" w:customStyle="1" w:styleId="FootnoteTextChar">
    <w:name w:val="Footnote Text Char"/>
    <w:basedOn w:val="DefaultParagraphFont"/>
    <w:link w:val="FootnoteText"/>
    <w:uiPriority w:val="99"/>
    <w:semiHidden/>
    <w:rsid w:val="003417A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417A0"/>
    <w:rPr>
      <w:vertAlign w:val="superscript"/>
    </w:rPr>
  </w:style>
  <w:style w:type="character" w:customStyle="1" w:styleId="Heading3Char">
    <w:name w:val="Heading 3 Char"/>
    <w:basedOn w:val="DefaultParagraphFont"/>
    <w:link w:val="Heading3"/>
    <w:uiPriority w:val="9"/>
    <w:rsid w:val="009531C3"/>
    <w:rPr>
      <w:rFonts w:asciiTheme="majorHAnsi" w:eastAsiaTheme="majorEastAsia" w:hAnsiTheme="majorHAnsi" w:cstheme="majorBidi"/>
      <w:color w:val="1F4D78" w:themeColor="accent1" w:themeShade="7F"/>
    </w:r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2 Char,MAIN CONTENT Char,No Spacing1 Char"/>
    <w:basedOn w:val="DefaultParagraphFont"/>
    <w:link w:val="ListParagraph"/>
    <w:uiPriority w:val="34"/>
    <w:qFormat/>
    <w:locked/>
    <w:rsid w:val="00CA66A0"/>
    <w:rPr>
      <w:rFonts w:asciiTheme="minorHAnsi" w:hAnsiTheme="minorHAnsi" w:cstheme="minorBidi"/>
      <w:szCs w:val="22"/>
    </w:rPr>
  </w:style>
  <w:style w:type="paragraph" w:styleId="BalloonText">
    <w:name w:val="Balloon Text"/>
    <w:basedOn w:val="Normal"/>
    <w:link w:val="BalloonTextChar"/>
    <w:uiPriority w:val="99"/>
    <w:semiHidden/>
    <w:unhideWhenUsed/>
    <w:rsid w:val="00E54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856"/>
    <w:rPr>
      <w:rFonts w:ascii="Segoe UI" w:hAnsi="Segoe UI" w:cs="Segoe UI"/>
      <w:sz w:val="18"/>
      <w:szCs w:val="18"/>
    </w:rPr>
  </w:style>
  <w:style w:type="paragraph" w:styleId="NoSpacing">
    <w:name w:val="No Spacing"/>
    <w:uiPriority w:val="1"/>
    <w:qFormat/>
    <w:rsid w:val="000C413B"/>
    <w:pPr>
      <w:spacing w:after="0" w:line="240" w:lineRule="auto"/>
    </w:pPr>
    <w:rPr>
      <w:rFonts w:asciiTheme="minorHAnsi" w:hAnsiTheme="minorHAnsi" w:cstheme="minorBidi"/>
      <w:szCs w:val="22"/>
    </w:rPr>
  </w:style>
  <w:style w:type="character" w:styleId="FollowedHyperlink">
    <w:name w:val="FollowedHyperlink"/>
    <w:basedOn w:val="DefaultParagraphFont"/>
    <w:uiPriority w:val="99"/>
    <w:semiHidden/>
    <w:unhideWhenUsed/>
    <w:rsid w:val="00286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6004">
      <w:bodyDiv w:val="1"/>
      <w:marLeft w:val="0"/>
      <w:marRight w:val="0"/>
      <w:marTop w:val="0"/>
      <w:marBottom w:val="0"/>
      <w:divBdr>
        <w:top w:val="none" w:sz="0" w:space="0" w:color="auto"/>
        <w:left w:val="none" w:sz="0" w:space="0" w:color="auto"/>
        <w:bottom w:val="none" w:sz="0" w:space="0" w:color="auto"/>
        <w:right w:val="none" w:sz="0" w:space="0" w:color="auto"/>
      </w:divBdr>
    </w:div>
    <w:div w:id="296883039">
      <w:bodyDiv w:val="1"/>
      <w:marLeft w:val="0"/>
      <w:marRight w:val="0"/>
      <w:marTop w:val="0"/>
      <w:marBottom w:val="0"/>
      <w:divBdr>
        <w:top w:val="none" w:sz="0" w:space="0" w:color="auto"/>
        <w:left w:val="none" w:sz="0" w:space="0" w:color="auto"/>
        <w:bottom w:val="none" w:sz="0" w:space="0" w:color="auto"/>
        <w:right w:val="none" w:sz="0" w:space="0" w:color="auto"/>
      </w:divBdr>
    </w:div>
    <w:div w:id="520777502">
      <w:bodyDiv w:val="1"/>
      <w:marLeft w:val="0"/>
      <w:marRight w:val="0"/>
      <w:marTop w:val="0"/>
      <w:marBottom w:val="0"/>
      <w:divBdr>
        <w:top w:val="none" w:sz="0" w:space="0" w:color="auto"/>
        <w:left w:val="none" w:sz="0" w:space="0" w:color="auto"/>
        <w:bottom w:val="none" w:sz="0" w:space="0" w:color="auto"/>
        <w:right w:val="none" w:sz="0" w:space="0" w:color="auto"/>
      </w:divBdr>
    </w:div>
    <w:div w:id="539823509">
      <w:bodyDiv w:val="1"/>
      <w:marLeft w:val="0"/>
      <w:marRight w:val="0"/>
      <w:marTop w:val="0"/>
      <w:marBottom w:val="0"/>
      <w:divBdr>
        <w:top w:val="none" w:sz="0" w:space="0" w:color="auto"/>
        <w:left w:val="none" w:sz="0" w:space="0" w:color="auto"/>
        <w:bottom w:val="none" w:sz="0" w:space="0" w:color="auto"/>
        <w:right w:val="none" w:sz="0" w:space="0" w:color="auto"/>
      </w:divBdr>
    </w:div>
    <w:div w:id="650673491">
      <w:bodyDiv w:val="1"/>
      <w:marLeft w:val="0"/>
      <w:marRight w:val="0"/>
      <w:marTop w:val="0"/>
      <w:marBottom w:val="0"/>
      <w:divBdr>
        <w:top w:val="none" w:sz="0" w:space="0" w:color="auto"/>
        <w:left w:val="none" w:sz="0" w:space="0" w:color="auto"/>
        <w:bottom w:val="none" w:sz="0" w:space="0" w:color="auto"/>
        <w:right w:val="none" w:sz="0" w:space="0" w:color="auto"/>
      </w:divBdr>
    </w:div>
    <w:div w:id="733314707">
      <w:bodyDiv w:val="1"/>
      <w:marLeft w:val="0"/>
      <w:marRight w:val="0"/>
      <w:marTop w:val="0"/>
      <w:marBottom w:val="0"/>
      <w:divBdr>
        <w:top w:val="none" w:sz="0" w:space="0" w:color="auto"/>
        <w:left w:val="none" w:sz="0" w:space="0" w:color="auto"/>
        <w:bottom w:val="none" w:sz="0" w:space="0" w:color="auto"/>
        <w:right w:val="none" w:sz="0" w:space="0" w:color="auto"/>
      </w:divBdr>
    </w:div>
    <w:div w:id="737360681">
      <w:bodyDiv w:val="1"/>
      <w:marLeft w:val="0"/>
      <w:marRight w:val="0"/>
      <w:marTop w:val="0"/>
      <w:marBottom w:val="0"/>
      <w:divBdr>
        <w:top w:val="none" w:sz="0" w:space="0" w:color="auto"/>
        <w:left w:val="none" w:sz="0" w:space="0" w:color="auto"/>
        <w:bottom w:val="none" w:sz="0" w:space="0" w:color="auto"/>
        <w:right w:val="none" w:sz="0" w:space="0" w:color="auto"/>
      </w:divBdr>
    </w:div>
    <w:div w:id="785539260">
      <w:bodyDiv w:val="1"/>
      <w:marLeft w:val="0"/>
      <w:marRight w:val="0"/>
      <w:marTop w:val="0"/>
      <w:marBottom w:val="0"/>
      <w:divBdr>
        <w:top w:val="none" w:sz="0" w:space="0" w:color="auto"/>
        <w:left w:val="none" w:sz="0" w:space="0" w:color="auto"/>
        <w:bottom w:val="none" w:sz="0" w:space="0" w:color="auto"/>
        <w:right w:val="none" w:sz="0" w:space="0" w:color="auto"/>
      </w:divBdr>
    </w:div>
    <w:div w:id="1004623060">
      <w:bodyDiv w:val="1"/>
      <w:marLeft w:val="0"/>
      <w:marRight w:val="0"/>
      <w:marTop w:val="0"/>
      <w:marBottom w:val="0"/>
      <w:divBdr>
        <w:top w:val="none" w:sz="0" w:space="0" w:color="auto"/>
        <w:left w:val="none" w:sz="0" w:space="0" w:color="auto"/>
        <w:bottom w:val="none" w:sz="0" w:space="0" w:color="auto"/>
        <w:right w:val="none" w:sz="0" w:space="0" w:color="auto"/>
      </w:divBdr>
    </w:div>
    <w:div w:id="1006708250">
      <w:bodyDiv w:val="1"/>
      <w:marLeft w:val="0"/>
      <w:marRight w:val="0"/>
      <w:marTop w:val="0"/>
      <w:marBottom w:val="0"/>
      <w:divBdr>
        <w:top w:val="none" w:sz="0" w:space="0" w:color="auto"/>
        <w:left w:val="none" w:sz="0" w:space="0" w:color="auto"/>
        <w:bottom w:val="none" w:sz="0" w:space="0" w:color="auto"/>
        <w:right w:val="none" w:sz="0" w:space="0" w:color="auto"/>
      </w:divBdr>
    </w:div>
    <w:div w:id="1312098419">
      <w:bodyDiv w:val="1"/>
      <w:marLeft w:val="0"/>
      <w:marRight w:val="0"/>
      <w:marTop w:val="0"/>
      <w:marBottom w:val="0"/>
      <w:divBdr>
        <w:top w:val="none" w:sz="0" w:space="0" w:color="auto"/>
        <w:left w:val="none" w:sz="0" w:space="0" w:color="auto"/>
        <w:bottom w:val="none" w:sz="0" w:space="0" w:color="auto"/>
        <w:right w:val="none" w:sz="0" w:space="0" w:color="auto"/>
      </w:divBdr>
    </w:div>
    <w:div w:id="1462769263">
      <w:bodyDiv w:val="1"/>
      <w:marLeft w:val="0"/>
      <w:marRight w:val="0"/>
      <w:marTop w:val="0"/>
      <w:marBottom w:val="0"/>
      <w:divBdr>
        <w:top w:val="none" w:sz="0" w:space="0" w:color="auto"/>
        <w:left w:val="none" w:sz="0" w:space="0" w:color="auto"/>
        <w:bottom w:val="none" w:sz="0" w:space="0" w:color="auto"/>
        <w:right w:val="none" w:sz="0" w:space="0" w:color="auto"/>
      </w:divBdr>
    </w:div>
    <w:div w:id="1506286275">
      <w:bodyDiv w:val="1"/>
      <w:marLeft w:val="0"/>
      <w:marRight w:val="0"/>
      <w:marTop w:val="0"/>
      <w:marBottom w:val="0"/>
      <w:divBdr>
        <w:top w:val="none" w:sz="0" w:space="0" w:color="auto"/>
        <w:left w:val="none" w:sz="0" w:space="0" w:color="auto"/>
        <w:bottom w:val="none" w:sz="0" w:space="0" w:color="auto"/>
        <w:right w:val="none" w:sz="0" w:space="0" w:color="auto"/>
      </w:divBdr>
    </w:div>
    <w:div w:id="1518764023">
      <w:bodyDiv w:val="1"/>
      <w:marLeft w:val="0"/>
      <w:marRight w:val="0"/>
      <w:marTop w:val="0"/>
      <w:marBottom w:val="0"/>
      <w:divBdr>
        <w:top w:val="none" w:sz="0" w:space="0" w:color="auto"/>
        <w:left w:val="none" w:sz="0" w:space="0" w:color="auto"/>
        <w:bottom w:val="none" w:sz="0" w:space="0" w:color="auto"/>
        <w:right w:val="none" w:sz="0" w:space="0" w:color="auto"/>
      </w:divBdr>
    </w:div>
    <w:div w:id="1526749894">
      <w:bodyDiv w:val="1"/>
      <w:marLeft w:val="0"/>
      <w:marRight w:val="0"/>
      <w:marTop w:val="0"/>
      <w:marBottom w:val="0"/>
      <w:divBdr>
        <w:top w:val="none" w:sz="0" w:space="0" w:color="auto"/>
        <w:left w:val="none" w:sz="0" w:space="0" w:color="auto"/>
        <w:bottom w:val="none" w:sz="0" w:space="0" w:color="auto"/>
        <w:right w:val="none" w:sz="0" w:space="0" w:color="auto"/>
      </w:divBdr>
    </w:div>
    <w:div w:id="1736470331">
      <w:bodyDiv w:val="1"/>
      <w:marLeft w:val="0"/>
      <w:marRight w:val="0"/>
      <w:marTop w:val="0"/>
      <w:marBottom w:val="0"/>
      <w:divBdr>
        <w:top w:val="none" w:sz="0" w:space="0" w:color="auto"/>
        <w:left w:val="none" w:sz="0" w:space="0" w:color="auto"/>
        <w:bottom w:val="none" w:sz="0" w:space="0" w:color="auto"/>
        <w:right w:val="none" w:sz="0" w:space="0" w:color="auto"/>
      </w:divBdr>
    </w:div>
    <w:div w:id="1812405586">
      <w:bodyDiv w:val="1"/>
      <w:marLeft w:val="0"/>
      <w:marRight w:val="0"/>
      <w:marTop w:val="0"/>
      <w:marBottom w:val="0"/>
      <w:divBdr>
        <w:top w:val="none" w:sz="0" w:space="0" w:color="auto"/>
        <w:left w:val="none" w:sz="0" w:space="0" w:color="auto"/>
        <w:bottom w:val="none" w:sz="0" w:space="0" w:color="auto"/>
        <w:right w:val="none" w:sz="0" w:space="0" w:color="auto"/>
      </w:divBdr>
    </w:div>
    <w:div w:id="18485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nister.infrastructure.gov.au/c-king/media-release/2032-games-infrastructure-funding-deal-confirmed" TargetMode="External"/><Relationship Id="rId2" Type="http://schemas.openxmlformats.org/officeDocument/2006/relationships/hyperlink" Target="https://federation.gov.au/about/agreements/intergovernmental-agreement-brisbane-2032-olympic-and-paralympic-games" TargetMode="External"/><Relationship Id="rId1" Type="http://schemas.openxmlformats.org/officeDocument/2006/relationships/hyperlink" Target="https://www.parliament.vic.gov.au/get-involved/inquiries/inquiry-into-the-2026-commonwealth-games-bid/reports" TargetMode="External"/><Relationship Id="rId6" Type="http://schemas.openxmlformats.org/officeDocument/2006/relationships/hyperlink" Target="https://www.health.gov.au/resources/publications/major-sporting-events-legacy-framework" TargetMode="External"/><Relationship Id="rId5" Type="http://schemas.openxmlformats.org/officeDocument/2006/relationships/hyperlink" Target="https://cdn.giica.au/documents/ELEVATE%202042%20Legacy%20Strategy_FULL%20LENGTH.pdf" TargetMode="External"/><Relationship Id="rId4" Type="http://schemas.openxmlformats.org/officeDocument/2006/relationships/hyperlink" Target="https://www.health.gov.au/sites/default/files/2025-03/national-sport-strategy-2024-2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61986890F04FB4E8AA067892764E07C" ma:contentTypeVersion="" ma:contentTypeDescription="PDMS Document Site Content Type" ma:contentTypeScope="" ma:versionID="43e6b1429e45b24ac608f289c9077e39">
  <xsd:schema xmlns:xsd="http://www.w3.org/2001/XMLSchema" xmlns:xs="http://www.w3.org/2001/XMLSchema" xmlns:p="http://schemas.microsoft.com/office/2006/metadata/properties" xmlns:ns2="C7CAF70C-1FCE-4526-B3E6-543C375F2B3C" targetNamespace="http://schemas.microsoft.com/office/2006/metadata/properties" ma:root="true" ma:fieldsID="cf0341cac363f0032cca85d5be2dd691" ns2:_="">
    <xsd:import namespace="C7CAF70C-1FCE-4526-B3E6-543C375F2B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AF70C-1FCE-4526-B3E6-543C375F2B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7CAF70C-1FCE-4526-B3E6-543C375F2B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AD08-3523-417B-B48B-18F39C65B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AF70C-1FCE-4526-B3E6-543C375F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570C7-D03B-478B-8D9C-7C2045C7B1FD}">
  <ds:schemaRefs>
    <ds:schemaRef ds:uri="http://www.w3.org/XML/1998/namespace"/>
    <ds:schemaRef ds:uri="http://schemas.openxmlformats.org/package/2006/metadata/core-properties"/>
    <ds:schemaRef ds:uri="http://schemas.microsoft.com/office/2006/documentManagement/types"/>
    <ds:schemaRef ds:uri="http://purl.org/dc/terms/"/>
    <ds:schemaRef ds:uri="C7CAF70C-1FCE-4526-B3E6-543C375F2B3C"/>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59BAA4C-A71A-41CF-9978-7FAF927112E5}">
  <ds:schemaRefs>
    <ds:schemaRef ds:uri="http://schemas.openxmlformats.org/officeDocument/2006/bibliography"/>
  </ds:schemaRefs>
</ds:datastoreItem>
</file>

<file path=customXml/itemProps4.xml><?xml version="1.0" encoding="utf-8"?>
<ds:datastoreItem xmlns:ds="http://schemas.openxmlformats.org/officeDocument/2006/customXml" ds:itemID="{341731AB-C038-4149-A628-E8623C518C8A}">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1278</TotalTime>
  <Pages>13</Pages>
  <Words>4160</Words>
  <Characters>23968</Characters>
  <Application>Microsoft Office Word</Application>
  <DocSecurity>0</DocSecurity>
  <Lines>665</Lines>
  <Paragraphs>468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27660</CharactersWithSpaces>
  <SharedDoc>false</SharedDoc>
  <HLinks>
    <vt:vector size="30" baseType="variant">
      <vt:variant>
        <vt:i4>3932279</vt:i4>
      </vt:variant>
      <vt:variant>
        <vt:i4>12</vt:i4>
      </vt:variant>
      <vt:variant>
        <vt:i4>0</vt:i4>
      </vt:variant>
      <vt:variant>
        <vt:i4>5</vt:i4>
      </vt:variant>
      <vt:variant>
        <vt:lpwstr>https://www.health.gov.au/resources/publications/major-sporting-events-legacy-framework</vt:lpwstr>
      </vt:variant>
      <vt:variant>
        <vt:lpwstr/>
      </vt:variant>
      <vt:variant>
        <vt:i4>7602226</vt:i4>
      </vt:variant>
      <vt:variant>
        <vt:i4>9</vt:i4>
      </vt:variant>
      <vt:variant>
        <vt:i4>0</vt:i4>
      </vt:variant>
      <vt:variant>
        <vt:i4>5</vt:i4>
      </vt:variant>
      <vt:variant>
        <vt:lpwstr>https://www.health.gov.au/topics/sport/national-sport-strategy</vt:lpwstr>
      </vt:variant>
      <vt:variant>
        <vt:lpwstr/>
      </vt:variant>
      <vt:variant>
        <vt:i4>4849781</vt:i4>
      </vt:variant>
      <vt:variant>
        <vt:i4>6</vt:i4>
      </vt:variant>
      <vt:variant>
        <vt:i4>0</vt:i4>
      </vt:variant>
      <vt:variant>
        <vt:i4>5</vt:i4>
      </vt:variant>
      <vt:variant>
        <vt:lpwstr>https://cdn.giica.au/documents/ELEVATE 2042 Legacy Strategy_FULL LENGTH.pdf</vt:lpwstr>
      </vt:variant>
      <vt:variant>
        <vt:lpwstr/>
      </vt:variant>
      <vt:variant>
        <vt:i4>720903</vt:i4>
      </vt:variant>
      <vt:variant>
        <vt:i4>3</vt:i4>
      </vt:variant>
      <vt:variant>
        <vt:i4>0</vt:i4>
      </vt:variant>
      <vt:variant>
        <vt:i4>5</vt:i4>
      </vt:variant>
      <vt:variant>
        <vt:lpwstr>https://www.parliament.vic.gov.au/get-involved/inquiries/inquiry-into-the-2026-commonwealth-games-bid/reports</vt:lpwstr>
      </vt:variant>
      <vt:variant>
        <vt:lpwstr/>
      </vt:variant>
      <vt:variant>
        <vt:i4>4980756</vt:i4>
      </vt:variant>
      <vt:variant>
        <vt:i4>0</vt:i4>
      </vt:variant>
      <vt:variant>
        <vt:i4>0</vt:i4>
      </vt:variant>
      <vt:variant>
        <vt:i4>5</vt:i4>
      </vt:variant>
      <vt:variant>
        <vt:lpwstr>https://www.delivering2032.com.au/2032-delivery-plan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EAMES, Alicia</dc:creator>
  <cp:keywords/>
  <dc:description/>
  <cp:lastModifiedBy>BRETTARGH, Julianne</cp:lastModifiedBy>
  <cp:revision>1092</cp:revision>
  <cp:lastPrinted>2025-11-27T02:22:00Z</cp:lastPrinted>
  <dcterms:created xsi:type="dcterms:W3CDTF">2023-09-22T18:55:00Z</dcterms:created>
  <dcterms:modified xsi:type="dcterms:W3CDTF">2025-11-27T06:35:00Z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0x010100266966F133664895A6EE3632470D45F500E61986890F04FB4E8AA067892764E07C</vt:lpwstr>
  </property>
  <property fmtid="{D5CDD505-2E9C-101B-9397-08002B2CF9AE}" pid="3" name="MediaServiceImageTags">
    <vt:lpwstr/>
  </property>
  <property fmtid="{D5CDD505-2E9C-101B-9397-08002B2CF9AE}" pid="4" name="Order">
    <vt:r8>72800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7a9a9e08,7c66870c,5909941b</vt:lpwstr>
  </property>
  <property fmtid="{D5CDD505-2E9C-101B-9397-08002B2CF9AE}" pid="12" name="ClassificationContentMarkingHeaderFontProps">
    <vt:lpwstr>#ff0000,14,Aptos</vt:lpwstr>
  </property>
  <property fmtid="{D5CDD505-2E9C-101B-9397-08002B2CF9AE}" pid="13" name="ClassificationContentMarkingHeaderText">
    <vt:lpwstr>OFFICIAL</vt:lpwstr>
  </property>
  <property fmtid="{D5CDD505-2E9C-101B-9397-08002B2CF9AE}" pid="14" name="ClassificationContentMarkingFooterShapeIds">
    <vt:lpwstr>47b7787d,dae89e1,4ea328e</vt:lpwstr>
  </property>
  <property fmtid="{D5CDD505-2E9C-101B-9397-08002B2CF9AE}" pid="15" name="ClassificationContentMarkingFooterFontProps">
    <vt:lpwstr>#ff0000,14,Aptos</vt:lpwstr>
  </property>
  <property fmtid="{D5CDD505-2E9C-101B-9397-08002B2CF9AE}" pid="16" name="ClassificationContentMarkingFooterText">
    <vt:lpwstr>OFFICIAL</vt:lpwstr>
  </property>
</Properties>
</file>