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25B6" w14:textId="77777777" w:rsidR="00E5220E" w:rsidRDefault="00FD06DB">
      <w:pPr>
        <w:pStyle w:val="Titolo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澳大利亚</w:t>
      </w:r>
    </w:p>
    <w:p w14:paraId="7C117DEC" w14:textId="77777777" w:rsidR="00E5220E" w:rsidRDefault="00FD06DB">
      <w:pPr>
        <w:pStyle w:val="Sottotitolo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国际民航组织理事会一类理事国候选</w:t>
      </w:r>
    </w:p>
    <w:p w14:paraId="4618B986" w14:textId="77777777" w:rsidR="00E5220E" w:rsidRDefault="00FD06DB">
      <w:pPr>
        <w:pStyle w:val="Sottotitolo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2025–28</w:t>
      </w:r>
    </w:p>
    <w:p w14:paraId="3D922E02" w14:textId="77777777" w:rsidR="00E5220E" w:rsidRDefault="00FD06DB">
      <w:pPr>
        <w:pStyle w:val="Titolo1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澳大利亚需要您支持其连任国际民航组织理事会（ICAO Council）一类理事国</w:t>
      </w:r>
    </w:p>
    <w:p w14:paraId="2BFBE4E2" w14:textId="77777777" w:rsidR="00E5220E" w:rsidRPr="00240CAC" w:rsidRDefault="00FD06DB">
      <w:pPr>
        <w:rPr>
          <w:rFonts w:ascii="Noto Sans SC" w:eastAsia="Noto Sans SC" w:hAnsi="Noto Sans SC" w:cs="Noto Sans SC"/>
          <w:spacing w:val="-2"/>
          <w:lang w:val="zh-TW" w:eastAsia="zh-CN"/>
        </w:rPr>
      </w:pPr>
      <w:r w:rsidRPr="00240CAC">
        <w:rPr>
          <w:rFonts w:ascii="Noto Sans SC" w:eastAsia="Noto Sans SC" w:hAnsi="Noto Sans SC" w:cs="Noto Sans SC"/>
          <w:spacing w:val="-2"/>
          <w:lang w:val="zh-TW" w:eastAsia="zh-CN"/>
        </w:rPr>
        <w:t>澳大利亚是国际民航组织（ICAO）的创始成员国之一，并自 1947 年以来一直参与 ICAO 的工作。</w:t>
      </w:r>
    </w:p>
    <w:p w14:paraId="798889FD" w14:textId="77777777" w:rsidR="00E5220E" w:rsidRDefault="00FD06DB">
      <w:p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我们参与起草了《芝加哥公约》（Chicago Convention），并成为首批批准该公约的国家之一。自 ICAO 成立以来，澳大利亚始终致力于在国际民用航空领域发挥领导作用，并积极支持其发展，确保“不让任何国家掉队”。</w:t>
      </w:r>
    </w:p>
    <w:p w14:paraId="0622B197" w14:textId="77777777" w:rsidR="00E5220E" w:rsidRDefault="00FD06DB">
      <w:p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如果能再次当选一类理事国，我们将继续为 ICAO 成员国服务，具体包括：</w:t>
      </w:r>
    </w:p>
    <w:p w14:paraId="7C0398F0" w14:textId="77777777" w:rsidR="00E5220E" w:rsidRDefault="00FD06DB">
      <w:pPr>
        <w:pStyle w:val="Paragrafoelenco"/>
        <w:numPr>
          <w:ilvl w:val="0"/>
          <w:numId w:val="2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改善全球航空网络的安全性、保障性和可持续性</w:t>
      </w:r>
    </w:p>
    <w:p w14:paraId="310F1A09" w14:textId="77777777" w:rsidR="00E5220E" w:rsidRDefault="00FD06DB">
      <w:pPr>
        <w:pStyle w:val="Paragrafoelenco"/>
        <w:numPr>
          <w:ilvl w:val="0"/>
          <w:numId w:val="2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加强经济发展与环境保护</w:t>
      </w:r>
    </w:p>
    <w:p w14:paraId="2B66A5DC" w14:textId="77777777" w:rsidR="00E5220E" w:rsidRDefault="00FD06DB">
      <w:pPr>
        <w:pStyle w:val="Paragrafoelenco"/>
        <w:numPr>
          <w:ilvl w:val="0"/>
          <w:numId w:val="2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担当一个值得信赖和诚实的中间人，为成熟航空国家和新兴航空国家双方的利益考虑</w:t>
      </w:r>
    </w:p>
    <w:p w14:paraId="1BF5B38E" w14:textId="77777777" w:rsidR="00E5220E" w:rsidRDefault="00FD06DB">
      <w:pPr>
        <w:pStyle w:val="Paragrafoelenco"/>
        <w:numPr>
          <w:ilvl w:val="0"/>
          <w:numId w:val="2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以合作、富有成效和积极的方式参与 ICAO 的工作，投资 ICAO 的未来发展</w:t>
      </w:r>
    </w:p>
    <w:p w14:paraId="3BF5FEC4" w14:textId="77777777" w:rsidR="00E5220E" w:rsidRDefault="00FD06DB">
      <w:pPr>
        <w:pStyle w:val="Paragrafoelenco"/>
        <w:numPr>
          <w:ilvl w:val="0"/>
          <w:numId w:val="2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为 ICAO 理事会提供宝贵的经验和持续的稳定性</w:t>
      </w:r>
    </w:p>
    <w:p w14:paraId="673B772C" w14:textId="79DCC0B5" w:rsidR="00E5220E" w:rsidRDefault="00FD06DB">
      <w:pPr>
        <w:pStyle w:val="Paragrafoelenco"/>
        <w:numPr>
          <w:ilvl w:val="0"/>
          <w:numId w:val="2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助力提升亚太地区航空能力与发展水平，确保“不让任何国家掉队”。</w:t>
      </w:r>
    </w:p>
    <w:p w14:paraId="24D9EB33" w14:textId="77777777" w:rsidR="00D82488" w:rsidRPr="00D82488" w:rsidRDefault="00D82488" w:rsidP="00D82488">
      <w:pPr>
        <w:rPr>
          <w:rFonts w:ascii="Noto Sans SC" w:eastAsia="PMingLiU" w:hAnsi="Noto Sans SC" w:cs="Noto Sans SC"/>
          <w:lang w:val="zh-TW" w:eastAsia="zh-TW"/>
        </w:rPr>
      </w:pPr>
    </w:p>
    <w:p w14:paraId="6F57C83F" w14:textId="77777777" w:rsidR="00E5220E" w:rsidRDefault="00FD06DB">
      <w:pPr>
        <w:pStyle w:val="Titolo1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lastRenderedPageBreak/>
        <w:t>澳大利亚对 ICAO 理事会做出的贡献</w:t>
      </w:r>
    </w:p>
    <w:p w14:paraId="15A9FCFE" w14:textId="77777777" w:rsidR="00E5220E" w:rsidRDefault="00FD06DB">
      <w:pPr>
        <w:rPr>
          <w:rFonts w:ascii="Noto Sans SC" w:eastAsia="Noto Sans SC" w:hAnsi="Noto Sans SC" w:cs="Noto Sans SC"/>
          <w:b/>
          <w:bCs/>
          <w:lang w:val="zh-TW" w:eastAsia="zh-CN"/>
        </w:rPr>
      </w:pPr>
      <w:r>
        <w:rPr>
          <w:rFonts w:ascii="Noto Sans SC" w:eastAsia="Noto Sans SC" w:hAnsi="Noto Sans SC" w:cs="Noto Sans SC"/>
          <w:b/>
          <w:bCs/>
          <w:lang w:val="zh-TW" w:eastAsia="zh-CN"/>
        </w:rPr>
        <w:t>通过参与 ICAO 理事会，澳大利亚为国际民用航空的持续发展与进步做出了贡献，具体包括：</w:t>
      </w:r>
    </w:p>
    <w:p w14:paraId="355B6987" w14:textId="77777777" w:rsidR="00E5220E" w:rsidRDefault="00FD06DB">
      <w:pPr>
        <w:pStyle w:val="Paragrafoelenco"/>
        <w:numPr>
          <w:ilvl w:val="0"/>
          <w:numId w:val="4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担当理事会所有委员会中的积极参与者和协作者</w:t>
      </w:r>
    </w:p>
    <w:p w14:paraId="0EEC1DF0" w14:textId="77777777" w:rsidR="00E5220E" w:rsidRDefault="00FD06DB">
      <w:pPr>
        <w:pStyle w:val="Paragrafoelenco"/>
        <w:numPr>
          <w:ilvl w:val="0"/>
          <w:numId w:val="4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倡导 ICAO 的方针，以跟上行业发展的步伐并应对挑战</w:t>
      </w:r>
    </w:p>
    <w:p w14:paraId="13453504" w14:textId="77777777" w:rsidR="00E5220E" w:rsidRDefault="00FD06DB">
      <w:pPr>
        <w:pStyle w:val="Paragrafoelenco"/>
        <w:numPr>
          <w:ilvl w:val="0"/>
          <w:numId w:val="4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确保所有观点得到倾听，并能将其纳入制定标准和建议措施（Standards and Recommended Practices，简称 SARPs）的考量范围</w:t>
      </w:r>
    </w:p>
    <w:p w14:paraId="610F901A" w14:textId="77777777" w:rsidR="00E5220E" w:rsidRDefault="00FD06DB">
      <w:pPr>
        <w:pStyle w:val="Paragrafoelenco"/>
        <w:numPr>
          <w:ilvl w:val="0"/>
          <w:numId w:val="4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支持 ICAO 成员国能够有效遵循 SARPs</w:t>
      </w:r>
    </w:p>
    <w:p w14:paraId="2D181162" w14:textId="508267F8" w:rsidR="00E5220E" w:rsidRDefault="00FD06DB">
      <w:pPr>
        <w:pStyle w:val="Paragrafoelenco"/>
        <w:numPr>
          <w:ilvl w:val="0"/>
          <w:numId w:val="4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为制定《ICAO 可持续航空燃料、低碳航空燃料及其他航空清洁能源全球框架》（ICAO Global Framework for Sustainable Aviation Fuels, Lower Carbon Aviation Fuels and other Aviation Cleaner Energies）做出贡献</w:t>
      </w:r>
    </w:p>
    <w:p w14:paraId="0F5FB193" w14:textId="77777777" w:rsidR="00E5220E" w:rsidRDefault="00FD06DB">
      <w:pPr>
        <w:pStyle w:val="Paragrafoelenco"/>
        <w:numPr>
          <w:ilvl w:val="0"/>
          <w:numId w:val="4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致力于确保 ICAO 治理安排的透明度和问责制。</w:t>
      </w:r>
    </w:p>
    <w:p w14:paraId="652C0720" w14:textId="77777777" w:rsidR="00E5220E" w:rsidRDefault="00FD06DB">
      <w:pPr>
        <w:pStyle w:val="Titolo1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澳大利亚在国际民用航空方面作出的的全球性贡献</w:t>
      </w:r>
    </w:p>
    <w:p w14:paraId="651A55B4" w14:textId="77777777" w:rsidR="00E5220E" w:rsidRDefault="00FD06DB">
      <w:pPr>
        <w:rPr>
          <w:rFonts w:ascii="Noto Sans SC" w:eastAsia="Noto Sans SC" w:hAnsi="Noto Sans SC" w:cs="Noto Sans SC"/>
          <w:b/>
          <w:bCs/>
          <w:lang w:val="zh-TW" w:eastAsia="zh-CN"/>
        </w:rPr>
      </w:pPr>
      <w:r>
        <w:rPr>
          <w:rFonts w:ascii="Noto Sans SC" w:eastAsia="Noto Sans SC" w:hAnsi="Noto Sans SC" w:cs="Noto Sans SC"/>
          <w:b/>
          <w:bCs/>
          <w:lang w:val="zh-TW" w:eastAsia="zh-CN"/>
        </w:rPr>
        <w:t>我们与 ICAO 成员国紧密合作，共同制定并推进所有战略目标下的 SARPs，具体方式如下：</w:t>
      </w:r>
    </w:p>
    <w:p w14:paraId="3E56B6A1" w14:textId="77777777" w:rsidR="00E5220E" w:rsidRDefault="00FD06DB">
      <w:pPr>
        <w:pStyle w:val="Paragrafoelenco"/>
        <w:numPr>
          <w:ilvl w:val="0"/>
          <w:numId w:val="6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积极并建设性地参与 ICAO 理事会及其下属委员会的工作</w:t>
      </w:r>
    </w:p>
    <w:p w14:paraId="1FA908F8" w14:textId="77777777" w:rsidR="00E5220E" w:rsidRDefault="00FD06DB">
      <w:pPr>
        <w:pStyle w:val="Paragrafoelenco"/>
        <w:numPr>
          <w:ilvl w:val="0"/>
          <w:numId w:val="6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分享我们以及亚太地区的经验、专业知识和观点，造福国际民用航空界</w:t>
      </w:r>
    </w:p>
    <w:p w14:paraId="32C9DAB3" w14:textId="77777777" w:rsidR="00E5220E" w:rsidRDefault="00FD06DB">
      <w:pPr>
        <w:pStyle w:val="Paragrafoelenco"/>
        <w:numPr>
          <w:ilvl w:val="0"/>
          <w:numId w:val="6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作为应对关键环境挑战的领先支持者，包括实现国际航空业到 2050 年净零碳排放的长期愿景目标，以及实现国际航空碳抵消减排计划（Carbon Offsetting Reduction Scheme for International Aviation）。</w:t>
      </w:r>
    </w:p>
    <w:p w14:paraId="04D7DF3F" w14:textId="77777777" w:rsidR="00E5220E" w:rsidRDefault="00FD06DB">
      <w:pPr>
        <w:rPr>
          <w:rFonts w:ascii="Noto Sans SC" w:eastAsia="Noto Sans SC" w:hAnsi="Noto Sans SC" w:cs="Noto Sans SC"/>
          <w:b/>
          <w:bCs/>
          <w:lang w:val="zh-TW" w:eastAsia="zh-CN"/>
        </w:rPr>
      </w:pPr>
      <w:r>
        <w:rPr>
          <w:rFonts w:ascii="Noto Sans SC" w:eastAsia="Noto Sans SC" w:hAnsi="Noto Sans SC" w:cs="Noto Sans SC"/>
          <w:b/>
          <w:bCs/>
          <w:lang w:val="zh-TW" w:eastAsia="zh-CN"/>
        </w:rPr>
        <w:t>澳大利亚通过成为以下组织成员并积极参与其工作，为 ICAO 做出贡献：</w:t>
      </w:r>
    </w:p>
    <w:p w14:paraId="689C1BAC" w14:textId="77777777" w:rsidR="00E5220E" w:rsidRDefault="00FD06DB">
      <w:pPr>
        <w:pStyle w:val="Paragrafoelenco"/>
        <w:numPr>
          <w:ilvl w:val="0"/>
          <w:numId w:val="8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空中航行委员会（Air Navigation Commission）</w:t>
      </w:r>
    </w:p>
    <w:p w14:paraId="47DE80A2" w14:textId="77777777" w:rsidR="00E5220E" w:rsidRDefault="00FD06DB">
      <w:pPr>
        <w:pStyle w:val="Paragrafoelenco"/>
        <w:numPr>
          <w:ilvl w:val="0"/>
          <w:numId w:val="8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lastRenderedPageBreak/>
        <w:t>超过 20 个 ICAO 专家小组，涵盖航空安全、空中航行、航空安全保障等领域，以及超过 80 个专家工作组。</w:t>
      </w:r>
    </w:p>
    <w:p w14:paraId="3DF996F3" w14:textId="77777777" w:rsidR="00E5220E" w:rsidRDefault="00FD06DB">
      <w:pPr>
        <w:pStyle w:val="Paragrafoelenco"/>
        <w:numPr>
          <w:ilvl w:val="0"/>
          <w:numId w:val="8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航空环境保护委员会（Committee on Aviation Environmental Protection）、法律委员会（Legal Committee）、旅客身份识别计划技术咨询小组（Technical Advisory Group in Traveller Identification Program）及公钥目录委员会（Public Key Directory Board）及其执行机构</w:t>
      </w:r>
    </w:p>
    <w:p w14:paraId="2B20C8C9" w14:textId="77777777" w:rsidR="00E5220E" w:rsidRDefault="00FD06DB">
      <w:pPr>
        <w:pStyle w:val="Paragrafoelenco"/>
        <w:numPr>
          <w:ilvl w:val="0"/>
          <w:numId w:val="8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区域性组织，如亚太地区民航局长会议（Asia Pacific’s Directors General of Civil Aviation Conference）、地区航空安全小组（Regional Aviation Safety Group）、空中航行规划与实施地区小组（Air Navigation Planning and Implementation Regional Group）以及地区航空安保协调论坛（Regional Aviation Security Coordination Forum）。</w:t>
      </w:r>
    </w:p>
    <w:p w14:paraId="23C39F10" w14:textId="77777777" w:rsidR="00E5220E" w:rsidRDefault="00FD06DB">
      <w:pPr>
        <w:pStyle w:val="Titolo1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支持我们的地区</w:t>
      </w:r>
    </w:p>
    <w:p w14:paraId="22B9ECB3" w14:textId="77777777" w:rsidR="00E5220E" w:rsidRDefault="00FD06DB">
      <w:pPr>
        <w:rPr>
          <w:rFonts w:ascii="Noto Sans SC" w:eastAsia="Noto Sans SC" w:hAnsi="Noto Sans SC" w:cs="Noto Sans SC"/>
          <w:b/>
          <w:bCs/>
          <w:lang w:val="zh-TW" w:eastAsia="zh-CN"/>
        </w:rPr>
      </w:pPr>
      <w:r>
        <w:rPr>
          <w:rFonts w:ascii="Noto Sans SC" w:eastAsia="Noto Sans SC" w:hAnsi="Noto Sans SC" w:cs="Noto Sans SC"/>
          <w:b/>
          <w:bCs/>
          <w:lang w:val="zh-TW" w:eastAsia="zh-CN"/>
        </w:rPr>
        <w:t>澳大利亚致力于确保亚太地区 ICAO 成员国获得支持，实现 ICAO 的战略目标。</w:t>
      </w:r>
    </w:p>
    <w:p w14:paraId="51BA583B" w14:textId="77777777" w:rsidR="00E5220E" w:rsidRDefault="00FD06DB">
      <w:p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澳大利亚正在为亚太地区航空能力和能力建设计划提供支持，以促进该地区航空业的安全、有保证且可持续的发展：</w:t>
      </w:r>
    </w:p>
    <w:p w14:paraId="74D7BB07" w14:textId="77777777" w:rsidR="00E5220E" w:rsidRDefault="00FD06DB">
      <w:pPr>
        <w:pStyle w:val="Paragrafoelenco"/>
        <w:numPr>
          <w:ilvl w:val="0"/>
          <w:numId w:val="10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提供一亿澳元用于技术和能力建设援助，支持太平洋地区航空业实现更加安全、更高质量、更具可持续性和韧性的发展，包括继续协助太平洋航空安全办公室（Pacific Aviation Safety Office），为其成员国提供安全审计服务</w:t>
      </w:r>
    </w:p>
    <w:p w14:paraId="132EF574" w14:textId="77777777" w:rsidR="00E5220E" w:rsidRDefault="00FD06DB">
      <w:pPr>
        <w:pStyle w:val="Paragrafoelenco"/>
        <w:numPr>
          <w:ilvl w:val="0"/>
          <w:numId w:val="10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提供一百万澳元用于支持斐济政府代管的 ICAO 太平洋小岛屿发展中国家联络办公室（Pacific Small Island Developing States Liaison Office），以确保办公室的持续运作，并加强 ICAO 与太平洋岛国的合作</w:t>
      </w:r>
    </w:p>
    <w:p w14:paraId="0B8B2B00" w14:textId="77777777" w:rsidR="00E5220E" w:rsidRDefault="00FD06DB">
      <w:pPr>
        <w:pStyle w:val="Paragrafoelenco"/>
        <w:numPr>
          <w:ilvl w:val="0"/>
          <w:numId w:val="10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CN" w:eastAsia="zh-CN"/>
        </w:rPr>
        <w:t>支持</w:t>
      </w:r>
      <w:r>
        <w:rPr>
          <w:rFonts w:ascii="Noto Sans SC" w:eastAsia="Noto Sans SC" w:hAnsi="Noto Sans SC" w:cs="Noto Sans SC"/>
          <w:lang w:val="zh-TW" w:eastAsia="zh-CN"/>
        </w:rPr>
        <w:t>印度尼西亚和巴布亚新几内亚长期开展的双边航空能力建设项目</w:t>
      </w:r>
    </w:p>
    <w:p w14:paraId="74FD59E4" w14:textId="77777777" w:rsidR="00E5220E" w:rsidRDefault="00FD06DB">
      <w:pPr>
        <w:pStyle w:val="Paragrafoelenco"/>
        <w:numPr>
          <w:ilvl w:val="0"/>
          <w:numId w:val="10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与太平洋航空安全监管机构紧密合作，支持航空体检医师的培训，确保其符合 ICAO 标准</w:t>
      </w:r>
    </w:p>
    <w:p w14:paraId="366E7731" w14:textId="77777777" w:rsidR="00E5220E" w:rsidRDefault="00FD06DB">
      <w:pPr>
        <w:pStyle w:val="Paragrafoelenco"/>
        <w:numPr>
          <w:ilvl w:val="0"/>
          <w:numId w:val="10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lastRenderedPageBreak/>
        <w:t>通过支持本地区各国改进标准操作流程与质量控制体系，同时培养机场安全意识与积极的安全文化，从而保障航空出行的安全</w:t>
      </w:r>
    </w:p>
    <w:p w14:paraId="46DF53EA" w14:textId="77777777" w:rsidR="00E5220E" w:rsidRDefault="00FD06DB">
      <w:pPr>
        <w:pStyle w:val="Paragrafoelenco"/>
        <w:numPr>
          <w:ilvl w:val="0"/>
          <w:numId w:val="10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积极参与国际民航组织（ICAO）亚太地区飞行程序计划，以加快该地区基于性能的导航技术的实施。</w:t>
      </w:r>
    </w:p>
    <w:p w14:paraId="00A30BEF" w14:textId="77777777" w:rsidR="00E5220E" w:rsidRDefault="00FD06DB">
      <w:pPr>
        <w:pStyle w:val="Titolo1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澳大利亚的国际航空</w:t>
      </w:r>
    </w:p>
    <w:p w14:paraId="0A0D6DB9" w14:textId="77777777" w:rsidR="00E5220E" w:rsidRDefault="00FD06DB">
      <w:p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澳大利亚每年安全管理着 11% 的全球空域。</w:t>
      </w:r>
    </w:p>
    <w:p w14:paraId="403717E4" w14:textId="77777777" w:rsidR="00E5220E" w:rsidRDefault="00FD06DB">
      <w:p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2024 年，澳大利亚国际航线共运送旅客人数逾 4,100 万人次，货物吞吐量达 110 万吨。</w:t>
      </w:r>
    </w:p>
    <w:p w14:paraId="1C9C6853" w14:textId="77777777" w:rsidR="00E5220E" w:rsidRDefault="00FD06DB">
      <w:p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澳大利亚与全球各城市之间共开通了 179 条直飞客运航线。</w:t>
      </w:r>
    </w:p>
    <w:p w14:paraId="375AF5E5" w14:textId="77777777" w:rsidR="00E5220E" w:rsidRDefault="00FD06DB">
      <w:p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澳大利亚拥有 31 个指定的国际机场，其航空网络涵盖 300 多个各类航空港，可保障定期公共运输、包机和通用航空业务的运行。</w:t>
      </w:r>
    </w:p>
    <w:p w14:paraId="37981F71" w14:textId="77777777" w:rsidR="00E5220E" w:rsidRDefault="00FD06DB">
      <w:p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澳大利亚拥有：</w:t>
      </w:r>
    </w:p>
    <w:p w14:paraId="61FB164E" w14:textId="77777777" w:rsidR="00E5220E" w:rsidRDefault="00FD06DB">
      <w:pPr>
        <w:pStyle w:val="Paragrafoelenco"/>
        <w:numPr>
          <w:ilvl w:val="0"/>
          <w:numId w:val="12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31,149 名飞行员</w:t>
      </w:r>
    </w:p>
    <w:p w14:paraId="78938985" w14:textId="77777777" w:rsidR="00E5220E" w:rsidRDefault="00FD06DB">
      <w:pPr>
        <w:pStyle w:val="Paragrafoelenco"/>
        <w:numPr>
          <w:ilvl w:val="0"/>
          <w:numId w:val="12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16,538 架注册飞机</w:t>
      </w:r>
    </w:p>
    <w:p w14:paraId="4F0FB5B1" w14:textId="77777777" w:rsidR="00E5220E" w:rsidRDefault="00FD06DB">
      <w:pPr>
        <w:pStyle w:val="Paragrafoelenco"/>
        <w:numPr>
          <w:ilvl w:val="0"/>
          <w:numId w:val="12"/>
        </w:num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31,274 架注册无人机</w:t>
      </w:r>
    </w:p>
    <w:p w14:paraId="28BA233D" w14:textId="77777777" w:rsidR="00E5220E" w:rsidRDefault="00FD06DB">
      <w:pPr>
        <w:pStyle w:val="Paragrafoelenco"/>
        <w:numPr>
          <w:ilvl w:val="0"/>
          <w:numId w:val="12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615 家持有航空运营证书的航空公司</w:t>
      </w:r>
    </w:p>
    <w:p w14:paraId="07E6B022" w14:textId="77777777" w:rsidR="00E5220E" w:rsidRDefault="00FD06DB">
      <w:pPr>
        <w:pStyle w:val="Paragrafoelenco"/>
        <w:numPr>
          <w:ilvl w:val="0"/>
          <w:numId w:val="12"/>
        </w:num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10,023 名持有航空器维修工程师执照的工作人员</w:t>
      </w:r>
    </w:p>
    <w:p w14:paraId="37FFBB14" w14:textId="77777777" w:rsidR="00E5220E" w:rsidRDefault="00FD06DB">
      <w:pPr>
        <w:pStyle w:val="Titolo1"/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联络我们</w:t>
      </w:r>
    </w:p>
    <w:p w14:paraId="68B8C6FB" w14:textId="77777777" w:rsidR="00E5220E" w:rsidRDefault="00FD06DB">
      <w:pPr>
        <w:rPr>
          <w:rFonts w:ascii="Noto Sans SC" w:eastAsia="Noto Sans SC" w:hAnsi="Noto Sans SC" w:cs="Noto Sans SC"/>
          <w:lang w:val="zh-TW" w:eastAsia="zh-CN"/>
        </w:rPr>
      </w:pPr>
      <w:r>
        <w:rPr>
          <w:rFonts w:ascii="Noto Sans SC" w:eastAsia="Noto Sans SC" w:hAnsi="Noto Sans SC" w:cs="Noto Sans SC"/>
          <w:lang w:val="zh-TW" w:eastAsia="zh-CN"/>
        </w:rPr>
        <w:t>了解更多有关澳大利亚竞选国际民航组织理事会一类理事国的信息：</w:t>
      </w:r>
    </w:p>
    <w:p w14:paraId="13B6676C" w14:textId="77777777" w:rsidR="00E5220E" w:rsidRDefault="00FD06DB">
      <w:pPr>
        <w:rPr>
          <w:rFonts w:ascii="Noto Sans SC" w:eastAsia="Noto Sans SC" w:hAnsi="Noto Sans SC" w:cs="Noto Sans SC"/>
          <w:lang w:val="zh-TW" w:eastAsia="zh-TW"/>
        </w:rPr>
      </w:pPr>
      <w:r>
        <w:rPr>
          <w:rFonts w:ascii="Noto Sans SC" w:eastAsia="Noto Sans SC" w:hAnsi="Noto Sans SC" w:cs="Noto Sans SC"/>
          <w:lang w:val="zh-TW" w:eastAsia="zh-TW"/>
        </w:rPr>
        <w:t>www.infrastructure.gov.au/ICAO</w:t>
      </w:r>
    </w:p>
    <w:p w14:paraId="57AA64B6" w14:textId="77777777" w:rsidR="00E5220E" w:rsidRDefault="00FD06DB">
      <w:pPr>
        <w:rPr>
          <w:lang w:eastAsia="zh-TW"/>
        </w:rPr>
      </w:pPr>
      <w:r>
        <w:rPr>
          <w:rFonts w:ascii="Noto Sans SC" w:eastAsia="Noto Sans SC" w:hAnsi="Noto Sans SC" w:cs="Noto Sans SC"/>
          <w:lang w:val="zh-TW" w:eastAsia="zh-TW"/>
        </w:rPr>
        <w:t>InternationalICAO@infrastructure.gov.au</w:t>
      </w:r>
    </w:p>
    <w:sectPr w:rsidR="00E5220E" w:rsidSect="00E473A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C1994" w14:textId="77777777" w:rsidR="00215574" w:rsidRDefault="00215574">
      <w:pPr>
        <w:spacing w:after="0" w:line="240" w:lineRule="auto"/>
      </w:pPr>
      <w:r>
        <w:separator/>
      </w:r>
    </w:p>
  </w:endnote>
  <w:endnote w:type="continuationSeparator" w:id="0">
    <w:p w14:paraId="1C695209" w14:textId="77777777" w:rsidR="00215574" w:rsidRDefault="0021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 Regular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 SC">
    <w:panose1 w:val="020B0502040504020204"/>
    <w:charset w:val="80"/>
    <w:family w:val="swiss"/>
    <w:pitch w:val="variable"/>
    <w:sig w:usb0="20000083" w:usb1="2ADF3C10" w:usb2="00000016" w:usb3="00000000" w:csb0="000601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panose1 w:val="020B05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SC SEMIBOLD">
    <w:panose1 w:val="020B08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3106" w14:textId="77777777" w:rsidR="00215574" w:rsidRDefault="00215574">
      <w:pPr>
        <w:spacing w:after="0" w:line="240" w:lineRule="auto"/>
      </w:pPr>
      <w:r>
        <w:separator/>
      </w:r>
    </w:p>
  </w:footnote>
  <w:footnote w:type="continuationSeparator" w:id="0">
    <w:p w14:paraId="17CE9EDE" w14:textId="77777777" w:rsidR="00215574" w:rsidRDefault="0021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088B" w14:textId="40B5D651" w:rsidR="00B847C2" w:rsidRPr="00B847C2" w:rsidRDefault="00B847C2" w:rsidP="00B847C2">
    <w:pPr>
      <w:pStyle w:val="Pidipagina"/>
      <w:rPr>
        <w:rFonts w:ascii="Noto Sans SC" w:eastAsia="Noto Sans SC" w:hAnsi="Noto Sans SC"/>
        <w:sz w:val="20"/>
        <w:szCs w:val="20"/>
        <w:lang w:val="it-IT"/>
      </w:rPr>
    </w:pPr>
    <w:r w:rsidRPr="00B847C2">
      <w:rPr>
        <w:rFonts w:ascii="Noto Sans SC" w:eastAsia="Noto Sans SC" w:hAnsi="Noto Sans SC"/>
        <w:sz w:val="20"/>
        <w:szCs w:val="20"/>
      </w:rPr>
      <w:t xml:space="preserve">Simplified Chinese | </w:t>
    </w:r>
    <w:r w:rsidRPr="00B847C2">
      <w:rPr>
        <w:rFonts w:ascii="Noto Sans SC" w:eastAsia="Noto Sans SC" w:hAnsi="Noto Sans SC" w:cs="Noto Sans CJK JP Regular" w:hint="eastAsia"/>
        <w:sz w:val="20"/>
        <w:szCs w:val="20"/>
      </w:rPr>
      <w:t>简</w:t>
    </w:r>
    <w:r w:rsidRPr="00B847C2">
      <w:rPr>
        <w:rFonts w:ascii="Noto Sans SC" w:eastAsia="Noto Sans SC" w:hAnsi="Noto Sans SC" w:cs="MS Gothic" w:hint="eastAsia"/>
        <w:sz w:val="20"/>
        <w:szCs w:val="20"/>
      </w:rPr>
      <w:t>体中文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AB"/>
    <w:multiLevelType w:val="hybridMultilevel"/>
    <w:tmpl w:val="CFF20200"/>
    <w:numStyleLink w:val="1"/>
  </w:abstractNum>
  <w:abstractNum w:abstractNumId="1" w15:restartNumberingAfterBreak="0">
    <w:nsid w:val="090E1A49"/>
    <w:multiLevelType w:val="hybridMultilevel"/>
    <w:tmpl w:val="54A0EBF0"/>
    <w:numStyleLink w:val="5"/>
  </w:abstractNum>
  <w:abstractNum w:abstractNumId="2" w15:restartNumberingAfterBreak="0">
    <w:nsid w:val="09EE3085"/>
    <w:multiLevelType w:val="hybridMultilevel"/>
    <w:tmpl w:val="54A0EBF0"/>
    <w:styleLink w:val="5"/>
    <w:lvl w:ilvl="0" w:tplc="0060E0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C9D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048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800D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AD5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4E7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4D4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0D7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015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E14104"/>
    <w:multiLevelType w:val="hybridMultilevel"/>
    <w:tmpl w:val="CFF20200"/>
    <w:styleLink w:val="1"/>
    <w:lvl w:ilvl="0" w:tplc="0EDEA7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7C88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A38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CC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09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AE18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407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8B4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46F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BF6BEF"/>
    <w:multiLevelType w:val="hybridMultilevel"/>
    <w:tmpl w:val="EFE6D54C"/>
    <w:numStyleLink w:val="4"/>
  </w:abstractNum>
  <w:abstractNum w:abstractNumId="5" w15:restartNumberingAfterBreak="0">
    <w:nsid w:val="17E85DF2"/>
    <w:multiLevelType w:val="hybridMultilevel"/>
    <w:tmpl w:val="B694DA6C"/>
    <w:styleLink w:val="6"/>
    <w:lvl w:ilvl="0" w:tplc="EF0AD4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4656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CEF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E69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B2E1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96C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124D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48B9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A15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0E2B4E"/>
    <w:multiLevelType w:val="hybridMultilevel"/>
    <w:tmpl w:val="F29E6150"/>
    <w:styleLink w:val="3"/>
    <w:lvl w:ilvl="0" w:tplc="B22E28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2DD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3C1C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CC21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D2EC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A4B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102B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1406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D2B1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8A01AC"/>
    <w:multiLevelType w:val="hybridMultilevel"/>
    <w:tmpl w:val="AC105E92"/>
    <w:styleLink w:val="2"/>
    <w:lvl w:ilvl="0" w:tplc="797ACE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AC8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B20A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22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E06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C31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A2F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2290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16FE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9AA3085"/>
    <w:multiLevelType w:val="hybridMultilevel"/>
    <w:tmpl w:val="B694DA6C"/>
    <w:numStyleLink w:val="6"/>
  </w:abstractNum>
  <w:abstractNum w:abstractNumId="9" w15:restartNumberingAfterBreak="0">
    <w:nsid w:val="50144637"/>
    <w:multiLevelType w:val="hybridMultilevel"/>
    <w:tmpl w:val="EFE6D54C"/>
    <w:styleLink w:val="4"/>
    <w:lvl w:ilvl="0" w:tplc="69847E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B442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D8EC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649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AE8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2F8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68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612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ECC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8B3231"/>
    <w:multiLevelType w:val="hybridMultilevel"/>
    <w:tmpl w:val="F29E6150"/>
    <w:numStyleLink w:val="3"/>
  </w:abstractNum>
  <w:abstractNum w:abstractNumId="11" w15:restartNumberingAfterBreak="0">
    <w:nsid w:val="630178D5"/>
    <w:multiLevelType w:val="hybridMultilevel"/>
    <w:tmpl w:val="AC105E92"/>
    <w:numStyleLink w:val="2"/>
  </w:abstractNum>
  <w:num w:numId="1" w16cid:durableId="78916201">
    <w:abstractNumId w:val="3"/>
  </w:num>
  <w:num w:numId="2" w16cid:durableId="1497725262">
    <w:abstractNumId w:val="0"/>
  </w:num>
  <w:num w:numId="3" w16cid:durableId="1150906282">
    <w:abstractNumId w:val="7"/>
  </w:num>
  <w:num w:numId="4" w16cid:durableId="531190582">
    <w:abstractNumId w:val="11"/>
  </w:num>
  <w:num w:numId="5" w16cid:durableId="2123836640">
    <w:abstractNumId w:val="6"/>
  </w:num>
  <w:num w:numId="6" w16cid:durableId="195116690">
    <w:abstractNumId w:val="10"/>
  </w:num>
  <w:num w:numId="7" w16cid:durableId="1633168242">
    <w:abstractNumId w:val="9"/>
  </w:num>
  <w:num w:numId="8" w16cid:durableId="592739607">
    <w:abstractNumId w:val="4"/>
  </w:num>
  <w:num w:numId="9" w16cid:durableId="1532448895">
    <w:abstractNumId w:val="2"/>
  </w:num>
  <w:num w:numId="10" w16cid:durableId="1258948807">
    <w:abstractNumId w:val="1"/>
  </w:num>
  <w:num w:numId="11" w16cid:durableId="1860049225">
    <w:abstractNumId w:val="5"/>
  </w:num>
  <w:num w:numId="12" w16cid:durableId="1777284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0E"/>
    <w:rsid w:val="00215574"/>
    <w:rsid w:val="00240CAC"/>
    <w:rsid w:val="00241DC8"/>
    <w:rsid w:val="003D0C5E"/>
    <w:rsid w:val="005B7B42"/>
    <w:rsid w:val="00964A4B"/>
    <w:rsid w:val="00B26EC5"/>
    <w:rsid w:val="00B847C2"/>
    <w:rsid w:val="00D40B23"/>
    <w:rsid w:val="00D82488"/>
    <w:rsid w:val="00E473A8"/>
    <w:rsid w:val="00E5220E"/>
    <w:rsid w:val="00F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DC6DC"/>
  <w15:docId w15:val="{085F5AC0-D278-2746-903B-A8E4CE53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it-A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paragraph" w:styleId="Titolo1">
    <w:name w:val="heading 1"/>
    <w:next w:val="Normale"/>
    <w:uiPriority w:val="9"/>
    <w:qFormat/>
    <w:pPr>
      <w:keepNext/>
      <w:keepLines/>
      <w:spacing w:before="360" w:after="80" w:line="259" w:lineRule="auto"/>
      <w:outlineLvl w:val="0"/>
    </w:pPr>
    <w:rPr>
      <w:rFonts w:ascii="Aptos Display" w:eastAsia="Aptos Display" w:hAnsi="Aptos Display" w:cs="Aptos Display"/>
      <w:color w:val="0F4761"/>
      <w:kern w:val="2"/>
      <w:sz w:val="40"/>
      <w:szCs w:val="40"/>
      <w:u w:color="0F476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Normale"/>
    <w:uiPriority w:val="10"/>
    <w:qFormat/>
    <w:pPr>
      <w:spacing w:after="80"/>
    </w:pPr>
    <w:rPr>
      <w:rFonts w:ascii="Aptos Display" w:eastAsia="Aptos Display" w:hAnsi="Aptos Display" w:cs="Aptos Display"/>
      <w:color w:val="000000"/>
      <w:spacing w:val="-10"/>
      <w:kern w:val="28"/>
      <w:sz w:val="56"/>
      <w:szCs w:val="56"/>
      <w:u w:color="000000"/>
      <w:lang w:val="en-US"/>
    </w:rPr>
  </w:style>
  <w:style w:type="paragraph" w:styleId="Sottotitolo">
    <w:name w:val="Subtitle"/>
    <w:next w:val="Normale"/>
    <w:uiPriority w:val="11"/>
    <w:qFormat/>
    <w:pPr>
      <w:spacing w:after="160" w:line="259" w:lineRule="auto"/>
    </w:pPr>
    <w:rPr>
      <w:rFonts w:ascii="Aptos" w:eastAsia="Aptos" w:hAnsi="Aptos" w:cs="Aptos"/>
      <w:color w:val="595959"/>
      <w:spacing w:val="15"/>
      <w:kern w:val="2"/>
      <w:sz w:val="28"/>
      <w:szCs w:val="28"/>
      <w:u w:color="595959"/>
      <w:lang w:val="en-US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2">
    <w:name w:val="已导入的样式“2”"/>
    <w:pPr>
      <w:numPr>
        <w:numId w:val="3"/>
      </w:numPr>
    </w:pPr>
  </w:style>
  <w:style w:type="numbering" w:customStyle="1" w:styleId="3">
    <w:name w:val="已导入的样式“3”"/>
    <w:pPr>
      <w:numPr>
        <w:numId w:val="5"/>
      </w:numPr>
    </w:pPr>
  </w:style>
  <w:style w:type="numbering" w:customStyle="1" w:styleId="4">
    <w:name w:val="已导入的样式“4”"/>
    <w:pPr>
      <w:numPr>
        <w:numId w:val="7"/>
      </w:numPr>
    </w:pPr>
  </w:style>
  <w:style w:type="numbering" w:customStyle="1" w:styleId="5">
    <w:name w:val="已导入的样式“5”"/>
    <w:pPr>
      <w:numPr>
        <w:numId w:val="9"/>
      </w:numPr>
    </w:pPr>
  </w:style>
  <w:style w:type="numbering" w:customStyle="1" w:styleId="6">
    <w:name w:val="已导入的样式“6”"/>
    <w:pPr>
      <w:numPr>
        <w:numId w:val="11"/>
      </w:numPr>
    </w:pPr>
  </w:style>
  <w:style w:type="paragraph" w:styleId="Revisione">
    <w:name w:val="Revision"/>
    <w:hidden/>
    <w:uiPriority w:val="99"/>
    <w:semiHidden/>
    <w:rsid w:val="00D40B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40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B23"/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40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B23"/>
    <w:rPr>
      <w:rFonts w:ascii="Aptos" w:eastAsia="Aptos" w:hAnsi="Aptos" w:cs="Aptos"/>
      <w:color w:val="000000"/>
      <w:kern w:val="2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Boscato</cp:lastModifiedBy>
  <cp:revision>10</cp:revision>
  <dcterms:created xsi:type="dcterms:W3CDTF">2025-06-23T22:49:00Z</dcterms:created>
  <dcterms:modified xsi:type="dcterms:W3CDTF">2025-07-02T02:56:00Z</dcterms:modified>
</cp:coreProperties>
</file>