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4A53B" w14:textId="77777777" w:rsidR="002A619D" w:rsidRDefault="002A619D" w:rsidP="002A619D">
      <w:pPr>
        <w:jc w:val="center"/>
      </w:pPr>
      <w:r>
        <w:rPr>
          <w:noProof/>
          <w:lang w:eastAsia="en-AU"/>
        </w:rPr>
        <w:drawing>
          <wp:inline distT="0" distB="0" distL="0" distR="0" wp14:anchorId="55F4A567" wp14:editId="55F4A568">
            <wp:extent cx="2470150" cy="1371600"/>
            <wp:effectExtent l="0" t="0" r="6350" b="0"/>
            <wp:docPr id="1" name="Picture 1" descr="Logo: 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ustralian Government cre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0150" cy="1371600"/>
                    </a:xfrm>
                    <a:prstGeom prst="rect">
                      <a:avLst/>
                    </a:prstGeom>
                    <a:noFill/>
                    <a:ln>
                      <a:noFill/>
                    </a:ln>
                  </pic:spPr>
                </pic:pic>
              </a:graphicData>
            </a:graphic>
          </wp:inline>
        </w:drawing>
      </w:r>
    </w:p>
    <w:p w14:paraId="55F4A53C" w14:textId="77777777" w:rsidR="002A619D" w:rsidRDefault="002A619D" w:rsidP="002A619D">
      <w:pPr>
        <w:spacing w:after="0"/>
        <w:sectPr w:rsidR="002A619D">
          <w:headerReference w:type="even" r:id="rId12"/>
          <w:headerReference w:type="default" r:id="rId13"/>
          <w:footerReference w:type="even" r:id="rId14"/>
          <w:footerReference w:type="default" r:id="rId15"/>
          <w:headerReference w:type="first" r:id="rId16"/>
          <w:footerReference w:type="first" r:id="rId17"/>
          <w:pgSz w:w="11906" w:h="16838"/>
          <w:pgMar w:top="1418" w:right="1440" w:bottom="1440" w:left="1440" w:header="0" w:footer="346" w:gutter="0"/>
          <w:cols w:space="720"/>
        </w:sectPr>
      </w:pPr>
    </w:p>
    <w:p w14:paraId="55F4A53D" w14:textId="0853F2B6" w:rsidR="002A619D" w:rsidRDefault="002A619D" w:rsidP="002A619D">
      <w:pPr>
        <w:pStyle w:val="Heading1"/>
      </w:pPr>
      <w:r>
        <w:t xml:space="preserve">Australian Government response to the </w:t>
      </w:r>
      <w:r w:rsidR="00847FF2">
        <w:t xml:space="preserve">Senate Environment and Communications Legislation Committee </w:t>
      </w:r>
      <w:r>
        <w:t>report:</w:t>
      </w:r>
    </w:p>
    <w:p w14:paraId="55F4A53E" w14:textId="55EB4F6B" w:rsidR="002A619D" w:rsidRDefault="00847FF2" w:rsidP="002A619D">
      <w:pPr>
        <w:pStyle w:val="reporttitle"/>
        <w:rPr>
          <w:rFonts w:asciiTheme="majorHAnsi" w:hAnsiTheme="majorHAnsi"/>
        </w:rPr>
      </w:pPr>
      <w:r w:rsidRPr="00847FF2">
        <w:t>Telecommunications Legislation Amendment (Universal Outdoor Mobile Obligation) Bill In</w:t>
      </w:r>
      <w:r w:rsidR="002A619D" w:rsidRPr="00847FF2">
        <w:t xml:space="preserve">quiry </w:t>
      </w:r>
    </w:p>
    <w:p w14:paraId="55F4A53F" w14:textId="7023D451" w:rsidR="002A619D" w:rsidRDefault="00DD47F2" w:rsidP="002A619D">
      <w:pPr>
        <w:pStyle w:val="monthyearoncover"/>
      </w:pPr>
      <w:r>
        <w:t xml:space="preserve">August </w:t>
      </w:r>
      <w:r w:rsidR="006C4B23" w:rsidRPr="006C4B23">
        <w:t xml:space="preserve"> </w:t>
      </w:r>
      <w:r w:rsidR="00847FF2" w:rsidRPr="006C4B23">
        <w:t xml:space="preserve">2026 </w:t>
      </w:r>
    </w:p>
    <w:p w14:paraId="55F4A540" w14:textId="77777777" w:rsidR="002A619D" w:rsidRDefault="002A619D" w:rsidP="002A619D">
      <w:pPr>
        <w:rPr>
          <w:lang w:eastAsia="en-US"/>
        </w:rPr>
      </w:pPr>
      <w:r>
        <w:rPr>
          <w:lang w:eastAsia="en-US"/>
        </w:rPr>
        <w:br w:type="page"/>
      </w:r>
    </w:p>
    <w:p w14:paraId="55F4A541" w14:textId="77777777" w:rsidR="002A619D" w:rsidRDefault="002A619D" w:rsidP="002A619D">
      <w:pPr>
        <w:pStyle w:val="Heading2-notshowing"/>
      </w:pPr>
      <w:r>
        <w:lastRenderedPageBreak/>
        <w:t>Contents</w:t>
      </w:r>
    </w:p>
    <w:p w14:paraId="06E556DF" w14:textId="21C019FE" w:rsidR="003C09E4" w:rsidRDefault="002A619D">
      <w:pPr>
        <w:pStyle w:val="TOC1"/>
        <w:rPr>
          <w:b w:val="0"/>
          <w:noProof/>
          <w:kern w:val="2"/>
          <w:szCs w:val="24"/>
          <w:lang w:eastAsia="en-AU"/>
          <w14:ligatures w14:val="standardContextual"/>
        </w:rPr>
      </w:pPr>
      <w:r>
        <w:rPr>
          <w:color w:val="0F293A"/>
          <w:lang w:eastAsia="en-US"/>
        </w:rPr>
        <w:fldChar w:fldCharType="begin"/>
      </w:r>
      <w:r>
        <w:rPr>
          <w:lang w:eastAsia="en-US"/>
        </w:rPr>
        <w:instrText xml:space="preserve"> TOC \h \z \t "Heading 2,1,Heading 3,2,Heading 4,3" </w:instrText>
      </w:r>
      <w:r>
        <w:rPr>
          <w:color w:val="0F293A"/>
          <w:lang w:eastAsia="en-US"/>
        </w:rPr>
        <w:fldChar w:fldCharType="separate"/>
      </w:r>
      <w:hyperlink w:anchor="_Toc233295559" w:history="1">
        <w:r w:rsidR="003C09E4" w:rsidRPr="0030239D">
          <w:rPr>
            <w:rStyle w:val="Hyperlink"/>
            <w:noProof/>
          </w:rPr>
          <w:t>Overview</w:t>
        </w:r>
        <w:r w:rsidR="003C09E4">
          <w:rPr>
            <w:noProof/>
            <w:webHidden/>
          </w:rPr>
          <w:tab/>
        </w:r>
        <w:r w:rsidR="003C09E4">
          <w:rPr>
            <w:noProof/>
            <w:webHidden/>
          </w:rPr>
          <w:fldChar w:fldCharType="begin"/>
        </w:r>
        <w:r w:rsidR="003C09E4">
          <w:rPr>
            <w:noProof/>
            <w:webHidden/>
          </w:rPr>
          <w:instrText xml:space="preserve"> PAGEREF _Toc233295559 \h </w:instrText>
        </w:r>
        <w:r w:rsidR="003C09E4">
          <w:rPr>
            <w:noProof/>
            <w:webHidden/>
          </w:rPr>
        </w:r>
        <w:r w:rsidR="003C09E4">
          <w:rPr>
            <w:noProof/>
            <w:webHidden/>
          </w:rPr>
          <w:fldChar w:fldCharType="separate"/>
        </w:r>
        <w:r w:rsidR="003C09E4">
          <w:rPr>
            <w:noProof/>
            <w:webHidden/>
          </w:rPr>
          <w:t>3</w:t>
        </w:r>
        <w:r w:rsidR="003C09E4">
          <w:rPr>
            <w:noProof/>
            <w:webHidden/>
          </w:rPr>
          <w:fldChar w:fldCharType="end"/>
        </w:r>
      </w:hyperlink>
    </w:p>
    <w:p w14:paraId="27425C0A" w14:textId="02D46163" w:rsidR="003C09E4" w:rsidRDefault="003C09E4">
      <w:pPr>
        <w:pStyle w:val="TOC1"/>
        <w:rPr>
          <w:b w:val="0"/>
          <w:noProof/>
          <w:kern w:val="2"/>
          <w:szCs w:val="24"/>
          <w:lang w:eastAsia="en-AU"/>
          <w14:ligatures w14:val="standardContextual"/>
        </w:rPr>
      </w:pPr>
      <w:hyperlink w:anchor="_Toc233295560" w:history="1">
        <w:r w:rsidRPr="0030239D">
          <w:rPr>
            <w:rStyle w:val="Hyperlink"/>
            <w:noProof/>
          </w:rPr>
          <w:t>Australian Government response</w:t>
        </w:r>
        <w:r>
          <w:rPr>
            <w:noProof/>
            <w:webHidden/>
          </w:rPr>
          <w:tab/>
        </w:r>
        <w:r>
          <w:rPr>
            <w:noProof/>
            <w:webHidden/>
          </w:rPr>
          <w:fldChar w:fldCharType="begin"/>
        </w:r>
        <w:r>
          <w:rPr>
            <w:noProof/>
            <w:webHidden/>
          </w:rPr>
          <w:instrText xml:space="preserve"> PAGEREF _Toc233295560 \h </w:instrText>
        </w:r>
        <w:r>
          <w:rPr>
            <w:noProof/>
            <w:webHidden/>
          </w:rPr>
        </w:r>
        <w:r>
          <w:rPr>
            <w:noProof/>
            <w:webHidden/>
          </w:rPr>
          <w:fldChar w:fldCharType="separate"/>
        </w:r>
        <w:r>
          <w:rPr>
            <w:noProof/>
            <w:webHidden/>
          </w:rPr>
          <w:t>4</w:t>
        </w:r>
        <w:r>
          <w:rPr>
            <w:noProof/>
            <w:webHidden/>
          </w:rPr>
          <w:fldChar w:fldCharType="end"/>
        </w:r>
      </w:hyperlink>
    </w:p>
    <w:p w14:paraId="37D1B9DC" w14:textId="4D983D9E" w:rsidR="003C09E4" w:rsidRDefault="003C09E4">
      <w:pPr>
        <w:pStyle w:val="TOC2"/>
        <w:rPr>
          <w:noProof/>
          <w:kern w:val="2"/>
          <w:sz w:val="24"/>
          <w:szCs w:val="24"/>
          <w:lang w:eastAsia="en-AU"/>
          <w14:ligatures w14:val="standardContextual"/>
        </w:rPr>
      </w:pPr>
      <w:hyperlink w:anchor="_Toc233295561" w:history="1">
        <w:r w:rsidRPr="0030239D">
          <w:rPr>
            <w:rStyle w:val="Hyperlink"/>
            <w:noProof/>
          </w:rPr>
          <w:t xml:space="preserve">Recommendation </w:t>
        </w:r>
        <w:r w:rsidR="00DA1BDA">
          <w:rPr>
            <w:rStyle w:val="Hyperlink"/>
            <w:noProof/>
          </w:rPr>
          <w:t>2</w:t>
        </w:r>
        <w:r w:rsidRPr="0030239D">
          <w:rPr>
            <w:rStyle w:val="Hyperlink"/>
            <w:noProof/>
          </w:rPr>
          <w:t>:</w:t>
        </w:r>
        <w:r>
          <w:rPr>
            <w:noProof/>
            <w:webHidden/>
          </w:rPr>
          <w:tab/>
        </w:r>
        <w:r>
          <w:rPr>
            <w:noProof/>
            <w:webHidden/>
          </w:rPr>
          <w:fldChar w:fldCharType="begin"/>
        </w:r>
        <w:r>
          <w:rPr>
            <w:noProof/>
            <w:webHidden/>
          </w:rPr>
          <w:instrText xml:space="preserve"> PAGEREF _Toc233295561 \h </w:instrText>
        </w:r>
        <w:r>
          <w:rPr>
            <w:noProof/>
            <w:webHidden/>
          </w:rPr>
        </w:r>
        <w:r>
          <w:rPr>
            <w:noProof/>
            <w:webHidden/>
          </w:rPr>
          <w:fldChar w:fldCharType="separate"/>
        </w:r>
        <w:r>
          <w:rPr>
            <w:noProof/>
            <w:webHidden/>
          </w:rPr>
          <w:t>4</w:t>
        </w:r>
        <w:r>
          <w:rPr>
            <w:noProof/>
            <w:webHidden/>
          </w:rPr>
          <w:fldChar w:fldCharType="end"/>
        </w:r>
      </w:hyperlink>
    </w:p>
    <w:p w14:paraId="55F4A547" w14:textId="03D3F8AE" w:rsidR="002A619D" w:rsidRDefault="002A619D" w:rsidP="002A619D">
      <w:pPr>
        <w:rPr>
          <w:lang w:eastAsia="en-US"/>
        </w:rPr>
      </w:pPr>
      <w:r>
        <w:rPr>
          <w:lang w:eastAsia="en-US"/>
        </w:rPr>
        <w:fldChar w:fldCharType="end"/>
      </w:r>
    </w:p>
    <w:p w14:paraId="55F4A549" w14:textId="77777777" w:rsidR="002A619D" w:rsidRDefault="002A619D" w:rsidP="002A619D">
      <w:pPr>
        <w:rPr>
          <w:lang w:eastAsia="en-US"/>
        </w:rPr>
      </w:pPr>
    </w:p>
    <w:p w14:paraId="55F4A54A" w14:textId="77777777" w:rsidR="002A619D" w:rsidRDefault="002A619D" w:rsidP="002A619D">
      <w:pPr>
        <w:spacing w:after="0"/>
        <w:rPr>
          <w:lang w:eastAsia="en-US"/>
        </w:rPr>
        <w:sectPr w:rsidR="002A619D">
          <w:type w:val="continuous"/>
          <w:pgSz w:w="11906" w:h="16838"/>
          <w:pgMar w:top="1418" w:right="1133" w:bottom="1440" w:left="1440" w:header="510" w:footer="510" w:gutter="0"/>
          <w:pgNumType w:fmt="lowerRoman" w:start="1"/>
          <w:cols w:space="720"/>
        </w:sectPr>
      </w:pPr>
    </w:p>
    <w:p w14:paraId="55F4A54B" w14:textId="77777777" w:rsidR="002A619D" w:rsidRDefault="002A619D" w:rsidP="002A619D">
      <w:pPr>
        <w:pStyle w:val="Heading2"/>
      </w:pPr>
      <w:bookmarkStart w:id="0" w:name="_Toc499905942"/>
      <w:bookmarkStart w:id="1" w:name="_Toc233295559"/>
      <w:bookmarkStart w:id="2" w:name="_Toc412126163"/>
      <w:bookmarkStart w:id="3" w:name="_Toc382493211"/>
      <w:r>
        <w:lastRenderedPageBreak/>
        <w:t>Overview</w:t>
      </w:r>
      <w:bookmarkEnd w:id="0"/>
      <w:bookmarkEnd w:id="1"/>
    </w:p>
    <w:p w14:paraId="55F4A54C" w14:textId="00B5C8D7" w:rsidR="002A619D" w:rsidRDefault="002A619D" w:rsidP="002A619D">
      <w:r>
        <w:t xml:space="preserve">The Australian Government </w:t>
      </w:r>
      <w:r w:rsidR="00847FF2">
        <w:t xml:space="preserve">thanks </w:t>
      </w:r>
      <w:r>
        <w:t xml:space="preserve">the </w:t>
      </w:r>
      <w:r w:rsidR="00847FF2">
        <w:t xml:space="preserve">Senate Environment and Communications Legislation Committee </w:t>
      </w:r>
      <w:r>
        <w:t xml:space="preserve">(the committee) </w:t>
      </w:r>
      <w:r w:rsidR="00847FF2">
        <w:t>for the</w:t>
      </w:r>
      <w:r w:rsidR="008145C8">
        <w:t xml:space="preserve"> report</w:t>
      </w:r>
      <w:r w:rsidR="008017B6">
        <w:t xml:space="preserve"> </w:t>
      </w:r>
      <w:r w:rsidR="008145C8">
        <w:t xml:space="preserve">on </w:t>
      </w:r>
      <w:r w:rsidR="002D53C2">
        <w:t>its</w:t>
      </w:r>
      <w:r w:rsidR="008145C8">
        <w:t xml:space="preserve"> </w:t>
      </w:r>
      <w:r w:rsidR="00847FF2">
        <w:t xml:space="preserve">inquiry </w:t>
      </w:r>
      <w:r>
        <w:t xml:space="preserve">into </w:t>
      </w:r>
      <w:r w:rsidR="00847FF2">
        <w:t>the T</w:t>
      </w:r>
      <w:r w:rsidR="00847FF2" w:rsidRPr="00847FF2">
        <w:t>elecommunications Legislation Amendment (Universal Outdoor Mobile Obligation) Bill 2025</w:t>
      </w:r>
      <w:r>
        <w:t>.</w:t>
      </w:r>
      <w:r w:rsidR="00847FF2">
        <w:t xml:space="preserve"> </w:t>
      </w:r>
      <w:r w:rsidR="008017B6">
        <w:t xml:space="preserve">This </w:t>
      </w:r>
      <w:r w:rsidR="008017B6" w:rsidRPr="008017B6">
        <w:t>includ</w:t>
      </w:r>
      <w:r w:rsidR="008017B6">
        <w:t xml:space="preserve">es </w:t>
      </w:r>
      <w:r w:rsidR="003C09E4">
        <w:t xml:space="preserve">the </w:t>
      </w:r>
      <w:r w:rsidR="008017B6" w:rsidRPr="008017B6">
        <w:t>contributions of regional, consumer and industry stakeholders that provided submissions to the committee and attended the public hearing.</w:t>
      </w:r>
    </w:p>
    <w:p w14:paraId="78CD2A28" w14:textId="220D2DC4" w:rsidR="00847FF2" w:rsidRDefault="00847FF2" w:rsidP="00847FF2">
      <w:r w:rsidRPr="00847FF2">
        <w:t>The report recommend</w:t>
      </w:r>
      <w:r w:rsidR="002D53C2">
        <w:t>ed</w:t>
      </w:r>
      <w:r w:rsidRPr="00847FF2">
        <w:t xml:space="preserve"> that the bill be passed</w:t>
      </w:r>
      <w:r w:rsidR="008017B6">
        <w:t xml:space="preserve"> </w:t>
      </w:r>
      <w:r w:rsidR="002D53C2">
        <w:t xml:space="preserve">by the Parliament </w:t>
      </w:r>
      <w:r w:rsidR="008017B6">
        <w:t xml:space="preserve">and </w:t>
      </w:r>
      <w:r w:rsidRPr="00847FF2">
        <w:t>identifie</w:t>
      </w:r>
      <w:r w:rsidR="008017B6">
        <w:t xml:space="preserve">d </w:t>
      </w:r>
      <w:r w:rsidRPr="00847FF2">
        <w:t>broad stakeholder support for the objectives of the U</w:t>
      </w:r>
      <w:r w:rsidR="003C09E4">
        <w:t xml:space="preserve">niversal </w:t>
      </w:r>
      <w:r w:rsidRPr="00847FF2">
        <w:t>O</w:t>
      </w:r>
      <w:r w:rsidR="003C09E4">
        <w:t xml:space="preserve">utdoor </w:t>
      </w:r>
      <w:r w:rsidRPr="00847FF2">
        <w:t>M</w:t>
      </w:r>
      <w:r w:rsidR="003C09E4">
        <w:t xml:space="preserve">obile </w:t>
      </w:r>
      <w:r w:rsidRPr="00847FF2">
        <w:t>O</w:t>
      </w:r>
      <w:r w:rsidR="003C09E4">
        <w:t>bligation (UOMO)</w:t>
      </w:r>
      <w:r w:rsidR="00FC57AB">
        <w:t xml:space="preserve">. This </w:t>
      </w:r>
      <w:r w:rsidRPr="00847FF2">
        <w:t xml:space="preserve">recognises the importance of </w:t>
      </w:r>
      <w:r w:rsidR="00CB5555">
        <w:t xml:space="preserve">expanding </w:t>
      </w:r>
      <w:r w:rsidR="00863F25">
        <w:t xml:space="preserve">baseline </w:t>
      </w:r>
      <w:r w:rsidRPr="00847FF2">
        <w:t xml:space="preserve">mobile coverage </w:t>
      </w:r>
      <w:r w:rsidR="00FC57AB">
        <w:t xml:space="preserve">to </w:t>
      </w:r>
      <w:r w:rsidR="00CB5555">
        <w:t xml:space="preserve">many </w:t>
      </w:r>
      <w:r w:rsidR="00FC57AB">
        <w:t>r</w:t>
      </w:r>
      <w:r w:rsidRPr="00847FF2">
        <w:t>egional and remote</w:t>
      </w:r>
      <w:r w:rsidR="00FC57AB">
        <w:t xml:space="preserve"> </w:t>
      </w:r>
      <w:r w:rsidR="00CB5555">
        <w:t xml:space="preserve">areas outside </w:t>
      </w:r>
      <w:r w:rsidR="00576688">
        <w:t xml:space="preserve">of terrestrial </w:t>
      </w:r>
      <w:r w:rsidR="004D261D">
        <w:t xml:space="preserve">mobile </w:t>
      </w:r>
      <w:r w:rsidR="00CB5555">
        <w:t>coverage</w:t>
      </w:r>
      <w:r w:rsidR="004D261D">
        <w:t xml:space="preserve"> and the benefits to </w:t>
      </w:r>
      <w:r w:rsidRPr="00847FF2">
        <w:t>public safety</w:t>
      </w:r>
      <w:r w:rsidR="004D261D">
        <w:t>.</w:t>
      </w:r>
      <w:r w:rsidR="00E76AA8">
        <w:t xml:space="preserve"> </w:t>
      </w:r>
    </w:p>
    <w:p w14:paraId="1752F54D" w14:textId="6B645060" w:rsidR="00847FF2" w:rsidRPr="00847FF2" w:rsidRDefault="00847FF2" w:rsidP="00847FF2">
      <w:r w:rsidRPr="00847FF2">
        <w:t xml:space="preserve">The Australian Greens </w:t>
      </w:r>
      <w:r w:rsidR="002D53C2">
        <w:t>recommended that</w:t>
      </w:r>
      <w:r w:rsidR="00E12C3F">
        <w:t xml:space="preserve"> </w:t>
      </w:r>
      <w:r w:rsidRPr="00847FF2">
        <w:t xml:space="preserve">the </w:t>
      </w:r>
      <w:r w:rsidR="00863F25">
        <w:t xml:space="preserve">Government </w:t>
      </w:r>
      <w:r w:rsidR="00D13FE5">
        <w:t>m</w:t>
      </w:r>
      <w:r w:rsidRPr="00847FF2">
        <w:t>andat</w:t>
      </w:r>
      <w:r w:rsidR="00E12C3F">
        <w:t xml:space="preserve">e </w:t>
      </w:r>
      <w:r w:rsidRPr="00847FF2">
        <w:t>domestic mobile roaming</w:t>
      </w:r>
      <w:r w:rsidR="00E12C3F">
        <w:t xml:space="preserve"> services</w:t>
      </w:r>
      <w:r w:rsidRPr="00847FF2">
        <w:t xml:space="preserve">. </w:t>
      </w:r>
    </w:p>
    <w:p w14:paraId="7108B34F" w14:textId="1553DA58" w:rsidR="002D53C2" w:rsidRDefault="00847FF2" w:rsidP="00847FF2">
      <w:r w:rsidRPr="00847FF2">
        <w:t xml:space="preserve">The report </w:t>
      </w:r>
      <w:r w:rsidR="00863F25">
        <w:t xml:space="preserve">raised </w:t>
      </w:r>
      <w:proofErr w:type="gramStart"/>
      <w:r w:rsidR="00924F91">
        <w:t>a number of</w:t>
      </w:r>
      <w:proofErr w:type="gramEnd"/>
      <w:r w:rsidR="00924F91">
        <w:t xml:space="preserve"> </w:t>
      </w:r>
      <w:r w:rsidR="008017B6">
        <w:t xml:space="preserve">implementation </w:t>
      </w:r>
      <w:r w:rsidR="00633FA0">
        <w:t>is</w:t>
      </w:r>
      <w:r w:rsidRPr="00847FF2">
        <w:t>sues</w:t>
      </w:r>
      <w:r w:rsidR="00633FA0">
        <w:t xml:space="preserve"> raised by industry and consumer stakeholders</w:t>
      </w:r>
      <w:r w:rsidR="00924F91">
        <w:t xml:space="preserve">, including </w:t>
      </w:r>
      <w:r w:rsidR="00CB5555">
        <w:t xml:space="preserve">providing more detail on what is expected by </w:t>
      </w:r>
      <w:r w:rsidR="00924F91">
        <w:t>‘reasonably available’ mobile coverage</w:t>
      </w:r>
      <w:r w:rsidR="002D53C2">
        <w:t xml:space="preserve"> and</w:t>
      </w:r>
      <w:r w:rsidR="00924F91">
        <w:t xml:space="preserve"> ‘equitable basis’</w:t>
      </w:r>
      <w:r w:rsidR="006C4B23">
        <w:t>,</w:t>
      </w:r>
      <w:r w:rsidR="00924F91">
        <w:t xml:space="preserve"> and </w:t>
      </w:r>
      <w:r w:rsidR="006C4B23">
        <w:t>developing</w:t>
      </w:r>
      <w:r w:rsidR="002D53C2">
        <w:t xml:space="preserve"> service s</w:t>
      </w:r>
      <w:r w:rsidR="00924F91">
        <w:t xml:space="preserve">tandards. </w:t>
      </w:r>
      <w:r w:rsidR="002D53C2">
        <w:t xml:space="preserve">As the Department of Infrastructure, Transport, Regional Development, Communications, Sport and the Arts (the department) stated in its submission to the Senate Committee inquiry, there are powers in the </w:t>
      </w:r>
      <w:r w:rsidR="00576688">
        <w:t>b</w:t>
      </w:r>
      <w:r w:rsidR="002D53C2">
        <w:t>ill to address these issues during the implementation of the UOMO.</w:t>
      </w:r>
    </w:p>
    <w:p w14:paraId="7118CE12" w14:textId="77777777" w:rsidR="002D53C2" w:rsidRDefault="002C7084" w:rsidP="00847FF2">
      <w:r>
        <w:t xml:space="preserve">The committee also raised </w:t>
      </w:r>
      <w:r w:rsidR="002D53C2">
        <w:t>the way in which direct to device services would be used to deliver</w:t>
      </w:r>
      <w:r>
        <w:t xml:space="preserve"> </w:t>
      </w:r>
      <w:r w:rsidR="002D53C2">
        <w:t>emergency calls and</w:t>
      </w:r>
      <w:r>
        <w:t xml:space="preserve"> </w:t>
      </w:r>
      <w:r w:rsidR="002D53C2">
        <w:t>t</w:t>
      </w:r>
      <w:r>
        <w:t xml:space="preserve">emporary </w:t>
      </w:r>
      <w:r w:rsidR="002D53C2">
        <w:t>d</w:t>
      </w:r>
      <w:r>
        <w:t xml:space="preserve">isaster </w:t>
      </w:r>
      <w:r w:rsidR="002D53C2">
        <w:t>r</w:t>
      </w:r>
      <w:r>
        <w:t>oaming</w:t>
      </w:r>
      <w:r w:rsidR="002D53C2">
        <w:t>, and the importance of forthcoming developments in the allocation of spectrum and device standards. As the department also noted in its submission, these issues are subject to separate policy processes or are already able to be addressed through existing regulatory powers.</w:t>
      </w:r>
    </w:p>
    <w:p w14:paraId="67776E01" w14:textId="488E6FD6" w:rsidR="00FC57AB" w:rsidRDefault="00924F91" w:rsidP="00847FF2">
      <w:r>
        <w:t xml:space="preserve">The government expects to undertake broad public consultation </w:t>
      </w:r>
      <w:r w:rsidR="00576688">
        <w:t>to inform implementation</w:t>
      </w:r>
      <w:r w:rsidR="0026573A">
        <w:t xml:space="preserve"> </w:t>
      </w:r>
      <w:r>
        <w:t>f</w:t>
      </w:r>
      <w:r w:rsidR="00FC57AB">
        <w:t>ollowing passage of the bill and before the default day</w:t>
      </w:r>
      <w:r w:rsidR="00576688">
        <w:t xml:space="preserve">. This will </w:t>
      </w:r>
      <w:r w:rsidR="00564E3D">
        <w:t xml:space="preserve">focus on: </w:t>
      </w:r>
    </w:p>
    <w:p w14:paraId="59AC4325" w14:textId="0F13DF2F" w:rsidR="00FC57AB" w:rsidRDefault="00FC57AB" w:rsidP="00A24DB5">
      <w:pPr>
        <w:pStyle w:val="Bulletlevel1"/>
      </w:pPr>
      <w:r>
        <w:t>industry preparedness</w:t>
      </w:r>
      <w:r w:rsidR="00564E3D">
        <w:t xml:space="preserve"> to meet the 1 December 2027 default day</w:t>
      </w:r>
      <w:r>
        <w:t xml:space="preserve">, including </w:t>
      </w:r>
      <w:r w:rsidR="00924F91">
        <w:t xml:space="preserve">consideration of </w:t>
      </w:r>
      <w:r w:rsidR="008017B6">
        <w:t>technical</w:t>
      </w:r>
      <w:r w:rsidR="00564E3D">
        <w:t xml:space="preserve"> and </w:t>
      </w:r>
      <w:r w:rsidR="008017B6">
        <w:t xml:space="preserve">wholesale </w:t>
      </w:r>
      <w:r w:rsidR="00564E3D">
        <w:t>issues and the impact on c</w:t>
      </w:r>
      <w:r w:rsidR="003C09E4">
        <w:t>onsumer</w:t>
      </w:r>
      <w:r w:rsidR="002D53C2">
        <w:t>s</w:t>
      </w:r>
      <w:r w:rsidR="008017B6">
        <w:t>;</w:t>
      </w:r>
      <w:r w:rsidR="0048484E">
        <w:t xml:space="preserve"> </w:t>
      </w:r>
    </w:p>
    <w:p w14:paraId="090909EC" w14:textId="077C062E" w:rsidR="00FC57AB" w:rsidRDefault="002D53C2" w:rsidP="00A24DB5">
      <w:pPr>
        <w:pStyle w:val="Bulletlevel1"/>
      </w:pPr>
      <w:r>
        <w:t>determining circumstances in which it would not be reasonable for a mobile network operator</w:t>
      </w:r>
      <w:r w:rsidR="00C257E5">
        <w:t xml:space="preserve"> </w:t>
      </w:r>
      <w:r w:rsidR="00C257E5">
        <w:rPr>
          <w:iCs/>
        </w:rPr>
        <w:t>(MNO)</w:t>
      </w:r>
      <w:r>
        <w:t xml:space="preserve"> to make mobile coverage available in an area</w:t>
      </w:r>
      <w:r w:rsidR="00863F25">
        <w:t xml:space="preserve"> under the UOMO</w:t>
      </w:r>
      <w:r>
        <w:t>;</w:t>
      </w:r>
      <w:r w:rsidR="00FC57AB">
        <w:t xml:space="preserve"> </w:t>
      </w:r>
      <w:r w:rsidR="0048484E">
        <w:t xml:space="preserve">and </w:t>
      </w:r>
    </w:p>
    <w:p w14:paraId="589C9C48" w14:textId="64E31B39" w:rsidR="0048484E" w:rsidRDefault="002D53C2" w:rsidP="00A24DB5">
      <w:pPr>
        <w:pStyle w:val="Bulletlevel1"/>
      </w:pPr>
      <w:r>
        <w:t xml:space="preserve">considering the appropriateness of </w:t>
      </w:r>
      <w:r w:rsidR="0048484E">
        <w:t>standards</w:t>
      </w:r>
      <w:r w:rsidR="00FC57AB">
        <w:t>,</w:t>
      </w:r>
      <w:r w:rsidR="0048484E">
        <w:t xml:space="preserve"> rules and benchmarks</w:t>
      </w:r>
      <w:r w:rsidR="00FC57AB">
        <w:t xml:space="preserve"> </w:t>
      </w:r>
      <w:r>
        <w:t>relating to</w:t>
      </w:r>
      <w:r w:rsidR="00564E3D">
        <w:t xml:space="preserve"> mobile and UOMO services</w:t>
      </w:r>
      <w:r w:rsidR="0048484E">
        <w:t xml:space="preserve">. </w:t>
      </w:r>
    </w:p>
    <w:p w14:paraId="55F4A54D" w14:textId="1CD2E784" w:rsidR="002A619D" w:rsidRDefault="002A619D" w:rsidP="002A619D"/>
    <w:p w14:paraId="55F4A54E" w14:textId="77777777" w:rsidR="002A619D" w:rsidRDefault="002A619D" w:rsidP="002A619D">
      <w:pPr>
        <w:spacing w:after="160" w:line="256" w:lineRule="auto"/>
      </w:pPr>
      <w:r>
        <w:br w:type="page"/>
      </w:r>
    </w:p>
    <w:p w14:paraId="55F4A54F" w14:textId="77777777" w:rsidR="002A619D" w:rsidRDefault="002A619D" w:rsidP="002A619D">
      <w:pPr>
        <w:pStyle w:val="Heading2"/>
      </w:pPr>
      <w:bookmarkStart w:id="4" w:name="_Toc499905943"/>
      <w:bookmarkStart w:id="5" w:name="_Toc233295560"/>
      <w:r>
        <w:lastRenderedPageBreak/>
        <w:t>Australian Government response</w:t>
      </w:r>
      <w:bookmarkEnd w:id="4"/>
      <w:bookmarkEnd w:id="5"/>
    </w:p>
    <w:p w14:paraId="55F4A550" w14:textId="469D5316" w:rsidR="002A619D" w:rsidRDefault="002A619D" w:rsidP="002A619D">
      <w:r>
        <w:t xml:space="preserve">The Australian Government’s response to </w:t>
      </w:r>
      <w:r w:rsidR="0043747F">
        <w:t>the inquiry into the T</w:t>
      </w:r>
      <w:r w:rsidR="0043747F" w:rsidRPr="00847FF2">
        <w:t>elecommunications Legislation Amendment (Universal Outdoor Mobile Obligation) Bill 2025</w:t>
      </w:r>
      <w:r w:rsidR="0043747F">
        <w:t xml:space="preserve"> </w:t>
      </w:r>
      <w:r>
        <w:t>is set out in detail below.</w:t>
      </w:r>
    </w:p>
    <w:p w14:paraId="5029B787" w14:textId="233EB10C" w:rsidR="00E771C2" w:rsidRDefault="00E771C2" w:rsidP="002A619D">
      <w:r w:rsidRPr="00E771C2">
        <w:t xml:space="preserve">Consistent with the </w:t>
      </w:r>
      <w:r w:rsidR="006C4B23">
        <w:t>Australian Government</w:t>
      </w:r>
      <w:r w:rsidRPr="00E771C2">
        <w:t xml:space="preserve"> Tabling Guidelines, the response does not address recommendations in the report that relate to the Senate</w:t>
      </w:r>
      <w:r w:rsidR="000D04D5">
        <w:t>’s consideration of the bill</w:t>
      </w:r>
      <w:r w:rsidRPr="00E771C2">
        <w:t>, including:</w:t>
      </w:r>
    </w:p>
    <w:p w14:paraId="3E893C7C" w14:textId="42F54EC2" w:rsidR="00E771C2" w:rsidRDefault="00E771C2" w:rsidP="00E771C2">
      <w:pPr>
        <w:pStyle w:val="ListParagraph"/>
        <w:numPr>
          <w:ilvl w:val="0"/>
          <w:numId w:val="5"/>
        </w:numPr>
      </w:pPr>
      <w:r>
        <w:t>Committee r</w:t>
      </w:r>
      <w:r w:rsidRPr="00E771C2">
        <w:t>ecommendation 1</w:t>
      </w:r>
      <w:r>
        <w:t>:</w:t>
      </w:r>
      <w:r w:rsidRPr="00E771C2">
        <w:t xml:space="preserve"> The committee recommends that the Senate passes the bill</w:t>
      </w:r>
    </w:p>
    <w:p w14:paraId="6675BDB2" w14:textId="16B704F3" w:rsidR="00E771C2" w:rsidRDefault="00E771C2" w:rsidP="006C4B23">
      <w:pPr>
        <w:pStyle w:val="ListParagraph"/>
        <w:numPr>
          <w:ilvl w:val="0"/>
          <w:numId w:val="5"/>
        </w:numPr>
      </w:pPr>
      <w:r w:rsidRPr="00E771C2">
        <w:t>Australian Greens senators' additional comme</w:t>
      </w:r>
      <w:r>
        <w:t>nts</w:t>
      </w:r>
      <w:r w:rsidR="000D04D5">
        <w:t>,</w:t>
      </w:r>
      <w:r>
        <w:t xml:space="preserve"> </w:t>
      </w:r>
      <w:r w:rsidRPr="00E771C2">
        <w:t>Recommendation 1</w:t>
      </w:r>
      <w:r w:rsidR="000D04D5">
        <w:t>:</w:t>
      </w:r>
      <w:r w:rsidRPr="00E771C2">
        <w:t xml:space="preserve"> That the bill be amended to include minimum standard</w:t>
      </w:r>
      <w:r w:rsidR="000D04D5">
        <w:t>s</w:t>
      </w:r>
      <w:r w:rsidRPr="00E771C2">
        <w:t xml:space="preserve"> for reliability, quality, and accessibility of mobile services.</w:t>
      </w:r>
    </w:p>
    <w:p w14:paraId="55F4A554" w14:textId="3C60B59F" w:rsidR="002A619D" w:rsidRDefault="002A619D" w:rsidP="00C019D2">
      <w:pPr>
        <w:pStyle w:val="Heading3"/>
        <w:pBdr>
          <w:top w:val="single" w:sz="4" w:space="0" w:color="auto"/>
          <w:left w:val="single" w:sz="4" w:space="4" w:color="auto"/>
          <w:bottom w:val="single" w:sz="4" w:space="1" w:color="auto"/>
          <w:right w:val="single" w:sz="4" w:space="4" w:color="auto"/>
        </w:pBdr>
      </w:pPr>
      <w:bookmarkStart w:id="6" w:name="_Toc233295561"/>
      <w:r>
        <w:t xml:space="preserve">Recommendation </w:t>
      </w:r>
      <w:r w:rsidR="00564E3D">
        <w:t>2</w:t>
      </w:r>
      <w:r>
        <w:t>:</w:t>
      </w:r>
      <w:bookmarkEnd w:id="6"/>
    </w:p>
    <w:p w14:paraId="55F4A556" w14:textId="67685933" w:rsidR="002A619D" w:rsidRDefault="00564E3D" w:rsidP="00C019D2">
      <w:pPr>
        <w:pStyle w:val="Bulletlevel1"/>
        <w:pBdr>
          <w:top w:val="single" w:sz="4" w:space="0" w:color="auto"/>
          <w:left w:val="single" w:sz="4" w:space="4" w:color="auto"/>
          <w:bottom w:val="single" w:sz="4" w:space="1" w:color="auto"/>
          <w:right w:val="single" w:sz="4" w:space="4" w:color="auto"/>
        </w:pBdr>
        <w:shd w:val="clear" w:color="auto" w:fill="E4E4E4"/>
      </w:pPr>
      <w:r w:rsidRPr="00564E3D">
        <w:t>That the Australian Government mandate domestic mobile roaming services be available to Australian consumers.</w:t>
      </w:r>
      <w:r w:rsidR="00847FF2">
        <w:t xml:space="preserve"> </w:t>
      </w:r>
    </w:p>
    <w:p w14:paraId="55F4A559" w14:textId="5150ED30" w:rsidR="002A619D" w:rsidRDefault="002A619D" w:rsidP="002A619D">
      <w:r>
        <w:t xml:space="preserve">The </w:t>
      </w:r>
      <w:r w:rsidR="009451A9">
        <w:t>G</w:t>
      </w:r>
      <w:r>
        <w:t xml:space="preserve">overnment </w:t>
      </w:r>
      <w:r w:rsidR="003F754B" w:rsidRPr="003F754B">
        <w:rPr>
          <w:b/>
          <w:bCs/>
        </w:rPr>
        <w:t>notes</w:t>
      </w:r>
      <w:r w:rsidR="003F754B">
        <w:t xml:space="preserve"> </w:t>
      </w:r>
      <w:r>
        <w:t>this recommendation.</w:t>
      </w:r>
    </w:p>
    <w:p w14:paraId="6B5ADE15" w14:textId="3443AD09" w:rsidR="00CB5555" w:rsidRDefault="00CB5555" w:rsidP="00196BBA">
      <w:pPr>
        <w:rPr>
          <w:iCs/>
        </w:rPr>
      </w:pPr>
      <w:r>
        <w:rPr>
          <w:iCs/>
        </w:rPr>
        <w:t xml:space="preserve">Under Part XIC of the </w:t>
      </w:r>
      <w:r w:rsidRPr="006C4B23">
        <w:rPr>
          <w:i/>
        </w:rPr>
        <w:t>Competition and Consumer Act 2010</w:t>
      </w:r>
      <w:r>
        <w:rPr>
          <w:iCs/>
        </w:rPr>
        <w:t>, t</w:t>
      </w:r>
      <w:r w:rsidRPr="00970837">
        <w:rPr>
          <w:iCs/>
        </w:rPr>
        <w:t xml:space="preserve">he </w:t>
      </w:r>
      <w:r w:rsidR="00970837" w:rsidRPr="00196BBA">
        <w:rPr>
          <w:iCs/>
        </w:rPr>
        <w:t>Australian Competition and Consumer Commission (ACCC)</w:t>
      </w:r>
      <w:r w:rsidR="00970837">
        <w:rPr>
          <w:iCs/>
        </w:rPr>
        <w:t xml:space="preserve"> </w:t>
      </w:r>
      <w:r>
        <w:rPr>
          <w:iCs/>
        </w:rPr>
        <w:t xml:space="preserve">is </w:t>
      </w:r>
      <w:r w:rsidR="00970837" w:rsidRPr="00970837">
        <w:rPr>
          <w:iCs/>
        </w:rPr>
        <w:t xml:space="preserve">the </w:t>
      </w:r>
      <w:r w:rsidR="009C35E2">
        <w:rPr>
          <w:iCs/>
        </w:rPr>
        <w:t xml:space="preserve">longstanding </w:t>
      </w:r>
      <w:r w:rsidR="00970837" w:rsidRPr="00970837">
        <w:rPr>
          <w:iCs/>
        </w:rPr>
        <w:t>independent</w:t>
      </w:r>
      <w:r w:rsidR="000C3088">
        <w:rPr>
          <w:iCs/>
        </w:rPr>
        <w:t xml:space="preserve"> expert</w:t>
      </w:r>
      <w:r w:rsidR="00970837" w:rsidRPr="00970837">
        <w:rPr>
          <w:iCs/>
        </w:rPr>
        <w:t xml:space="preserve"> regulator of wholesale access </w:t>
      </w:r>
      <w:r w:rsidR="001A2B15">
        <w:rPr>
          <w:iCs/>
        </w:rPr>
        <w:t xml:space="preserve">to </w:t>
      </w:r>
      <w:r>
        <w:rPr>
          <w:iCs/>
        </w:rPr>
        <w:t xml:space="preserve">telecommunications </w:t>
      </w:r>
      <w:r w:rsidR="001A2B15">
        <w:rPr>
          <w:iCs/>
        </w:rPr>
        <w:t>network</w:t>
      </w:r>
      <w:r w:rsidR="009C35E2">
        <w:rPr>
          <w:iCs/>
        </w:rPr>
        <w:t>s</w:t>
      </w:r>
      <w:r w:rsidR="00E76AA8">
        <w:rPr>
          <w:iCs/>
        </w:rPr>
        <w:t>.</w:t>
      </w:r>
      <w:r w:rsidR="0060061F">
        <w:rPr>
          <w:iCs/>
        </w:rPr>
        <w:t xml:space="preserve"> </w:t>
      </w:r>
    </w:p>
    <w:p w14:paraId="0B5035E7" w14:textId="68A3AAD3" w:rsidR="00841E58" w:rsidRDefault="00BA48EF" w:rsidP="009D4E9E">
      <w:pPr>
        <w:rPr>
          <w:iCs/>
        </w:rPr>
      </w:pPr>
      <w:r>
        <w:rPr>
          <w:iCs/>
        </w:rPr>
        <w:t>On</w:t>
      </w:r>
      <w:r w:rsidR="00451199">
        <w:rPr>
          <w:iCs/>
        </w:rPr>
        <w:t xml:space="preserve"> 5</w:t>
      </w:r>
      <w:r>
        <w:rPr>
          <w:iCs/>
        </w:rPr>
        <w:t xml:space="preserve"> August</w:t>
      </w:r>
      <w:r w:rsidR="007B6EE6">
        <w:rPr>
          <w:iCs/>
        </w:rPr>
        <w:t xml:space="preserve"> 202</w:t>
      </w:r>
      <w:r w:rsidR="00071ED1">
        <w:rPr>
          <w:iCs/>
        </w:rPr>
        <w:t>6</w:t>
      </w:r>
      <w:r>
        <w:rPr>
          <w:iCs/>
        </w:rPr>
        <w:t xml:space="preserve"> t</w:t>
      </w:r>
      <w:r w:rsidR="0060061F">
        <w:rPr>
          <w:iCs/>
        </w:rPr>
        <w:t xml:space="preserve">he ACCC </w:t>
      </w:r>
      <w:r>
        <w:rPr>
          <w:iCs/>
        </w:rPr>
        <w:t xml:space="preserve">announced </w:t>
      </w:r>
      <w:r w:rsidR="009178C2">
        <w:rPr>
          <w:iCs/>
        </w:rPr>
        <w:t>it was</w:t>
      </w:r>
      <w:r w:rsidR="006E2084">
        <w:rPr>
          <w:iCs/>
        </w:rPr>
        <w:t xml:space="preserve"> commencing </w:t>
      </w:r>
      <w:r w:rsidR="00987792" w:rsidRPr="00987792">
        <w:rPr>
          <w:iCs/>
        </w:rPr>
        <w:t xml:space="preserve">an inquiry to examine regional mobile coverage </w:t>
      </w:r>
      <w:r w:rsidR="00987792">
        <w:rPr>
          <w:iCs/>
        </w:rPr>
        <w:t xml:space="preserve">including </w:t>
      </w:r>
      <w:r w:rsidR="00987792" w:rsidRPr="00987792">
        <w:rPr>
          <w:iCs/>
        </w:rPr>
        <w:t>whether regulating wholesale access to some mobile services could improve consumer outcomes</w:t>
      </w:r>
      <w:r w:rsidR="00250DD8">
        <w:rPr>
          <w:iCs/>
        </w:rPr>
        <w:t xml:space="preserve"> in regional Australia</w:t>
      </w:r>
      <w:r w:rsidR="00987792">
        <w:rPr>
          <w:iCs/>
        </w:rPr>
        <w:t>.</w:t>
      </w:r>
      <w:r w:rsidR="006E2084">
        <w:rPr>
          <w:iCs/>
        </w:rPr>
        <w:t xml:space="preserve"> </w:t>
      </w:r>
      <w:r w:rsidR="006675A4">
        <w:rPr>
          <w:iCs/>
        </w:rPr>
        <w:t>T</w:t>
      </w:r>
      <w:r w:rsidR="006675A4" w:rsidRPr="006675A4">
        <w:rPr>
          <w:iCs/>
        </w:rPr>
        <w:t xml:space="preserve">his inquiry will allow </w:t>
      </w:r>
      <w:r w:rsidR="00F9224E">
        <w:rPr>
          <w:iCs/>
        </w:rPr>
        <w:t xml:space="preserve">the ACCC to </w:t>
      </w:r>
      <w:r w:rsidR="006675A4">
        <w:rPr>
          <w:iCs/>
        </w:rPr>
        <w:t>consider</w:t>
      </w:r>
      <w:r w:rsidR="00841E58">
        <w:rPr>
          <w:iCs/>
        </w:rPr>
        <w:t xml:space="preserve"> </w:t>
      </w:r>
      <w:r w:rsidR="006675A4" w:rsidRPr="006675A4">
        <w:rPr>
          <w:iCs/>
        </w:rPr>
        <w:t>current market conditions and new technologies through a public, evidence-based and consultative process before deciding whether regulation is needed</w:t>
      </w:r>
      <w:r w:rsidR="00841E58">
        <w:rPr>
          <w:iCs/>
        </w:rPr>
        <w:t xml:space="preserve">. </w:t>
      </w:r>
    </w:p>
    <w:p w14:paraId="2A7350BE" w14:textId="6889B4E4" w:rsidR="006E2084" w:rsidRDefault="006E2084" w:rsidP="009D4E9E">
      <w:pPr>
        <w:rPr>
          <w:iCs/>
        </w:rPr>
      </w:pPr>
      <w:r w:rsidRPr="006E2084">
        <w:rPr>
          <w:iCs/>
        </w:rPr>
        <w:t>The inquiry will run for approximately 12 months and will consider whether the ACCC should declare one or more wholesale mobile services, including domestic roaming and a radio access network service.</w:t>
      </w:r>
      <w:r>
        <w:rPr>
          <w:iCs/>
        </w:rPr>
        <w:t xml:space="preserve"> </w:t>
      </w:r>
      <w:r w:rsidRPr="006E2084">
        <w:rPr>
          <w:iCs/>
        </w:rPr>
        <w:t xml:space="preserve">The ACCC will only make a declaration if it considers doing so would </w:t>
      </w:r>
      <w:r w:rsidR="00F9224E">
        <w:rPr>
          <w:iCs/>
        </w:rPr>
        <w:t>promote</w:t>
      </w:r>
      <w:r w:rsidRPr="006E2084">
        <w:rPr>
          <w:iCs/>
        </w:rPr>
        <w:t xml:space="preserve"> the long</w:t>
      </w:r>
      <w:r w:rsidR="00F9224E">
        <w:rPr>
          <w:iCs/>
        </w:rPr>
        <w:t>-</w:t>
      </w:r>
      <w:r w:rsidRPr="006E2084">
        <w:rPr>
          <w:iCs/>
        </w:rPr>
        <w:t>term</w:t>
      </w:r>
      <w:r w:rsidR="00F9224E">
        <w:rPr>
          <w:iCs/>
        </w:rPr>
        <w:t xml:space="preserve"> interests of end-users</w:t>
      </w:r>
      <w:r w:rsidRPr="006E2084">
        <w:rPr>
          <w:iCs/>
        </w:rPr>
        <w:t>.</w:t>
      </w:r>
    </w:p>
    <w:p w14:paraId="5A09FEBC" w14:textId="36FA6E5D" w:rsidR="00E76AA8" w:rsidRDefault="00F32B88" w:rsidP="00196BBA">
      <w:pPr>
        <w:rPr>
          <w:iCs/>
        </w:rPr>
      </w:pPr>
      <w:r>
        <w:rPr>
          <w:iCs/>
        </w:rPr>
        <w:t xml:space="preserve">In relation to access to </w:t>
      </w:r>
      <w:r w:rsidR="00CB5555">
        <w:rPr>
          <w:iCs/>
        </w:rPr>
        <w:t xml:space="preserve">mobile </w:t>
      </w:r>
      <w:r>
        <w:rPr>
          <w:iCs/>
        </w:rPr>
        <w:t>networks</w:t>
      </w:r>
      <w:r w:rsidR="00FF617F">
        <w:rPr>
          <w:iCs/>
        </w:rPr>
        <w:t xml:space="preserve"> to contact Triple Zero</w:t>
      </w:r>
      <w:r>
        <w:rPr>
          <w:iCs/>
        </w:rPr>
        <w:t xml:space="preserve"> during emergencies,</w:t>
      </w:r>
      <w:r w:rsidR="00364327">
        <w:rPr>
          <w:iCs/>
        </w:rPr>
        <w:t xml:space="preserve"> any</w:t>
      </w:r>
      <w:r w:rsidR="00FF617F">
        <w:rPr>
          <w:iCs/>
        </w:rPr>
        <w:t xml:space="preserve"> properly configured</w:t>
      </w:r>
      <w:r w:rsidR="00364327">
        <w:rPr>
          <w:iCs/>
        </w:rPr>
        <w:t xml:space="preserve"> mobile handset</w:t>
      </w:r>
      <w:r w:rsidR="00FF617F">
        <w:rPr>
          <w:iCs/>
        </w:rPr>
        <w:t xml:space="preserve"> can make an emergency call if within mobile coverage from any mobile network operator through a process known as ‘emergency call camp-on’. This is available regardless of whether an end user is an active customer of any available network, including if a handset does not have an active SIM card.   </w:t>
      </w:r>
    </w:p>
    <w:p w14:paraId="1FF75E63" w14:textId="50629811" w:rsidR="00970837" w:rsidRPr="00196BBA" w:rsidRDefault="00970837" w:rsidP="00196BBA">
      <w:pPr>
        <w:rPr>
          <w:iCs/>
        </w:rPr>
      </w:pPr>
      <w:r>
        <w:rPr>
          <w:iCs/>
        </w:rPr>
        <w:t>As indicated in the department’s submission</w:t>
      </w:r>
      <w:r w:rsidR="00FD5E55">
        <w:rPr>
          <w:iCs/>
        </w:rPr>
        <w:t>,</w:t>
      </w:r>
      <w:r>
        <w:rPr>
          <w:iCs/>
        </w:rPr>
        <w:t xml:space="preserve"> Temporary Disaster Roaming </w:t>
      </w:r>
      <w:r w:rsidR="00E76AA8">
        <w:rPr>
          <w:iCs/>
        </w:rPr>
        <w:t xml:space="preserve">capability is being progressed by industry </w:t>
      </w:r>
      <w:r w:rsidR="00256433">
        <w:rPr>
          <w:iCs/>
        </w:rPr>
        <w:t xml:space="preserve">and </w:t>
      </w:r>
      <w:r>
        <w:rPr>
          <w:iCs/>
        </w:rPr>
        <w:t>will complement the UOMO and enable consumers</w:t>
      </w:r>
      <w:r w:rsidR="00FD5E55">
        <w:rPr>
          <w:iCs/>
        </w:rPr>
        <w:t>,</w:t>
      </w:r>
      <w:r>
        <w:rPr>
          <w:iCs/>
        </w:rPr>
        <w:t xml:space="preserve"> regardless of their mobile provider</w:t>
      </w:r>
      <w:r w:rsidR="00FD5E55">
        <w:rPr>
          <w:iCs/>
        </w:rPr>
        <w:t>,</w:t>
      </w:r>
      <w:r>
        <w:rPr>
          <w:iCs/>
        </w:rPr>
        <w:t xml:space="preserve"> to have </w:t>
      </w:r>
      <w:r w:rsidR="00F12EBD">
        <w:rPr>
          <w:iCs/>
        </w:rPr>
        <w:t xml:space="preserve">limited </w:t>
      </w:r>
      <w:r>
        <w:rPr>
          <w:iCs/>
        </w:rPr>
        <w:t>connectivity during</w:t>
      </w:r>
      <w:r w:rsidR="00F32B88">
        <w:rPr>
          <w:iCs/>
        </w:rPr>
        <w:t xml:space="preserve"> emergencies</w:t>
      </w:r>
      <w:r w:rsidR="00F12EBD">
        <w:rPr>
          <w:iCs/>
        </w:rPr>
        <w:t>,</w:t>
      </w:r>
      <w:r w:rsidR="00F32B88">
        <w:rPr>
          <w:iCs/>
        </w:rPr>
        <w:t xml:space="preserve"> </w:t>
      </w:r>
      <w:r w:rsidR="00025E58">
        <w:rPr>
          <w:iCs/>
        </w:rPr>
        <w:t xml:space="preserve">provided </w:t>
      </w:r>
      <w:r w:rsidR="00F32B88">
        <w:rPr>
          <w:iCs/>
        </w:rPr>
        <w:t xml:space="preserve">there is sufficient coverage and capacity on other networks. </w:t>
      </w:r>
    </w:p>
    <w:p w14:paraId="589615CD" w14:textId="77777777" w:rsidR="0037784F" w:rsidRDefault="0037784F">
      <w:pPr>
        <w:spacing w:after="160" w:line="259" w:lineRule="auto"/>
      </w:pPr>
      <w:r>
        <w:br w:type="page"/>
      </w:r>
    </w:p>
    <w:p w14:paraId="16F999DE" w14:textId="52386561" w:rsidR="00564E3D" w:rsidRDefault="00542C05" w:rsidP="002A619D">
      <w:r>
        <w:lastRenderedPageBreak/>
        <w:t>In response to other issues raised by the committee:</w:t>
      </w:r>
    </w:p>
    <w:p w14:paraId="42160975" w14:textId="30AA6C61" w:rsidR="0043747F" w:rsidRDefault="0043747F" w:rsidP="002A619D">
      <w:pPr>
        <w:rPr>
          <w:i/>
        </w:rPr>
      </w:pPr>
      <w:r>
        <w:rPr>
          <w:i/>
        </w:rPr>
        <w:t>Default day</w:t>
      </w:r>
      <w:r w:rsidR="00196BBA">
        <w:rPr>
          <w:i/>
        </w:rPr>
        <w:t xml:space="preserve"> and </w:t>
      </w:r>
      <w:r>
        <w:rPr>
          <w:i/>
        </w:rPr>
        <w:t>industry preparedness</w:t>
      </w:r>
    </w:p>
    <w:p w14:paraId="6288C202" w14:textId="711ADDFE" w:rsidR="00933FE9" w:rsidRDefault="00933FE9" w:rsidP="002A619D">
      <w:pPr>
        <w:rPr>
          <w:iCs/>
        </w:rPr>
      </w:pPr>
      <w:r w:rsidRPr="00933FE9">
        <w:rPr>
          <w:iCs/>
        </w:rPr>
        <w:t xml:space="preserve">The </w:t>
      </w:r>
      <w:r>
        <w:rPr>
          <w:iCs/>
        </w:rPr>
        <w:t>c</w:t>
      </w:r>
      <w:r w:rsidRPr="00933FE9">
        <w:rPr>
          <w:iCs/>
        </w:rPr>
        <w:t xml:space="preserve">ommittee considered feedback from industry players that the market is still evolving, alongside </w:t>
      </w:r>
      <w:r w:rsidR="009451A9">
        <w:rPr>
          <w:iCs/>
        </w:rPr>
        <w:t xml:space="preserve">stakeholder views </w:t>
      </w:r>
      <w:r w:rsidRPr="00933FE9">
        <w:rPr>
          <w:iCs/>
        </w:rPr>
        <w:t xml:space="preserve">that consumers are seeking access to the benefits of the UOMO sooner. </w:t>
      </w:r>
      <w:r w:rsidRPr="008145C8">
        <w:rPr>
          <w:iCs/>
        </w:rPr>
        <w:t xml:space="preserve">The </w:t>
      </w:r>
      <w:r>
        <w:rPr>
          <w:iCs/>
        </w:rPr>
        <w:t>c</w:t>
      </w:r>
      <w:r w:rsidRPr="008145C8">
        <w:rPr>
          <w:iCs/>
        </w:rPr>
        <w:t xml:space="preserve">ommittee </w:t>
      </w:r>
      <w:r w:rsidR="0060061F">
        <w:rPr>
          <w:iCs/>
        </w:rPr>
        <w:t>determined that</w:t>
      </w:r>
      <w:r w:rsidRPr="008145C8">
        <w:rPr>
          <w:iCs/>
        </w:rPr>
        <w:t xml:space="preserve"> existing provisions in the </w:t>
      </w:r>
      <w:r w:rsidR="00FC57AB">
        <w:rPr>
          <w:iCs/>
        </w:rPr>
        <w:t>b</w:t>
      </w:r>
      <w:r w:rsidRPr="008145C8">
        <w:rPr>
          <w:iCs/>
        </w:rPr>
        <w:t xml:space="preserve">ill </w:t>
      </w:r>
      <w:r w:rsidR="0060061F">
        <w:rPr>
          <w:iCs/>
        </w:rPr>
        <w:t xml:space="preserve">would </w:t>
      </w:r>
      <w:r w:rsidRPr="008145C8">
        <w:rPr>
          <w:iCs/>
        </w:rPr>
        <w:t xml:space="preserve">provide sufficient flexibility to </w:t>
      </w:r>
      <w:r>
        <w:rPr>
          <w:iCs/>
        </w:rPr>
        <w:t xml:space="preserve">adjust the obligation to </w:t>
      </w:r>
      <w:r w:rsidRPr="008145C8">
        <w:rPr>
          <w:iCs/>
        </w:rPr>
        <w:t xml:space="preserve">market </w:t>
      </w:r>
      <w:r w:rsidR="0060061F">
        <w:rPr>
          <w:iCs/>
        </w:rPr>
        <w:t xml:space="preserve">circumstances </w:t>
      </w:r>
      <w:r w:rsidRPr="008145C8">
        <w:rPr>
          <w:iCs/>
        </w:rPr>
        <w:t>if needed.</w:t>
      </w:r>
      <w:r>
        <w:rPr>
          <w:iCs/>
        </w:rPr>
        <w:t xml:space="preserve"> </w:t>
      </w:r>
    </w:p>
    <w:p w14:paraId="03CD3AE9" w14:textId="0CDAF669" w:rsidR="0048484E" w:rsidRDefault="0060061F" w:rsidP="00B52B4C">
      <w:pPr>
        <w:rPr>
          <w:iCs/>
        </w:rPr>
      </w:pPr>
      <w:r>
        <w:rPr>
          <w:iCs/>
        </w:rPr>
        <w:t>Flexible powers include</w:t>
      </w:r>
      <w:r w:rsidR="00FD5E55">
        <w:rPr>
          <w:iCs/>
        </w:rPr>
        <w:t xml:space="preserve"> </w:t>
      </w:r>
      <w:r>
        <w:rPr>
          <w:iCs/>
        </w:rPr>
        <w:t>the ability</w:t>
      </w:r>
      <w:r w:rsidR="00FD5E55">
        <w:rPr>
          <w:iCs/>
        </w:rPr>
        <w:t xml:space="preserve"> for </w:t>
      </w:r>
      <w:r w:rsidR="00C267FB">
        <w:rPr>
          <w:iCs/>
        </w:rPr>
        <w:t xml:space="preserve">the Minister </w:t>
      </w:r>
      <w:r w:rsidR="00795ADA">
        <w:rPr>
          <w:iCs/>
        </w:rPr>
        <w:t xml:space="preserve">for Communications (the minister) </w:t>
      </w:r>
      <w:r w:rsidR="00FD5E55">
        <w:rPr>
          <w:iCs/>
        </w:rPr>
        <w:t>to</w:t>
      </w:r>
      <w:r w:rsidR="00C267FB">
        <w:rPr>
          <w:iCs/>
        </w:rPr>
        <w:t xml:space="preserve"> delay the </w:t>
      </w:r>
      <w:r w:rsidR="00025297">
        <w:rPr>
          <w:iCs/>
        </w:rPr>
        <w:t>default day</w:t>
      </w:r>
      <w:r w:rsidR="00C267FB">
        <w:rPr>
          <w:iCs/>
        </w:rPr>
        <w:t xml:space="preserve"> </w:t>
      </w:r>
      <w:r w:rsidR="00646B39">
        <w:rPr>
          <w:iCs/>
        </w:rPr>
        <w:t xml:space="preserve">by 12 months </w:t>
      </w:r>
      <w:r w:rsidR="00C267FB">
        <w:rPr>
          <w:iCs/>
        </w:rPr>
        <w:t xml:space="preserve">up to </w:t>
      </w:r>
      <w:r w:rsidR="00646B39">
        <w:rPr>
          <w:iCs/>
        </w:rPr>
        <w:t>3 times.</w:t>
      </w:r>
      <w:r w:rsidR="00B52B4C">
        <w:rPr>
          <w:iCs/>
        </w:rPr>
        <w:t xml:space="preserve"> As noted in the department’s submission</w:t>
      </w:r>
      <w:r w:rsidR="00FD5E55">
        <w:rPr>
          <w:iCs/>
        </w:rPr>
        <w:t>,</w:t>
      </w:r>
      <w:r w:rsidR="0082357F">
        <w:rPr>
          <w:iCs/>
        </w:rPr>
        <w:t xml:space="preserve"> </w:t>
      </w:r>
      <w:r w:rsidR="00C257E5">
        <w:rPr>
          <w:iCs/>
        </w:rPr>
        <w:t xml:space="preserve">before exercising this power </w:t>
      </w:r>
      <w:r w:rsidR="00DF2EAC">
        <w:rPr>
          <w:iCs/>
        </w:rPr>
        <w:t xml:space="preserve">the </w:t>
      </w:r>
      <w:r w:rsidR="00117ED6">
        <w:rPr>
          <w:iCs/>
        </w:rPr>
        <w:t>m</w:t>
      </w:r>
      <w:r w:rsidR="00DF2EAC">
        <w:rPr>
          <w:iCs/>
        </w:rPr>
        <w:t xml:space="preserve">inister </w:t>
      </w:r>
      <w:r w:rsidR="00C257E5">
        <w:rPr>
          <w:iCs/>
        </w:rPr>
        <w:t>would need to</w:t>
      </w:r>
      <w:r w:rsidR="00B52B4C" w:rsidRPr="00B52B4C">
        <w:rPr>
          <w:iCs/>
        </w:rPr>
        <w:t xml:space="preserve"> consult</w:t>
      </w:r>
      <w:r w:rsidR="00C257E5">
        <w:rPr>
          <w:iCs/>
        </w:rPr>
        <w:t xml:space="preserve"> MNO</w:t>
      </w:r>
      <w:r w:rsidR="00B52B4C" w:rsidRPr="00B52B4C">
        <w:rPr>
          <w:iCs/>
        </w:rPr>
        <w:t xml:space="preserve">s and consider technical and market issues and the impact on consumers. </w:t>
      </w:r>
    </w:p>
    <w:p w14:paraId="09C6A56C" w14:textId="0AEBFC55" w:rsidR="004F7952" w:rsidRPr="00B52B4C" w:rsidRDefault="00B52B4C" w:rsidP="005E49E3">
      <w:pPr>
        <w:rPr>
          <w:i/>
        </w:rPr>
      </w:pPr>
      <w:r w:rsidRPr="00B52B4C">
        <w:rPr>
          <w:i/>
        </w:rPr>
        <w:t xml:space="preserve">Reasonably available </w:t>
      </w:r>
    </w:p>
    <w:p w14:paraId="7E4D23BE" w14:textId="30F77CB0" w:rsidR="00B52B4C" w:rsidRDefault="00377247" w:rsidP="002A619D">
      <w:pPr>
        <w:rPr>
          <w:iCs/>
        </w:rPr>
      </w:pPr>
      <w:r w:rsidRPr="00377247">
        <w:rPr>
          <w:iCs/>
        </w:rPr>
        <w:t>The concept of reasonableness deals with situations where it may not be possible for an MNO to supply mobile coverage in a particular area</w:t>
      </w:r>
      <w:r w:rsidR="00542C05">
        <w:rPr>
          <w:iCs/>
        </w:rPr>
        <w:t xml:space="preserve">. </w:t>
      </w:r>
      <w:r>
        <w:rPr>
          <w:iCs/>
        </w:rPr>
        <w:t xml:space="preserve">The department’s submission to the committee provided further clarity on the circumstances when it would not be reasonable for </w:t>
      </w:r>
      <w:r w:rsidR="00C267FB">
        <w:rPr>
          <w:iCs/>
        </w:rPr>
        <w:t xml:space="preserve">an </w:t>
      </w:r>
      <w:r>
        <w:rPr>
          <w:iCs/>
        </w:rPr>
        <w:t>MNO to provide mobile coverage</w:t>
      </w:r>
      <w:r w:rsidR="00542C05">
        <w:rPr>
          <w:iCs/>
        </w:rPr>
        <w:t xml:space="preserve">, </w:t>
      </w:r>
      <w:r w:rsidR="00542C05" w:rsidRPr="00377247">
        <w:rPr>
          <w:iCs/>
        </w:rPr>
        <w:t>such as</w:t>
      </w:r>
      <w:r w:rsidR="00542C05">
        <w:rPr>
          <w:iCs/>
        </w:rPr>
        <w:t xml:space="preserve"> due to</w:t>
      </w:r>
      <w:r w:rsidR="00542C05" w:rsidRPr="00377247">
        <w:rPr>
          <w:iCs/>
        </w:rPr>
        <w:t xml:space="preserve"> technical limitations, temporary interruptions to the availability of wholesale services, temporary outages and the capability of handsets and services available from the end-user’s chosen plan.</w:t>
      </w:r>
      <w:r w:rsidR="00542C05">
        <w:rPr>
          <w:iCs/>
        </w:rPr>
        <w:t xml:space="preserve"> </w:t>
      </w:r>
      <w:r w:rsidR="00B52B4C" w:rsidRPr="00B52B4C">
        <w:rPr>
          <w:iCs/>
        </w:rPr>
        <w:t xml:space="preserve">As acknowledged by the </w:t>
      </w:r>
      <w:r w:rsidR="00C267FB">
        <w:rPr>
          <w:iCs/>
        </w:rPr>
        <w:t>c</w:t>
      </w:r>
      <w:r w:rsidR="00B52B4C" w:rsidRPr="00B52B4C">
        <w:rPr>
          <w:iCs/>
        </w:rPr>
        <w:t xml:space="preserve">ommittee, </w:t>
      </w:r>
      <w:r w:rsidR="00C257E5" w:rsidRPr="00B52B4C">
        <w:rPr>
          <w:iCs/>
        </w:rPr>
        <w:t xml:space="preserve">following passage of the </w:t>
      </w:r>
      <w:r w:rsidR="00C257E5">
        <w:rPr>
          <w:iCs/>
        </w:rPr>
        <w:t>b</w:t>
      </w:r>
      <w:r w:rsidR="00C257E5" w:rsidRPr="00B52B4C">
        <w:rPr>
          <w:iCs/>
        </w:rPr>
        <w:t xml:space="preserve">ill </w:t>
      </w:r>
      <w:r w:rsidR="00B52B4C" w:rsidRPr="00B52B4C">
        <w:rPr>
          <w:iCs/>
        </w:rPr>
        <w:t xml:space="preserve">the government intends to </w:t>
      </w:r>
      <w:r w:rsidR="00C257E5">
        <w:rPr>
          <w:iCs/>
        </w:rPr>
        <w:t>develop</w:t>
      </w:r>
      <w:r w:rsidR="00B52B4C" w:rsidRPr="00B52B4C">
        <w:rPr>
          <w:iCs/>
        </w:rPr>
        <w:t xml:space="preserve"> a requirements and circumstances instrument </w:t>
      </w:r>
      <w:r w:rsidR="00C257E5">
        <w:rPr>
          <w:iCs/>
        </w:rPr>
        <w:t xml:space="preserve">that would specify circumstances in which it would not be reasonable </w:t>
      </w:r>
      <w:r w:rsidR="006163ED">
        <w:rPr>
          <w:iCs/>
        </w:rPr>
        <w:t xml:space="preserve">for MNOs </w:t>
      </w:r>
      <w:r w:rsidR="00C257E5">
        <w:rPr>
          <w:iCs/>
        </w:rPr>
        <w:t>to make mobile coverage available</w:t>
      </w:r>
      <w:r w:rsidR="00863F25">
        <w:rPr>
          <w:iCs/>
        </w:rPr>
        <w:t xml:space="preserve"> in fulfilment of the UOMO</w:t>
      </w:r>
      <w:r w:rsidR="00E873DA">
        <w:rPr>
          <w:iCs/>
        </w:rPr>
        <w:t>, and set requirements on MNOs</w:t>
      </w:r>
      <w:r w:rsidR="00B52B4C" w:rsidRPr="00B52B4C">
        <w:rPr>
          <w:iCs/>
        </w:rPr>
        <w:t>.</w:t>
      </w:r>
    </w:p>
    <w:p w14:paraId="47422FFC" w14:textId="3E173A37" w:rsidR="00377247" w:rsidRPr="00377247" w:rsidRDefault="00377247" w:rsidP="00377247">
      <w:pPr>
        <w:rPr>
          <w:i/>
        </w:rPr>
      </w:pPr>
      <w:r>
        <w:rPr>
          <w:i/>
        </w:rPr>
        <w:t>S</w:t>
      </w:r>
      <w:r w:rsidRPr="00377247">
        <w:rPr>
          <w:i/>
        </w:rPr>
        <w:t>tandards</w:t>
      </w:r>
      <w:r>
        <w:rPr>
          <w:i/>
        </w:rPr>
        <w:t xml:space="preserve"> and equity </w:t>
      </w:r>
    </w:p>
    <w:p w14:paraId="0BA04B46" w14:textId="0CF88D07" w:rsidR="00F93680" w:rsidRDefault="00B52B4C" w:rsidP="00B52B4C">
      <w:pPr>
        <w:rPr>
          <w:iCs/>
        </w:rPr>
      </w:pPr>
      <w:r w:rsidRPr="00377247">
        <w:rPr>
          <w:iCs/>
        </w:rPr>
        <w:t xml:space="preserve">The </w:t>
      </w:r>
      <w:r w:rsidR="00C267FB">
        <w:rPr>
          <w:iCs/>
        </w:rPr>
        <w:t>g</w:t>
      </w:r>
      <w:r w:rsidRPr="00377247">
        <w:rPr>
          <w:iCs/>
        </w:rPr>
        <w:t>overnment is committed to ensuring that the UOMO delivers equitable access</w:t>
      </w:r>
      <w:r w:rsidR="00196BBA">
        <w:rPr>
          <w:iCs/>
        </w:rPr>
        <w:t xml:space="preserve"> </w:t>
      </w:r>
      <w:r w:rsidR="00E76AA8">
        <w:rPr>
          <w:iCs/>
        </w:rPr>
        <w:t xml:space="preserve">to mobile coverage, including </w:t>
      </w:r>
      <w:r w:rsidR="00196BBA" w:rsidRPr="00C267FB">
        <w:rPr>
          <w:iCs/>
        </w:rPr>
        <w:t>for vulnerable consumers</w:t>
      </w:r>
      <w:r w:rsidRPr="00377247">
        <w:rPr>
          <w:iCs/>
        </w:rPr>
        <w:t xml:space="preserve">. </w:t>
      </w:r>
      <w:r w:rsidR="00377247">
        <w:rPr>
          <w:iCs/>
        </w:rPr>
        <w:t>T</w:t>
      </w:r>
      <w:r w:rsidRPr="00377247">
        <w:rPr>
          <w:iCs/>
        </w:rPr>
        <w:t xml:space="preserve">he </w:t>
      </w:r>
      <w:r w:rsidR="00C257E5">
        <w:rPr>
          <w:iCs/>
        </w:rPr>
        <w:t>bill would create</w:t>
      </w:r>
      <w:r w:rsidRPr="00377247">
        <w:rPr>
          <w:iCs/>
        </w:rPr>
        <w:t xml:space="preserve"> new </w:t>
      </w:r>
      <w:r w:rsidR="00117ED6">
        <w:rPr>
          <w:iCs/>
        </w:rPr>
        <w:t>m</w:t>
      </w:r>
      <w:r w:rsidRPr="00377247">
        <w:rPr>
          <w:iCs/>
        </w:rPr>
        <w:t>inisterial powers to set broad-ranging</w:t>
      </w:r>
      <w:r w:rsidR="00542C05">
        <w:rPr>
          <w:iCs/>
        </w:rPr>
        <w:t xml:space="preserve"> </w:t>
      </w:r>
      <w:r w:rsidR="00196BBA" w:rsidRPr="00377247">
        <w:rPr>
          <w:iCs/>
        </w:rPr>
        <w:t>standards</w:t>
      </w:r>
      <w:r w:rsidRPr="00377247">
        <w:rPr>
          <w:iCs/>
        </w:rPr>
        <w:t>, rules and benchmarks</w:t>
      </w:r>
      <w:r w:rsidR="00542C05">
        <w:rPr>
          <w:iCs/>
        </w:rPr>
        <w:t xml:space="preserve">. </w:t>
      </w:r>
      <w:bookmarkEnd w:id="2"/>
      <w:bookmarkEnd w:id="3"/>
      <w:r w:rsidR="0091237D">
        <w:rPr>
          <w:iCs/>
        </w:rPr>
        <w:t>Such standards could, for example, cover network reliability and timeframes for rectifying network faults and outages, or for conducting maintenance.</w:t>
      </w:r>
    </w:p>
    <w:sectPr w:rsidR="00F936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52342" w14:textId="77777777" w:rsidR="000B3745" w:rsidRDefault="000B3745" w:rsidP="00A27BCD">
      <w:pPr>
        <w:spacing w:after="0"/>
      </w:pPr>
      <w:r>
        <w:separator/>
      </w:r>
    </w:p>
  </w:endnote>
  <w:endnote w:type="continuationSeparator" w:id="0">
    <w:p w14:paraId="5A5729AB" w14:textId="77777777" w:rsidR="000B3745" w:rsidRDefault="000B3745" w:rsidP="00A27B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F9D83" w14:textId="0904D5AF" w:rsidR="00A27BCD" w:rsidRDefault="00A27BCD">
    <w:pPr>
      <w:pStyle w:val="Footer"/>
    </w:pPr>
    <w:r>
      <w:rPr>
        <w:noProof/>
      </w:rPr>
      <mc:AlternateContent>
        <mc:Choice Requires="wps">
          <w:drawing>
            <wp:anchor distT="0" distB="0" distL="0" distR="0" simplePos="0" relativeHeight="251658244" behindDoc="0" locked="0" layoutInCell="1" allowOverlap="1" wp14:anchorId="19865732" wp14:editId="254C601F">
              <wp:simplePos x="635" y="635"/>
              <wp:positionH relativeFrom="page">
                <wp:align>center</wp:align>
              </wp:positionH>
              <wp:positionV relativeFrom="page">
                <wp:align>bottom</wp:align>
              </wp:positionV>
              <wp:extent cx="726440" cy="407670"/>
              <wp:effectExtent l="0" t="0" r="16510" b="0"/>
              <wp:wrapNone/>
              <wp:docPr id="77577914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45DC2297" w14:textId="2927E555"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865732" id="_x0000_t202" coordsize="21600,21600" o:spt="202" path="m,l,21600r21600,l21600,xe">
              <v:stroke joinstyle="miter"/>
              <v:path gradientshapeok="t" o:connecttype="rect"/>
            </v:shapetype>
            <v:shape id="Text Box 5" o:spid="_x0000_s1028" type="#_x0000_t202" alt="OFFICIAL" style="position:absolute;margin-left:0;margin-top:0;width:57.2pt;height:32.1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" filled="f" stroked="f">
              <v:textbox style="mso-fit-shape-to-text:t" inset="0,0,0,15pt">
                <w:txbxContent>
                  <w:p w14:paraId="45DC2297" w14:textId="2927E555"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FB77" w14:textId="54654265" w:rsidR="00A27BCD" w:rsidRDefault="00A27BCD">
    <w:pPr>
      <w:pStyle w:val="Footer"/>
    </w:pPr>
    <w:r>
      <w:rPr>
        <w:noProof/>
      </w:rPr>
      <mc:AlternateContent>
        <mc:Choice Requires="wps">
          <w:drawing>
            <wp:anchor distT="0" distB="0" distL="0" distR="0" simplePos="0" relativeHeight="251658245" behindDoc="0" locked="0" layoutInCell="1" allowOverlap="1" wp14:anchorId="4BB0F16F" wp14:editId="1157DC34">
              <wp:simplePos x="914400" y="10306050"/>
              <wp:positionH relativeFrom="page">
                <wp:align>center</wp:align>
              </wp:positionH>
              <wp:positionV relativeFrom="page">
                <wp:align>bottom</wp:align>
              </wp:positionV>
              <wp:extent cx="726440" cy="407670"/>
              <wp:effectExtent l="0" t="0" r="16510" b="0"/>
              <wp:wrapNone/>
              <wp:docPr id="127184385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430EFE78" w14:textId="314516A3"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B0F16F" id="_x0000_t202" coordsize="21600,21600" o:spt="202" path="m,l,21600r21600,l21600,xe">
              <v:stroke joinstyle="miter"/>
              <v:path gradientshapeok="t" o:connecttype="rect"/>
            </v:shapetype>
            <v:shape id="Text Box 6" o:spid="_x0000_s1029" type="#_x0000_t202" alt="OFFICIAL" style="position:absolute;margin-left:0;margin-top:0;width:57.2pt;height:32.1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" filled="f" stroked="f">
              <v:textbox style="mso-fit-shape-to-text:t" inset="0,0,0,15pt">
                <w:txbxContent>
                  <w:p w14:paraId="430EFE78" w14:textId="314516A3"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62717" w14:textId="4DB8ADD5" w:rsidR="00A27BCD" w:rsidRDefault="00A27BCD">
    <w:pPr>
      <w:pStyle w:val="Footer"/>
    </w:pPr>
    <w:r>
      <w:rPr>
        <w:noProof/>
      </w:rPr>
      <mc:AlternateContent>
        <mc:Choice Requires="wps">
          <w:drawing>
            <wp:anchor distT="0" distB="0" distL="0" distR="0" simplePos="0" relativeHeight="251658243" behindDoc="0" locked="0" layoutInCell="1" allowOverlap="1" wp14:anchorId="40F19E11" wp14:editId="0730D4D8">
              <wp:simplePos x="635" y="635"/>
              <wp:positionH relativeFrom="page">
                <wp:align>center</wp:align>
              </wp:positionH>
              <wp:positionV relativeFrom="page">
                <wp:align>bottom</wp:align>
              </wp:positionV>
              <wp:extent cx="726440" cy="407670"/>
              <wp:effectExtent l="0" t="0" r="16510" b="0"/>
              <wp:wrapNone/>
              <wp:docPr id="40440008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0107249" w14:textId="71FD53D3"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F19E11" id="_x0000_t202" coordsize="21600,21600" o:spt="202" path="m,l,21600r21600,l21600,xe">
              <v:stroke joinstyle="miter"/>
              <v:path gradientshapeok="t" o:connecttype="rect"/>
            </v:shapetype>
            <v:shape id="Text Box 4" o:spid="_x0000_s1031" type="#_x0000_t202" alt="OFFICIAL" style="position:absolute;margin-left:0;margin-top:0;width:57.2pt;height:32.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" filled="f" stroked="f">
              <v:textbox style="mso-fit-shape-to-text:t" inset="0,0,0,15pt">
                <w:txbxContent>
                  <w:p w14:paraId="60107249" w14:textId="71FD53D3"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A2200" w14:textId="77777777" w:rsidR="000B3745" w:rsidRDefault="000B3745" w:rsidP="00A27BCD">
      <w:pPr>
        <w:spacing w:after="0"/>
      </w:pPr>
      <w:r>
        <w:separator/>
      </w:r>
    </w:p>
  </w:footnote>
  <w:footnote w:type="continuationSeparator" w:id="0">
    <w:p w14:paraId="496C460F" w14:textId="77777777" w:rsidR="000B3745" w:rsidRDefault="000B3745" w:rsidP="00A27B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C0CC" w14:textId="3AEDF2CF" w:rsidR="00A27BCD" w:rsidRDefault="00A27BCD">
    <w:pPr>
      <w:pStyle w:val="Header"/>
    </w:pPr>
    <w:r>
      <w:rPr>
        <w:noProof/>
      </w:rPr>
      <mc:AlternateContent>
        <mc:Choice Requires="wps">
          <w:drawing>
            <wp:anchor distT="0" distB="0" distL="0" distR="0" simplePos="0" relativeHeight="251658241" behindDoc="0" locked="0" layoutInCell="1" allowOverlap="1" wp14:anchorId="5588BB66" wp14:editId="3910A3BF">
              <wp:simplePos x="635" y="635"/>
              <wp:positionH relativeFrom="page">
                <wp:align>center</wp:align>
              </wp:positionH>
              <wp:positionV relativeFrom="page">
                <wp:align>top</wp:align>
              </wp:positionV>
              <wp:extent cx="726440" cy="407670"/>
              <wp:effectExtent l="0" t="0" r="16510" b="11430"/>
              <wp:wrapNone/>
              <wp:docPr id="19460643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1E5F3F8" w14:textId="5DCD3893"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88BB66" id="_x0000_t202" coordsize="21600,21600" o:spt="202" path="m,l,21600r21600,l21600,xe">
              <v:stroke joinstyle="miter"/>
              <v:path gradientshapeok="t" o:connecttype="rect"/>
            </v:shapetype>
            <v:shape id="Text Box 2" o:spid="_x0000_s1026" type="#_x0000_t202" alt="OFFICIAL" style="position:absolute;margin-left:0;margin-top:0;width:57.2pt;height:32.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textbox style="mso-fit-shape-to-text:t" inset="0,15pt,0,0">
                <w:txbxContent>
                  <w:p w14:paraId="31E5F3F8" w14:textId="5DCD3893"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ECE7B" w14:textId="508FA044" w:rsidR="00A27BCD" w:rsidRDefault="00A27BCD">
    <w:pPr>
      <w:pStyle w:val="Header"/>
    </w:pPr>
    <w:r>
      <w:rPr>
        <w:noProof/>
      </w:rPr>
      <mc:AlternateContent>
        <mc:Choice Requires="wps">
          <w:drawing>
            <wp:anchor distT="0" distB="0" distL="0" distR="0" simplePos="0" relativeHeight="251658242" behindDoc="0" locked="0" layoutInCell="1" allowOverlap="1" wp14:anchorId="310422E7" wp14:editId="6CCD3838">
              <wp:simplePos x="914400" y="0"/>
              <wp:positionH relativeFrom="page">
                <wp:align>center</wp:align>
              </wp:positionH>
              <wp:positionV relativeFrom="page">
                <wp:align>top</wp:align>
              </wp:positionV>
              <wp:extent cx="726440" cy="407670"/>
              <wp:effectExtent l="0" t="0" r="16510" b="11430"/>
              <wp:wrapNone/>
              <wp:docPr id="17796505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50A7B3A2" w14:textId="4CA3278A"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0422E7" id="_x0000_t202" coordsize="21600,21600" o:spt="202" path="m,l,21600r21600,l21600,xe">
              <v:stroke joinstyle="miter"/>
              <v:path gradientshapeok="t" o:connecttype="rect"/>
            </v:shapetype>
            <v:shape id="Text Box 3" o:spid="_x0000_s1027" type="#_x0000_t202" alt="OFFICIAL" style="position:absolute;margin-left:0;margin-top:0;width:57.2pt;height:32.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" filled="f" stroked="f">
              <v:textbox style="mso-fit-shape-to-text:t" inset="0,15pt,0,0">
                <w:txbxContent>
                  <w:p w14:paraId="50A7B3A2" w14:textId="4CA3278A"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5F75" w14:textId="4E1DEC5E" w:rsidR="00A27BCD" w:rsidRDefault="00A27BCD">
    <w:pPr>
      <w:pStyle w:val="Header"/>
    </w:pPr>
    <w:r>
      <w:rPr>
        <w:noProof/>
      </w:rPr>
      <mc:AlternateContent>
        <mc:Choice Requires="wps">
          <w:drawing>
            <wp:anchor distT="0" distB="0" distL="0" distR="0" simplePos="0" relativeHeight="251658240" behindDoc="0" locked="0" layoutInCell="1" allowOverlap="1" wp14:anchorId="6D01A218" wp14:editId="43BF967E">
              <wp:simplePos x="635" y="635"/>
              <wp:positionH relativeFrom="page">
                <wp:align>center</wp:align>
              </wp:positionH>
              <wp:positionV relativeFrom="page">
                <wp:align>top</wp:align>
              </wp:positionV>
              <wp:extent cx="726440" cy="407670"/>
              <wp:effectExtent l="0" t="0" r="16510" b="11430"/>
              <wp:wrapNone/>
              <wp:docPr id="24384315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7D90DFF" w14:textId="7CFAAF53"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01A218" id="_x0000_t202" coordsize="21600,21600" o:spt="202" path="m,l,21600r21600,l21600,xe">
              <v:stroke joinstyle="miter"/>
              <v:path gradientshapeok="t" o:connecttype="rect"/>
            </v:shapetype>
            <v:shape id="Text Box 1" o:spid="_x0000_s1030" type="#_x0000_t202" alt="OFFICIAL" style="position:absolute;margin-left:0;margin-top:0;width:57.2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HODQIAABw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U1H6bfQXWipTyc+Q5OrhtqvREBn4UngmlaEi0+&#10;0aFb6EoOF4uzGvyPv/ljPuFOUc46EkzJLSmas/abJT6itpIx/px/zOnmB/duMOzB3APJcEwvwslk&#10;xjxsB1N7MK8k51VsRCFhJbUrOQ7mPZ6VS89BqtUqJZGMnMCN3ToZS0e4IpYv/avw7gI4ElOPMKhJ&#10;FG9wP+fGP4NbHZDQT6REaM9AXhAnCSauLs8lavzXe8q6PerlTwA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0aIhzg0CAAAcBAAA&#10;DgAAAAAAAAAAAAAAAAAuAgAAZHJzL2Uyb0RvYy54bWxQSwECLQAUAAYACAAAACEApeHP4tkAAAAE&#10;AQAADwAAAAAAAAAAAAAAAABnBAAAZHJzL2Rvd25yZXYueG1sUEsFBgAAAAAEAAQA8wAAAG0FAAAA&#10;AA==&#10;" filled="f" stroked="f">
              <v:textbox style="mso-fit-shape-to-text:t" inset="0,15pt,0,0">
                <w:txbxContent>
                  <w:p w14:paraId="17D90DFF" w14:textId="7CFAAF53" w:rsidR="00A27BCD" w:rsidRPr="00A27BCD" w:rsidRDefault="00A27BCD" w:rsidP="00A27BCD">
                    <w:pPr>
                      <w:spacing w:after="0"/>
                      <w:rPr>
                        <w:rFonts w:ascii="Aptos" w:eastAsia="Aptos" w:hAnsi="Aptos" w:cs="Aptos"/>
                        <w:noProof/>
                        <w:color w:val="FF0000"/>
                        <w:sz w:val="28"/>
                        <w:szCs w:val="28"/>
                      </w:rPr>
                    </w:pPr>
                    <w:r w:rsidRPr="00A27BCD">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A2D1A"/>
    <w:multiLevelType w:val="hybridMultilevel"/>
    <w:tmpl w:val="F1586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22F2D20"/>
    <w:multiLevelType w:val="hybridMultilevel"/>
    <w:tmpl w:val="1AC69F2C"/>
    <w:lvl w:ilvl="0" w:tplc="8DEAB1F2">
      <w:start w:val="1"/>
      <w:numFmt w:val="bullet"/>
      <w:pStyle w:val="Bulletlevel1"/>
      <w:lvlText w:val=""/>
      <w:lvlJc w:val="left"/>
      <w:pPr>
        <w:ind w:left="360" w:hanging="360"/>
      </w:pPr>
      <w:rPr>
        <w:rFonts w:ascii="Symbol" w:hAnsi="Symbol" w:cs="Calibri" w:hint="default"/>
        <w:bCs w:val="0"/>
        <w:iCs w:val="0"/>
        <w:caps w:val="0"/>
        <w:strike w:val="0"/>
        <w:dstrike w:val="0"/>
        <w:vanish w:val="0"/>
        <w:webHidden w:val="0"/>
        <w:color w:val="0F293A"/>
        <w:sz w:val="22"/>
        <w:szCs w:val="22"/>
        <w:u w:val="none"/>
        <w:effect w:val="none"/>
        <w:vertAlign w:val="baseline"/>
        <w:specVanish w: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35D8656F"/>
    <w:multiLevelType w:val="hybridMultilevel"/>
    <w:tmpl w:val="C5586924"/>
    <w:lvl w:ilvl="0" w:tplc="5C824E54">
      <w:start w:val="1"/>
      <w:numFmt w:val="decimal"/>
      <w:lvlText w:val="%1."/>
      <w:lvlJc w:val="left"/>
      <w:pPr>
        <w:ind w:left="360" w:hanging="360"/>
      </w:pPr>
      <w:rPr>
        <w:rFonts w:hint="default"/>
        <w:b w:val="0"/>
        <w:i w:val="0"/>
        <w:color w:val="auto"/>
      </w:rPr>
    </w:lvl>
    <w:lvl w:ilvl="1" w:tplc="5ACE02DE">
      <w:start w:val="1"/>
      <w:numFmt w:val="lowerLetter"/>
      <w:lvlText w:val="%2."/>
      <w:lvlJc w:val="left"/>
      <w:pPr>
        <w:ind w:left="1080" w:hanging="360"/>
      </w:pPr>
    </w:lvl>
    <w:lvl w:ilvl="2" w:tplc="7A487D7E" w:tentative="1">
      <w:start w:val="1"/>
      <w:numFmt w:val="lowerRoman"/>
      <w:lvlText w:val="%3."/>
      <w:lvlJc w:val="right"/>
      <w:pPr>
        <w:ind w:left="1800" w:hanging="180"/>
      </w:pPr>
    </w:lvl>
    <w:lvl w:ilvl="3" w:tplc="D0087348" w:tentative="1">
      <w:start w:val="1"/>
      <w:numFmt w:val="decimal"/>
      <w:lvlText w:val="%4."/>
      <w:lvlJc w:val="left"/>
      <w:pPr>
        <w:ind w:left="2520" w:hanging="360"/>
      </w:pPr>
    </w:lvl>
    <w:lvl w:ilvl="4" w:tplc="E9FADA66" w:tentative="1">
      <w:start w:val="1"/>
      <w:numFmt w:val="lowerLetter"/>
      <w:lvlText w:val="%5."/>
      <w:lvlJc w:val="left"/>
      <w:pPr>
        <w:ind w:left="3240" w:hanging="360"/>
      </w:pPr>
    </w:lvl>
    <w:lvl w:ilvl="5" w:tplc="184EA874" w:tentative="1">
      <w:start w:val="1"/>
      <w:numFmt w:val="lowerRoman"/>
      <w:lvlText w:val="%6."/>
      <w:lvlJc w:val="right"/>
      <w:pPr>
        <w:ind w:left="3960" w:hanging="180"/>
      </w:pPr>
    </w:lvl>
    <w:lvl w:ilvl="6" w:tplc="DF44EDAC" w:tentative="1">
      <w:start w:val="1"/>
      <w:numFmt w:val="decimal"/>
      <w:lvlText w:val="%7."/>
      <w:lvlJc w:val="left"/>
      <w:pPr>
        <w:ind w:left="4680" w:hanging="360"/>
      </w:pPr>
    </w:lvl>
    <w:lvl w:ilvl="7" w:tplc="A8A8C978" w:tentative="1">
      <w:start w:val="1"/>
      <w:numFmt w:val="lowerLetter"/>
      <w:lvlText w:val="%8."/>
      <w:lvlJc w:val="left"/>
      <w:pPr>
        <w:ind w:left="5400" w:hanging="360"/>
      </w:pPr>
    </w:lvl>
    <w:lvl w:ilvl="8" w:tplc="8D50CDA8" w:tentative="1">
      <w:start w:val="1"/>
      <w:numFmt w:val="lowerRoman"/>
      <w:lvlText w:val="%9."/>
      <w:lvlJc w:val="right"/>
      <w:pPr>
        <w:ind w:left="6120" w:hanging="180"/>
      </w:pPr>
    </w:lvl>
  </w:abstractNum>
  <w:abstractNum w:abstractNumId="3" w15:restartNumberingAfterBreak="0">
    <w:nsid w:val="67E642E0"/>
    <w:multiLevelType w:val="hybridMultilevel"/>
    <w:tmpl w:val="9A5C38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520291A"/>
    <w:multiLevelType w:val="hybridMultilevel"/>
    <w:tmpl w:val="5FF48922"/>
    <w:lvl w:ilvl="0" w:tplc="733669B2">
      <w:start w:val="1"/>
      <w:numFmt w:val="bullet"/>
      <w:lvlText w:val=""/>
      <w:lvlJc w:val="left"/>
      <w:pPr>
        <w:ind w:left="360" w:hanging="360"/>
      </w:pPr>
      <w:rPr>
        <w:rFonts w:ascii="Symbol" w:hAnsi="Symbol" w:hint="default"/>
        <w:sz w:val="32"/>
        <w:szCs w:val="3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67590213">
    <w:abstractNumId w:val="1"/>
  </w:num>
  <w:num w:numId="2" w16cid:durableId="21133673">
    <w:abstractNumId w:val="2"/>
  </w:num>
  <w:num w:numId="3" w16cid:durableId="1125388916">
    <w:abstractNumId w:val="4"/>
  </w:num>
  <w:num w:numId="4" w16cid:durableId="86461081">
    <w:abstractNumId w:val="0"/>
  </w:num>
  <w:num w:numId="5" w16cid:durableId="1220556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19D"/>
    <w:rsid w:val="00025297"/>
    <w:rsid w:val="00025E58"/>
    <w:rsid w:val="00043B6E"/>
    <w:rsid w:val="000472A8"/>
    <w:rsid w:val="00064D3A"/>
    <w:rsid w:val="00067EC5"/>
    <w:rsid w:val="00071ED1"/>
    <w:rsid w:val="00083279"/>
    <w:rsid w:val="000A732E"/>
    <w:rsid w:val="000B3745"/>
    <w:rsid w:val="000C3088"/>
    <w:rsid w:val="000D04D5"/>
    <w:rsid w:val="000D0C93"/>
    <w:rsid w:val="000D5FA8"/>
    <w:rsid w:val="000E6ED3"/>
    <w:rsid w:val="00117ED6"/>
    <w:rsid w:val="0013695A"/>
    <w:rsid w:val="001643FF"/>
    <w:rsid w:val="00185A18"/>
    <w:rsid w:val="00196BBA"/>
    <w:rsid w:val="001A2B15"/>
    <w:rsid w:val="001D2A2E"/>
    <w:rsid w:val="001D332E"/>
    <w:rsid w:val="002034BF"/>
    <w:rsid w:val="00206836"/>
    <w:rsid w:val="0021120A"/>
    <w:rsid w:val="0022578F"/>
    <w:rsid w:val="00234E21"/>
    <w:rsid w:val="00235936"/>
    <w:rsid w:val="00250DD8"/>
    <w:rsid w:val="0025224E"/>
    <w:rsid w:val="00256433"/>
    <w:rsid w:val="00257B08"/>
    <w:rsid w:val="0026573A"/>
    <w:rsid w:val="00296C60"/>
    <w:rsid w:val="002A5B0B"/>
    <w:rsid w:val="002A619D"/>
    <w:rsid w:val="002C2F88"/>
    <w:rsid w:val="002C6DCA"/>
    <w:rsid w:val="002C7084"/>
    <w:rsid w:val="002D05D4"/>
    <w:rsid w:val="002D2A38"/>
    <w:rsid w:val="002D53C2"/>
    <w:rsid w:val="002E093D"/>
    <w:rsid w:val="003146FA"/>
    <w:rsid w:val="00327FE5"/>
    <w:rsid w:val="00364327"/>
    <w:rsid w:val="00377247"/>
    <w:rsid w:val="0037784F"/>
    <w:rsid w:val="00384186"/>
    <w:rsid w:val="003C09E4"/>
    <w:rsid w:val="003F754B"/>
    <w:rsid w:val="004309EB"/>
    <w:rsid w:val="0043747F"/>
    <w:rsid w:val="00451199"/>
    <w:rsid w:val="0048484E"/>
    <w:rsid w:val="00491A61"/>
    <w:rsid w:val="004B3055"/>
    <w:rsid w:val="004D261D"/>
    <w:rsid w:val="004E7E56"/>
    <w:rsid w:val="004F667F"/>
    <w:rsid w:val="004F7952"/>
    <w:rsid w:val="00512C06"/>
    <w:rsid w:val="00522898"/>
    <w:rsid w:val="00542C05"/>
    <w:rsid w:val="00564E3D"/>
    <w:rsid w:val="00576688"/>
    <w:rsid w:val="005B656E"/>
    <w:rsid w:val="005D2354"/>
    <w:rsid w:val="005D50A3"/>
    <w:rsid w:val="005E49E3"/>
    <w:rsid w:val="006004A9"/>
    <w:rsid w:val="0060061F"/>
    <w:rsid w:val="00600ACA"/>
    <w:rsid w:val="006055C0"/>
    <w:rsid w:val="006156BE"/>
    <w:rsid w:val="006163ED"/>
    <w:rsid w:val="00620E57"/>
    <w:rsid w:val="00633FA0"/>
    <w:rsid w:val="00646B39"/>
    <w:rsid w:val="00660BBB"/>
    <w:rsid w:val="006675A4"/>
    <w:rsid w:val="00670B64"/>
    <w:rsid w:val="00677BEE"/>
    <w:rsid w:val="006C4B23"/>
    <w:rsid w:val="006E2084"/>
    <w:rsid w:val="006E2411"/>
    <w:rsid w:val="00706F82"/>
    <w:rsid w:val="00713BE7"/>
    <w:rsid w:val="007160F5"/>
    <w:rsid w:val="00755633"/>
    <w:rsid w:val="00782D55"/>
    <w:rsid w:val="00795ADA"/>
    <w:rsid w:val="00796D9D"/>
    <w:rsid w:val="007A1A9B"/>
    <w:rsid w:val="007B5E43"/>
    <w:rsid w:val="007B6EE6"/>
    <w:rsid w:val="007D35CD"/>
    <w:rsid w:val="008017B6"/>
    <w:rsid w:val="00802158"/>
    <w:rsid w:val="008145C8"/>
    <w:rsid w:val="0082357F"/>
    <w:rsid w:val="00841E58"/>
    <w:rsid w:val="00847FF2"/>
    <w:rsid w:val="0085257A"/>
    <w:rsid w:val="00863F25"/>
    <w:rsid w:val="008A764D"/>
    <w:rsid w:val="008B1C53"/>
    <w:rsid w:val="008D770F"/>
    <w:rsid w:val="008F5469"/>
    <w:rsid w:val="00905DDC"/>
    <w:rsid w:val="0091237D"/>
    <w:rsid w:val="009178C2"/>
    <w:rsid w:val="00924F91"/>
    <w:rsid w:val="00933FE9"/>
    <w:rsid w:val="00936C5D"/>
    <w:rsid w:val="00936E75"/>
    <w:rsid w:val="009451A9"/>
    <w:rsid w:val="00970837"/>
    <w:rsid w:val="009715B7"/>
    <w:rsid w:val="009832A9"/>
    <w:rsid w:val="00987792"/>
    <w:rsid w:val="009A2E74"/>
    <w:rsid w:val="009C14D0"/>
    <w:rsid w:val="009C35E2"/>
    <w:rsid w:val="009D4E9E"/>
    <w:rsid w:val="009E116C"/>
    <w:rsid w:val="009E3CAA"/>
    <w:rsid w:val="00A17A63"/>
    <w:rsid w:val="00A24DB5"/>
    <w:rsid w:val="00A27BCD"/>
    <w:rsid w:val="00A3011B"/>
    <w:rsid w:val="00A6373A"/>
    <w:rsid w:val="00A85061"/>
    <w:rsid w:val="00A92D32"/>
    <w:rsid w:val="00AA0E09"/>
    <w:rsid w:val="00AE7E64"/>
    <w:rsid w:val="00AE7FD3"/>
    <w:rsid w:val="00AF0690"/>
    <w:rsid w:val="00AF5D6D"/>
    <w:rsid w:val="00B01BC5"/>
    <w:rsid w:val="00B358C6"/>
    <w:rsid w:val="00B377AE"/>
    <w:rsid w:val="00B463F7"/>
    <w:rsid w:val="00B52B4C"/>
    <w:rsid w:val="00B80DC2"/>
    <w:rsid w:val="00BA48EF"/>
    <w:rsid w:val="00C019D2"/>
    <w:rsid w:val="00C1186E"/>
    <w:rsid w:val="00C257E5"/>
    <w:rsid w:val="00C267FB"/>
    <w:rsid w:val="00C33EAE"/>
    <w:rsid w:val="00C73116"/>
    <w:rsid w:val="00C806EF"/>
    <w:rsid w:val="00CB5555"/>
    <w:rsid w:val="00CB76A4"/>
    <w:rsid w:val="00D01F9D"/>
    <w:rsid w:val="00D13FE5"/>
    <w:rsid w:val="00D92E92"/>
    <w:rsid w:val="00D9314C"/>
    <w:rsid w:val="00D94ADD"/>
    <w:rsid w:val="00DA1BDA"/>
    <w:rsid w:val="00DA7BA3"/>
    <w:rsid w:val="00DC46D3"/>
    <w:rsid w:val="00DD47F2"/>
    <w:rsid w:val="00DE759B"/>
    <w:rsid w:val="00DF2EAC"/>
    <w:rsid w:val="00E05E43"/>
    <w:rsid w:val="00E12C3F"/>
    <w:rsid w:val="00E543D2"/>
    <w:rsid w:val="00E60182"/>
    <w:rsid w:val="00E76046"/>
    <w:rsid w:val="00E76AA8"/>
    <w:rsid w:val="00E771C2"/>
    <w:rsid w:val="00E864FF"/>
    <w:rsid w:val="00E86A5A"/>
    <w:rsid w:val="00E873DA"/>
    <w:rsid w:val="00EC57E1"/>
    <w:rsid w:val="00EE26CE"/>
    <w:rsid w:val="00F12EBD"/>
    <w:rsid w:val="00F21ED1"/>
    <w:rsid w:val="00F32B88"/>
    <w:rsid w:val="00F41C23"/>
    <w:rsid w:val="00F73E51"/>
    <w:rsid w:val="00F81499"/>
    <w:rsid w:val="00F83396"/>
    <w:rsid w:val="00F9224E"/>
    <w:rsid w:val="00F93680"/>
    <w:rsid w:val="00FB407D"/>
    <w:rsid w:val="00FC57AB"/>
    <w:rsid w:val="00FD5E55"/>
    <w:rsid w:val="00FF61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4A53B"/>
  <w15:chartTrackingRefBased/>
  <w15:docId w15:val="{2BA79424-E24C-471B-92B5-49CF5811D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19D"/>
    <w:pPr>
      <w:spacing w:after="200" w:line="240" w:lineRule="auto"/>
    </w:pPr>
    <w:rPr>
      <w:rFonts w:eastAsiaTheme="minorEastAsia"/>
      <w:lang w:eastAsia="zh-TW"/>
    </w:rPr>
  </w:style>
  <w:style w:type="paragraph" w:styleId="Heading1">
    <w:name w:val="heading 1"/>
    <w:basedOn w:val="Normal"/>
    <w:next w:val="Normal"/>
    <w:link w:val="Heading1Char"/>
    <w:uiPriority w:val="9"/>
    <w:qFormat/>
    <w:rsid w:val="002A619D"/>
    <w:pPr>
      <w:keepNext/>
      <w:spacing w:before="3000" w:after="1080"/>
      <w:jc w:val="center"/>
      <w:outlineLvl w:val="0"/>
    </w:pPr>
    <w:rPr>
      <w:rFonts w:asciiTheme="majorHAnsi" w:eastAsiaTheme="majorEastAsia" w:hAnsiTheme="majorHAnsi" w:cstheme="majorBidi"/>
      <w:b/>
      <w:sz w:val="48"/>
      <w:szCs w:val="32"/>
      <w:lang w:eastAsia="en-US"/>
    </w:rPr>
  </w:style>
  <w:style w:type="paragraph" w:styleId="Heading2">
    <w:name w:val="heading 2"/>
    <w:basedOn w:val="Normal"/>
    <w:next w:val="Normal"/>
    <w:link w:val="Heading2Char"/>
    <w:uiPriority w:val="9"/>
    <w:semiHidden/>
    <w:unhideWhenUsed/>
    <w:qFormat/>
    <w:rsid w:val="002A619D"/>
    <w:pPr>
      <w:keepNext/>
      <w:outlineLvl w:val="1"/>
    </w:pPr>
    <w:rPr>
      <w:rFonts w:asciiTheme="majorHAnsi" w:eastAsiaTheme="majorEastAsia" w:hAnsiTheme="majorHAnsi" w:cstheme="majorBidi"/>
      <w:b/>
      <w:sz w:val="36"/>
      <w:szCs w:val="26"/>
      <w:lang w:eastAsia="en-US"/>
    </w:rPr>
  </w:style>
  <w:style w:type="paragraph" w:styleId="Heading3">
    <w:name w:val="heading 3"/>
    <w:basedOn w:val="Normal"/>
    <w:next w:val="Normal"/>
    <w:link w:val="Heading3Char"/>
    <w:uiPriority w:val="9"/>
    <w:semiHidden/>
    <w:unhideWhenUsed/>
    <w:qFormat/>
    <w:rsid w:val="002A619D"/>
    <w:pPr>
      <w:keepNext/>
      <w:spacing w:after="120"/>
      <w:outlineLvl w:val="2"/>
    </w:pPr>
    <w:rPr>
      <w:rFonts w:asciiTheme="majorHAnsi" w:eastAsiaTheme="majorEastAsia" w:hAnsiTheme="majorHAnsi" w:cstheme="majorBidi"/>
      <w:b/>
      <w:sz w:val="30"/>
      <w:szCs w:val="24"/>
      <w:lang w:eastAsia="en-US"/>
    </w:rPr>
  </w:style>
  <w:style w:type="paragraph" w:styleId="Heading4">
    <w:name w:val="heading 4"/>
    <w:basedOn w:val="Normal"/>
    <w:next w:val="Normal"/>
    <w:link w:val="Heading4Char"/>
    <w:uiPriority w:val="9"/>
    <w:semiHidden/>
    <w:unhideWhenUsed/>
    <w:qFormat/>
    <w:rsid w:val="003C09E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19D"/>
    <w:rPr>
      <w:rFonts w:asciiTheme="majorHAnsi" w:eastAsiaTheme="majorEastAsia" w:hAnsiTheme="majorHAnsi" w:cstheme="majorBidi"/>
      <w:b/>
      <w:sz w:val="48"/>
      <w:szCs w:val="32"/>
    </w:rPr>
  </w:style>
  <w:style w:type="character" w:customStyle="1" w:styleId="Heading2Char">
    <w:name w:val="Heading 2 Char"/>
    <w:basedOn w:val="DefaultParagraphFont"/>
    <w:link w:val="Heading2"/>
    <w:uiPriority w:val="9"/>
    <w:semiHidden/>
    <w:rsid w:val="002A619D"/>
    <w:rPr>
      <w:rFonts w:asciiTheme="majorHAnsi" w:eastAsiaTheme="majorEastAsia" w:hAnsiTheme="majorHAnsi" w:cstheme="majorBidi"/>
      <w:b/>
      <w:sz w:val="36"/>
      <w:szCs w:val="26"/>
    </w:rPr>
  </w:style>
  <w:style w:type="character" w:customStyle="1" w:styleId="Heading3Char">
    <w:name w:val="Heading 3 Char"/>
    <w:basedOn w:val="DefaultParagraphFont"/>
    <w:link w:val="Heading3"/>
    <w:uiPriority w:val="9"/>
    <w:semiHidden/>
    <w:rsid w:val="002A619D"/>
    <w:rPr>
      <w:rFonts w:asciiTheme="majorHAnsi" w:eastAsiaTheme="majorEastAsia" w:hAnsiTheme="majorHAnsi" w:cstheme="majorBidi"/>
      <w:b/>
      <w:sz w:val="30"/>
      <w:szCs w:val="24"/>
    </w:rPr>
  </w:style>
  <w:style w:type="character" w:styleId="Hyperlink">
    <w:name w:val="Hyperlink"/>
    <w:basedOn w:val="DefaultParagraphFont"/>
    <w:uiPriority w:val="99"/>
    <w:unhideWhenUsed/>
    <w:rsid w:val="002A619D"/>
    <w:rPr>
      <w:color w:val="FFC000" w:themeColor="accent4"/>
      <w:u w:val="single"/>
    </w:rPr>
  </w:style>
  <w:style w:type="paragraph" w:styleId="TOC1">
    <w:name w:val="toc 1"/>
    <w:basedOn w:val="Normal"/>
    <w:next w:val="Normal"/>
    <w:autoRedefine/>
    <w:uiPriority w:val="39"/>
    <w:unhideWhenUsed/>
    <w:rsid w:val="002A619D"/>
    <w:pPr>
      <w:tabs>
        <w:tab w:val="right" w:leader="dot" w:pos="9072"/>
      </w:tabs>
      <w:spacing w:before="120" w:after="0"/>
    </w:pPr>
    <w:rPr>
      <w:b/>
      <w:sz w:val="24"/>
    </w:rPr>
  </w:style>
  <w:style w:type="paragraph" w:styleId="TOC2">
    <w:name w:val="toc 2"/>
    <w:basedOn w:val="Normal"/>
    <w:next w:val="Normal"/>
    <w:autoRedefine/>
    <w:uiPriority w:val="39"/>
    <w:unhideWhenUsed/>
    <w:rsid w:val="002A619D"/>
    <w:pPr>
      <w:tabs>
        <w:tab w:val="right" w:leader="dot" w:pos="9072"/>
      </w:tabs>
      <w:spacing w:after="0"/>
      <w:ind w:left="567"/>
    </w:pPr>
  </w:style>
  <w:style w:type="paragraph" w:customStyle="1" w:styleId="Bulletlevel1">
    <w:name w:val="Bullet level 1"/>
    <w:basedOn w:val="Normal"/>
    <w:qFormat/>
    <w:rsid w:val="002A619D"/>
    <w:pPr>
      <w:numPr>
        <w:numId w:val="1"/>
      </w:numPr>
      <w:ind w:left="567" w:hanging="567"/>
      <w:contextualSpacing/>
    </w:pPr>
    <w:rPr>
      <w:rFonts w:eastAsiaTheme="minorHAnsi"/>
      <w:lang w:eastAsia="en-US"/>
    </w:rPr>
  </w:style>
  <w:style w:type="paragraph" w:customStyle="1" w:styleId="Heading2-notshowing">
    <w:name w:val="Heading 2 - not showing"/>
    <w:basedOn w:val="Heading2"/>
    <w:qFormat/>
    <w:rsid w:val="002A619D"/>
    <w:pPr>
      <w:spacing w:after="120"/>
    </w:pPr>
    <w:rPr>
      <w:sz w:val="32"/>
    </w:rPr>
  </w:style>
  <w:style w:type="paragraph" w:customStyle="1" w:styleId="reporttitle">
    <w:name w:val="report title"/>
    <w:basedOn w:val="Normal"/>
    <w:qFormat/>
    <w:rsid w:val="002A619D"/>
    <w:pPr>
      <w:spacing w:after="4080"/>
      <w:jc w:val="center"/>
    </w:pPr>
    <w:rPr>
      <w:sz w:val="44"/>
      <w:szCs w:val="44"/>
    </w:rPr>
  </w:style>
  <w:style w:type="paragraph" w:customStyle="1" w:styleId="monthyearoncover">
    <w:name w:val="month/year on cover"/>
    <w:basedOn w:val="Normal"/>
    <w:qFormat/>
    <w:rsid w:val="002A619D"/>
    <w:pPr>
      <w:spacing w:after="0"/>
      <w:jc w:val="right"/>
    </w:pPr>
    <w:rPr>
      <w:lang w:eastAsia="en-US"/>
    </w:rPr>
  </w:style>
  <w:style w:type="paragraph" w:styleId="Header">
    <w:name w:val="header"/>
    <w:basedOn w:val="Normal"/>
    <w:link w:val="HeaderChar"/>
    <w:uiPriority w:val="99"/>
    <w:unhideWhenUsed/>
    <w:rsid w:val="00A27BCD"/>
    <w:pPr>
      <w:tabs>
        <w:tab w:val="center" w:pos="4513"/>
        <w:tab w:val="right" w:pos="9026"/>
      </w:tabs>
      <w:spacing w:after="0"/>
    </w:pPr>
  </w:style>
  <w:style w:type="character" w:customStyle="1" w:styleId="HeaderChar">
    <w:name w:val="Header Char"/>
    <w:basedOn w:val="DefaultParagraphFont"/>
    <w:link w:val="Header"/>
    <w:uiPriority w:val="99"/>
    <w:rsid w:val="00A27BCD"/>
    <w:rPr>
      <w:rFonts w:eastAsiaTheme="minorEastAsia"/>
      <w:lang w:eastAsia="zh-TW"/>
    </w:rPr>
  </w:style>
  <w:style w:type="paragraph" w:styleId="Footer">
    <w:name w:val="footer"/>
    <w:basedOn w:val="Normal"/>
    <w:link w:val="FooterChar"/>
    <w:uiPriority w:val="99"/>
    <w:unhideWhenUsed/>
    <w:rsid w:val="00A27BCD"/>
    <w:pPr>
      <w:tabs>
        <w:tab w:val="center" w:pos="4513"/>
        <w:tab w:val="right" w:pos="9026"/>
      </w:tabs>
      <w:spacing w:after="0"/>
    </w:pPr>
  </w:style>
  <w:style w:type="character" w:customStyle="1" w:styleId="FooterChar">
    <w:name w:val="Footer Char"/>
    <w:basedOn w:val="DefaultParagraphFont"/>
    <w:link w:val="Footer"/>
    <w:uiPriority w:val="99"/>
    <w:rsid w:val="00A27BCD"/>
    <w:rPr>
      <w:rFonts w:eastAsiaTheme="minorEastAsia"/>
      <w:lang w:eastAsia="zh-TW"/>
    </w:rPr>
  </w:style>
  <w:style w:type="paragraph" w:styleId="ListParagraph">
    <w:name w:val="List Paragraph"/>
    <w:aliases w:val="CAB - List Bullet,List Bullet Cab,Bullet List,Bullet list,Bulletr List Paragraph,FooterText,List Paragraph1,List Paragraph11,List Paragraph2,List Paragraph21,Listeafsnit1,Listenabsatz,Paragraphe de liste1,Parágrafo da Lista1,Bullet 1,L,列"/>
    <w:basedOn w:val="Normal"/>
    <w:link w:val="ListParagraphChar"/>
    <w:uiPriority w:val="34"/>
    <w:qFormat/>
    <w:rsid w:val="00847FF2"/>
    <w:pPr>
      <w:spacing w:line="276" w:lineRule="auto"/>
      <w:ind w:left="720"/>
      <w:contextualSpacing/>
    </w:pPr>
    <w:rPr>
      <w:rFonts w:eastAsiaTheme="minorHAnsi"/>
      <w:lang w:eastAsia="en-US"/>
    </w:rPr>
  </w:style>
  <w:style w:type="character" w:customStyle="1" w:styleId="ListParagraphChar">
    <w:name w:val="List Paragraph Char"/>
    <w:aliases w:val="CAB - List Bullet Char,List Bullet Cab Char,Bullet List Char,Bullet list Char,Bulletr List Paragraph Char,FooterText Char,List Paragraph1 Char,List Paragraph11 Char,List Paragraph2 Char,List Paragraph21 Char,Listeafsnit1 Char,L Char"/>
    <w:basedOn w:val="DefaultParagraphFont"/>
    <w:link w:val="ListParagraph"/>
    <w:uiPriority w:val="34"/>
    <w:qFormat/>
    <w:rsid w:val="00847FF2"/>
  </w:style>
  <w:style w:type="character" w:styleId="CommentReference">
    <w:name w:val="annotation reference"/>
    <w:basedOn w:val="DefaultParagraphFont"/>
    <w:uiPriority w:val="99"/>
    <w:semiHidden/>
    <w:unhideWhenUsed/>
    <w:rsid w:val="00C267FB"/>
    <w:rPr>
      <w:sz w:val="16"/>
      <w:szCs w:val="16"/>
    </w:rPr>
  </w:style>
  <w:style w:type="paragraph" w:styleId="CommentText">
    <w:name w:val="annotation text"/>
    <w:basedOn w:val="Normal"/>
    <w:link w:val="CommentTextChar"/>
    <w:uiPriority w:val="99"/>
    <w:unhideWhenUsed/>
    <w:rsid w:val="00C267FB"/>
    <w:rPr>
      <w:sz w:val="20"/>
      <w:szCs w:val="20"/>
    </w:rPr>
  </w:style>
  <w:style w:type="character" w:customStyle="1" w:styleId="CommentTextChar">
    <w:name w:val="Comment Text Char"/>
    <w:basedOn w:val="DefaultParagraphFont"/>
    <w:link w:val="CommentText"/>
    <w:uiPriority w:val="99"/>
    <w:rsid w:val="00C267FB"/>
    <w:rPr>
      <w:rFonts w:eastAsiaTheme="minorEastAsia"/>
      <w:sz w:val="20"/>
      <w:szCs w:val="20"/>
      <w:lang w:eastAsia="zh-TW"/>
    </w:rPr>
  </w:style>
  <w:style w:type="paragraph" w:styleId="CommentSubject">
    <w:name w:val="annotation subject"/>
    <w:basedOn w:val="CommentText"/>
    <w:next w:val="CommentText"/>
    <w:link w:val="CommentSubjectChar"/>
    <w:uiPriority w:val="99"/>
    <w:semiHidden/>
    <w:unhideWhenUsed/>
    <w:rsid w:val="00C267FB"/>
    <w:rPr>
      <w:b/>
      <w:bCs/>
    </w:rPr>
  </w:style>
  <w:style w:type="character" w:customStyle="1" w:styleId="CommentSubjectChar">
    <w:name w:val="Comment Subject Char"/>
    <w:basedOn w:val="CommentTextChar"/>
    <w:link w:val="CommentSubject"/>
    <w:uiPriority w:val="99"/>
    <w:semiHidden/>
    <w:rsid w:val="00C267FB"/>
    <w:rPr>
      <w:rFonts w:eastAsiaTheme="minorEastAsia"/>
      <w:b/>
      <w:bCs/>
      <w:sz w:val="20"/>
      <w:szCs w:val="20"/>
      <w:lang w:eastAsia="zh-TW"/>
    </w:rPr>
  </w:style>
  <w:style w:type="character" w:customStyle="1" w:styleId="Heading4Char">
    <w:name w:val="Heading 4 Char"/>
    <w:basedOn w:val="DefaultParagraphFont"/>
    <w:link w:val="Heading4"/>
    <w:uiPriority w:val="9"/>
    <w:semiHidden/>
    <w:rsid w:val="003C09E4"/>
    <w:rPr>
      <w:rFonts w:asciiTheme="majorHAnsi" w:eastAsiaTheme="majorEastAsia" w:hAnsiTheme="majorHAnsi" w:cstheme="majorBidi"/>
      <w:i/>
      <w:iCs/>
      <w:color w:val="2F5496" w:themeColor="accent1" w:themeShade="BF"/>
      <w:lang w:eastAsia="zh-TW"/>
    </w:rPr>
  </w:style>
  <w:style w:type="character" w:styleId="UnresolvedMention">
    <w:name w:val="Unresolved Mention"/>
    <w:basedOn w:val="DefaultParagraphFont"/>
    <w:uiPriority w:val="99"/>
    <w:semiHidden/>
    <w:unhideWhenUsed/>
    <w:rsid w:val="00DA1BDA"/>
    <w:rPr>
      <w:color w:val="605E5C"/>
      <w:shd w:val="clear" w:color="auto" w:fill="E1DFDD"/>
    </w:rPr>
  </w:style>
  <w:style w:type="paragraph" w:styleId="Revision">
    <w:name w:val="Revision"/>
    <w:hidden/>
    <w:uiPriority w:val="99"/>
    <w:semiHidden/>
    <w:rsid w:val="00F12EBD"/>
    <w:pPr>
      <w:spacing w:after="0" w:line="240" w:lineRule="auto"/>
    </w:pPr>
    <w:rPr>
      <w:rFonts w:eastAsiaTheme="minorEastAsia"/>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52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ecurityClassification xmlns="3C28AD72-40F7-44A2-9B6D-F2E77D868E6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DMS Document" ma:contentTypeID="0x010100266966F133664895A6EE3632470D45F500F7BADEFC95A6574CB4AAA745F7A75A44" ma:contentTypeVersion="" ma:contentTypeDescription="PDMS Document Site Content Type" ma:contentTypeScope="" ma:versionID="1e8bd3034d3d8a312bd57aafec6afc0c">
  <xsd:schema xmlns:xsd="http://www.w3.org/2001/XMLSchema" xmlns:xs="http://www.w3.org/2001/XMLSchema" xmlns:p="http://schemas.microsoft.com/office/2006/metadata/properties" xmlns:ns2="3C28AD72-40F7-44A2-9B6D-F2E77D868E6E" targetNamespace="http://schemas.microsoft.com/office/2006/metadata/properties" ma:root="true" ma:fieldsID="52262c7af56ef0f793b7e287cf01f9bf" ns2:_="">
    <xsd:import namespace="3C28AD72-40F7-44A2-9B6D-F2E77D868E6E"/>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8AD72-40F7-44A2-9B6D-F2E77D868E6E"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505B6A-4689-4C0D-9EA5-713DDAA471D6}">
  <ds:schemaRefs>
    <ds:schemaRef ds:uri="http://schemas.microsoft.com/office/2006/metadata/properties"/>
    <ds:schemaRef ds:uri="http://schemas.microsoft.com/office/infopath/2007/PartnerControls"/>
    <ds:schemaRef ds:uri="3C28AD72-40F7-44A2-9B6D-F2E77D868E6E"/>
  </ds:schemaRefs>
</ds:datastoreItem>
</file>

<file path=customXml/itemProps2.xml><?xml version="1.0" encoding="utf-8"?>
<ds:datastoreItem xmlns:ds="http://schemas.openxmlformats.org/officeDocument/2006/customXml" ds:itemID="{8C8BAD42-6B9A-4423-A406-59C6C81F8764}">
  <ds:schemaRefs>
    <ds:schemaRef ds:uri="http://schemas.openxmlformats.org/officeDocument/2006/bibliography"/>
  </ds:schemaRefs>
</ds:datastoreItem>
</file>

<file path=customXml/itemProps3.xml><?xml version="1.0" encoding="utf-8"?>
<ds:datastoreItem xmlns:ds="http://schemas.openxmlformats.org/officeDocument/2006/customXml" ds:itemID="{F10E2433-C4DB-4314-8782-498094273C54}">
  <ds:schemaRefs>
    <ds:schemaRef ds:uri="http://schemas.microsoft.com/sharepoint/v3/contenttype/forms"/>
  </ds:schemaRefs>
</ds:datastoreItem>
</file>

<file path=customXml/itemProps4.xml><?xml version="1.0" encoding="utf-8"?>
<ds:datastoreItem xmlns:ds="http://schemas.openxmlformats.org/officeDocument/2006/customXml" ds:itemID="{A4F4F6A9-7039-4397-8091-007F2B9C7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8AD72-40F7-44A2-9B6D-F2E77D868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e08a618-4c1e-4517-8ef1-59cb63d68e36}" enabled="1" method="Privileged" siteId="{aa21b640-bac2-456d-8505-f2cc07f51784}"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Legislation Amendment (Universal Outdoor Mobile Obligation) Bill Inquiry</dc:title>
  <dc:subject/>
  <dc:creator>Australian Government</dc:creator>
  <cp:keywords/>
  <dc:description/>
  <cp:revision>2</cp:revision>
  <dcterms:created xsi:type="dcterms:W3CDTF">2026-09-17T04:39:00Z</dcterms:created>
  <dcterms:modified xsi:type="dcterms:W3CDTF">2026-09-17T04:39:00Z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0x010100266966F133664895A6EE3632470D45F500F7BADEFC95A6574CB4AAA745F7A75A44</vt:lpwstr>
  </property>
  <property fmtid="{D5CDD505-2E9C-101B-9397-08002B2CF9AE}" pid="3" name="TrimRevisionNumber">
    <vt:i4>6</vt:i4>
  </property>
  <property fmtid="{D5CDD505-2E9C-101B-9397-08002B2CF9AE}" pid="4" name="ClassificationContentMarkingHeaderShapeIds">
    <vt:lpwstr>e88c056,73fe95ba,a9b87fb</vt:lpwstr>
  </property>
  <property fmtid="{D5CDD505-2E9C-101B-9397-08002B2CF9AE}" pid="5" name="ClassificationContentMarkingHeaderFontProps">
    <vt:lpwstr>#ff0000,14,Aptos</vt:lpwstr>
  </property>
  <property fmtid="{D5CDD505-2E9C-101B-9397-08002B2CF9AE}" pid="6" name="ClassificationContentMarkingHeaderText">
    <vt:lpwstr>OFFICIAL</vt:lpwstr>
  </property>
  <property fmtid="{D5CDD505-2E9C-101B-9397-08002B2CF9AE}" pid="7" name="ClassificationContentMarkingFooterShapeIds">
    <vt:lpwstr>181aa7d4,2e3d7348,4bcecc0f</vt:lpwstr>
  </property>
  <property fmtid="{D5CDD505-2E9C-101B-9397-08002B2CF9AE}" pid="8" name="ClassificationContentMarkingFooterFontProps">
    <vt:lpwstr>#ff0000,14,Aptos</vt:lpwstr>
  </property>
  <property fmtid="{D5CDD505-2E9C-101B-9397-08002B2CF9AE}" pid="9" name="ClassificationContentMarkingFooterText">
    <vt:lpwstr>OFFICIAL</vt:lpwstr>
  </property>
</Properties>
</file>