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DC1B5" w14:textId="77777777" w:rsidR="00906533" w:rsidRDefault="00247ED9" w:rsidP="00822DBF">
      <w:pPr>
        <w:spacing w:after="0"/>
        <w:ind w:left="-1418"/>
      </w:pPr>
      <w:r>
        <w:rPr>
          <w:noProof/>
        </w:rPr>
        <w:drawing>
          <wp:inline distT="0" distB="0" distL="0" distR="0" wp14:anchorId="3784A344" wp14:editId="76784A75">
            <wp:extent cx="7538135" cy="1936750"/>
            <wp:effectExtent l="0" t="0" r="5715" b="6350"/>
            <wp:docPr id="3" name="Picture 3"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with-inlin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9010" cy="1947252"/>
                    </a:xfrm>
                    <a:prstGeom prst="rect">
                      <a:avLst/>
                    </a:prstGeom>
                  </pic:spPr>
                </pic:pic>
              </a:graphicData>
            </a:graphic>
          </wp:inline>
        </w:drawing>
      </w:r>
    </w:p>
    <w:p w14:paraId="74A0AD1C" w14:textId="77777777" w:rsidR="00D13C03" w:rsidRDefault="00D13C03" w:rsidP="00906533">
      <w:pPr>
        <w:spacing w:after="0"/>
        <w:sectPr w:rsidR="00D13C03" w:rsidSect="00EA415A">
          <w:headerReference w:type="even" r:id="rId9"/>
          <w:headerReference w:type="default" r:id="rId10"/>
          <w:footerReference w:type="even" r:id="rId11"/>
          <w:footerReference w:type="default" r:id="rId12"/>
          <w:footerReference w:type="first" r:id="rId13"/>
          <w:pgSz w:w="11906" w:h="16838"/>
          <w:pgMar w:top="0" w:right="991" w:bottom="1276" w:left="1440" w:header="0" w:footer="0" w:gutter="0"/>
          <w:cols w:space="708"/>
          <w:titlePg/>
          <w:docGrid w:linePitch="360"/>
        </w:sectPr>
      </w:pPr>
    </w:p>
    <w:p w14:paraId="0D3224A1" w14:textId="381669B0" w:rsidR="00054EF4" w:rsidRPr="00DB2237" w:rsidRDefault="009F610F" w:rsidP="00DB2237">
      <w:pPr>
        <w:pStyle w:val="Heading1"/>
      </w:pPr>
      <w:r>
        <w:t>Audit and Risk Committee Charter</w:t>
      </w:r>
    </w:p>
    <w:p w14:paraId="2A866F89" w14:textId="2C5B408D" w:rsidR="00054EF4" w:rsidRPr="00B041CB" w:rsidRDefault="00741729" w:rsidP="00054EF4">
      <w:pPr>
        <w:suppressAutoHyphens/>
        <w:spacing w:before="160" w:after="80"/>
        <w:rPr>
          <w:rFonts w:eastAsia="Calibri" w:cs="Times New Roman"/>
          <w:b/>
          <w:color w:val="081E3E"/>
          <w:kern w:val="12"/>
          <w:szCs w:val="20"/>
        </w:rPr>
      </w:pPr>
      <w:r>
        <w:rPr>
          <w:rFonts w:eastAsia="Calibri" w:cs="Times New Roman"/>
          <w:b/>
          <w:color w:val="081E3E"/>
          <w:kern w:val="12"/>
          <w:szCs w:val="20"/>
        </w:rPr>
        <w:t>February</w:t>
      </w:r>
      <w:r w:rsidR="00054EF4" w:rsidRPr="00B041CB">
        <w:rPr>
          <w:rFonts w:eastAsia="Calibri" w:cs="Times New Roman"/>
          <w:b/>
          <w:color w:val="081E3E"/>
          <w:kern w:val="12"/>
          <w:szCs w:val="20"/>
        </w:rPr>
        <w:t xml:space="preserve"> </w:t>
      </w:r>
      <w:r w:rsidR="00054EF4">
        <w:rPr>
          <w:rFonts w:eastAsia="Calibri" w:cs="Times New Roman"/>
          <w:b/>
          <w:color w:val="081E3E"/>
          <w:kern w:val="12"/>
          <w:szCs w:val="20"/>
        </w:rPr>
        <w:t>2026</w:t>
      </w:r>
    </w:p>
    <w:p w14:paraId="5FA34C41" w14:textId="77777777" w:rsidR="00B041CB" w:rsidRPr="00B041CB" w:rsidRDefault="00B041CB" w:rsidP="00906533">
      <w:pPr>
        <w:pBdr>
          <w:bottom w:val="single" w:sz="4" w:space="1" w:color="C0D48F"/>
        </w:pBdr>
        <w:suppressAutoHyphens/>
        <w:spacing w:before="160" w:after="360"/>
        <w:rPr>
          <w:rFonts w:eastAsia="Calibri" w:cs="Times New Roman"/>
          <w:color w:val="000000"/>
          <w:kern w:val="12"/>
          <w:szCs w:val="20"/>
        </w:rPr>
      </w:pPr>
    </w:p>
    <w:p w14:paraId="16B14969" w14:textId="77777777" w:rsidR="00FE6ADD" w:rsidRDefault="00FE6ADD" w:rsidP="00906533">
      <w:pPr>
        <w:pStyle w:val="Subtitle"/>
        <w:spacing w:before="0" w:after="0"/>
        <w:sectPr w:rsidR="00FE6ADD" w:rsidSect="00953CCD">
          <w:type w:val="continuous"/>
          <w:pgSz w:w="11906" w:h="16838"/>
          <w:pgMar w:top="1276" w:right="991" w:bottom="1276" w:left="1440" w:header="567" w:footer="0" w:gutter="0"/>
          <w:cols w:space="708"/>
          <w:titlePg/>
          <w:docGrid w:linePitch="360"/>
        </w:sectPr>
      </w:pPr>
    </w:p>
    <w:p w14:paraId="1FA6E075" w14:textId="77777777" w:rsidR="009E5D5A" w:rsidRDefault="009E5D5A" w:rsidP="00400B86">
      <w:pPr>
        <w:pStyle w:val="Heading2"/>
      </w:pPr>
      <w:bookmarkStart w:id="0" w:name="_How_to_add"/>
      <w:bookmarkEnd w:id="0"/>
      <w:r>
        <w:t>Introduction</w:t>
      </w:r>
    </w:p>
    <w:p w14:paraId="5FFDA5A5" w14:textId="1F443391" w:rsidR="009E5D5A" w:rsidRPr="0067529E" w:rsidRDefault="009E5D5A" w:rsidP="005F616A">
      <w:pPr>
        <w:pStyle w:val="ListLegal1"/>
        <w:numPr>
          <w:ilvl w:val="0"/>
          <w:numId w:val="23"/>
        </w:numPr>
        <w:tabs>
          <w:tab w:val="clear" w:pos="-439"/>
        </w:tabs>
        <w:spacing w:before="80" w:after="80"/>
        <w:ind w:left="567" w:hanging="567"/>
      </w:pPr>
      <w:r w:rsidRPr="0067529E">
        <w:t xml:space="preserve">The </w:t>
      </w:r>
      <w:r>
        <w:rPr>
          <w:lang w:val="en-US"/>
        </w:rPr>
        <w:t xml:space="preserve">Secretary has established </w:t>
      </w:r>
      <w:r w:rsidRPr="0067529E">
        <w:t xml:space="preserve">the </w:t>
      </w:r>
      <w:r>
        <w:rPr>
          <w:lang w:val="en-US"/>
        </w:rPr>
        <w:t>Audit</w:t>
      </w:r>
      <w:r w:rsidRPr="0067529E">
        <w:t xml:space="preserve"> </w:t>
      </w:r>
      <w:r>
        <w:rPr>
          <w:lang w:val="en-US"/>
        </w:rPr>
        <w:t>and Risk Committee</w:t>
      </w:r>
      <w:r w:rsidRPr="0067529E">
        <w:t xml:space="preserve"> in accordance with section 45 of </w:t>
      </w:r>
      <w:r w:rsidR="00A33C10" w:rsidRPr="008632C7">
        <w:t>the</w:t>
      </w:r>
      <w:r w:rsidRPr="0067529E">
        <w:rPr>
          <w:i/>
        </w:rPr>
        <w:t xml:space="preserve"> Public Governance, Performance and Accountability Act 2013</w:t>
      </w:r>
      <w:r w:rsidRPr="0067529E">
        <w:t xml:space="preserve"> (the PGPA Act) and section 17 of the </w:t>
      </w:r>
      <w:r w:rsidRPr="0067529E">
        <w:rPr>
          <w:i/>
        </w:rPr>
        <w:t>Public Governance, Performance and Accountability Rule 2014</w:t>
      </w:r>
      <w:r w:rsidRPr="0067529E">
        <w:t xml:space="preserve"> (the PGPA Rule).</w:t>
      </w:r>
    </w:p>
    <w:p w14:paraId="20C88D2D" w14:textId="77777777" w:rsidR="009E5D5A" w:rsidRPr="0067529E" w:rsidRDefault="009E5D5A" w:rsidP="005F616A">
      <w:pPr>
        <w:pStyle w:val="ListLegal1"/>
        <w:numPr>
          <w:ilvl w:val="0"/>
          <w:numId w:val="23"/>
        </w:numPr>
        <w:tabs>
          <w:tab w:val="clear" w:pos="-439"/>
        </w:tabs>
        <w:spacing w:before="80" w:after="80"/>
        <w:ind w:left="567" w:hanging="567"/>
      </w:pPr>
      <w:r w:rsidRPr="0067529E">
        <w:t xml:space="preserve">The Audit and Risk Committee is an advisory body that provides advice </w:t>
      </w:r>
      <w:r>
        <w:rPr>
          <w:lang w:val="en-US"/>
        </w:rPr>
        <w:t xml:space="preserve">directly </w:t>
      </w:r>
      <w:r w:rsidRPr="0067529E">
        <w:t xml:space="preserve">to the </w:t>
      </w:r>
      <w:r>
        <w:rPr>
          <w:lang w:val="en-US"/>
        </w:rPr>
        <w:t xml:space="preserve">Secretary, as </w:t>
      </w:r>
      <w:r w:rsidRPr="0067529E">
        <w:t>Accountable Authority</w:t>
      </w:r>
      <w:r>
        <w:rPr>
          <w:lang w:val="en-US"/>
        </w:rPr>
        <w:t>,</w:t>
      </w:r>
      <w:r>
        <w:rPr>
          <w:lang w:val="en-AU"/>
        </w:rPr>
        <w:t xml:space="preserve"> </w:t>
      </w:r>
      <w:r w:rsidRPr="0067529E">
        <w:t>on the</w:t>
      </w:r>
      <w:r w:rsidRPr="005E621A">
        <w:rPr>
          <w:lang w:val="en-US"/>
        </w:rPr>
        <w:t xml:space="preserve"> </w:t>
      </w:r>
      <w:r w:rsidRPr="00B70DF5">
        <w:rPr>
          <w:lang w:val="en-US"/>
        </w:rPr>
        <w:t>appropriateness</w:t>
      </w:r>
      <w:r w:rsidRPr="0067529E">
        <w:t xml:space="preserve"> of the department</w:t>
      </w:r>
      <w:r>
        <w:rPr>
          <w:lang w:val="en-US"/>
        </w:rPr>
        <w:t>’s</w:t>
      </w:r>
      <w:r w:rsidRPr="0067529E">
        <w:t xml:space="preserve"> functions as set out in this </w:t>
      </w:r>
      <w:r>
        <w:rPr>
          <w:lang w:val="en-AU"/>
        </w:rPr>
        <w:t>Charter</w:t>
      </w:r>
      <w:r w:rsidRPr="0067529E">
        <w:t>.</w:t>
      </w:r>
    </w:p>
    <w:p w14:paraId="48DCAFD8" w14:textId="77777777" w:rsidR="009E5D5A" w:rsidRPr="000A2795" w:rsidRDefault="009E5D5A" w:rsidP="005F616A">
      <w:pPr>
        <w:pStyle w:val="ListLegal1"/>
        <w:numPr>
          <w:ilvl w:val="0"/>
          <w:numId w:val="23"/>
        </w:numPr>
        <w:tabs>
          <w:tab w:val="clear" w:pos="-439"/>
        </w:tabs>
        <w:spacing w:before="80" w:after="80"/>
        <w:ind w:left="567" w:hanging="567"/>
      </w:pPr>
      <w:r w:rsidRPr="000A2795">
        <w:t xml:space="preserve">Responsibility for the </w:t>
      </w:r>
      <w:r>
        <w:rPr>
          <w:lang w:val="en-US"/>
        </w:rPr>
        <w:t>department’s</w:t>
      </w:r>
      <w:r w:rsidRPr="000A2795">
        <w:t xml:space="preserve"> financial reporting, performance reporting, system of risk oversight and management, and system of internal control re</w:t>
      </w:r>
      <w:r>
        <w:rPr>
          <w:lang w:val="en-AU"/>
        </w:rPr>
        <w:t>mains</w:t>
      </w:r>
      <w:r w:rsidRPr="000A2795">
        <w:t xml:space="preserve"> with the </w:t>
      </w:r>
      <w:r>
        <w:rPr>
          <w:lang w:val="en-AU"/>
        </w:rPr>
        <w:t>Secretary</w:t>
      </w:r>
      <w:r w:rsidRPr="000A2795">
        <w:t>.</w:t>
      </w:r>
    </w:p>
    <w:p w14:paraId="5552C9A9" w14:textId="77777777" w:rsidR="009E5D5A" w:rsidRDefault="009E5D5A" w:rsidP="00CE7FBF">
      <w:pPr>
        <w:pStyle w:val="Heading2"/>
      </w:pPr>
      <w:r>
        <w:t>Functions</w:t>
      </w:r>
    </w:p>
    <w:p w14:paraId="640F2A37" w14:textId="77777777" w:rsidR="009E5D5A" w:rsidRPr="0067529E" w:rsidRDefault="009E5D5A" w:rsidP="005F616A">
      <w:pPr>
        <w:pStyle w:val="ListLegal1"/>
        <w:numPr>
          <w:ilvl w:val="0"/>
          <w:numId w:val="23"/>
        </w:numPr>
        <w:tabs>
          <w:tab w:val="clear" w:pos="-439"/>
        </w:tabs>
        <w:spacing w:before="80" w:after="80"/>
        <w:ind w:left="567" w:hanging="567"/>
      </w:pPr>
      <w:r w:rsidRPr="0067529E">
        <w:t xml:space="preserve">Under Section 17(1) of the PGPA Rule, the </w:t>
      </w:r>
      <w:r>
        <w:rPr>
          <w:lang w:val="en-AU"/>
        </w:rPr>
        <w:t>Accountable Authority</w:t>
      </w:r>
      <w:r w:rsidRPr="0067529E">
        <w:t xml:space="preserve"> must determine the functions of the Audit and Risk Committee by written </w:t>
      </w:r>
      <w:r>
        <w:rPr>
          <w:lang w:val="en-AU"/>
        </w:rPr>
        <w:t>Charter</w:t>
      </w:r>
      <w:r w:rsidRPr="0067529E">
        <w:t xml:space="preserve"> (the </w:t>
      </w:r>
      <w:r>
        <w:rPr>
          <w:lang w:val="en-AU"/>
        </w:rPr>
        <w:t>Charter</w:t>
      </w:r>
      <w:r w:rsidRPr="0067529E">
        <w:t>).</w:t>
      </w:r>
    </w:p>
    <w:p w14:paraId="34D3674F" w14:textId="77777777" w:rsidR="009E5D5A" w:rsidRDefault="009E5D5A" w:rsidP="005F616A">
      <w:pPr>
        <w:pStyle w:val="ListLegal1"/>
        <w:numPr>
          <w:ilvl w:val="0"/>
          <w:numId w:val="23"/>
        </w:numPr>
        <w:spacing w:before="80" w:after="80"/>
        <w:ind w:left="567" w:hanging="567"/>
      </w:pPr>
      <w:r w:rsidRPr="0067529E">
        <w:t>Subsection</w:t>
      </w:r>
      <w:r w:rsidRPr="00B70DF5">
        <w:rPr>
          <w:lang w:val="en-US"/>
        </w:rPr>
        <w:t xml:space="preserve"> 17(2) of the PGPA Rule, requires that the functions of the Audit and Risk Committee must include reviewing the appropriateness of the </w:t>
      </w:r>
      <w:r>
        <w:rPr>
          <w:lang w:val="en-US"/>
        </w:rPr>
        <w:t>department</w:t>
      </w:r>
      <w:r w:rsidRPr="00B70DF5">
        <w:rPr>
          <w:lang w:val="en-US"/>
        </w:rPr>
        <w:t>’s:</w:t>
      </w:r>
    </w:p>
    <w:p w14:paraId="2D2F07AF" w14:textId="77777777" w:rsidR="009E5D5A" w:rsidRPr="0067529E" w:rsidRDefault="009E5D5A" w:rsidP="0027557F">
      <w:pPr>
        <w:pStyle w:val="ListLegal2"/>
        <w:numPr>
          <w:ilvl w:val="0"/>
          <w:numId w:val="32"/>
        </w:numPr>
        <w:spacing w:before="80" w:after="80"/>
        <w:ind w:left="1134" w:hanging="567"/>
      </w:pPr>
      <w:r w:rsidRPr="0067529E">
        <w:t>financial reporting</w:t>
      </w:r>
    </w:p>
    <w:p w14:paraId="00469115" w14:textId="77777777" w:rsidR="009E5D5A" w:rsidRDefault="009E5D5A" w:rsidP="0027557F">
      <w:pPr>
        <w:pStyle w:val="ListLegal2"/>
        <w:numPr>
          <w:ilvl w:val="0"/>
          <w:numId w:val="32"/>
        </w:numPr>
        <w:spacing w:before="80" w:after="80"/>
        <w:ind w:left="1134" w:hanging="567"/>
      </w:pPr>
      <w:r w:rsidRPr="0067529E">
        <w:t>performance reporting</w:t>
      </w:r>
    </w:p>
    <w:p w14:paraId="2E387133" w14:textId="77777777" w:rsidR="009E5D5A" w:rsidRDefault="009E5D5A" w:rsidP="0027557F">
      <w:pPr>
        <w:pStyle w:val="ListLegal2"/>
        <w:numPr>
          <w:ilvl w:val="0"/>
          <w:numId w:val="32"/>
        </w:numPr>
        <w:spacing w:before="80" w:after="80"/>
        <w:ind w:left="1134" w:hanging="567"/>
      </w:pPr>
      <w:r>
        <w:rPr>
          <w:lang w:val="en-AU"/>
        </w:rPr>
        <w:t xml:space="preserve">system of </w:t>
      </w:r>
      <w:r w:rsidRPr="000A2795">
        <w:t>risk oversight and management</w:t>
      </w:r>
    </w:p>
    <w:p w14:paraId="465B8F90" w14:textId="77777777" w:rsidR="009E5D5A" w:rsidRPr="005E621A" w:rsidRDefault="009E5D5A" w:rsidP="0027557F">
      <w:pPr>
        <w:pStyle w:val="ListLegal2"/>
        <w:numPr>
          <w:ilvl w:val="0"/>
          <w:numId w:val="32"/>
        </w:numPr>
        <w:spacing w:before="80" w:after="80"/>
        <w:ind w:left="1134" w:hanging="567"/>
        <w:contextualSpacing/>
      </w:pPr>
      <w:r>
        <w:rPr>
          <w:lang w:val="en-AU"/>
        </w:rPr>
        <w:t xml:space="preserve">system of </w:t>
      </w:r>
      <w:r w:rsidRPr="00C23AA5">
        <w:t>internal control</w:t>
      </w:r>
      <w:r>
        <w:rPr>
          <w:lang w:val="en-AU"/>
        </w:rPr>
        <w:t>.</w:t>
      </w:r>
    </w:p>
    <w:p w14:paraId="419F6DF7" w14:textId="77777777" w:rsidR="009E5D5A" w:rsidRDefault="009E5D5A" w:rsidP="009E5D5A">
      <w:pPr>
        <w:pStyle w:val="Heading2"/>
      </w:pPr>
      <w:bookmarkStart w:id="1" w:name="_Hlk210910150"/>
      <w:r>
        <w:t>Financial reporting</w:t>
      </w:r>
    </w:p>
    <w:p w14:paraId="1C4A70BA" w14:textId="77777777" w:rsidR="009E5D5A" w:rsidRPr="00C23AA5" w:rsidRDefault="009E5D5A" w:rsidP="000442BC">
      <w:pPr>
        <w:pStyle w:val="ListLegal1"/>
        <w:numPr>
          <w:ilvl w:val="0"/>
          <w:numId w:val="23"/>
        </w:numPr>
        <w:tabs>
          <w:tab w:val="clear" w:pos="-439"/>
        </w:tabs>
        <w:spacing w:before="80" w:after="80"/>
        <w:ind w:left="567" w:hanging="567"/>
      </w:pPr>
      <w:r w:rsidRPr="00C23AA5">
        <w:t xml:space="preserve">The Audit and Risk Committee will review and provide advice on the appropriateness of the </w:t>
      </w:r>
      <w:r>
        <w:rPr>
          <w:lang w:val="en-AU"/>
        </w:rPr>
        <w:t>department</w:t>
      </w:r>
      <w:r w:rsidRPr="00C23AA5">
        <w:t>’s:</w:t>
      </w:r>
    </w:p>
    <w:p w14:paraId="6ED35ACC" w14:textId="77777777" w:rsidR="009E5D5A" w:rsidRPr="000A2795" w:rsidRDefault="009E5D5A" w:rsidP="0027557F">
      <w:pPr>
        <w:pStyle w:val="ListLegal2"/>
        <w:numPr>
          <w:ilvl w:val="0"/>
          <w:numId w:val="25"/>
        </w:numPr>
        <w:tabs>
          <w:tab w:val="clear" w:pos="1413"/>
        </w:tabs>
        <w:spacing w:before="80" w:after="80"/>
        <w:ind w:left="1134" w:hanging="567"/>
      </w:pPr>
      <w:r w:rsidRPr="000A2795">
        <w:t>annual financial statements</w:t>
      </w:r>
      <w:r>
        <w:rPr>
          <w:lang w:val="en-US"/>
        </w:rPr>
        <w:t xml:space="preserve"> and related management representations</w:t>
      </w:r>
    </w:p>
    <w:p w14:paraId="3D4F2C09" w14:textId="77777777" w:rsidR="009E5D5A" w:rsidRPr="000A2795" w:rsidRDefault="009E5D5A" w:rsidP="0027557F">
      <w:pPr>
        <w:pStyle w:val="ListLegal2"/>
        <w:numPr>
          <w:ilvl w:val="0"/>
          <w:numId w:val="25"/>
        </w:numPr>
        <w:tabs>
          <w:tab w:val="clear" w:pos="1413"/>
        </w:tabs>
        <w:spacing w:before="80" w:after="80"/>
        <w:ind w:left="1134" w:hanging="567"/>
      </w:pPr>
      <w:r w:rsidRPr="000A2795">
        <w:t xml:space="preserve">information (other than </w:t>
      </w:r>
      <w:r>
        <w:t xml:space="preserve">the </w:t>
      </w:r>
      <w:r w:rsidRPr="000A2795">
        <w:t>annual financial statements) requested by the Department of Finance in preparing the Australian Government’s consolidated financial statements, including the supplementary reporting package</w:t>
      </w:r>
    </w:p>
    <w:p w14:paraId="21592CB7" w14:textId="77777777" w:rsidR="009E5D5A" w:rsidRPr="000A2795" w:rsidRDefault="009E5D5A" w:rsidP="0027557F">
      <w:pPr>
        <w:pStyle w:val="ListLegal2"/>
        <w:numPr>
          <w:ilvl w:val="0"/>
          <w:numId w:val="25"/>
        </w:numPr>
        <w:tabs>
          <w:tab w:val="clear" w:pos="1413"/>
        </w:tabs>
        <w:spacing w:before="80" w:after="80"/>
        <w:ind w:left="1134" w:hanging="567"/>
      </w:pPr>
      <w:r w:rsidRPr="000A2795">
        <w:t>processes and systems for preparing financial reporting information</w:t>
      </w:r>
    </w:p>
    <w:p w14:paraId="75151AFB" w14:textId="77777777" w:rsidR="009E5D5A" w:rsidRPr="000A2795" w:rsidRDefault="009E5D5A" w:rsidP="0027557F">
      <w:pPr>
        <w:pStyle w:val="ListLegal2"/>
        <w:numPr>
          <w:ilvl w:val="0"/>
          <w:numId w:val="25"/>
        </w:numPr>
        <w:tabs>
          <w:tab w:val="clear" w:pos="1413"/>
        </w:tabs>
        <w:spacing w:before="80" w:after="80"/>
        <w:ind w:left="1134" w:hanging="567"/>
      </w:pPr>
      <w:r w:rsidRPr="000A2795">
        <w:t xml:space="preserve">processes in place to allow the </w:t>
      </w:r>
      <w:r>
        <w:rPr>
          <w:lang w:val="en-US"/>
        </w:rPr>
        <w:t>department</w:t>
      </w:r>
      <w:r w:rsidRPr="000A2795">
        <w:t xml:space="preserve"> to stay informed throughout the year of any changes or additional requirements in relation to financial reporting</w:t>
      </w:r>
      <w:r>
        <w:rPr>
          <w:lang w:val="en-AU"/>
        </w:rPr>
        <w:t>.</w:t>
      </w:r>
    </w:p>
    <w:p w14:paraId="45B8F95B" w14:textId="77777777" w:rsidR="009E5D5A" w:rsidRPr="000A2795" w:rsidRDefault="009E5D5A" w:rsidP="0031151B">
      <w:pPr>
        <w:pStyle w:val="ListLegal1"/>
        <w:keepNext/>
        <w:numPr>
          <w:ilvl w:val="0"/>
          <w:numId w:val="23"/>
        </w:numPr>
        <w:tabs>
          <w:tab w:val="clear" w:pos="-439"/>
        </w:tabs>
        <w:spacing w:before="80" w:after="80"/>
        <w:ind w:left="567" w:hanging="567"/>
      </w:pPr>
      <w:r w:rsidRPr="000A2795">
        <w:lastRenderedPageBreak/>
        <w:t>The Audit and Risk Committee will provide a statement to the Secretary</w:t>
      </w:r>
      <w:r>
        <w:rPr>
          <w:lang w:val="en-US"/>
        </w:rPr>
        <w:t xml:space="preserve"> on its view of</w:t>
      </w:r>
      <w:r w:rsidRPr="000A2795">
        <w:t>:</w:t>
      </w:r>
    </w:p>
    <w:p w14:paraId="644300BB" w14:textId="77777777" w:rsidR="009E5D5A" w:rsidRPr="000A2795" w:rsidRDefault="009E5D5A" w:rsidP="00741729">
      <w:pPr>
        <w:pStyle w:val="ListLegal2"/>
        <w:numPr>
          <w:ilvl w:val="0"/>
          <w:numId w:val="24"/>
        </w:numPr>
        <w:tabs>
          <w:tab w:val="clear" w:pos="432"/>
        </w:tabs>
        <w:spacing w:before="80" w:after="80"/>
        <w:ind w:left="1134" w:hanging="567"/>
      </w:pPr>
      <w:r w:rsidRPr="000A2795">
        <w:t xml:space="preserve">whether the annual financial statements, </w:t>
      </w:r>
      <w:r>
        <w:rPr>
          <w:lang w:val="en-AU"/>
        </w:rPr>
        <w:t xml:space="preserve">demonstrates </w:t>
      </w:r>
      <w:r w:rsidRPr="000A2795">
        <w:t>the department</w:t>
      </w:r>
      <w:r>
        <w:rPr>
          <w:lang w:val="en-US"/>
        </w:rPr>
        <w:t>’</w:t>
      </w:r>
      <w:r w:rsidRPr="000A2795">
        <w:t>s compliance with the PGPA Act, the PGPA Rule, the Accounting Standards and supporting guidance</w:t>
      </w:r>
    </w:p>
    <w:p w14:paraId="797FFC9E" w14:textId="3EC089FF" w:rsidR="009E5D5A" w:rsidRPr="000A2795" w:rsidRDefault="009E5D5A" w:rsidP="00741729">
      <w:pPr>
        <w:pStyle w:val="ListLegal2"/>
        <w:numPr>
          <w:ilvl w:val="0"/>
          <w:numId w:val="24"/>
        </w:numPr>
        <w:tabs>
          <w:tab w:val="clear" w:pos="432"/>
        </w:tabs>
        <w:spacing w:before="80" w:after="80"/>
        <w:ind w:left="1134" w:hanging="567"/>
      </w:pPr>
      <w:r w:rsidRPr="000A2795">
        <w:t xml:space="preserve">whether additional information (other than </w:t>
      </w:r>
      <w:r>
        <w:t xml:space="preserve">the annual </w:t>
      </w:r>
      <w:r w:rsidRPr="000A2795">
        <w:t xml:space="preserve">financial statements) required by the </w:t>
      </w:r>
      <w:r>
        <w:rPr>
          <w:lang w:val="en-US"/>
        </w:rPr>
        <w:t>Department</w:t>
      </w:r>
      <w:r w:rsidRPr="000A2795">
        <w:t xml:space="preserve"> of Finance for the purpose of preparing the Australian Government consolidated financial statements (including the supplementary reporting package) comply with the </w:t>
      </w:r>
      <w:r w:rsidRPr="008632C7">
        <w:t>PGPA</w:t>
      </w:r>
      <w:r w:rsidR="00A33C10" w:rsidRPr="008632C7">
        <w:t> </w:t>
      </w:r>
      <w:r w:rsidRPr="008632C7">
        <w:t>Act</w:t>
      </w:r>
      <w:r w:rsidRPr="000A2795">
        <w:t>, the PGPA Rule, the Accounting Standards and supporting guidance</w:t>
      </w:r>
    </w:p>
    <w:p w14:paraId="3E0B2ED0" w14:textId="77777777" w:rsidR="009E5D5A" w:rsidRPr="000A2795" w:rsidRDefault="009E5D5A" w:rsidP="00741729">
      <w:pPr>
        <w:pStyle w:val="ListLegal2"/>
        <w:numPr>
          <w:ilvl w:val="0"/>
          <w:numId w:val="24"/>
        </w:numPr>
        <w:tabs>
          <w:tab w:val="clear" w:pos="432"/>
        </w:tabs>
        <w:spacing w:before="80" w:after="80"/>
        <w:ind w:left="1134" w:hanging="567"/>
      </w:pPr>
      <w:r w:rsidRPr="000A2795">
        <w:t xml:space="preserve">the appropriateness of the </w:t>
      </w:r>
      <w:r>
        <w:rPr>
          <w:lang w:val="en-US"/>
        </w:rPr>
        <w:t>department</w:t>
      </w:r>
      <w:r w:rsidRPr="000A2795">
        <w:t>’s financial reporting as a whole, with reference to any specific areas of concern or suggestions for improvement</w:t>
      </w:r>
      <w:r>
        <w:rPr>
          <w:lang w:val="en-AU"/>
        </w:rPr>
        <w:t>.</w:t>
      </w:r>
    </w:p>
    <w:p w14:paraId="4E0FAD51" w14:textId="77777777" w:rsidR="009E5D5A" w:rsidRDefault="009E5D5A" w:rsidP="009E5D5A">
      <w:pPr>
        <w:pStyle w:val="Heading2"/>
      </w:pPr>
      <w:bookmarkStart w:id="2" w:name="_Hlk210910906"/>
      <w:bookmarkEnd w:id="1"/>
      <w:r>
        <w:t>Performance reporting</w:t>
      </w:r>
    </w:p>
    <w:p w14:paraId="4A78C867" w14:textId="77777777" w:rsidR="009E5D5A" w:rsidRPr="000A2795" w:rsidRDefault="009E5D5A" w:rsidP="003B66C1">
      <w:pPr>
        <w:pStyle w:val="ListLegal1"/>
        <w:keepLines/>
        <w:numPr>
          <w:ilvl w:val="0"/>
          <w:numId w:val="23"/>
        </w:numPr>
        <w:tabs>
          <w:tab w:val="clear" w:pos="-439"/>
        </w:tabs>
        <w:spacing w:before="80" w:after="80"/>
        <w:ind w:left="567" w:hanging="567"/>
      </w:pPr>
      <w:r w:rsidRPr="000A2795">
        <w:t xml:space="preserve">The Audit and Risk Committee will review and provide advice on the appropriateness of the </w:t>
      </w:r>
      <w:r>
        <w:rPr>
          <w:lang w:val="en-AU"/>
        </w:rPr>
        <w:t>department</w:t>
      </w:r>
      <w:r w:rsidRPr="000A2795">
        <w:t>’s systems</w:t>
      </w:r>
      <w:r>
        <w:t>, processes</w:t>
      </w:r>
      <w:r w:rsidRPr="000A2795">
        <w:t xml:space="preserve"> and procedures for assessing, monitoring and reporting on </w:t>
      </w:r>
      <w:r>
        <w:rPr>
          <w:lang w:val="en-AU"/>
        </w:rPr>
        <w:t xml:space="preserve">the </w:t>
      </w:r>
      <w:r w:rsidRPr="000A2795">
        <w:t xml:space="preserve">achievement of the </w:t>
      </w:r>
      <w:r>
        <w:rPr>
          <w:lang w:val="en-US"/>
        </w:rPr>
        <w:t>department</w:t>
      </w:r>
      <w:r w:rsidRPr="000A2795">
        <w:t xml:space="preserve">’s performance. In particular, the Audit and Risk </w:t>
      </w:r>
      <w:r>
        <w:rPr>
          <w:lang w:val="en-US"/>
        </w:rPr>
        <w:t>Committee</w:t>
      </w:r>
      <w:r w:rsidRPr="000A2795">
        <w:t xml:space="preserve"> should satisfy itself that</w:t>
      </w:r>
      <w:r>
        <w:rPr>
          <w:lang w:val="en-AU"/>
        </w:rPr>
        <w:t xml:space="preserve"> the department’s</w:t>
      </w:r>
      <w:r w:rsidRPr="000A2795">
        <w:t>:</w:t>
      </w:r>
    </w:p>
    <w:p w14:paraId="16ACF84E" w14:textId="6DF93085" w:rsidR="009E5D5A" w:rsidRPr="000A2795" w:rsidRDefault="009E5D5A" w:rsidP="008632C7">
      <w:pPr>
        <w:pStyle w:val="ListLegal2"/>
        <w:numPr>
          <w:ilvl w:val="0"/>
          <w:numId w:val="26"/>
        </w:numPr>
        <w:tabs>
          <w:tab w:val="clear" w:pos="432"/>
        </w:tabs>
        <w:spacing w:before="80" w:after="80"/>
        <w:ind w:left="1134" w:hanging="567"/>
      </w:pPr>
      <w:r>
        <w:rPr>
          <w:lang w:val="en-AU"/>
        </w:rPr>
        <w:t>Portfolio Budget Statements</w:t>
      </w:r>
      <w:r w:rsidRPr="000A2795">
        <w:t xml:space="preserve"> and </w:t>
      </w:r>
      <w:r>
        <w:rPr>
          <w:lang w:val="en-AU"/>
        </w:rPr>
        <w:t xml:space="preserve">Corporate Plan </w:t>
      </w:r>
      <w:r w:rsidRPr="000A2795">
        <w:t>contain appropriate details of how performance will be measured and assessed</w:t>
      </w:r>
      <w:r w:rsidR="000107A5">
        <w:rPr>
          <w:lang w:val="en-AU"/>
        </w:rPr>
        <w:t>.</w:t>
      </w:r>
    </w:p>
    <w:p w14:paraId="04BE767F" w14:textId="0ADB2AD8" w:rsidR="009E5D5A" w:rsidRPr="000A2795" w:rsidRDefault="000107A5" w:rsidP="008632C7">
      <w:pPr>
        <w:pStyle w:val="ListLegal2"/>
        <w:numPr>
          <w:ilvl w:val="0"/>
          <w:numId w:val="26"/>
        </w:numPr>
        <w:tabs>
          <w:tab w:val="clear" w:pos="432"/>
        </w:tabs>
        <w:spacing w:before="80" w:after="80"/>
        <w:ind w:left="1134" w:hanging="567"/>
      </w:pPr>
      <w:r>
        <w:t>A</w:t>
      </w:r>
      <w:r w:rsidR="009E5D5A" w:rsidRPr="000A2795">
        <w:t xml:space="preserve">pproach to measuring its performance throughout the financial year against the performance measures included in its </w:t>
      </w:r>
      <w:r w:rsidR="009E5D5A">
        <w:rPr>
          <w:lang w:val="en-AU"/>
        </w:rPr>
        <w:t>Portfolio Budget Statements and Corporate Plan</w:t>
      </w:r>
      <w:r w:rsidR="009E5D5A" w:rsidRPr="000A2795">
        <w:t xml:space="preserve"> is</w:t>
      </w:r>
      <w:r w:rsidR="009E5D5A">
        <w:rPr>
          <w:lang w:val="en-AU"/>
        </w:rPr>
        <w:t xml:space="preserve"> </w:t>
      </w:r>
      <w:r w:rsidR="009E5D5A" w:rsidRPr="000A2795">
        <w:t>appropriate and in accordance with the</w:t>
      </w:r>
      <w:r w:rsidR="009E5D5A" w:rsidRPr="00F76B29">
        <w:rPr>
          <w:rStyle w:val="Hyperlink"/>
          <w:lang w:val="en-AU"/>
        </w:rPr>
        <w:t xml:space="preserve"> </w:t>
      </w:r>
      <w:hyperlink r:id="rId14">
        <w:r w:rsidR="009E5D5A" w:rsidRPr="00F76B29">
          <w:rPr>
            <w:rStyle w:val="Hyperlink"/>
            <w:lang w:val="en-AU"/>
          </w:rPr>
          <w:t>Commonwealth Performance Framework</w:t>
        </w:r>
      </w:hyperlink>
      <w:r w:rsidR="009E5D5A" w:rsidRPr="000A2795">
        <w:t>. This may include reviewing, over time, particular elements of the performance measures</w:t>
      </w:r>
      <w:r>
        <w:rPr>
          <w:lang w:val="en-AU"/>
        </w:rPr>
        <w:t>.</w:t>
      </w:r>
    </w:p>
    <w:p w14:paraId="19D4956B" w14:textId="0A566182" w:rsidR="009E5D5A" w:rsidRPr="000A2795" w:rsidRDefault="000107A5" w:rsidP="008632C7">
      <w:pPr>
        <w:pStyle w:val="ListLegal2"/>
        <w:numPr>
          <w:ilvl w:val="0"/>
          <w:numId w:val="26"/>
        </w:numPr>
        <w:tabs>
          <w:tab w:val="clear" w:pos="432"/>
        </w:tabs>
        <w:spacing w:before="80" w:after="80"/>
        <w:ind w:left="1134" w:hanging="567"/>
      </w:pPr>
      <w:r>
        <w:t>S</w:t>
      </w:r>
      <w:r w:rsidR="009E5D5A" w:rsidRPr="000A2795">
        <w:t xml:space="preserve">ystems and processes </w:t>
      </w:r>
      <w:r w:rsidR="009E5D5A">
        <w:rPr>
          <w:lang w:val="en-AU"/>
        </w:rPr>
        <w:t xml:space="preserve">are </w:t>
      </w:r>
      <w:r w:rsidR="009E5D5A" w:rsidRPr="000A2795">
        <w:t xml:space="preserve">appropriate for </w:t>
      </w:r>
      <w:r w:rsidR="009E5D5A">
        <w:rPr>
          <w:lang w:val="en-AU"/>
        </w:rPr>
        <w:t xml:space="preserve">the </w:t>
      </w:r>
      <w:r w:rsidR="009E5D5A" w:rsidRPr="000A2795">
        <w:t>preparation of its annual performance statement</w:t>
      </w:r>
      <w:r w:rsidR="009E5D5A">
        <w:rPr>
          <w:lang w:val="en-AU"/>
        </w:rPr>
        <w:t>s</w:t>
      </w:r>
      <w:r w:rsidR="009E5D5A" w:rsidRPr="000A2795">
        <w:t xml:space="preserve"> and inclusion of the statement in its annual report</w:t>
      </w:r>
      <w:r w:rsidR="009E5D5A">
        <w:rPr>
          <w:lang w:val="en-AU"/>
        </w:rPr>
        <w:t>.</w:t>
      </w:r>
    </w:p>
    <w:p w14:paraId="0B74F4F4" w14:textId="77777777" w:rsidR="009E5D5A" w:rsidRPr="000A2795" w:rsidRDefault="009E5D5A" w:rsidP="003B66C1">
      <w:pPr>
        <w:pStyle w:val="ListLegal1"/>
        <w:numPr>
          <w:ilvl w:val="0"/>
          <w:numId w:val="23"/>
        </w:numPr>
        <w:tabs>
          <w:tab w:val="clear" w:pos="-439"/>
        </w:tabs>
        <w:spacing w:before="80" w:after="80"/>
        <w:ind w:left="567" w:hanging="567"/>
      </w:pPr>
      <w:r w:rsidRPr="000A2795">
        <w:t xml:space="preserve">The Audit and Risk Committee will provide a statement to the Secretary </w:t>
      </w:r>
      <w:r>
        <w:rPr>
          <w:lang w:val="en-AU"/>
        </w:rPr>
        <w:t xml:space="preserve">on </w:t>
      </w:r>
      <w:r w:rsidRPr="000A2795">
        <w:t xml:space="preserve">whether, in </w:t>
      </w:r>
      <w:r>
        <w:rPr>
          <w:lang w:val="en-AU"/>
        </w:rPr>
        <w:t>its</w:t>
      </w:r>
      <w:r w:rsidRPr="000A2795">
        <w:t xml:space="preserve"> view, the </w:t>
      </w:r>
      <w:r>
        <w:rPr>
          <w:lang w:val="en-US"/>
        </w:rPr>
        <w:t>department’s</w:t>
      </w:r>
      <w:r w:rsidRPr="000A2795">
        <w:t xml:space="preserve"> annual performance statements and performance reporting as a whole is appropriate, with reference to any specific areas of concern or suggestions for improvement.</w:t>
      </w:r>
    </w:p>
    <w:p w14:paraId="20E5E845" w14:textId="77777777" w:rsidR="009E5D5A" w:rsidRDefault="009E5D5A" w:rsidP="009E5D5A">
      <w:pPr>
        <w:pStyle w:val="Heading2"/>
      </w:pPr>
      <w:bookmarkStart w:id="3" w:name="_Hlk210911151"/>
      <w:bookmarkEnd w:id="2"/>
      <w:r>
        <w:t>System of risk oversight and management</w:t>
      </w:r>
    </w:p>
    <w:p w14:paraId="2F0C5850" w14:textId="77777777" w:rsidR="009E5D5A" w:rsidRPr="000A2795" w:rsidRDefault="009E5D5A" w:rsidP="003B66C1">
      <w:pPr>
        <w:pStyle w:val="ListLegal1"/>
        <w:numPr>
          <w:ilvl w:val="0"/>
          <w:numId w:val="23"/>
        </w:numPr>
        <w:tabs>
          <w:tab w:val="clear" w:pos="-439"/>
        </w:tabs>
        <w:spacing w:before="80" w:after="80"/>
        <w:ind w:left="567" w:hanging="567"/>
      </w:pPr>
      <w:r w:rsidRPr="000A2795">
        <w:t xml:space="preserve">The Audit and Risk Committee will review and provide advice on the appropriateness of the </w:t>
      </w:r>
      <w:r>
        <w:rPr>
          <w:lang w:val="en-AU"/>
        </w:rPr>
        <w:t>department</w:t>
      </w:r>
      <w:r w:rsidRPr="000A2795">
        <w:t>’</w:t>
      </w:r>
      <w:r>
        <w:rPr>
          <w:lang w:val="en-AU"/>
        </w:rPr>
        <w:t>s</w:t>
      </w:r>
      <w:r w:rsidRPr="000A2795">
        <w:t>:</w:t>
      </w:r>
    </w:p>
    <w:p w14:paraId="07A4C637" w14:textId="4DF12199" w:rsidR="009E5D5A" w:rsidRPr="00335722" w:rsidRDefault="000107A5" w:rsidP="008632C7">
      <w:pPr>
        <w:pStyle w:val="ListLegal2"/>
        <w:numPr>
          <w:ilvl w:val="0"/>
          <w:numId w:val="27"/>
        </w:numPr>
        <w:tabs>
          <w:tab w:val="clear" w:pos="432"/>
        </w:tabs>
        <w:spacing w:before="80" w:after="80"/>
        <w:ind w:left="1134" w:hanging="567"/>
        <w:rPr>
          <w:rStyle w:val="Hyperlink"/>
          <w:lang w:val="en-AU"/>
        </w:rPr>
      </w:pPr>
      <w:r>
        <w:t>E</w:t>
      </w:r>
      <w:r w:rsidR="009E5D5A" w:rsidRPr="000A2795">
        <w:t xml:space="preserve">nterprise risk management </w:t>
      </w:r>
      <w:r w:rsidR="009E5D5A" w:rsidRPr="00265EE0">
        <w:t>policy framework</w:t>
      </w:r>
      <w:r w:rsidR="009E5D5A" w:rsidRPr="000A2795">
        <w:t xml:space="preserve"> and the necessary internal controls for the effective identification and management of the </w:t>
      </w:r>
      <w:r w:rsidR="009E5D5A">
        <w:rPr>
          <w:lang w:val="en-US"/>
        </w:rPr>
        <w:t>department</w:t>
      </w:r>
      <w:r w:rsidR="009E5D5A" w:rsidRPr="000A2795">
        <w:t xml:space="preserve">’s risks, in keeping with the </w:t>
      </w:r>
      <w:hyperlink r:id="rId15">
        <w:r w:rsidR="009E5D5A" w:rsidRPr="00335722">
          <w:rPr>
            <w:rStyle w:val="Hyperlink"/>
            <w:lang w:val="en-AU"/>
          </w:rPr>
          <w:t>Commonwealth Risk Management Policy</w:t>
        </w:r>
      </w:hyperlink>
      <w:r>
        <w:rPr>
          <w:lang w:val="en-AU"/>
        </w:rPr>
        <w:t>.</w:t>
      </w:r>
    </w:p>
    <w:p w14:paraId="5754D497" w14:textId="79159518" w:rsidR="009E5D5A" w:rsidRPr="000A2795" w:rsidRDefault="000107A5" w:rsidP="008632C7">
      <w:pPr>
        <w:pStyle w:val="ListLegal2"/>
        <w:numPr>
          <w:ilvl w:val="0"/>
          <w:numId w:val="27"/>
        </w:numPr>
        <w:tabs>
          <w:tab w:val="clear" w:pos="432"/>
        </w:tabs>
        <w:spacing w:before="80" w:after="80"/>
        <w:ind w:left="1134" w:hanging="567"/>
      </w:pPr>
      <w:r>
        <w:t>A</w:t>
      </w:r>
      <w:r w:rsidR="009E5D5A" w:rsidRPr="000A2795">
        <w:t xml:space="preserve">pproach to managing the </w:t>
      </w:r>
      <w:r w:rsidR="009E5D5A">
        <w:rPr>
          <w:lang w:val="en-US"/>
        </w:rPr>
        <w:t xml:space="preserve">department’s </w:t>
      </w:r>
      <w:r w:rsidR="009E5D5A" w:rsidRPr="000A2795">
        <w:t>risks</w:t>
      </w:r>
      <w:r w:rsidR="008632C7">
        <w:t>,</w:t>
      </w:r>
      <w:r w:rsidR="00185F32">
        <w:t xml:space="preserve"> </w:t>
      </w:r>
      <w:r w:rsidR="009E5D5A" w:rsidRPr="000A2795">
        <w:t>including those associated with individual projects and program implementation and activities</w:t>
      </w:r>
      <w:r>
        <w:rPr>
          <w:lang w:val="en-AU"/>
        </w:rPr>
        <w:t>.</w:t>
      </w:r>
    </w:p>
    <w:p w14:paraId="6C6C8FED" w14:textId="203E2ECD" w:rsidR="009E5D5A" w:rsidRPr="000A2795" w:rsidRDefault="000107A5" w:rsidP="008632C7">
      <w:pPr>
        <w:pStyle w:val="ListLegal2"/>
        <w:numPr>
          <w:ilvl w:val="0"/>
          <w:numId w:val="27"/>
        </w:numPr>
        <w:tabs>
          <w:tab w:val="clear" w:pos="432"/>
        </w:tabs>
        <w:spacing w:before="80" w:after="80"/>
        <w:ind w:left="1134" w:hanging="567"/>
      </w:pPr>
      <w:r>
        <w:t>P</w:t>
      </w:r>
      <w:r w:rsidR="009E5D5A" w:rsidRPr="000A2795">
        <w:t xml:space="preserve">rocess for developing and implementing the </w:t>
      </w:r>
      <w:r w:rsidR="009E5D5A">
        <w:rPr>
          <w:lang w:val="en-US"/>
        </w:rPr>
        <w:t>department’s</w:t>
      </w:r>
      <w:r w:rsidR="009E5D5A" w:rsidRPr="000A2795">
        <w:t xml:space="preserve"> fraud control arrangements</w:t>
      </w:r>
      <w:r w:rsidR="009E5D5A">
        <w:rPr>
          <w:lang w:val="en-US"/>
        </w:rPr>
        <w:t xml:space="preserve">, including </w:t>
      </w:r>
      <w:r w:rsidR="009E5D5A" w:rsidRPr="000A2795">
        <w:t xml:space="preserve">processes for detecting, capturing and effectively responding to fraud risks, consistent with the </w:t>
      </w:r>
      <w:hyperlink r:id="rId16" w:history="1">
        <w:r w:rsidR="009E5D5A" w:rsidRPr="00335722">
          <w:rPr>
            <w:rStyle w:val="Hyperlink"/>
            <w:lang w:val="en-US"/>
          </w:rPr>
          <w:t>Commonwealth Fraud</w:t>
        </w:r>
        <w:r w:rsidR="009E5D5A" w:rsidRPr="00335722">
          <w:rPr>
            <w:rStyle w:val="Hyperlink"/>
          </w:rPr>
          <w:t xml:space="preserve"> </w:t>
        </w:r>
        <w:r w:rsidR="009E5D5A" w:rsidRPr="00335722">
          <w:rPr>
            <w:rStyle w:val="Hyperlink"/>
            <w:lang w:val="en-US"/>
          </w:rPr>
          <w:t>and Corruption Control</w:t>
        </w:r>
        <w:r w:rsidR="009E5D5A" w:rsidRPr="00335722">
          <w:rPr>
            <w:rStyle w:val="Hyperlink"/>
          </w:rPr>
          <w:t xml:space="preserve"> </w:t>
        </w:r>
        <w:r w:rsidR="009E5D5A" w:rsidRPr="00335722">
          <w:rPr>
            <w:rStyle w:val="Hyperlink"/>
            <w:lang w:val="en-AU"/>
          </w:rPr>
          <w:t>Framework</w:t>
        </w:r>
      </w:hyperlink>
      <w:r>
        <w:rPr>
          <w:lang w:val="en-AU"/>
        </w:rPr>
        <w:t>.</w:t>
      </w:r>
    </w:p>
    <w:p w14:paraId="1BDA6698" w14:textId="7D319F23" w:rsidR="009E5D5A" w:rsidRPr="000A2795" w:rsidRDefault="00FE03EF" w:rsidP="008632C7">
      <w:pPr>
        <w:pStyle w:val="ListLegal2"/>
        <w:numPr>
          <w:ilvl w:val="0"/>
          <w:numId w:val="27"/>
        </w:numPr>
        <w:tabs>
          <w:tab w:val="clear" w:pos="432"/>
        </w:tabs>
        <w:spacing w:before="80" w:after="80"/>
        <w:ind w:left="1134" w:hanging="567"/>
      </w:pPr>
      <w:r>
        <w:t>A</w:t>
      </w:r>
      <w:r w:rsidR="009E5D5A" w:rsidRPr="000A2795">
        <w:t xml:space="preserve">rticulation of key roles and responsibilities relating to risk management and adherence to them by officials of the </w:t>
      </w:r>
      <w:r w:rsidR="009E5D5A">
        <w:rPr>
          <w:lang w:val="en-US"/>
        </w:rPr>
        <w:t>department</w:t>
      </w:r>
      <w:r w:rsidR="009E5D5A">
        <w:rPr>
          <w:lang w:val="en-AU"/>
        </w:rPr>
        <w:t>.</w:t>
      </w:r>
    </w:p>
    <w:p w14:paraId="249E937C" w14:textId="77777777" w:rsidR="009E5D5A" w:rsidRDefault="009E5D5A" w:rsidP="00205C1F">
      <w:pPr>
        <w:pStyle w:val="ListLegal1"/>
        <w:keepLines/>
        <w:numPr>
          <w:ilvl w:val="0"/>
          <w:numId w:val="23"/>
        </w:numPr>
        <w:tabs>
          <w:tab w:val="clear" w:pos="-439"/>
        </w:tabs>
        <w:spacing w:before="80" w:after="80"/>
        <w:ind w:left="567" w:hanging="567"/>
      </w:pPr>
      <w:r w:rsidRPr="000A2795">
        <w:t xml:space="preserve">The Audit and Risk Committee will provide a statement to the Secretary </w:t>
      </w:r>
      <w:r>
        <w:rPr>
          <w:lang w:val="en-AU"/>
        </w:rPr>
        <w:t xml:space="preserve">on </w:t>
      </w:r>
      <w:r w:rsidRPr="000A2795">
        <w:t xml:space="preserve">whether in </w:t>
      </w:r>
      <w:r>
        <w:rPr>
          <w:lang w:val="en-AU"/>
        </w:rPr>
        <w:t>its</w:t>
      </w:r>
      <w:r w:rsidRPr="000A2795">
        <w:t xml:space="preserve"> view, the </w:t>
      </w:r>
      <w:r>
        <w:rPr>
          <w:lang w:val="en-AU"/>
        </w:rPr>
        <w:t>department</w:t>
      </w:r>
      <w:r w:rsidRPr="000A2795">
        <w:t>’s system of risk oversight and management as a whole is appropriate with reference to the Commonwealth Risk Management Policy and any specific areas of concern or suggestions for improvement.</w:t>
      </w:r>
    </w:p>
    <w:bookmarkEnd w:id="3"/>
    <w:p w14:paraId="728CD3B6" w14:textId="77777777" w:rsidR="009E5D5A" w:rsidRPr="00177468" w:rsidRDefault="009E5D5A" w:rsidP="009E5D5A">
      <w:pPr>
        <w:pStyle w:val="Heading2"/>
      </w:pPr>
      <w:r w:rsidRPr="00177468">
        <w:lastRenderedPageBreak/>
        <w:t>System of internal control</w:t>
      </w:r>
    </w:p>
    <w:p w14:paraId="1FA2DAE4" w14:textId="77777777" w:rsidR="009E5D5A" w:rsidRPr="00233159" w:rsidRDefault="009E5D5A" w:rsidP="0027557F">
      <w:pPr>
        <w:pStyle w:val="ListLegal1"/>
        <w:keepNext/>
        <w:numPr>
          <w:ilvl w:val="0"/>
          <w:numId w:val="23"/>
        </w:numPr>
        <w:tabs>
          <w:tab w:val="clear" w:pos="-439"/>
        </w:tabs>
        <w:spacing w:before="80" w:after="80"/>
        <w:ind w:left="567" w:hanging="567"/>
      </w:pPr>
      <w:r w:rsidRPr="003E0B2E">
        <w:t>The Audit and Risk Committee will review and provide advice on the appropriateness of the department’s:</w:t>
      </w:r>
    </w:p>
    <w:p w14:paraId="45B4145A" w14:textId="476F01E5" w:rsidR="009E5D5A" w:rsidRPr="00B70DF5" w:rsidRDefault="00DC7BA4" w:rsidP="008632C7">
      <w:pPr>
        <w:keepNext/>
        <w:numPr>
          <w:ilvl w:val="0"/>
          <w:numId w:val="28"/>
        </w:numPr>
        <w:suppressAutoHyphens/>
        <w:spacing w:before="80" w:after="80"/>
        <w:ind w:left="1134" w:hanging="567"/>
        <w:rPr>
          <w:lang w:val="en-US"/>
        </w:rPr>
      </w:pPr>
      <w:r>
        <w:t>I</w:t>
      </w:r>
      <w:r w:rsidR="009E5D5A" w:rsidRPr="003704BD">
        <w:t>nternal control framework</w:t>
      </w:r>
    </w:p>
    <w:p w14:paraId="287D8B07" w14:textId="77777777" w:rsidR="009E5D5A" w:rsidRPr="00233159" w:rsidRDefault="009E5D5A" w:rsidP="008632C7">
      <w:pPr>
        <w:numPr>
          <w:ilvl w:val="0"/>
          <w:numId w:val="29"/>
        </w:numPr>
        <w:suppressAutoHyphens/>
        <w:spacing w:before="80" w:after="80"/>
        <w:ind w:left="1701" w:hanging="567"/>
        <w:rPr>
          <w:lang w:val="en-US"/>
        </w:rPr>
      </w:pPr>
      <w:r w:rsidRPr="00233159">
        <w:rPr>
          <w:lang w:val="en-US"/>
        </w:rPr>
        <w:t>reviewing management’s approach to maintaining an effective internal control framework and whether appropriate processes are in place for assessing whether key policies and procedures are complied with</w:t>
      </w:r>
    </w:p>
    <w:p w14:paraId="734B4636" w14:textId="77777777" w:rsidR="009E5D5A" w:rsidRPr="00B70DF5" w:rsidRDefault="009E5D5A" w:rsidP="008632C7">
      <w:pPr>
        <w:numPr>
          <w:ilvl w:val="0"/>
          <w:numId w:val="29"/>
        </w:numPr>
        <w:suppressAutoHyphens/>
        <w:spacing w:before="80" w:after="80"/>
        <w:ind w:left="1701" w:hanging="567"/>
        <w:rPr>
          <w:lang w:val="en-US"/>
        </w:rPr>
      </w:pPr>
      <w:r w:rsidRPr="00233159">
        <w:rPr>
          <w:lang w:val="en-US"/>
        </w:rPr>
        <w:t xml:space="preserve">reviewing whether management has in operation relevant policies and procedures—such as </w:t>
      </w:r>
      <w:r>
        <w:rPr>
          <w:lang w:val="en-US"/>
        </w:rPr>
        <w:t>Accountable Authority I</w:t>
      </w:r>
      <w:r w:rsidRPr="00233159">
        <w:rPr>
          <w:lang w:val="en-US"/>
        </w:rPr>
        <w:t xml:space="preserve">nstructions, delegations, </w:t>
      </w:r>
      <w:r>
        <w:rPr>
          <w:lang w:val="en-US"/>
        </w:rPr>
        <w:t xml:space="preserve">a business continuity management plan </w:t>
      </w:r>
      <w:r w:rsidRPr="00233159">
        <w:rPr>
          <w:lang w:val="en-US"/>
        </w:rPr>
        <w:t>or other existing policies</w:t>
      </w:r>
      <w:r>
        <w:rPr>
          <w:lang w:val="en-US"/>
        </w:rPr>
        <w:t>.</w:t>
      </w:r>
    </w:p>
    <w:p w14:paraId="29D16813" w14:textId="276CB134" w:rsidR="009E5D5A" w:rsidRPr="00233159" w:rsidRDefault="00DC7BA4" w:rsidP="008632C7">
      <w:pPr>
        <w:keepNext/>
        <w:numPr>
          <w:ilvl w:val="0"/>
          <w:numId w:val="28"/>
        </w:numPr>
        <w:suppressAutoHyphens/>
        <w:spacing w:before="80" w:after="80"/>
        <w:ind w:left="1134" w:hanging="567"/>
      </w:pPr>
      <w:r>
        <w:t>L</w:t>
      </w:r>
      <w:r w:rsidR="009E5D5A" w:rsidRPr="00233159">
        <w:t>egislative and policy compliance</w:t>
      </w:r>
    </w:p>
    <w:p w14:paraId="61926E74" w14:textId="77777777" w:rsidR="009E5D5A" w:rsidRPr="00B70DF5" w:rsidRDefault="009E5D5A" w:rsidP="008632C7">
      <w:pPr>
        <w:numPr>
          <w:ilvl w:val="0"/>
          <w:numId w:val="29"/>
        </w:numPr>
        <w:suppressAutoHyphens/>
        <w:spacing w:before="80" w:after="80"/>
        <w:ind w:left="1701" w:hanging="567"/>
        <w:rPr>
          <w:lang w:val="en-US"/>
        </w:rPr>
      </w:pPr>
      <w:r w:rsidRPr="00B70DF5">
        <w:rPr>
          <w:lang w:val="en-US"/>
        </w:rPr>
        <w:t xml:space="preserve">reviewing the effectiveness of systems for monitoring the </w:t>
      </w:r>
      <w:r>
        <w:rPr>
          <w:lang w:val="en-US"/>
        </w:rPr>
        <w:t>department</w:t>
      </w:r>
      <w:r w:rsidRPr="00B70DF5">
        <w:rPr>
          <w:lang w:val="en-US"/>
        </w:rPr>
        <w:t xml:space="preserve">’s compliance with laws, regulations and associated government policies with which the </w:t>
      </w:r>
      <w:r>
        <w:rPr>
          <w:lang w:val="en-US"/>
        </w:rPr>
        <w:t>department</w:t>
      </w:r>
      <w:r w:rsidRPr="00B70DF5">
        <w:rPr>
          <w:lang w:val="en-US"/>
        </w:rPr>
        <w:t xml:space="preserve"> must comply</w:t>
      </w:r>
    </w:p>
    <w:p w14:paraId="49A431E8" w14:textId="77777777" w:rsidR="009E5D5A" w:rsidRPr="00B70DF5" w:rsidRDefault="009E5D5A" w:rsidP="008632C7">
      <w:pPr>
        <w:numPr>
          <w:ilvl w:val="0"/>
          <w:numId w:val="29"/>
        </w:numPr>
        <w:suppressAutoHyphens/>
        <w:spacing w:before="80" w:after="80"/>
        <w:ind w:left="1701" w:hanging="567"/>
        <w:rPr>
          <w:lang w:val="en-US"/>
        </w:rPr>
      </w:pPr>
      <w:r w:rsidRPr="00B70DF5">
        <w:rPr>
          <w:lang w:val="en-US"/>
        </w:rPr>
        <w:t xml:space="preserve">determining whether management has adequately considered legal and compliance risks as part of the </w:t>
      </w:r>
      <w:r>
        <w:rPr>
          <w:lang w:val="en-US"/>
        </w:rPr>
        <w:t>department’s</w:t>
      </w:r>
      <w:r w:rsidRPr="00B70DF5">
        <w:rPr>
          <w:lang w:val="en-US"/>
        </w:rPr>
        <w:t xml:space="preserve"> enterprise risk management framework, fraud control framework and planning</w:t>
      </w:r>
      <w:r>
        <w:rPr>
          <w:lang w:val="en-US"/>
        </w:rPr>
        <w:t>.</w:t>
      </w:r>
    </w:p>
    <w:p w14:paraId="3B1B5BFC" w14:textId="27E8F685" w:rsidR="009E5D5A" w:rsidRPr="00233159" w:rsidRDefault="00DC7BA4" w:rsidP="008632C7">
      <w:pPr>
        <w:numPr>
          <w:ilvl w:val="0"/>
          <w:numId w:val="28"/>
        </w:numPr>
        <w:suppressAutoHyphens/>
        <w:spacing w:before="80" w:after="80"/>
        <w:ind w:left="1134" w:hanging="567"/>
      </w:pPr>
      <w:r>
        <w:t>S</w:t>
      </w:r>
      <w:r w:rsidR="009E5D5A" w:rsidRPr="00233159">
        <w:t>ecurity compliance</w:t>
      </w:r>
    </w:p>
    <w:p w14:paraId="23A4B00F" w14:textId="2338502E" w:rsidR="009E5D5A" w:rsidRPr="006A4D67" w:rsidRDefault="009E5D5A" w:rsidP="008632C7">
      <w:pPr>
        <w:numPr>
          <w:ilvl w:val="0"/>
          <w:numId w:val="29"/>
        </w:numPr>
        <w:suppressAutoHyphens/>
        <w:spacing w:before="80" w:after="80"/>
        <w:ind w:left="1701" w:hanging="567"/>
        <w:rPr>
          <w:lang w:val="en-US"/>
        </w:rPr>
      </w:pPr>
      <w:r w:rsidRPr="00B70DF5">
        <w:rPr>
          <w:lang w:val="en-US"/>
        </w:rPr>
        <w:t xml:space="preserve">reviewing the </w:t>
      </w:r>
      <w:r>
        <w:rPr>
          <w:lang w:val="en-US"/>
        </w:rPr>
        <w:t>department’s</w:t>
      </w:r>
      <w:r w:rsidRPr="00B70DF5">
        <w:rPr>
          <w:lang w:val="en-US"/>
        </w:rPr>
        <w:t xml:space="preserve"> approach to maintaining an effective internal security system (including complying with the </w:t>
      </w:r>
      <w:hyperlink r:id="rId17" w:history="1">
        <w:r w:rsidRPr="006A4D67">
          <w:rPr>
            <w:rStyle w:val="Hyperlink"/>
            <w:lang w:val="en-US"/>
          </w:rPr>
          <w:t>Protective Security Policy Framework</w:t>
        </w:r>
      </w:hyperlink>
      <w:r w:rsidR="00A80365" w:rsidRPr="008632C7">
        <w:t>).</w:t>
      </w:r>
    </w:p>
    <w:p w14:paraId="0002FD4E" w14:textId="64BF3E00" w:rsidR="009E5D5A" w:rsidRPr="00233159" w:rsidRDefault="00DC7BA4" w:rsidP="008632C7">
      <w:pPr>
        <w:numPr>
          <w:ilvl w:val="0"/>
          <w:numId w:val="28"/>
        </w:numPr>
        <w:suppressAutoHyphens/>
        <w:spacing w:before="80" w:after="80"/>
        <w:ind w:left="1134" w:hanging="567"/>
      </w:pPr>
      <w:r>
        <w:t>I</w:t>
      </w:r>
      <w:r w:rsidR="009E5D5A" w:rsidRPr="00233159">
        <w:t>nternal audit coverage</w:t>
      </w:r>
    </w:p>
    <w:p w14:paraId="0DBC4240" w14:textId="77777777" w:rsidR="009E5D5A" w:rsidRPr="00B70DF5" w:rsidRDefault="009E5D5A" w:rsidP="008632C7">
      <w:pPr>
        <w:numPr>
          <w:ilvl w:val="0"/>
          <w:numId w:val="29"/>
        </w:numPr>
        <w:suppressAutoHyphens/>
        <w:spacing w:before="80" w:after="80"/>
        <w:ind w:left="1701" w:hanging="567"/>
        <w:rPr>
          <w:lang w:val="en-US"/>
        </w:rPr>
      </w:pPr>
      <w:r w:rsidRPr="00B70DF5">
        <w:rPr>
          <w:lang w:val="en-US"/>
        </w:rPr>
        <w:t xml:space="preserve">reviewing the proposed internal audit coverage, </w:t>
      </w:r>
      <w:r>
        <w:rPr>
          <w:lang w:val="en-US"/>
        </w:rPr>
        <w:t xml:space="preserve">to assess whether </w:t>
      </w:r>
      <w:r w:rsidRPr="00B70DF5">
        <w:rPr>
          <w:lang w:val="en-US"/>
        </w:rPr>
        <w:t xml:space="preserve">the coverage accounts for the </w:t>
      </w:r>
      <w:r>
        <w:rPr>
          <w:lang w:val="en-US"/>
        </w:rPr>
        <w:t>department’s</w:t>
      </w:r>
      <w:r w:rsidRPr="00B70DF5">
        <w:rPr>
          <w:lang w:val="en-US"/>
        </w:rPr>
        <w:t xml:space="preserve"> primary risks, and recommending approval of the internal audit work plan by the Secretary</w:t>
      </w:r>
    </w:p>
    <w:p w14:paraId="0A464B79" w14:textId="55439BF3" w:rsidR="009E5D5A" w:rsidRPr="00B70DF5" w:rsidRDefault="009E5D5A" w:rsidP="008632C7">
      <w:pPr>
        <w:numPr>
          <w:ilvl w:val="0"/>
          <w:numId w:val="29"/>
        </w:numPr>
        <w:suppressAutoHyphens/>
        <w:spacing w:before="80" w:after="80"/>
        <w:ind w:left="1701" w:hanging="567"/>
        <w:rPr>
          <w:lang w:val="en-US"/>
        </w:rPr>
      </w:pPr>
      <w:r w:rsidRPr="00B70DF5">
        <w:rPr>
          <w:lang w:val="en-US"/>
        </w:rPr>
        <w:t>reviewing all internal audit reports, providing advice to the Secretary on major concerns identified in those reports, and recommending action on significant matters raised</w:t>
      </w:r>
      <w:r w:rsidR="008632C7">
        <w:rPr>
          <w:lang w:val="en-US"/>
        </w:rPr>
        <w:t>,</w:t>
      </w:r>
      <w:r w:rsidR="00D542B0">
        <w:rPr>
          <w:lang w:val="en-US"/>
        </w:rPr>
        <w:t xml:space="preserve"> </w:t>
      </w:r>
      <w:r w:rsidRPr="00B70DF5">
        <w:rPr>
          <w:lang w:val="en-US"/>
        </w:rPr>
        <w:t>including identification and dissemination of information on good practice</w:t>
      </w:r>
      <w:r>
        <w:rPr>
          <w:lang w:val="en-US"/>
        </w:rPr>
        <w:t>s</w:t>
      </w:r>
    </w:p>
    <w:p w14:paraId="45CA276D" w14:textId="77777777" w:rsidR="009E5D5A" w:rsidRPr="00B70DF5" w:rsidRDefault="009E5D5A" w:rsidP="008632C7">
      <w:pPr>
        <w:numPr>
          <w:ilvl w:val="0"/>
          <w:numId w:val="29"/>
        </w:numPr>
        <w:suppressAutoHyphens/>
        <w:spacing w:before="80" w:after="80"/>
        <w:ind w:left="1701" w:hanging="567"/>
        <w:rPr>
          <w:lang w:val="en-US"/>
        </w:rPr>
      </w:pPr>
      <w:r w:rsidRPr="00B70DF5">
        <w:rPr>
          <w:lang w:val="en-US"/>
        </w:rPr>
        <w:t>monitor the implementation of agreed recommendations from internal audits</w:t>
      </w:r>
      <w:r>
        <w:rPr>
          <w:lang w:val="en-US"/>
        </w:rPr>
        <w:t>.</w:t>
      </w:r>
    </w:p>
    <w:p w14:paraId="77576735" w14:textId="77777777" w:rsidR="009E5D5A" w:rsidRPr="000A2795" w:rsidRDefault="009E5D5A" w:rsidP="003B66C1">
      <w:pPr>
        <w:pStyle w:val="ListLegal1"/>
        <w:numPr>
          <w:ilvl w:val="0"/>
          <w:numId w:val="23"/>
        </w:numPr>
        <w:tabs>
          <w:tab w:val="clear" w:pos="-439"/>
        </w:tabs>
        <w:spacing w:before="80" w:after="80"/>
        <w:ind w:left="567" w:hanging="567"/>
      </w:pPr>
      <w:r w:rsidRPr="000A2795">
        <w:t xml:space="preserve">The </w:t>
      </w:r>
      <w:r>
        <w:rPr>
          <w:lang w:val="en-US"/>
        </w:rPr>
        <w:t>Audit</w:t>
      </w:r>
      <w:r w:rsidRPr="000A2795">
        <w:t xml:space="preserve"> </w:t>
      </w:r>
      <w:r>
        <w:rPr>
          <w:lang w:val="en-US"/>
        </w:rPr>
        <w:t>and Risk Committee</w:t>
      </w:r>
      <w:r w:rsidRPr="000A2795">
        <w:t xml:space="preserve"> provides a statement to the Secretary </w:t>
      </w:r>
      <w:r>
        <w:rPr>
          <w:lang w:val="en-AU"/>
        </w:rPr>
        <w:t xml:space="preserve">on </w:t>
      </w:r>
      <w:r w:rsidRPr="000A2795">
        <w:t xml:space="preserve">whether the </w:t>
      </w:r>
      <w:r>
        <w:rPr>
          <w:lang w:val="en-AU"/>
        </w:rPr>
        <w:t>department</w:t>
      </w:r>
      <w:r w:rsidRPr="000A2795">
        <w:t xml:space="preserve">’s system of internal control is appropriate for the </w:t>
      </w:r>
      <w:r>
        <w:rPr>
          <w:lang w:val="en-US"/>
        </w:rPr>
        <w:t>department</w:t>
      </w:r>
      <w:r w:rsidRPr="000A2795">
        <w:t>, with reference to any specific areas of concern or suggestions for improvement.</w:t>
      </w:r>
    </w:p>
    <w:p w14:paraId="6F1F6645" w14:textId="77777777" w:rsidR="009E5D5A" w:rsidRDefault="009E5D5A" w:rsidP="00CE7FBF">
      <w:pPr>
        <w:pStyle w:val="Heading2"/>
        <w:rPr>
          <w:lang w:val="en-US"/>
        </w:rPr>
      </w:pPr>
      <w:r>
        <w:rPr>
          <w:lang w:val="en-US"/>
        </w:rPr>
        <w:t>Other functions</w:t>
      </w:r>
    </w:p>
    <w:p w14:paraId="22A35563" w14:textId="77777777" w:rsidR="009E5D5A" w:rsidRPr="000A2795" w:rsidRDefault="009E5D5A" w:rsidP="003B66C1">
      <w:pPr>
        <w:pStyle w:val="ListLegal1"/>
        <w:numPr>
          <w:ilvl w:val="0"/>
          <w:numId w:val="23"/>
        </w:numPr>
        <w:tabs>
          <w:tab w:val="clear" w:pos="-439"/>
        </w:tabs>
        <w:spacing w:before="80" w:after="80"/>
        <w:ind w:left="567" w:hanging="567"/>
      </w:pPr>
      <w:r w:rsidRPr="000A2795">
        <w:t xml:space="preserve">The </w:t>
      </w:r>
      <w:r>
        <w:rPr>
          <w:lang w:val="en-US"/>
        </w:rPr>
        <w:t>Audit</w:t>
      </w:r>
      <w:r w:rsidRPr="000A2795">
        <w:t xml:space="preserve"> </w:t>
      </w:r>
      <w:r>
        <w:rPr>
          <w:lang w:val="en-US"/>
        </w:rPr>
        <w:t>and Risk Committee</w:t>
      </w:r>
      <w:r w:rsidRPr="000A2795">
        <w:t xml:space="preserve"> should satisfy itself:</w:t>
      </w:r>
    </w:p>
    <w:p w14:paraId="6F0F753A" w14:textId="77777777" w:rsidR="009E5D5A" w:rsidRPr="000A2795" w:rsidRDefault="009E5D5A" w:rsidP="008632C7">
      <w:pPr>
        <w:pStyle w:val="ListLegal2"/>
        <w:numPr>
          <w:ilvl w:val="0"/>
          <w:numId w:val="30"/>
        </w:numPr>
        <w:spacing w:before="80" w:after="80"/>
        <w:ind w:left="1134" w:hanging="567"/>
      </w:pPr>
      <w:r w:rsidRPr="000A2795">
        <w:t xml:space="preserve">that an appropriate approach has been taken in establishing business continuity planning arrangements, including </w:t>
      </w:r>
      <w:r w:rsidRPr="00265EE0">
        <w:t>whether business continuity and</w:t>
      </w:r>
      <w:r w:rsidRPr="000A2795">
        <w:t xml:space="preserve"> disaster recovery plans have been periodically updated and tested</w:t>
      </w:r>
    </w:p>
    <w:p w14:paraId="3F11301A" w14:textId="77777777" w:rsidR="009E5D5A" w:rsidRPr="000A2795" w:rsidRDefault="009E5D5A" w:rsidP="008632C7">
      <w:pPr>
        <w:pStyle w:val="ListLegal2"/>
        <w:numPr>
          <w:ilvl w:val="0"/>
          <w:numId w:val="30"/>
        </w:numPr>
        <w:spacing w:before="80" w:after="80"/>
        <w:ind w:left="1134" w:hanging="567"/>
      </w:pPr>
      <w:r w:rsidRPr="000A2795">
        <w:t>whether the Secretary has taken steps to embed a culture that promotes the proper use and management of public resources and is committed to ethical and lawful conduct</w:t>
      </w:r>
    </w:p>
    <w:p w14:paraId="116F1D01" w14:textId="77777777" w:rsidR="009E5D5A" w:rsidRPr="00E72A8F" w:rsidRDefault="009E5D5A" w:rsidP="008632C7">
      <w:pPr>
        <w:pStyle w:val="ListLegal2"/>
        <w:numPr>
          <w:ilvl w:val="0"/>
          <w:numId w:val="30"/>
        </w:numPr>
        <w:spacing w:before="80" w:after="80"/>
        <w:ind w:left="1134" w:hanging="567"/>
      </w:pPr>
      <w:r w:rsidRPr="00E72A8F">
        <w:t xml:space="preserve">that the </w:t>
      </w:r>
      <w:r>
        <w:rPr>
          <w:lang w:val="en-AU"/>
        </w:rPr>
        <w:t>department</w:t>
      </w:r>
      <w:r w:rsidRPr="00E72A8F">
        <w:t xml:space="preserve"> has appropriate mechanisms for reviewing relevant parliamentary committee reports, Australian National Audit Office</w:t>
      </w:r>
      <w:r>
        <w:rPr>
          <w:lang w:val="en-AU"/>
        </w:rPr>
        <w:t xml:space="preserve"> </w:t>
      </w:r>
      <w:r w:rsidRPr="00E72A8F">
        <w:t>performance audits</w:t>
      </w:r>
      <w:r>
        <w:rPr>
          <w:lang w:val="en-US"/>
        </w:rPr>
        <w:t>,</w:t>
      </w:r>
      <w:r w:rsidRPr="00E72A8F">
        <w:t xml:space="preserve"> external reviews and evaluations of the </w:t>
      </w:r>
      <w:r>
        <w:rPr>
          <w:lang w:val="en-US"/>
        </w:rPr>
        <w:t>department</w:t>
      </w:r>
      <w:r w:rsidRPr="00E72A8F">
        <w:t xml:space="preserve"> and </w:t>
      </w:r>
      <w:r>
        <w:rPr>
          <w:lang w:val="en-AU"/>
        </w:rPr>
        <w:t xml:space="preserve">for </w:t>
      </w:r>
      <w:r w:rsidRPr="00E72A8F">
        <w:t>implementing, where appropriate, any resultant recommendations</w:t>
      </w:r>
      <w:r>
        <w:t>.</w:t>
      </w:r>
    </w:p>
    <w:p w14:paraId="6EB874BF" w14:textId="77777777" w:rsidR="009E5D5A" w:rsidRDefault="009E5D5A" w:rsidP="00CE7FBF">
      <w:pPr>
        <w:pStyle w:val="Heading2"/>
        <w:rPr>
          <w:lang w:val="en-US"/>
        </w:rPr>
      </w:pPr>
      <w:r>
        <w:rPr>
          <w:lang w:val="en-US"/>
        </w:rPr>
        <w:lastRenderedPageBreak/>
        <w:t>Membership</w:t>
      </w:r>
    </w:p>
    <w:p w14:paraId="3563A4DF" w14:textId="77777777" w:rsidR="009E5D5A" w:rsidRPr="000A2795" w:rsidRDefault="009E5D5A" w:rsidP="0031151B">
      <w:pPr>
        <w:pStyle w:val="ListLegal1"/>
        <w:keepLines/>
        <w:numPr>
          <w:ilvl w:val="0"/>
          <w:numId w:val="23"/>
        </w:numPr>
        <w:tabs>
          <w:tab w:val="clear" w:pos="-439"/>
        </w:tabs>
        <w:spacing w:before="80" w:after="80"/>
        <w:ind w:left="567" w:hanging="567"/>
      </w:pPr>
      <w:r w:rsidRPr="000A2795">
        <w:t xml:space="preserve">Section 17(3) of the PGPA Rule states ‘the audit committee must consist of at least three persons who have appropriate qualifications, knowledge, skills or experience to assist the committee to perform its function’. </w:t>
      </w:r>
      <w:r>
        <w:rPr>
          <w:lang w:val="en-AU"/>
        </w:rPr>
        <w:t>The department’s</w:t>
      </w:r>
      <w:r w:rsidRPr="000A2795">
        <w:t xml:space="preserve"> Audit and Risk Committee</w:t>
      </w:r>
      <w:r>
        <w:t xml:space="preserve"> currently</w:t>
      </w:r>
      <w:r w:rsidRPr="000A2795">
        <w:t xml:space="preserve"> consists of four members, who are appointed by the Secretary. Pursuant to Section 17(4) of the PGPA Rule, the Audit and Risk Committee may </w:t>
      </w:r>
      <w:r>
        <w:t xml:space="preserve">experience </w:t>
      </w:r>
      <w:r w:rsidRPr="00265EE0">
        <w:t>a</w:t>
      </w:r>
      <w:r w:rsidRPr="000A2795">
        <w:t xml:space="preserve"> temporary increase in the number of members as a result of staggering the rotation of members.</w:t>
      </w:r>
    </w:p>
    <w:p w14:paraId="4AB8BEA0" w14:textId="77777777" w:rsidR="009E5D5A" w:rsidRPr="00233159" w:rsidRDefault="009E5D5A" w:rsidP="003B66C1">
      <w:pPr>
        <w:pStyle w:val="ListLegal1"/>
        <w:numPr>
          <w:ilvl w:val="0"/>
          <w:numId w:val="23"/>
        </w:numPr>
        <w:tabs>
          <w:tab w:val="clear" w:pos="-439"/>
        </w:tabs>
        <w:spacing w:before="80" w:after="80"/>
        <w:ind w:left="567" w:hanging="567"/>
      </w:pPr>
      <w:r w:rsidRPr="000A2795">
        <w:t xml:space="preserve">The Audit and Risk Committee must consist of members who are not officials of the </w:t>
      </w:r>
      <w:r>
        <w:rPr>
          <w:lang w:val="en-US"/>
        </w:rPr>
        <w:t>department</w:t>
      </w:r>
      <w:r w:rsidRPr="000A2795">
        <w:t xml:space="preserve"> and a majority of the members must be persons who are not officials of any Commonwealth entity</w:t>
      </w:r>
      <w:r>
        <w:rPr>
          <w:lang w:val="en-AU"/>
        </w:rPr>
        <w:t>.</w:t>
      </w:r>
    </w:p>
    <w:p w14:paraId="2C75E222" w14:textId="77777777" w:rsidR="009E5D5A" w:rsidRDefault="009E5D5A" w:rsidP="003B66C1">
      <w:pPr>
        <w:pStyle w:val="ListLegal1"/>
        <w:numPr>
          <w:ilvl w:val="0"/>
          <w:numId w:val="23"/>
        </w:numPr>
        <w:tabs>
          <w:tab w:val="clear" w:pos="-439"/>
        </w:tabs>
        <w:spacing w:before="80" w:after="80"/>
        <w:ind w:left="567" w:hanging="567"/>
      </w:pPr>
      <w:r w:rsidRPr="000A2795">
        <w:t xml:space="preserve">Audit and Risk Committee members will </w:t>
      </w:r>
      <w:r>
        <w:rPr>
          <w:lang w:val="en-AU"/>
        </w:rPr>
        <w:t xml:space="preserve">typically </w:t>
      </w:r>
      <w:r w:rsidRPr="000A2795">
        <w:t xml:space="preserve">be appointed for an initial period of three years. </w:t>
      </w:r>
      <w:r>
        <w:rPr>
          <w:lang w:val="en-AU"/>
        </w:rPr>
        <w:t>Additional periods may apply depending on the performance of the member and other relevant factors such as the composition of the Committee and the periodic rotation of members.</w:t>
      </w:r>
    </w:p>
    <w:p w14:paraId="4170FC4E" w14:textId="77777777" w:rsidR="009E5D5A" w:rsidRDefault="009E5D5A" w:rsidP="003B66C1">
      <w:pPr>
        <w:pStyle w:val="ListLegal1"/>
        <w:numPr>
          <w:ilvl w:val="0"/>
          <w:numId w:val="23"/>
        </w:numPr>
        <w:tabs>
          <w:tab w:val="clear" w:pos="-439"/>
        </w:tabs>
        <w:spacing w:before="80" w:after="80"/>
        <w:ind w:left="567" w:hanging="567"/>
      </w:pPr>
      <w:r w:rsidRPr="000A2795">
        <w:t>The Chair of the Audit and Risk Committee will be appointed by the Secretary. A Deputy Chair may be appointed by the Audit and Risk Committee</w:t>
      </w:r>
      <w:r>
        <w:rPr>
          <w:lang w:val="en-AU"/>
        </w:rPr>
        <w:t xml:space="preserve"> Chair</w:t>
      </w:r>
      <w:r w:rsidRPr="000A2795">
        <w:t xml:space="preserve"> who may act as Chair in the absence of the Chair on a temporary basis</w:t>
      </w:r>
      <w:r>
        <w:rPr>
          <w:lang w:val="en-AU"/>
        </w:rPr>
        <w:t xml:space="preserve"> providing there is a quorum</w:t>
      </w:r>
      <w:r w:rsidRPr="000A2795">
        <w:t>.</w:t>
      </w:r>
    </w:p>
    <w:p w14:paraId="268C20E4" w14:textId="77777777" w:rsidR="009E5D5A" w:rsidRPr="002908C1" w:rsidRDefault="009E5D5A" w:rsidP="003B66C1">
      <w:pPr>
        <w:pStyle w:val="ListLegal1"/>
        <w:numPr>
          <w:ilvl w:val="0"/>
          <w:numId w:val="23"/>
        </w:numPr>
        <w:tabs>
          <w:tab w:val="clear" w:pos="-439"/>
        </w:tabs>
        <w:spacing w:before="80" w:after="80"/>
        <w:ind w:left="567" w:hanging="567"/>
      </w:pPr>
      <w:r w:rsidRPr="002908C1">
        <w:t>Members of the Audit and Risk Committee are expected to:</w:t>
      </w:r>
    </w:p>
    <w:p w14:paraId="68D69B86" w14:textId="77777777" w:rsidR="009E5D5A" w:rsidRPr="002908C1" w:rsidRDefault="009E5D5A" w:rsidP="008632C7">
      <w:pPr>
        <w:pStyle w:val="ListLegal2"/>
        <w:numPr>
          <w:ilvl w:val="0"/>
          <w:numId w:val="31"/>
        </w:numPr>
        <w:tabs>
          <w:tab w:val="clear" w:pos="432"/>
        </w:tabs>
        <w:spacing w:before="80" w:after="80"/>
        <w:ind w:left="1134" w:hanging="567"/>
      </w:pPr>
      <w:r w:rsidRPr="002908C1">
        <w:t xml:space="preserve">act in the best interests of the </w:t>
      </w:r>
      <w:r w:rsidRPr="002908C1">
        <w:rPr>
          <w:lang w:val="en-AU"/>
        </w:rPr>
        <w:t>department</w:t>
      </w:r>
      <w:r w:rsidRPr="002908C1">
        <w:t xml:space="preserve"> as a whole</w:t>
      </w:r>
    </w:p>
    <w:p w14:paraId="0C195593" w14:textId="6E01E6C4" w:rsidR="009E5D5A" w:rsidRPr="002908C1" w:rsidRDefault="009E5D5A" w:rsidP="008632C7">
      <w:pPr>
        <w:pStyle w:val="ListLegal2"/>
        <w:numPr>
          <w:ilvl w:val="0"/>
          <w:numId w:val="31"/>
        </w:numPr>
        <w:tabs>
          <w:tab w:val="clear" w:pos="432"/>
        </w:tabs>
        <w:spacing w:before="80" w:after="80"/>
        <w:ind w:left="1134" w:hanging="567"/>
      </w:pPr>
      <w:r w:rsidRPr="002908C1">
        <w:t xml:space="preserve">apply good analytical skills, objectivity and good </w:t>
      </w:r>
      <w:r w:rsidR="00675C5D">
        <w:t>jud</w:t>
      </w:r>
      <w:r w:rsidR="000B0B52">
        <w:t>gement</w:t>
      </w:r>
    </w:p>
    <w:p w14:paraId="42F49F7A" w14:textId="77777777" w:rsidR="009E5D5A" w:rsidRPr="00265EE0" w:rsidRDefault="009E5D5A" w:rsidP="008632C7">
      <w:pPr>
        <w:pStyle w:val="ListLegal2"/>
        <w:numPr>
          <w:ilvl w:val="0"/>
          <w:numId w:val="31"/>
        </w:numPr>
        <w:tabs>
          <w:tab w:val="clear" w:pos="432"/>
        </w:tabs>
        <w:spacing w:before="80" w:after="80"/>
        <w:ind w:left="1134" w:hanging="567"/>
      </w:pPr>
      <w:r w:rsidRPr="002908C1">
        <w:t xml:space="preserve">express opinions constructively and openly, raise issues that relate to the Audit and Risk Committee’s </w:t>
      </w:r>
      <w:r w:rsidRPr="00265EE0">
        <w:t>responsibilities and pursue independent lines of enquiry</w:t>
      </w:r>
    </w:p>
    <w:p w14:paraId="3D96D234" w14:textId="77777777" w:rsidR="009E5D5A" w:rsidRPr="00177468" w:rsidRDefault="009E5D5A" w:rsidP="008632C7">
      <w:pPr>
        <w:pStyle w:val="ListLegal2"/>
        <w:numPr>
          <w:ilvl w:val="0"/>
          <w:numId w:val="31"/>
        </w:numPr>
        <w:tabs>
          <w:tab w:val="clear" w:pos="432"/>
        </w:tabs>
        <w:spacing w:before="80" w:after="80"/>
        <w:ind w:left="1134" w:hanging="567"/>
      </w:pPr>
      <w:r w:rsidRPr="002908C1">
        <w:t>contribute the time required to meet their responsibilities</w:t>
      </w:r>
      <w:r>
        <w:rPr>
          <w:lang w:val="en-AU"/>
        </w:rPr>
        <w:t>.</w:t>
      </w:r>
    </w:p>
    <w:p w14:paraId="5E0AE849" w14:textId="77777777" w:rsidR="009E5D5A" w:rsidRPr="009D3AE6" w:rsidRDefault="009E5D5A" w:rsidP="003B66C1">
      <w:pPr>
        <w:pStyle w:val="ListLegal1"/>
        <w:numPr>
          <w:ilvl w:val="0"/>
          <w:numId w:val="23"/>
        </w:numPr>
        <w:tabs>
          <w:tab w:val="clear" w:pos="-439"/>
        </w:tabs>
        <w:spacing w:before="80" w:after="80"/>
        <w:ind w:left="567" w:hanging="567"/>
      </w:pPr>
      <w:r>
        <w:t xml:space="preserve">While not </w:t>
      </w:r>
      <w:r w:rsidRPr="009D3AE6">
        <w:t>members of the Audit and Risk Committee, the following may attend meetings to support member considerations:</w:t>
      </w:r>
    </w:p>
    <w:p w14:paraId="637E18BA" w14:textId="494FA2B2" w:rsidR="009E5D5A" w:rsidRPr="008632C7" w:rsidRDefault="009E5D5A" w:rsidP="008632C7">
      <w:pPr>
        <w:pStyle w:val="ListLegal2"/>
        <w:numPr>
          <w:ilvl w:val="0"/>
          <w:numId w:val="34"/>
        </w:numPr>
        <w:spacing w:before="80" w:after="80"/>
        <w:ind w:left="1134" w:hanging="567"/>
      </w:pPr>
      <w:r w:rsidRPr="009D3AE6">
        <w:t>Observers</w:t>
      </w:r>
      <w:r w:rsidRPr="009D3AE6">
        <w:rPr>
          <w:rStyle w:val="FootnoteReference"/>
        </w:rPr>
        <w:footnoteReference w:id="1"/>
      </w:r>
      <w:r w:rsidRPr="008632C7">
        <w:t xml:space="preserve"> </w:t>
      </w:r>
      <w:r w:rsidR="00FF137A" w:rsidRPr="008632C7">
        <w:t>-</w:t>
      </w:r>
      <w:r w:rsidRPr="008632C7">
        <w:t xml:space="preserve"> the Chief Financial Officer, the Chief Risk Officer, the Chief Audit Executive, representatives from the Australian National Audit Office and other observers from time to time as agreed with the Chair.</w:t>
      </w:r>
    </w:p>
    <w:p w14:paraId="77877A19" w14:textId="27473455" w:rsidR="009E5D5A" w:rsidRPr="008632C7" w:rsidRDefault="009E5D5A" w:rsidP="008632C7">
      <w:pPr>
        <w:pStyle w:val="ListLegal2"/>
        <w:numPr>
          <w:ilvl w:val="0"/>
          <w:numId w:val="34"/>
        </w:numPr>
        <w:spacing w:before="80" w:after="80"/>
        <w:ind w:left="1134" w:hanging="567"/>
      </w:pPr>
      <w:r w:rsidRPr="008632C7">
        <w:t xml:space="preserve">Presenters </w:t>
      </w:r>
      <w:r w:rsidR="00FF137A" w:rsidRPr="008632C7">
        <w:t>-</w:t>
      </w:r>
      <w:r w:rsidRPr="008632C7">
        <w:t xml:space="preserve"> representatives from the division (with a preference for the relevant S</w:t>
      </w:r>
      <w:r w:rsidR="00FF137A" w:rsidRPr="008632C7">
        <w:t>enior Executive Service Band 2</w:t>
      </w:r>
      <w:r w:rsidRPr="008632C7">
        <w:t xml:space="preserve"> and staff).</w:t>
      </w:r>
    </w:p>
    <w:p w14:paraId="23640BD1" w14:textId="77777777" w:rsidR="009E5D5A" w:rsidRDefault="009E5D5A" w:rsidP="00CE7FBF">
      <w:pPr>
        <w:pStyle w:val="Heading2"/>
      </w:pPr>
      <w:r>
        <w:t>Access to and use of information</w:t>
      </w:r>
    </w:p>
    <w:p w14:paraId="502618C8" w14:textId="77777777" w:rsidR="009E5D5A" w:rsidRPr="000A2795" w:rsidRDefault="009E5D5A" w:rsidP="003B66C1">
      <w:pPr>
        <w:pStyle w:val="ListLegal1"/>
        <w:numPr>
          <w:ilvl w:val="0"/>
          <w:numId w:val="23"/>
        </w:numPr>
        <w:spacing w:before="80" w:after="80"/>
        <w:ind w:left="567" w:hanging="567"/>
      </w:pPr>
      <w:r w:rsidRPr="000A2795">
        <w:t>The Secretary authorises the Audit and Risk Committee, in performing its functions, to:</w:t>
      </w:r>
    </w:p>
    <w:p w14:paraId="609191E9" w14:textId="0E9FEE5E" w:rsidR="009E5D5A" w:rsidRDefault="009E5D5A" w:rsidP="008632C7">
      <w:pPr>
        <w:pStyle w:val="ListLegal2"/>
        <w:numPr>
          <w:ilvl w:val="0"/>
          <w:numId w:val="35"/>
        </w:numPr>
        <w:spacing w:before="80" w:after="80"/>
        <w:ind w:left="1134" w:hanging="567"/>
      </w:pPr>
      <w:r w:rsidRPr="000A2795">
        <w:t>seek any information it requires from (subject to any legal obligation to protect information):</w:t>
      </w:r>
    </w:p>
    <w:p w14:paraId="1B077C89" w14:textId="1E2C3F7D" w:rsidR="001836F1" w:rsidRPr="008632C7" w:rsidRDefault="009E5D5A" w:rsidP="008632C7">
      <w:pPr>
        <w:numPr>
          <w:ilvl w:val="0"/>
          <w:numId w:val="29"/>
        </w:numPr>
        <w:suppressAutoHyphens/>
        <w:spacing w:before="80" w:after="80"/>
        <w:ind w:left="1701" w:hanging="567"/>
        <w:rPr>
          <w:lang w:val="en-US"/>
        </w:rPr>
      </w:pPr>
      <w:r w:rsidRPr="008632C7">
        <w:rPr>
          <w:lang w:val="en-US"/>
        </w:rPr>
        <w:t>any official of the department</w:t>
      </w:r>
    </w:p>
    <w:p w14:paraId="105600C4" w14:textId="27419BEC" w:rsidR="009E5D5A" w:rsidRPr="008632C7" w:rsidRDefault="009E5D5A" w:rsidP="008632C7">
      <w:pPr>
        <w:numPr>
          <w:ilvl w:val="0"/>
          <w:numId w:val="29"/>
        </w:numPr>
        <w:suppressAutoHyphens/>
        <w:spacing w:before="80" w:after="80"/>
        <w:ind w:left="1701" w:hanging="567"/>
        <w:rPr>
          <w:lang w:val="en-US"/>
        </w:rPr>
      </w:pPr>
      <w:r w:rsidRPr="008632C7">
        <w:rPr>
          <w:lang w:val="en-US"/>
        </w:rPr>
        <w:t>external parties (such as external audit providers)</w:t>
      </w:r>
    </w:p>
    <w:p w14:paraId="4E682C27" w14:textId="77777777" w:rsidR="009E5D5A" w:rsidRPr="00233159" w:rsidRDefault="009E5D5A" w:rsidP="008632C7">
      <w:pPr>
        <w:pStyle w:val="ListLegal2"/>
        <w:numPr>
          <w:ilvl w:val="0"/>
          <w:numId w:val="0"/>
        </w:numPr>
        <w:spacing w:before="80" w:after="80"/>
        <w:ind w:left="1134" w:hanging="567"/>
      </w:pPr>
      <w:r w:rsidRPr="00233159">
        <w:t>b)</w:t>
      </w:r>
      <w:r w:rsidRPr="00233159">
        <w:tab/>
      </w:r>
      <w:r w:rsidRPr="000A2795">
        <w:t>obtain legal or other professional advice, subject to approval by the appropriate delegate</w:t>
      </w:r>
    </w:p>
    <w:p w14:paraId="0D72C2EA" w14:textId="77777777" w:rsidR="009E5D5A" w:rsidRDefault="009E5D5A" w:rsidP="008632C7">
      <w:pPr>
        <w:pStyle w:val="ListLegal2"/>
        <w:numPr>
          <w:ilvl w:val="0"/>
          <w:numId w:val="0"/>
        </w:numPr>
        <w:spacing w:before="80" w:after="80"/>
        <w:ind w:left="1134" w:hanging="567"/>
      </w:pPr>
      <w:r w:rsidRPr="00233159">
        <w:t>c)</w:t>
      </w:r>
      <w:r w:rsidRPr="00233159">
        <w:tab/>
        <w:t xml:space="preserve">request the attendance of any official of the </w:t>
      </w:r>
      <w:r>
        <w:rPr>
          <w:lang w:val="en-US"/>
        </w:rPr>
        <w:t>department</w:t>
      </w:r>
      <w:r w:rsidRPr="00233159">
        <w:t xml:space="preserve"> at meetings, as appropriate.</w:t>
      </w:r>
    </w:p>
    <w:p w14:paraId="06AC5052" w14:textId="77777777" w:rsidR="009E5D5A" w:rsidRPr="000A2795" w:rsidRDefault="009E5D5A" w:rsidP="003B66C1">
      <w:pPr>
        <w:pStyle w:val="ListLegal1"/>
        <w:numPr>
          <w:ilvl w:val="0"/>
          <w:numId w:val="23"/>
        </w:numPr>
        <w:spacing w:before="80" w:after="80"/>
        <w:ind w:left="567" w:hanging="567"/>
      </w:pPr>
      <w:r w:rsidRPr="000A2795">
        <w:t xml:space="preserve">Audit and Risk Committee members must not use or disclose information obtained by the Audit and Risk Committee except in meeting the Audit and Risk </w:t>
      </w:r>
      <w:r>
        <w:rPr>
          <w:lang w:val="en-US"/>
        </w:rPr>
        <w:t>Committee’s</w:t>
      </w:r>
      <w:r w:rsidRPr="000A2795">
        <w:t xml:space="preserve"> responsibilities, or unless expressly agreed by the </w:t>
      </w:r>
      <w:r>
        <w:rPr>
          <w:lang w:val="en-AU"/>
        </w:rPr>
        <w:t>Secretary</w:t>
      </w:r>
      <w:r w:rsidRPr="000A2795">
        <w:t>.</w:t>
      </w:r>
    </w:p>
    <w:p w14:paraId="1B920DF1" w14:textId="77777777" w:rsidR="009E5D5A" w:rsidRPr="000A2795" w:rsidRDefault="009E5D5A" w:rsidP="003B66C1">
      <w:pPr>
        <w:pStyle w:val="ListLegal1"/>
        <w:numPr>
          <w:ilvl w:val="0"/>
          <w:numId w:val="23"/>
        </w:numPr>
        <w:spacing w:before="80" w:after="80"/>
        <w:ind w:left="567" w:hanging="567"/>
      </w:pPr>
      <w:r w:rsidRPr="000A2795">
        <w:t>Members are required to sign a Deed of Confidentiality upon their appointment</w:t>
      </w:r>
      <w:r>
        <w:rPr>
          <w:lang w:val="en-US"/>
        </w:rPr>
        <w:t xml:space="preserve"> and thereafter as required</w:t>
      </w:r>
      <w:r w:rsidRPr="000A2795">
        <w:t>.</w:t>
      </w:r>
    </w:p>
    <w:p w14:paraId="4D2D9A36" w14:textId="77777777" w:rsidR="009E5D5A" w:rsidRDefault="009E5D5A" w:rsidP="00CE7FBF">
      <w:pPr>
        <w:pStyle w:val="Heading2"/>
      </w:pPr>
      <w:r>
        <w:lastRenderedPageBreak/>
        <w:t>Conflicts of interest</w:t>
      </w:r>
    </w:p>
    <w:p w14:paraId="6981E447" w14:textId="23069B57" w:rsidR="009E5D5A" w:rsidRPr="000A2795" w:rsidRDefault="009E5D5A" w:rsidP="003B66C1">
      <w:pPr>
        <w:pStyle w:val="ListLegal1"/>
        <w:numPr>
          <w:ilvl w:val="0"/>
          <w:numId w:val="23"/>
        </w:numPr>
        <w:spacing w:before="80" w:after="80"/>
        <w:ind w:left="567" w:hanging="567"/>
      </w:pPr>
      <w:r w:rsidRPr="000A2795">
        <w:t xml:space="preserve">Once a year, Audit and Risk Committee members will provide written declarations to the </w:t>
      </w:r>
      <w:r>
        <w:rPr>
          <w:lang w:val="en-AU"/>
        </w:rPr>
        <w:t>Secretary</w:t>
      </w:r>
      <w:r w:rsidRPr="00400086">
        <w:rPr>
          <w:lang w:val="en-AU"/>
        </w:rPr>
        <w:t xml:space="preserve"> </w:t>
      </w:r>
      <w:r>
        <w:rPr>
          <w:lang w:val="en-AU"/>
        </w:rPr>
        <w:t xml:space="preserve">(via the </w:t>
      </w:r>
      <w:r w:rsidRPr="008632C7">
        <w:rPr>
          <w:lang w:val="en-AU"/>
        </w:rPr>
        <w:t>A</w:t>
      </w:r>
      <w:r w:rsidR="009865F6" w:rsidRPr="008632C7">
        <w:rPr>
          <w:lang w:val="en-AU"/>
        </w:rPr>
        <w:t>udit and Ri</w:t>
      </w:r>
      <w:r w:rsidR="00FA2946" w:rsidRPr="008632C7">
        <w:rPr>
          <w:lang w:val="en-AU"/>
        </w:rPr>
        <w:t>s</w:t>
      </w:r>
      <w:r w:rsidR="009865F6" w:rsidRPr="008632C7">
        <w:rPr>
          <w:lang w:val="en-AU"/>
        </w:rPr>
        <w:t>k Committee</w:t>
      </w:r>
      <w:r>
        <w:rPr>
          <w:lang w:val="en-AU"/>
        </w:rPr>
        <w:t xml:space="preserve"> Secretariat),</w:t>
      </w:r>
      <w:r w:rsidRPr="000A2795">
        <w:t xml:space="preserve"> declaring any potential</w:t>
      </w:r>
      <w:r>
        <w:rPr>
          <w:lang w:val="en-AU"/>
        </w:rPr>
        <w:t>, perceived</w:t>
      </w:r>
      <w:r w:rsidRPr="000A2795">
        <w:t xml:space="preserve"> or actual conflicts of interest they may have in relation to their responsibilities</w:t>
      </w:r>
      <w:r>
        <w:t xml:space="preserve"> and proposed mitigation strategies to manage them</w:t>
      </w:r>
      <w:r w:rsidRPr="000A2795">
        <w:t>.</w:t>
      </w:r>
    </w:p>
    <w:p w14:paraId="371F6FC1" w14:textId="77777777" w:rsidR="009E5D5A" w:rsidRPr="000A2795" w:rsidRDefault="009E5D5A" w:rsidP="003B66C1">
      <w:pPr>
        <w:pStyle w:val="ListLegal1"/>
        <w:numPr>
          <w:ilvl w:val="0"/>
          <w:numId w:val="23"/>
        </w:numPr>
        <w:spacing w:before="80" w:after="80"/>
        <w:ind w:left="567" w:hanging="567"/>
      </w:pPr>
      <w:r w:rsidRPr="000A2795">
        <w:t>Audit and Risk Committee members with a potential</w:t>
      </w:r>
      <w:r>
        <w:rPr>
          <w:lang w:val="en-AU"/>
        </w:rPr>
        <w:t>, perceived or actual</w:t>
      </w:r>
      <w:r w:rsidRPr="000A2795">
        <w:t xml:space="preserve"> conflict of interest will notify the Audit and Risk Committee </w:t>
      </w:r>
      <w:r>
        <w:rPr>
          <w:lang w:val="en-AU"/>
        </w:rPr>
        <w:t>at the commencement of each meeting</w:t>
      </w:r>
      <w:r w:rsidRPr="000A2795">
        <w:t>.</w:t>
      </w:r>
    </w:p>
    <w:p w14:paraId="4C0F1189" w14:textId="77777777" w:rsidR="009E5D5A" w:rsidRDefault="009E5D5A" w:rsidP="003B66C1">
      <w:pPr>
        <w:pStyle w:val="ListLegal1"/>
        <w:numPr>
          <w:ilvl w:val="0"/>
          <w:numId w:val="23"/>
        </w:numPr>
        <w:spacing w:before="80" w:after="80"/>
        <w:ind w:left="567" w:hanging="567"/>
        <w:rPr>
          <w:lang w:val="en-US"/>
        </w:rPr>
      </w:pPr>
      <w:r w:rsidRPr="000A2795">
        <w:t xml:space="preserve">Any member, or observer, with a conflict of interest will </w:t>
      </w:r>
      <w:r>
        <w:rPr>
          <w:lang w:val="en-US"/>
        </w:rPr>
        <w:t>excuse</w:t>
      </w:r>
      <w:r w:rsidRPr="000A2795">
        <w:t xml:space="preserve"> themselves from </w:t>
      </w:r>
      <w:r>
        <w:rPr>
          <w:lang w:val="en-US"/>
        </w:rPr>
        <w:t>the relevant agenda item(s)</w:t>
      </w:r>
      <w:r w:rsidRPr="000A2795">
        <w:t xml:space="preserve">. Details of any conflicts of interest should be appropriately recorded in the </w:t>
      </w:r>
      <w:r>
        <w:rPr>
          <w:lang w:val="en-AU"/>
        </w:rPr>
        <w:t xml:space="preserve">meeting </w:t>
      </w:r>
      <w:r w:rsidRPr="000A2795">
        <w:t>minutes.</w:t>
      </w:r>
    </w:p>
    <w:p w14:paraId="7920871D" w14:textId="77777777" w:rsidR="009E5D5A" w:rsidRDefault="009E5D5A" w:rsidP="00CE7FBF">
      <w:pPr>
        <w:pStyle w:val="Heading2"/>
        <w:rPr>
          <w:lang w:val="en-US"/>
        </w:rPr>
      </w:pPr>
      <w:r>
        <w:rPr>
          <w:lang w:val="en-US"/>
        </w:rPr>
        <w:t>Administrative arrangements</w:t>
      </w:r>
    </w:p>
    <w:p w14:paraId="6FEC5546" w14:textId="77777777" w:rsidR="009E5D5A" w:rsidRDefault="009E5D5A" w:rsidP="00CE7FBF">
      <w:pPr>
        <w:pStyle w:val="Heading3"/>
        <w:rPr>
          <w:lang w:val="en-US"/>
        </w:rPr>
      </w:pPr>
      <w:r>
        <w:rPr>
          <w:lang w:val="en-US"/>
        </w:rPr>
        <w:t>Meetings</w:t>
      </w:r>
    </w:p>
    <w:p w14:paraId="58905471" w14:textId="77777777" w:rsidR="009E5D5A" w:rsidRDefault="009E5D5A" w:rsidP="00CE7FBF">
      <w:pPr>
        <w:pStyle w:val="ListLegal1"/>
        <w:keepLines/>
        <w:numPr>
          <w:ilvl w:val="0"/>
          <w:numId w:val="23"/>
        </w:numPr>
        <w:tabs>
          <w:tab w:val="clear" w:pos="-439"/>
        </w:tabs>
        <w:spacing w:before="80" w:after="80"/>
        <w:ind w:left="567" w:hanging="567"/>
      </w:pPr>
      <w:r w:rsidRPr="000A2795">
        <w:t>The Audit and Risk Committee will meet at a minimum four times per year, and more often if required</w:t>
      </w:r>
      <w:r w:rsidRPr="00265EE0">
        <w:t xml:space="preserve">. A special meeting </w:t>
      </w:r>
      <w:r w:rsidRPr="00265EE0">
        <w:rPr>
          <w:lang w:val="en-AU"/>
        </w:rPr>
        <w:t xml:space="preserve">hosted by the Financial Statements </w:t>
      </w:r>
      <w:r w:rsidRPr="009D3AE6">
        <w:rPr>
          <w:lang w:val="en-AU"/>
        </w:rPr>
        <w:t>Sub-committee</w:t>
      </w:r>
      <w:r w:rsidRPr="00265EE0">
        <w:rPr>
          <w:lang w:val="en-AU"/>
        </w:rPr>
        <w:t xml:space="preserve"> </w:t>
      </w:r>
      <w:r w:rsidRPr="00265EE0">
        <w:t>is typically held in September to review the department’s annual financial statements and performance statements</w:t>
      </w:r>
      <w:r w:rsidRPr="00265EE0">
        <w:rPr>
          <w:lang w:val="en-AU"/>
        </w:rPr>
        <w:t xml:space="preserve"> which all </w:t>
      </w:r>
      <w:r>
        <w:rPr>
          <w:lang w:val="en-AU"/>
        </w:rPr>
        <w:t>Audit and Risk Committee</w:t>
      </w:r>
      <w:r w:rsidRPr="00265EE0">
        <w:rPr>
          <w:lang w:val="en-AU"/>
        </w:rPr>
        <w:t xml:space="preserve"> members </w:t>
      </w:r>
      <w:r>
        <w:rPr>
          <w:lang w:val="en-AU"/>
        </w:rPr>
        <w:t xml:space="preserve">are invited to </w:t>
      </w:r>
      <w:r w:rsidRPr="00265EE0">
        <w:rPr>
          <w:lang w:val="en-AU"/>
        </w:rPr>
        <w:t>attend</w:t>
      </w:r>
      <w:r w:rsidRPr="00265EE0">
        <w:t>. Special</w:t>
      </w:r>
      <w:r w:rsidRPr="000A2795">
        <w:t xml:space="preserve"> meetings may also be held to meet other specific responsibilities of the Audit and Risk Committee including performance reporting. Additional papers may be circulated to Audit and Risk Committee members for review out-of-session.</w:t>
      </w:r>
    </w:p>
    <w:p w14:paraId="34045030" w14:textId="77777777" w:rsidR="009E5D5A" w:rsidRPr="000A2795" w:rsidRDefault="009E5D5A" w:rsidP="003B66C1">
      <w:pPr>
        <w:pStyle w:val="ListLegal1"/>
        <w:numPr>
          <w:ilvl w:val="0"/>
          <w:numId w:val="23"/>
        </w:numPr>
        <w:tabs>
          <w:tab w:val="clear" w:pos="-439"/>
        </w:tabs>
        <w:spacing w:before="80" w:after="80"/>
        <w:ind w:left="567" w:hanging="567"/>
      </w:pPr>
      <w:r w:rsidRPr="000A2795">
        <w:t>The Secretary, or a representative, will attend the ‘members-only’ session at the commencement of Audit and Risk Committee meetings to provide members with an overview of key priorities and risks.</w:t>
      </w:r>
    </w:p>
    <w:p w14:paraId="248512D0" w14:textId="77777777" w:rsidR="009E5D5A" w:rsidRPr="000A2795" w:rsidRDefault="009E5D5A" w:rsidP="003B66C1">
      <w:pPr>
        <w:pStyle w:val="ListLegal1"/>
        <w:numPr>
          <w:ilvl w:val="0"/>
          <w:numId w:val="23"/>
        </w:numPr>
        <w:tabs>
          <w:tab w:val="clear" w:pos="-439"/>
        </w:tabs>
        <w:spacing w:before="80" w:after="80"/>
        <w:ind w:left="567" w:hanging="567"/>
      </w:pPr>
      <w:r w:rsidRPr="000A2795">
        <w:t xml:space="preserve">The Chair will call a meeting if requested to do so by the </w:t>
      </w:r>
      <w:r w:rsidRPr="00624226">
        <w:t>Secretary</w:t>
      </w:r>
      <w:r w:rsidRPr="000A2795">
        <w:t>, and may call a meeting if requested by another Audit and Risk Committee member.</w:t>
      </w:r>
    </w:p>
    <w:p w14:paraId="202F7315" w14:textId="77777777" w:rsidR="009E5D5A" w:rsidRPr="000A2795" w:rsidRDefault="009E5D5A" w:rsidP="003B66C1">
      <w:pPr>
        <w:pStyle w:val="ListLegal1"/>
        <w:numPr>
          <w:ilvl w:val="0"/>
          <w:numId w:val="23"/>
        </w:numPr>
        <w:tabs>
          <w:tab w:val="clear" w:pos="-439"/>
        </w:tabs>
        <w:spacing w:before="80" w:after="80"/>
        <w:ind w:left="567" w:hanging="567"/>
      </w:pPr>
      <w:r w:rsidRPr="000A2795">
        <w:t>A quorum for any Audit and Risk Committee meeting will consist of a majority of members, one of whom must be the Chair or the Deputy Chair.</w:t>
      </w:r>
    </w:p>
    <w:p w14:paraId="575EA4F9" w14:textId="77777777" w:rsidR="009E5D5A" w:rsidRDefault="009E5D5A" w:rsidP="00CE7FBF">
      <w:pPr>
        <w:pStyle w:val="Heading3"/>
        <w:rPr>
          <w:lang w:val="en-US"/>
        </w:rPr>
      </w:pPr>
      <w:r>
        <w:rPr>
          <w:lang w:val="en-US"/>
        </w:rPr>
        <w:t>Reporting</w:t>
      </w:r>
    </w:p>
    <w:p w14:paraId="64EBD513" w14:textId="77777777" w:rsidR="009E5D5A" w:rsidRDefault="009E5D5A" w:rsidP="003B66C1">
      <w:pPr>
        <w:pStyle w:val="ListLegal1"/>
        <w:numPr>
          <w:ilvl w:val="0"/>
          <w:numId w:val="23"/>
        </w:numPr>
        <w:tabs>
          <w:tab w:val="clear" w:pos="-439"/>
        </w:tabs>
        <w:spacing w:before="80" w:after="80"/>
        <w:ind w:left="567" w:hanging="567"/>
      </w:pPr>
      <w:r w:rsidRPr="000A2795">
        <w:t>The Chair will meet with the Secretary on an ‘as needed’ basis</w:t>
      </w:r>
      <w:r>
        <w:t xml:space="preserve"> and will meet with the department’s Executive Leadership Team at least once per year.</w:t>
      </w:r>
    </w:p>
    <w:p w14:paraId="465A13F7" w14:textId="77777777" w:rsidR="009E5D5A" w:rsidRPr="000A2795" w:rsidRDefault="009E5D5A" w:rsidP="003B66C1">
      <w:pPr>
        <w:pStyle w:val="ListLegal1"/>
        <w:numPr>
          <w:ilvl w:val="0"/>
          <w:numId w:val="23"/>
        </w:numPr>
        <w:tabs>
          <w:tab w:val="clear" w:pos="-439"/>
        </w:tabs>
        <w:spacing w:before="80" w:after="80"/>
        <w:ind w:left="567" w:hanging="567"/>
      </w:pPr>
      <w:r w:rsidRPr="00624226">
        <w:t xml:space="preserve">A Communique is provided to the </w:t>
      </w:r>
      <w:r w:rsidRPr="000A2795">
        <w:t>Secretary</w:t>
      </w:r>
      <w:r w:rsidRPr="00624226">
        <w:t xml:space="preserve"> from the Chair</w:t>
      </w:r>
      <w:r w:rsidRPr="000A2795">
        <w:t xml:space="preserve"> after each meeting.</w:t>
      </w:r>
      <w:r w:rsidRPr="00624226">
        <w:t xml:space="preserve"> </w:t>
      </w:r>
      <w:r w:rsidRPr="000A2795">
        <w:t>Any matter deemed of sufficient importance will be reported to the Secretary without delay.</w:t>
      </w:r>
    </w:p>
    <w:p w14:paraId="08BCD150" w14:textId="77777777" w:rsidR="009E5D5A" w:rsidRPr="00624226" w:rsidRDefault="009E5D5A" w:rsidP="003B66C1">
      <w:pPr>
        <w:pStyle w:val="ListLegal1"/>
        <w:numPr>
          <w:ilvl w:val="0"/>
          <w:numId w:val="23"/>
        </w:numPr>
        <w:tabs>
          <w:tab w:val="clear" w:pos="-439"/>
        </w:tabs>
        <w:spacing w:before="80" w:after="80"/>
        <w:ind w:left="567" w:hanging="567"/>
      </w:pPr>
      <w:r w:rsidRPr="00624226">
        <w:t>The Audit and Risk Committee will consider its coverage of activities against the Charter on an annual basis, and communicate this in the Audit and Risk Committee annual report to the Secretary.</w:t>
      </w:r>
    </w:p>
    <w:p w14:paraId="4EB690BA" w14:textId="77777777" w:rsidR="009E5D5A" w:rsidRDefault="009E5D5A" w:rsidP="00CE7FBF">
      <w:pPr>
        <w:pStyle w:val="Heading3"/>
        <w:rPr>
          <w:lang w:val="en-US"/>
        </w:rPr>
      </w:pPr>
      <w:r>
        <w:rPr>
          <w:lang w:val="en-US"/>
        </w:rPr>
        <w:t>Internal Audit Charter</w:t>
      </w:r>
    </w:p>
    <w:p w14:paraId="4CDAFEEB" w14:textId="77777777" w:rsidR="009E5D5A" w:rsidRPr="00265EE0" w:rsidRDefault="009E5D5A" w:rsidP="003B66C1">
      <w:pPr>
        <w:pStyle w:val="ListLegal1"/>
        <w:numPr>
          <w:ilvl w:val="0"/>
          <w:numId w:val="23"/>
        </w:numPr>
        <w:tabs>
          <w:tab w:val="clear" w:pos="-439"/>
        </w:tabs>
        <w:spacing w:before="80" w:after="80"/>
        <w:ind w:left="567" w:hanging="567"/>
      </w:pPr>
      <w:r w:rsidRPr="000A2795">
        <w:t>The Secretary has established the internal audit function as a key component of the department</w:t>
      </w:r>
      <w:r w:rsidRPr="00624226">
        <w:t>'</w:t>
      </w:r>
      <w:r w:rsidRPr="000A2795">
        <w:t xml:space="preserve">s governance framework. The </w:t>
      </w:r>
      <w:hyperlink r:id="rId18" w:history="1">
        <w:r w:rsidRPr="008D46F0">
          <w:rPr>
            <w:rStyle w:val="Hyperlink"/>
          </w:rPr>
          <w:t>Internal Audit Charter</w:t>
        </w:r>
      </w:hyperlink>
      <w:r w:rsidRPr="00265EE0">
        <w:t xml:space="preserve"> provides</w:t>
      </w:r>
      <w:r w:rsidRPr="000A2795">
        <w:t xml:space="preserve"> the framework for the conduct of the internal audit function </w:t>
      </w:r>
      <w:r w:rsidRPr="00624226">
        <w:t>and</w:t>
      </w:r>
      <w:r w:rsidRPr="000A2795">
        <w:t xml:space="preserve"> is approved by the Secretary </w:t>
      </w:r>
      <w:r w:rsidRPr="00624226">
        <w:t xml:space="preserve">following endorsement by the </w:t>
      </w:r>
      <w:r w:rsidRPr="000A2795">
        <w:t xml:space="preserve">Audit and Risk Committee. </w:t>
      </w:r>
      <w:r w:rsidRPr="00265EE0">
        <w:t>The Internal Audit Charter describes the internal audit activities undertaken to support the Audit and Risk Committee.</w:t>
      </w:r>
    </w:p>
    <w:p w14:paraId="087264ED" w14:textId="77777777" w:rsidR="009E5D5A" w:rsidRDefault="009E5D5A" w:rsidP="00CE7FBF">
      <w:pPr>
        <w:pStyle w:val="Heading3"/>
        <w:rPr>
          <w:lang w:val="en-US"/>
        </w:rPr>
      </w:pPr>
      <w:r>
        <w:rPr>
          <w:lang w:val="en-US"/>
        </w:rPr>
        <w:t>Annual work plan</w:t>
      </w:r>
    </w:p>
    <w:p w14:paraId="27968CA0" w14:textId="77777777" w:rsidR="009E5D5A" w:rsidRPr="00624226" w:rsidRDefault="009E5D5A" w:rsidP="0031151B">
      <w:pPr>
        <w:pStyle w:val="ListLegal1"/>
        <w:keepLines/>
        <w:numPr>
          <w:ilvl w:val="0"/>
          <w:numId w:val="23"/>
        </w:numPr>
        <w:tabs>
          <w:tab w:val="clear" w:pos="-439"/>
        </w:tabs>
        <w:spacing w:before="80" w:after="80"/>
        <w:ind w:left="567" w:hanging="567"/>
      </w:pPr>
      <w:r w:rsidRPr="00233159">
        <w:t xml:space="preserve">Each year an annual work plan is agreed by the </w:t>
      </w:r>
      <w:r w:rsidRPr="000A2795">
        <w:t xml:space="preserve">Audit and Risk </w:t>
      </w:r>
      <w:r w:rsidRPr="00233159">
        <w:t xml:space="preserve">Committee </w:t>
      </w:r>
      <w:r w:rsidRPr="00624226">
        <w:t xml:space="preserve">to address the functions outlined in this Charter. </w:t>
      </w:r>
      <w:r w:rsidRPr="00233159">
        <w:t xml:space="preserve">The </w:t>
      </w:r>
      <w:r w:rsidRPr="000A2795">
        <w:t xml:space="preserve">Audit and Risk </w:t>
      </w:r>
      <w:r>
        <w:t>Committee</w:t>
      </w:r>
      <w:r w:rsidRPr="00233159">
        <w:t xml:space="preserve"> may </w:t>
      </w:r>
      <w:r w:rsidRPr="001B2101">
        <w:t xml:space="preserve">consider other or additional matters in response to changes in the </w:t>
      </w:r>
      <w:r w:rsidRPr="00624226">
        <w:t>department’s</w:t>
      </w:r>
      <w:r w:rsidRPr="001B2101">
        <w:t xml:space="preserve"> operations and environment. Agenda items for each meeting will be </w:t>
      </w:r>
      <w:r w:rsidRPr="00624226">
        <w:t xml:space="preserve">based on the work plan and </w:t>
      </w:r>
      <w:r w:rsidRPr="001B2101">
        <w:t>determined on a meeting by meeting basis.</w:t>
      </w:r>
    </w:p>
    <w:p w14:paraId="559D9643" w14:textId="77777777" w:rsidR="009E5D5A" w:rsidRPr="0067529E" w:rsidRDefault="009E5D5A" w:rsidP="00CE7FBF">
      <w:pPr>
        <w:pStyle w:val="Heading3"/>
        <w:rPr>
          <w:lang w:val="en-US"/>
        </w:rPr>
      </w:pPr>
      <w:r>
        <w:rPr>
          <w:lang w:val="en-US"/>
        </w:rPr>
        <w:lastRenderedPageBreak/>
        <w:t>Sub-committees</w:t>
      </w:r>
    </w:p>
    <w:p w14:paraId="199A74C4" w14:textId="77777777" w:rsidR="009E5D5A" w:rsidRPr="00D77C34" w:rsidRDefault="009E5D5A" w:rsidP="003B66C1">
      <w:pPr>
        <w:pStyle w:val="ListLegal1"/>
        <w:numPr>
          <w:ilvl w:val="0"/>
          <w:numId w:val="23"/>
        </w:numPr>
        <w:tabs>
          <w:tab w:val="clear" w:pos="-439"/>
        </w:tabs>
        <w:spacing w:before="80" w:after="80"/>
        <w:ind w:left="567" w:hanging="567"/>
      </w:pPr>
      <w:r w:rsidRPr="000A2795">
        <w:t>The Audit and Risk Committee may establish one or more sub</w:t>
      </w:r>
      <w:r>
        <w:t>-</w:t>
      </w:r>
      <w:r w:rsidRPr="000A2795">
        <w:t xml:space="preserve">committees to </w:t>
      </w:r>
      <w:r w:rsidRPr="00624226">
        <w:t>support</w:t>
      </w:r>
      <w:r w:rsidRPr="000A2795">
        <w:t xml:space="preserve"> meeting its responsibilities. </w:t>
      </w:r>
      <w:r w:rsidRPr="00D77C34">
        <w:t>The responsibilities and reporting arrangements for each sub</w:t>
      </w:r>
      <w:r w:rsidRPr="00D36982">
        <w:t>-</w:t>
      </w:r>
      <w:r w:rsidRPr="00D77C34">
        <w:t xml:space="preserve">committee will be documented and </w:t>
      </w:r>
      <w:r w:rsidRPr="00D36982">
        <w:t>endorsed by</w:t>
      </w:r>
      <w:r w:rsidRPr="00D77C34">
        <w:t xml:space="preserve"> the Audit and Risk Committee.</w:t>
      </w:r>
    </w:p>
    <w:p w14:paraId="557E304F" w14:textId="77777777" w:rsidR="009E5D5A" w:rsidRPr="00C23AA5" w:rsidRDefault="009E5D5A" w:rsidP="003B66C1">
      <w:pPr>
        <w:pStyle w:val="ListLegal1"/>
        <w:numPr>
          <w:ilvl w:val="0"/>
          <w:numId w:val="23"/>
        </w:numPr>
        <w:tabs>
          <w:tab w:val="clear" w:pos="-439"/>
        </w:tabs>
        <w:spacing w:before="80" w:after="80"/>
        <w:ind w:left="567" w:hanging="567"/>
      </w:pPr>
      <w:r w:rsidRPr="000A2795">
        <w:t>The establishment of such sub</w:t>
      </w:r>
      <w:r>
        <w:t>-</w:t>
      </w:r>
      <w:r w:rsidRPr="000A2795">
        <w:t xml:space="preserve">committees does not change the Audit and Risk Committee’s functions under this </w:t>
      </w:r>
      <w:r w:rsidRPr="00624226">
        <w:t>Charter</w:t>
      </w:r>
      <w:r w:rsidRPr="000A2795">
        <w:t>.</w:t>
      </w:r>
    </w:p>
    <w:p w14:paraId="65102DE0" w14:textId="77777777" w:rsidR="009E5D5A" w:rsidRPr="009F0AE6" w:rsidRDefault="009E5D5A" w:rsidP="003B66C1">
      <w:pPr>
        <w:pStyle w:val="ListLegal1"/>
        <w:numPr>
          <w:ilvl w:val="0"/>
          <w:numId w:val="23"/>
        </w:numPr>
        <w:tabs>
          <w:tab w:val="clear" w:pos="-439"/>
        </w:tabs>
        <w:spacing w:before="80" w:after="80"/>
        <w:ind w:left="567" w:hanging="567"/>
      </w:pPr>
      <w:r w:rsidRPr="000A2795">
        <w:t xml:space="preserve">The Audit and Risk Committee has established the Financial </w:t>
      </w:r>
      <w:r w:rsidRPr="00624226">
        <w:t>Statements</w:t>
      </w:r>
      <w:r w:rsidRPr="000A2795">
        <w:t xml:space="preserve"> Sub</w:t>
      </w:r>
      <w:r>
        <w:t>-c</w:t>
      </w:r>
      <w:r w:rsidRPr="000A2795">
        <w:t>ommittee</w:t>
      </w:r>
      <w:r w:rsidRPr="00624226">
        <w:t xml:space="preserve"> which meets five</w:t>
      </w:r>
      <w:r w:rsidRPr="000A2795">
        <w:t xml:space="preserve"> time</w:t>
      </w:r>
      <w:r w:rsidRPr="00624226">
        <w:t>s</w:t>
      </w:r>
      <w:r w:rsidRPr="000A2795">
        <w:t xml:space="preserve"> per year. Two members of the Audit and Risk Committee are members of the Financial Statement</w:t>
      </w:r>
      <w:r w:rsidRPr="00624226">
        <w:t>s</w:t>
      </w:r>
      <w:r w:rsidRPr="000A2795">
        <w:t xml:space="preserve"> Sub</w:t>
      </w:r>
      <w:r>
        <w:t>-</w:t>
      </w:r>
      <w:r w:rsidRPr="000A2795">
        <w:t>committee.</w:t>
      </w:r>
    </w:p>
    <w:p w14:paraId="38BCC8C9" w14:textId="77777777" w:rsidR="009E5D5A" w:rsidRPr="006874AD" w:rsidRDefault="009E5D5A" w:rsidP="00CE7FBF">
      <w:pPr>
        <w:pStyle w:val="Heading3"/>
        <w:rPr>
          <w:lang w:val="en-US"/>
        </w:rPr>
      </w:pPr>
      <w:r w:rsidRPr="006874AD">
        <w:rPr>
          <w:lang w:val="en-US"/>
        </w:rPr>
        <w:t>Audit and Risk Committee performance</w:t>
      </w:r>
    </w:p>
    <w:p w14:paraId="3D6F9BC4" w14:textId="3E67446B" w:rsidR="009E5D5A" w:rsidRPr="00335337" w:rsidRDefault="009E5D5A" w:rsidP="003B66C1">
      <w:pPr>
        <w:pStyle w:val="ListLegal1"/>
        <w:numPr>
          <w:ilvl w:val="0"/>
          <w:numId w:val="23"/>
        </w:numPr>
        <w:tabs>
          <w:tab w:val="clear" w:pos="-439"/>
        </w:tabs>
        <w:spacing w:before="80" w:after="80"/>
        <w:ind w:left="567" w:hanging="567"/>
      </w:pPr>
      <w:r w:rsidRPr="00624226">
        <w:t xml:space="preserve">Consistent with </w:t>
      </w:r>
      <w:r w:rsidR="00092618">
        <w:t xml:space="preserve">Department of Finance’s </w:t>
      </w:r>
      <w:r w:rsidR="00092618" w:rsidRPr="008632C7">
        <w:t xml:space="preserve">Audit </w:t>
      </w:r>
      <w:r w:rsidR="00C43073" w:rsidRPr="008632C7">
        <w:t>Committee</w:t>
      </w:r>
      <w:r w:rsidR="002610B0" w:rsidRPr="008632C7">
        <w:t>s</w:t>
      </w:r>
      <w:r w:rsidR="00C43073" w:rsidRPr="008632C7">
        <w:t xml:space="preserve"> (</w:t>
      </w:r>
      <w:r w:rsidRPr="008632C7">
        <w:t>Resource Management Guide 202</w:t>
      </w:r>
      <w:r w:rsidR="00C43073" w:rsidRPr="008632C7">
        <w:rPr>
          <w:i/>
          <w:iCs/>
        </w:rPr>
        <w:t>)</w:t>
      </w:r>
      <w:r w:rsidRPr="008632C7">
        <w:t>,</w:t>
      </w:r>
      <w:r w:rsidRPr="00624226">
        <w:t xml:space="preserve"> the department will review the Audit and Risk Committee’s performance and assess its conduct and deliverables against the Charter. These performance reviews will take account of the Audit and Risk Committee’s own assessment of its performance.</w:t>
      </w:r>
    </w:p>
    <w:p w14:paraId="7DB77262" w14:textId="77777777" w:rsidR="009E5D5A" w:rsidRPr="00B3260A" w:rsidRDefault="009E5D5A" w:rsidP="00CE7FBF">
      <w:pPr>
        <w:pStyle w:val="Heading3"/>
        <w:rPr>
          <w:lang w:val="en-US"/>
        </w:rPr>
      </w:pPr>
      <w:r>
        <w:rPr>
          <w:lang w:val="en-US"/>
        </w:rPr>
        <w:t>Induction</w:t>
      </w:r>
    </w:p>
    <w:p w14:paraId="01AC250C" w14:textId="77777777" w:rsidR="009E5D5A" w:rsidRPr="000A2795" w:rsidRDefault="009E5D5A" w:rsidP="003B66C1">
      <w:pPr>
        <w:pStyle w:val="ListLegal1"/>
        <w:numPr>
          <w:ilvl w:val="0"/>
          <w:numId w:val="23"/>
        </w:numPr>
        <w:tabs>
          <w:tab w:val="clear" w:pos="-439"/>
        </w:tabs>
        <w:spacing w:before="80" w:after="80"/>
        <w:ind w:left="567" w:hanging="567"/>
      </w:pPr>
      <w:r w:rsidRPr="000A2795">
        <w:t>New members will receive relevant information and briefings</w:t>
      </w:r>
      <w:r>
        <w:rPr>
          <w:lang w:val="en-AU"/>
        </w:rPr>
        <w:t xml:space="preserve"> from the department and Chair</w:t>
      </w:r>
      <w:r w:rsidRPr="000A2795">
        <w:t xml:space="preserve"> following their appointment to assist them to meet their </w:t>
      </w:r>
      <w:r>
        <w:rPr>
          <w:lang w:val="en-AU"/>
        </w:rPr>
        <w:t>commitments</w:t>
      </w:r>
      <w:r w:rsidRPr="000A2795">
        <w:t>.</w:t>
      </w:r>
      <w:r>
        <w:rPr>
          <w:lang w:val="en-AU"/>
        </w:rPr>
        <w:t xml:space="preserve"> This includes being aware of their responsibilities under this Charter.</w:t>
      </w:r>
    </w:p>
    <w:p w14:paraId="4415F22F" w14:textId="77777777" w:rsidR="009E5D5A" w:rsidRDefault="009E5D5A" w:rsidP="00CE7FBF">
      <w:pPr>
        <w:pStyle w:val="Heading3"/>
        <w:rPr>
          <w:lang w:val="en-US"/>
        </w:rPr>
      </w:pPr>
      <w:r>
        <w:rPr>
          <w:lang w:val="en-US"/>
        </w:rPr>
        <w:t>Secretariat</w:t>
      </w:r>
    </w:p>
    <w:p w14:paraId="18F8D117" w14:textId="254C9C35" w:rsidR="009E5D5A" w:rsidRPr="000A2795" w:rsidRDefault="009E5D5A" w:rsidP="003B66C1">
      <w:pPr>
        <w:pStyle w:val="ListLegal1"/>
        <w:numPr>
          <w:ilvl w:val="0"/>
          <w:numId w:val="23"/>
        </w:numPr>
        <w:tabs>
          <w:tab w:val="clear" w:pos="-439"/>
        </w:tabs>
        <w:spacing w:before="80" w:after="80"/>
        <w:ind w:left="567" w:hanging="567"/>
      </w:pPr>
      <w:r w:rsidRPr="000A2795">
        <w:t xml:space="preserve">The </w:t>
      </w:r>
      <w:r w:rsidR="002610B0" w:rsidRPr="008632C7">
        <w:t xml:space="preserve">department’s </w:t>
      </w:r>
      <w:r w:rsidR="007D7381" w:rsidRPr="008632C7">
        <w:t>a</w:t>
      </w:r>
      <w:r w:rsidR="002610B0" w:rsidRPr="008632C7">
        <w:t>udit team</w:t>
      </w:r>
      <w:r w:rsidRPr="000A2795">
        <w:t xml:space="preserve"> will provide secretariat services to the Audit and Risk Committee</w:t>
      </w:r>
      <w:r w:rsidR="008632C7">
        <w:t>,</w:t>
      </w:r>
      <w:r>
        <w:t xml:space="preserve"> including attending meetings to take minutes.</w:t>
      </w:r>
    </w:p>
    <w:p w14:paraId="1C7A2BEF" w14:textId="77777777" w:rsidR="009E5D5A" w:rsidRPr="00315530" w:rsidRDefault="009E5D5A" w:rsidP="003B66C1">
      <w:pPr>
        <w:pStyle w:val="ListLegal1"/>
        <w:numPr>
          <w:ilvl w:val="0"/>
          <w:numId w:val="23"/>
        </w:numPr>
        <w:tabs>
          <w:tab w:val="clear" w:pos="-439"/>
        </w:tabs>
        <w:spacing w:before="80" w:after="80"/>
        <w:ind w:left="567" w:hanging="567"/>
      </w:pPr>
      <w:r w:rsidRPr="000A2795">
        <w:t>The secretariat is responsible for arranging Audit and Risk Committee meetings, preparing and coordinating meeting agendas</w:t>
      </w:r>
      <w:r>
        <w:rPr>
          <w:lang w:val="en-AU"/>
        </w:rPr>
        <w:t xml:space="preserve"> and </w:t>
      </w:r>
      <w:r w:rsidRPr="000A2795">
        <w:t xml:space="preserve">papers, and appropriate record keeping of Audit and Risk Committee </w:t>
      </w:r>
      <w:r w:rsidRPr="00624226">
        <w:t>meetings.</w:t>
      </w:r>
    </w:p>
    <w:p w14:paraId="15F43BBB" w14:textId="12013679" w:rsidR="009E5D5A" w:rsidRDefault="009E5D5A" w:rsidP="00CE7FBF">
      <w:pPr>
        <w:pStyle w:val="Heading3"/>
        <w:rPr>
          <w:lang w:val="en-US"/>
        </w:rPr>
      </w:pPr>
      <w:r>
        <w:rPr>
          <w:lang w:val="en-US"/>
        </w:rPr>
        <w:t>Review</w:t>
      </w:r>
    </w:p>
    <w:p w14:paraId="55A4287C" w14:textId="77777777" w:rsidR="009E5D5A" w:rsidRPr="000A2795" w:rsidRDefault="009E5D5A" w:rsidP="003B66C1">
      <w:pPr>
        <w:pStyle w:val="ListLegal1"/>
        <w:numPr>
          <w:ilvl w:val="0"/>
          <w:numId w:val="23"/>
        </w:numPr>
        <w:tabs>
          <w:tab w:val="clear" w:pos="-439"/>
        </w:tabs>
        <w:spacing w:before="80" w:after="80"/>
        <w:ind w:left="567" w:hanging="567"/>
      </w:pPr>
      <w:r w:rsidRPr="000A2795">
        <w:t xml:space="preserve">The Audit and Risk Committee will </w:t>
      </w:r>
      <w:r w:rsidRPr="00624226">
        <w:t>review the appropriateness of this Charter annually</w:t>
      </w:r>
      <w:r w:rsidRPr="000A2795">
        <w:t>.</w:t>
      </w:r>
      <w:r w:rsidRPr="00624226">
        <w:t xml:space="preserve"> Any changes to the Charter will be endorsed by the </w:t>
      </w:r>
      <w:r w:rsidRPr="000A2795">
        <w:t>Audit and Risk Committee</w:t>
      </w:r>
      <w:r w:rsidRPr="00624226">
        <w:t xml:space="preserve"> and </w:t>
      </w:r>
      <w:r>
        <w:t>provided to the</w:t>
      </w:r>
      <w:r w:rsidRPr="00624226">
        <w:t xml:space="preserve"> Secretary</w:t>
      </w:r>
      <w:r>
        <w:t xml:space="preserve"> for approval</w:t>
      </w:r>
      <w:r w:rsidRPr="00624226">
        <w:t>.</w:t>
      </w:r>
    </w:p>
    <w:p w14:paraId="15B1F5B1" w14:textId="77777777" w:rsidR="009E5D5A" w:rsidRDefault="009E5D5A" w:rsidP="00CE7FBF">
      <w:pPr>
        <w:pStyle w:val="Heading2"/>
        <w:rPr>
          <w:lang w:val="en-US"/>
        </w:rPr>
      </w:pPr>
      <w:r>
        <w:rPr>
          <w:lang w:val="en-US"/>
        </w:rPr>
        <w:t>Document control</w:t>
      </w:r>
    </w:p>
    <w:p w14:paraId="672B3634" w14:textId="77777777" w:rsidR="009E5D5A" w:rsidRDefault="009E5D5A" w:rsidP="00CE7FBF">
      <w:pPr>
        <w:pStyle w:val="Heading3"/>
        <w:rPr>
          <w:lang w:val="en-US"/>
        </w:rPr>
      </w:pPr>
      <w:r>
        <w:rPr>
          <w:lang w:val="en-US"/>
        </w:rPr>
        <w:t>Approval</w:t>
      </w:r>
    </w:p>
    <w:tbl>
      <w:tblPr>
        <w:tblStyle w:val="Style5"/>
        <w:tblW w:w="5005" w:type="pct"/>
        <w:tblInd w:w="-5" w:type="dxa"/>
        <w:tblLook w:val="04A0" w:firstRow="1" w:lastRow="0" w:firstColumn="1" w:lastColumn="0" w:noHBand="0" w:noVBand="1"/>
      </w:tblPr>
      <w:tblGrid>
        <w:gridCol w:w="1903"/>
        <w:gridCol w:w="2040"/>
        <w:gridCol w:w="5521"/>
      </w:tblGrid>
      <w:tr w:rsidR="009E5D5A" w14:paraId="0F520AA8" w14:textId="77777777" w:rsidTr="00400B86">
        <w:trPr>
          <w:cnfStyle w:val="100000000000" w:firstRow="1" w:lastRow="0" w:firstColumn="0" w:lastColumn="0" w:oddVBand="0" w:evenVBand="0" w:oddHBand="0" w:evenHBand="0" w:firstRowFirstColumn="0" w:firstRowLastColumn="0" w:lastRowFirstColumn="0" w:lastRowLastColumn="0"/>
        </w:trPr>
        <w:tc>
          <w:tcPr>
            <w:tcW w:w="1005" w:type="pct"/>
            <w:shd w:val="clear" w:color="auto" w:fill="081E3E"/>
            <w:hideMark/>
          </w:tcPr>
          <w:p w14:paraId="7FCB5DDA" w14:textId="77777777" w:rsidR="009E5D5A" w:rsidRDefault="009E5D5A" w:rsidP="0031151B">
            <w:pPr>
              <w:keepNext/>
              <w:jc w:val="left"/>
              <w:rPr>
                <w:b w:val="0"/>
                <w:bCs/>
              </w:rPr>
            </w:pPr>
            <w:r>
              <w:rPr>
                <w:bCs/>
              </w:rPr>
              <w:t>Date</w:t>
            </w:r>
          </w:p>
        </w:tc>
        <w:tc>
          <w:tcPr>
            <w:tcW w:w="1078" w:type="pct"/>
            <w:shd w:val="clear" w:color="auto" w:fill="081E3E"/>
            <w:hideMark/>
          </w:tcPr>
          <w:p w14:paraId="37DC62CA" w14:textId="77777777" w:rsidR="009E5D5A" w:rsidRDefault="009E5D5A" w:rsidP="00634138">
            <w:pPr>
              <w:jc w:val="left"/>
              <w:rPr>
                <w:b w:val="0"/>
                <w:bCs/>
              </w:rPr>
            </w:pPr>
            <w:r>
              <w:rPr>
                <w:bCs/>
              </w:rPr>
              <w:t>Name</w:t>
            </w:r>
          </w:p>
        </w:tc>
        <w:tc>
          <w:tcPr>
            <w:tcW w:w="2917" w:type="pct"/>
            <w:shd w:val="clear" w:color="auto" w:fill="081E3E"/>
            <w:hideMark/>
          </w:tcPr>
          <w:p w14:paraId="1CC6BD1F" w14:textId="77777777" w:rsidR="009E5D5A" w:rsidRPr="001E4798" w:rsidRDefault="009E5D5A" w:rsidP="00634138">
            <w:pPr>
              <w:jc w:val="left"/>
              <w:rPr>
                <w:bCs/>
              </w:rPr>
            </w:pPr>
            <w:r>
              <w:rPr>
                <w:bCs/>
              </w:rPr>
              <w:t>Title</w:t>
            </w:r>
          </w:p>
        </w:tc>
      </w:tr>
      <w:tr w:rsidR="009E5D5A" w14:paraId="03DEE1EA" w14:textId="77777777" w:rsidTr="00634138">
        <w:tc>
          <w:tcPr>
            <w:tcW w:w="1005" w:type="pct"/>
          </w:tcPr>
          <w:p w14:paraId="596F91F1" w14:textId="77777777" w:rsidR="009E5D5A" w:rsidRPr="009657C4" w:rsidRDefault="009E5D5A" w:rsidP="0031151B">
            <w:pPr>
              <w:keepNext/>
              <w:rPr>
                <w:color w:val="auto"/>
              </w:rPr>
            </w:pPr>
            <w:r>
              <w:rPr>
                <w:color w:val="auto"/>
              </w:rPr>
              <w:t>18 February 2026</w:t>
            </w:r>
          </w:p>
        </w:tc>
        <w:tc>
          <w:tcPr>
            <w:tcW w:w="1078" w:type="pct"/>
          </w:tcPr>
          <w:p w14:paraId="283EAC42" w14:textId="77777777" w:rsidR="009E5D5A" w:rsidRDefault="009E5D5A" w:rsidP="0031151B">
            <w:pPr>
              <w:keepNext/>
              <w:rPr>
                <w:color w:val="auto"/>
              </w:rPr>
            </w:pPr>
            <w:r>
              <w:rPr>
                <w:color w:val="auto"/>
              </w:rPr>
              <w:t>Mr. Jim Betts</w:t>
            </w:r>
          </w:p>
        </w:tc>
        <w:tc>
          <w:tcPr>
            <w:tcW w:w="2917" w:type="pct"/>
          </w:tcPr>
          <w:p w14:paraId="0763346D" w14:textId="77777777" w:rsidR="009E5D5A" w:rsidRPr="00BB24B8" w:rsidRDefault="009E5D5A" w:rsidP="0031151B">
            <w:pPr>
              <w:keepNext/>
              <w:rPr>
                <w:color w:val="auto"/>
              </w:rPr>
            </w:pPr>
            <w:r w:rsidRPr="00BB24B8">
              <w:rPr>
                <w:color w:val="auto"/>
              </w:rPr>
              <w:t>Secretary, Department of Infrastructure, Transport, Regional Development, Communications</w:t>
            </w:r>
            <w:r>
              <w:rPr>
                <w:color w:val="auto"/>
              </w:rPr>
              <w:t>, Sport</w:t>
            </w:r>
            <w:r w:rsidRPr="00BB24B8">
              <w:rPr>
                <w:color w:val="auto"/>
              </w:rPr>
              <w:t xml:space="preserve"> and the Arts</w:t>
            </w:r>
          </w:p>
        </w:tc>
      </w:tr>
      <w:tr w:rsidR="009E5D5A" w14:paraId="12F9263B" w14:textId="77777777" w:rsidTr="00634138">
        <w:tc>
          <w:tcPr>
            <w:tcW w:w="1005" w:type="pct"/>
          </w:tcPr>
          <w:p w14:paraId="188D76D9" w14:textId="77777777" w:rsidR="009E5D5A" w:rsidRDefault="009E5D5A" w:rsidP="0031151B">
            <w:pPr>
              <w:keepNext/>
              <w:rPr>
                <w:color w:val="auto"/>
              </w:rPr>
            </w:pPr>
            <w:r w:rsidRPr="009657C4">
              <w:rPr>
                <w:color w:val="auto"/>
              </w:rPr>
              <w:t>16 January</w:t>
            </w:r>
            <w:r>
              <w:rPr>
                <w:color w:val="auto"/>
              </w:rPr>
              <w:t xml:space="preserve"> 2025</w:t>
            </w:r>
          </w:p>
        </w:tc>
        <w:tc>
          <w:tcPr>
            <w:tcW w:w="1078" w:type="pct"/>
          </w:tcPr>
          <w:p w14:paraId="06151616" w14:textId="77777777" w:rsidR="009E5D5A" w:rsidRDefault="009E5D5A" w:rsidP="0031151B">
            <w:pPr>
              <w:keepNext/>
              <w:rPr>
                <w:color w:val="auto"/>
              </w:rPr>
            </w:pPr>
            <w:r>
              <w:rPr>
                <w:color w:val="auto"/>
              </w:rPr>
              <w:t>Mr. Jim Betts</w:t>
            </w:r>
          </w:p>
        </w:tc>
        <w:tc>
          <w:tcPr>
            <w:tcW w:w="2917" w:type="pct"/>
          </w:tcPr>
          <w:p w14:paraId="71FD06C2" w14:textId="77777777" w:rsidR="009E5D5A" w:rsidRPr="00BB24B8" w:rsidRDefault="009E5D5A" w:rsidP="0031151B">
            <w:pPr>
              <w:keepNext/>
              <w:rPr>
                <w:color w:val="auto"/>
              </w:rPr>
            </w:pPr>
            <w:r w:rsidRPr="00BB24B8">
              <w:rPr>
                <w:color w:val="auto"/>
              </w:rPr>
              <w:t>Secretary, Department of Infrastructure, Transport, Regional Development, Communications and the Arts</w:t>
            </w:r>
          </w:p>
        </w:tc>
      </w:tr>
      <w:tr w:rsidR="009E5D5A" w14:paraId="066D85A6" w14:textId="77777777" w:rsidTr="00634138">
        <w:tc>
          <w:tcPr>
            <w:tcW w:w="1005" w:type="pct"/>
          </w:tcPr>
          <w:p w14:paraId="7B3C72AE" w14:textId="77777777" w:rsidR="009E5D5A" w:rsidRDefault="009E5D5A" w:rsidP="0031151B">
            <w:pPr>
              <w:keepNext/>
              <w:rPr>
                <w:color w:val="auto"/>
              </w:rPr>
            </w:pPr>
            <w:r w:rsidRPr="00BB24B8">
              <w:rPr>
                <w:color w:val="auto"/>
              </w:rPr>
              <w:t>11 August 2023</w:t>
            </w:r>
          </w:p>
        </w:tc>
        <w:tc>
          <w:tcPr>
            <w:tcW w:w="1078" w:type="pct"/>
          </w:tcPr>
          <w:p w14:paraId="590887D4" w14:textId="77777777" w:rsidR="009E5D5A" w:rsidRDefault="009E5D5A" w:rsidP="0031151B">
            <w:pPr>
              <w:keepNext/>
              <w:rPr>
                <w:color w:val="auto"/>
              </w:rPr>
            </w:pPr>
            <w:r w:rsidRPr="00BB24B8">
              <w:rPr>
                <w:color w:val="auto"/>
              </w:rPr>
              <w:t>Mr. Jim Betts</w:t>
            </w:r>
          </w:p>
        </w:tc>
        <w:tc>
          <w:tcPr>
            <w:tcW w:w="2917" w:type="pct"/>
          </w:tcPr>
          <w:p w14:paraId="374FAB5B" w14:textId="77777777" w:rsidR="009E5D5A" w:rsidRPr="00BB24B8" w:rsidRDefault="009E5D5A" w:rsidP="0031151B">
            <w:pPr>
              <w:keepNext/>
              <w:rPr>
                <w:color w:val="auto"/>
              </w:rPr>
            </w:pPr>
            <w:r w:rsidRPr="00BB24B8">
              <w:rPr>
                <w:color w:val="auto"/>
              </w:rPr>
              <w:t>Secretary, Department of Infrastructure, Transport, Regional Development, Communications and the Arts</w:t>
            </w:r>
          </w:p>
        </w:tc>
      </w:tr>
      <w:tr w:rsidR="009E5D5A" w14:paraId="48B042E1" w14:textId="77777777" w:rsidTr="00634138">
        <w:tc>
          <w:tcPr>
            <w:tcW w:w="1005" w:type="pct"/>
          </w:tcPr>
          <w:p w14:paraId="32ACDEA3" w14:textId="77777777" w:rsidR="009E5D5A" w:rsidRPr="00BB24B8" w:rsidRDefault="009E5D5A" w:rsidP="0031151B">
            <w:pPr>
              <w:keepNext/>
              <w:rPr>
                <w:color w:val="auto"/>
              </w:rPr>
            </w:pPr>
            <w:r w:rsidRPr="00BB24B8">
              <w:rPr>
                <w:color w:val="auto"/>
              </w:rPr>
              <w:t>23 July 2022</w:t>
            </w:r>
          </w:p>
        </w:tc>
        <w:tc>
          <w:tcPr>
            <w:tcW w:w="1078" w:type="pct"/>
          </w:tcPr>
          <w:p w14:paraId="2CE5E8EF" w14:textId="77777777" w:rsidR="009E5D5A" w:rsidRPr="00BB24B8" w:rsidRDefault="009E5D5A" w:rsidP="0031151B">
            <w:pPr>
              <w:keepNext/>
              <w:rPr>
                <w:color w:val="auto"/>
              </w:rPr>
            </w:pPr>
            <w:r w:rsidRPr="00BB24B8">
              <w:rPr>
                <w:color w:val="auto"/>
              </w:rPr>
              <w:t>Mr. Jim Betts</w:t>
            </w:r>
          </w:p>
        </w:tc>
        <w:tc>
          <w:tcPr>
            <w:tcW w:w="2917" w:type="pct"/>
          </w:tcPr>
          <w:p w14:paraId="0B25EAE0" w14:textId="77777777" w:rsidR="009E5D5A" w:rsidRPr="00BB24B8" w:rsidRDefault="009E5D5A" w:rsidP="0031151B">
            <w:pPr>
              <w:keepNext/>
              <w:rPr>
                <w:color w:val="auto"/>
              </w:rPr>
            </w:pPr>
            <w:r w:rsidRPr="00BB24B8">
              <w:rPr>
                <w:color w:val="auto"/>
              </w:rPr>
              <w:t>Secretary, Department of Infrastructure, Transport, Regional Development, Communications and the Arts</w:t>
            </w:r>
          </w:p>
        </w:tc>
      </w:tr>
      <w:tr w:rsidR="009E5D5A" w14:paraId="3DB3461E" w14:textId="77777777" w:rsidTr="00634138">
        <w:tc>
          <w:tcPr>
            <w:tcW w:w="1005" w:type="pct"/>
          </w:tcPr>
          <w:p w14:paraId="2D0291B9" w14:textId="77777777" w:rsidR="009E5D5A" w:rsidRPr="00BB24B8" w:rsidRDefault="009E5D5A" w:rsidP="00634138">
            <w:pPr>
              <w:rPr>
                <w:color w:val="auto"/>
              </w:rPr>
            </w:pPr>
            <w:r w:rsidRPr="00BB24B8">
              <w:rPr>
                <w:color w:val="auto"/>
              </w:rPr>
              <w:t>7 October 2021</w:t>
            </w:r>
          </w:p>
        </w:tc>
        <w:tc>
          <w:tcPr>
            <w:tcW w:w="1078" w:type="pct"/>
          </w:tcPr>
          <w:p w14:paraId="569D33D5" w14:textId="77777777" w:rsidR="009E5D5A" w:rsidRPr="00BB24B8" w:rsidRDefault="009E5D5A" w:rsidP="00634138">
            <w:pPr>
              <w:rPr>
                <w:color w:val="auto"/>
              </w:rPr>
            </w:pPr>
            <w:r w:rsidRPr="00BB24B8">
              <w:rPr>
                <w:color w:val="auto"/>
              </w:rPr>
              <w:t>Mr. Simon Atkinson</w:t>
            </w:r>
          </w:p>
        </w:tc>
        <w:tc>
          <w:tcPr>
            <w:tcW w:w="2917" w:type="pct"/>
          </w:tcPr>
          <w:p w14:paraId="67DA531C" w14:textId="77777777" w:rsidR="009E5D5A" w:rsidRPr="00BB24B8" w:rsidRDefault="009E5D5A" w:rsidP="00634138">
            <w:pPr>
              <w:rPr>
                <w:color w:val="auto"/>
              </w:rPr>
            </w:pPr>
            <w:r w:rsidRPr="00BB24B8">
              <w:rPr>
                <w:color w:val="auto"/>
              </w:rPr>
              <w:t>Secretary, Department of Infrastructure, Transport, Regional Development and Communications</w:t>
            </w:r>
          </w:p>
        </w:tc>
      </w:tr>
    </w:tbl>
    <w:p w14:paraId="2195CAC9" w14:textId="77777777" w:rsidR="009E5D5A" w:rsidRDefault="009E5D5A" w:rsidP="00CE7FBF">
      <w:pPr>
        <w:pStyle w:val="Heading3"/>
        <w:rPr>
          <w:lang w:val="en-US"/>
        </w:rPr>
      </w:pPr>
      <w:r>
        <w:rPr>
          <w:lang w:val="en-US"/>
        </w:rPr>
        <w:lastRenderedPageBreak/>
        <w:t>Endorsement</w:t>
      </w:r>
    </w:p>
    <w:tbl>
      <w:tblPr>
        <w:tblStyle w:val="Style5"/>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7563"/>
      </w:tblGrid>
      <w:tr w:rsidR="009E5D5A" w14:paraId="5D3DB03D" w14:textId="77777777" w:rsidTr="00400B86">
        <w:trPr>
          <w:cnfStyle w:val="100000000000" w:firstRow="1" w:lastRow="0" w:firstColumn="0" w:lastColumn="0" w:oddVBand="0" w:evenVBand="0" w:oddHBand="0" w:evenHBand="0" w:firstRowFirstColumn="0" w:firstRowLastColumn="0" w:lastRowFirstColumn="0" w:lastRowLastColumn="0"/>
        </w:trPr>
        <w:tc>
          <w:tcPr>
            <w:tcW w:w="1005" w:type="pct"/>
            <w:shd w:val="clear" w:color="auto" w:fill="081E3E"/>
            <w:tcMar>
              <w:top w:w="57" w:type="dxa"/>
              <w:left w:w="85" w:type="dxa"/>
              <w:bottom w:w="57" w:type="dxa"/>
              <w:right w:w="85" w:type="dxa"/>
            </w:tcMar>
            <w:hideMark/>
          </w:tcPr>
          <w:p w14:paraId="0A914B5A" w14:textId="77777777" w:rsidR="009E5D5A" w:rsidRDefault="009E5D5A" w:rsidP="00CE7FBF">
            <w:pPr>
              <w:keepNext/>
              <w:keepLines/>
              <w:jc w:val="left"/>
              <w:rPr>
                <w:b w:val="0"/>
                <w:bCs/>
              </w:rPr>
            </w:pPr>
            <w:r>
              <w:rPr>
                <w:bCs/>
              </w:rPr>
              <w:t>Date</w:t>
            </w:r>
          </w:p>
        </w:tc>
        <w:tc>
          <w:tcPr>
            <w:tcW w:w="3995" w:type="pct"/>
            <w:shd w:val="clear" w:color="auto" w:fill="081E3E"/>
            <w:tcMar>
              <w:top w:w="57" w:type="dxa"/>
              <w:left w:w="85" w:type="dxa"/>
              <w:bottom w:w="57" w:type="dxa"/>
              <w:right w:w="85" w:type="dxa"/>
            </w:tcMar>
            <w:hideMark/>
          </w:tcPr>
          <w:p w14:paraId="0304765E" w14:textId="77777777" w:rsidR="009E5D5A" w:rsidRPr="001E4798" w:rsidRDefault="009E5D5A" w:rsidP="00634138">
            <w:pPr>
              <w:jc w:val="left"/>
              <w:rPr>
                <w:bCs/>
              </w:rPr>
            </w:pPr>
            <w:r>
              <w:rPr>
                <w:bCs/>
              </w:rPr>
              <w:t>Authorisation body</w:t>
            </w:r>
          </w:p>
        </w:tc>
      </w:tr>
      <w:tr w:rsidR="009E5D5A" w14:paraId="7AF10156" w14:textId="77777777" w:rsidTr="00634138">
        <w:tc>
          <w:tcPr>
            <w:tcW w:w="1005" w:type="pct"/>
            <w:tcMar>
              <w:top w:w="57" w:type="dxa"/>
              <w:left w:w="85" w:type="dxa"/>
              <w:bottom w:w="57" w:type="dxa"/>
              <w:right w:w="85" w:type="dxa"/>
            </w:tcMar>
          </w:tcPr>
          <w:p w14:paraId="229F07EE" w14:textId="77777777" w:rsidR="009E5D5A" w:rsidRDefault="009E5D5A" w:rsidP="00CE7FBF">
            <w:pPr>
              <w:keepNext/>
              <w:rPr>
                <w:color w:val="auto"/>
              </w:rPr>
            </w:pPr>
            <w:r w:rsidRPr="009F133F">
              <w:rPr>
                <w:color w:val="auto"/>
              </w:rPr>
              <w:t>12 December</w:t>
            </w:r>
            <w:r>
              <w:rPr>
                <w:color w:val="auto"/>
              </w:rPr>
              <w:t xml:space="preserve"> 2025</w:t>
            </w:r>
          </w:p>
        </w:tc>
        <w:tc>
          <w:tcPr>
            <w:tcW w:w="3995" w:type="pct"/>
            <w:tcMar>
              <w:top w:w="57" w:type="dxa"/>
              <w:left w:w="85" w:type="dxa"/>
              <w:bottom w:w="57" w:type="dxa"/>
              <w:right w:w="85" w:type="dxa"/>
            </w:tcMar>
          </w:tcPr>
          <w:p w14:paraId="49FFF1EE" w14:textId="77777777" w:rsidR="009E5D5A" w:rsidRDefault="009E5D5A" w:rsidP="00CE7FBF">
            <w:pPr>
              <w:keepNext/>
              <w:rPr>
                <w:color w:val="auto"/>
              </w:rPr>
            </w:pPr>
            <w:r>
              <w:rPr>
                <w:color w:val="auto"/>
              </w:rPr>
              <w:t>Audit and Risk Committee</w:t>
            </w:r>
          </w:p>
        </w:tc>
      </w:tr>
      <w:tr w:rsidR="009E5D5A" w14:paraId="3261DEC9" w14:textId="77777777" w:rsidTr="00634138">
        <w:tc>
          <w:tcPr>
            <w:tcW w:w="1005" w:type="pct"/>
            <w:tcMar>
              <w:top w:w="57" w:type="dxa"/>
              <w:left w:w="85" w:type="dxa"/>
              <w:bottom w:w="57" w:type="dxa"/>
              <w:right w:w="85" w:type="dxa"/>
            </w:tcMar>
          </w:tcPr>
          <w:p w14:paraId="0ACD4432" w14:textId="77777777" w:rsidR="009E5D5A" w:rsidRDefault="009E5D5A" w:rsidP="00CE7FBF">
            <w:pPr>
              <w:keepNext/>
              <w:rPr>
                <w:color w:val="auto"/>
              </w:rPr>
            </w:pPr>
            <w:r>
              <w:rPr>
                <w:color w:val="auto"/>
              </w:rPr>
              <w:t>13 December 2024</w:t>
            </w:r>
          </w:p>
        </w:tc>
        <w:tc>
          <w:tcPr>
            <w:tcW w:w="3995" w:type="pct"/>
            <w:tcMar>
              <w:top w:w="57" w:type="dxa"/>
              <w:left w:w="85" w:type="dxa"/>
              <w:bottom w:w="57" w:type="dxa"/>
              <w:right w:w="85" w:type="dxa"/>
            </w:tcMar>
          </w:tcPr>
          <w:p w14:paraId="7FBDE0B1" w14:textId="77777777" w:rsidR="009E5D5A" w:rsidRPr="00BB24B8" w:rsidRDefault="009E5D5A" w:rsidP="00CE7FBF">
            <w:pPr>
              <w:keepNext/>
              <w:rPr>
                <w:color w:val="auto"/>
              </w:rPr>
            </w:pPr>
            <w:r>
              <w:rPr>
                <w:color w:val="auto"/>
              </w:rPr>
              <w:t>Audit and Risk Committee</w:t>
            </w:r>
          </w:p>
        </w:tc>
      </w:tr>
      <w:tr w:rsidR="009E5D5A" w14:paraId="02CA3F63" w14:textId="77777777" w:rsidTr="00634138">
        <w:tc>
          <w:tcPr>
            <w:tcW w:w="1005" w:type="pct"/>
            <w:tcMar>
              <w:top w:w="57" w:type="dxa"/>
              <w:left w:w="85" w:type="dxa"/>
              <w:bottom w:w="57" w:type="dxa"/>
              <w:right w:w="85" w:type="dxa"/>
            </w:tcMar>
          </w:tcPr>
          <w:p w14:paraId="6FACA1DA" w14:textId="77777777" w:rsidR="009E5D5A" w:rsidRDefault="009E5D5A" w:rsidP="00CE7FBF">
            <w:pPr>
              <w:keepNext/>
              <w:rPr>
                <w:color w:val="auto"/>
              </w:rPr>
            </w:pPr>
            <w:r w:rsidRPr="00BB24B8">
              <w:rPr>
                <w:color w:val="auto"/>
              </w:rPr>
              <w:t>1</w:t>
            </w:r>
            <w:r>
              <w:rPr>
                <w:color w:val="auto"/>
              </w:rPr>
              <w:t>3</w:t>
            </w:r>
            <w:r w:rsidRPr="00BB24B8">
              <w:rPr>
                <w:color w:val="auto"/>
              </w:rPr>
              <w:t xml:space="preserve"> </w:t>
            </w:r>
            <w:r>
              <w:rPr>
                <w:color w:val="auto"/>
              </w:rPr>
              <w:t>June</w:t>
            </w:r>
            <w:r w:rsidRPr="00BB24B8">
              <w:rPr>
                <w:color w:val="auto"/>
              </w:rPr>
              <w:t xml:space="preserve"> 2023</w:t>
            </w:r>
          </w:p>
        </w:tc>
        <w:tc>
          <w:tcPr>
            <w:tcW w:w="3995" w:type="pct"/>
            <w:tcMar>
              <w:top w:w="57" w:type="dxa"/>
              <w:left w:w="85" w:type="dxa"/>
              <w:bottom w:w="57" w:type="dxa"/>
              <w:right w:w="85" w:type="dxa"/>
            </w:tcMar>
          </w:tcPr>
          <w:p w14:paraId="4CCA2A6C" w14:textId="77777777" w:rsidR="009E5D5A" w:rsidRPr="00BB24B8" w:rsidRDefault="009E5D5A" w:rsidP="00CE7FBF">
            <w:pPr>
              <w:keepNext/>
              <w:rPr>
                <w:color w:val="auto"/>
              </w:rPr>
            </w:pPr>
            <w:r>
              <w:rPr>
                <w:color w:val="auto"/>
              </w:rPr>
              <w:t>Audit and Risk Committee</w:t>
            </w:r>
          </w:p>
        </w:tc>
      </w:tr>
      <w:tr w:rsidR="009E5D5A" w14:paraId="30EFC258" w14:textId="77777777" w:rsidTr="00634138">
        <w:tc>
          <w:tcPr>
            <w:tcW w:w="1005" w:type="pct"/>
            <w:tcMar>
              <w:top w:w="57" w:type="dxa"/>
              <w:left w:w="85" w:type="dxa"/>
              <w:bottom w:w="57" w:type="dxa"/>
              <w:right w:w="85" w:type="dxa"/>
            </w:tcMar>
          </w:tcPr>
          <w:p w14:paraId="23EE7DC0" w14:textId="77777777" w:rsidR="009E5D5A" w:rsidRPr="00BB24B8" w:rsidRDefault="009E5D5A" w:rsidP="00634138">
            <w:pPr>
              <w:rPr>
                <w:color w:val="auto"/>
              </w:rPr>
            </w:pPr>
            <w:r>
              <w:rPr>
                <w:color w:val="auto"/>
              </w:rPr>
              <w:t>16 June</w:t>
            </w:r>
            <w:r w:rsidRPr="00BB24B8">
              <w:rPr>
                <w:color w:val="auto"/>
              </w:rPr>
              <w:t xml:space="preserve"> 2022</w:t>
            </w:r>
          </w:p>
        </w:tc>
        <w:tc>
          <w:tcPr>
            <w:tcW w:w="3995" w:type="pct"/>
            <w:tcMar>
              <w:top w:w="57" w:type="dxa"/>
              <w:left w:w="85" w:type="dxa"/>
              <w:bottom w:w="57" w:type="dxa"/>
              <w:right w:w="85" w:type="dxa"/>
            </w:tcMar>
          </w:tcPr>
          <w:p w14:paraId="0F5AFEDB" w14:textId="77777777" w:rsidR="009E5D5A" w:rsidRPr="00BB24B8" w:rsidRDefault="009E5D5A" w:rsidP="00634138">
            <w:pPr>
              <w:rPr>
                <w:color w:val="auto"/>
              </w:rPr>
            </w:pPr>
            <w:r>
              <w:rPr>
                <w:color w:val="auto"/>
              </w:rPr>
              <w:t>Audit and Risk Committee</w:t>
            </w:r>
          </w:p>
        </w:tc>
      </w:tr>
      <w:tr w:rsidR="009E5D5A" w14:paraId="6751E354" w14:textId="77777777" w:rsidTr="00634138">
        <w:tc>
          <w:tcPr>
            <w:tcW w:w="1005" w:type="pct"/>
            <w:tcMar>
              <w:top w:w="57" w:type="dxa"/>
              <w:left w:w="85" w:type="dxa"/>
              <w:bottom w:w="57" w:type="dxa"/>
              <w:right w:w="85" w:type="dxa"/>
            </w:tcMar>
          </w:tcPr>
          <w:p w14:paraId="78FF78F1" w14:textId="77777777" w:rsidR="009E5D5A" w:rsidRPr="00BB24B8" w:rsidRDefault="009E5D5A" w:rsidP="00634138">
            <w:pPr>
              <w:rPr>
                <w:color w:val="auto"/>
              </w:rPr>
            </w:pPr>
            <w:r>
              <w:rPr>
                <w:color w:val="auto"/>
              </w:rPr>
              <w:t>November</w:t>
            </w:r>
            <w:r w:rsidRPr="00BB24B8">
              <w:rPr>
                <w:color w:val="auto"/>
              </w:rPr>
              <w:t xml:space="preserve"> 202</w:t>
            </w:r>
            <w:r>
              <w:rPr>
                <w:color w:val="auto"/>
              </w:rPr>
              <w:t>0</w:t>
            </w:r>
          </w:p>
        </w:tc>
        <w:tc>
          <w:tcPr>
            <w:tcW w:w="3995" w:type="pct"/>
            <w:tcMar>
              <w:top w:w="57" w:type="dxa"/>
              <w:left w:w="85" w:type="dxa"/>
              <w:bottom w:w="57" w:type="dxa"/>
              <w:right w:w="85" w:type="dxa"/>
            </w:tcMar>
          </w:tcPr>
          <w:p w14:paraId="7BCFA09F" w14:textId="77777777" w:rsidR="009E5D5A" w:rsidRPr="00BB24B8" w:rsidRDefault="009E5D5A" w:rsidP="00634138">
            <w:pPr>
              <w:rPr>
                <w:color w:val="auto"/>
              </w:rPr>
            </w:pPr>
            <w:r>
              <w:rPr>
                <w:color w:val="auto"/>
              </w:rPr>
              <w:t>Audit and Risk Committee</w:t>
            </w:r>
          </w:p>
        </w:tc>
      </w:tr>
    </w:tbl>
    <w:p w14:paraId="4B8AF930" w14:textId="77777777" w:rsidR="009E5D5A" w:rsidRDefault="009E5D5A" w:rsidP="009E5D5A">
      <w:pPr>
        <w:rPr>
          <w:lang w:val="en-US"/>
        </w:rPr>
      </w:pPr>
    </w:p>
    <w:sectPr w:rsidR="009E5D5A" w:rsidSect="00953CCD">
      <w:type w:val="continuous"/>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15CF8" w14:textId="77777777" w:rsidR="0004416E" w:rsidRDefault="0004416E" w:rsidP="00FC413F">
      <w:pPr>
        <w:spacing w:after="0"/>
      </w:pPr>
      <w:r>
        <w:separator/>
      </w:r>
    </w:p>
  </w:endnote>
  <w:endnote w:type="continuationSeparator" w:id="0">
    <w:p w14:paraId="454EF562" w14:textId="77777777" w:rsidR="0004416E" w:rsidRDefault="0004416E"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2A48" w14:textId="5438208A" w:rsidR="00D53737" w:rsidRDefault="00D53737">
    <w:pPr>
      <w:pStyle w:val="Footer"/>
    </w:pPr>
    <w:r>
      <w:rPr>
        <w:noProof/>
      </w:rPr>
      <mc:AlternateContent>
        <mc:Choice Requires="wps">
          <w:drawing>
            <wp:anchor distT="0" distB="0" distL="0" distR="0" simplePos="0" relativeHeight="251658241" behindDoc="0" locked="0" layoutInCell="1" allowOverlap="1" wp14:anchorId="08452A73" wp14:editId="5077677B">
              <wp:simplePos x="635" y="635"/>
              <wp:positionH relativeFrom="page">
                <wp:align>center</wp:align>
              </wp:positionH>
              <wp:positionV relativeFrom="page">
                <wp:align>bottom</wp:align>
              </wp:positionV>
              <wp:extent cx="726440" cy="407670"/>
              <wp:effectExtent l="0" t="0" r="16510" b="0"/>
              <wp:wrapNone/>
              <wp:docPr id="17773009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1D2E228" w14:textId="623AE328" w:rsidR="00D53737" w:rsidRPr="00D53737" w:rsidRDefault="00D53737" w:rsidP="00D53737">
                          <w:pPr>
                            <w:spacing w:after="0"/>
                            <w:rPr>
                              <w:rFonts w:ascii="Aptos" w:eastAsia="Aptos" w:hAnsi="Aptos" w:cs="Aptos"/>
                              <w:noProof/>
                              <w:color w:val="FF0000"/>
                              <w:sz w:val="28"/>
                              <w:szCs w:val="28"/>
                            </w:rPr>
                          </w:pPr>
                          <w:r w:rsidRPr="00D5373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452A73" id="_x0000_t202" coordsize="21600,21600" o:spt="202" path="m,l,21600r21600,l21600,xe">
              <v:stroke joinstyle="miter"/>
              <v:path gradientshapeok="t" o:connecttype="rect"/>
            </v:shapetype>
            <v:shape id="Text Box 5" o:spid="_x0000_s1027" type="#_x0000_t202" alt="OFFICIAL" style="position:absolute;margin-left:0;margin-top:0;width:57.2pt;height:32.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ixDA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" filled="f" stroked="f">
              <v:textbox style="mso-fit-shape-to-text:t" inset="0,0,0,15pt">
                <w:txbxContent>
                  <w:p w14:paraId="11D2E228" w14:textId="623AE328" w:rsidR="00D53737" w:rsidRPr="00D53737" w:rsidRDefault="00D53737" w:rsidP="00D53737">
                    <w:pPr>
                      <w:spacing w:after="0"/>
                      <w:rPr>
                        <w:rFonts w:ascii="Aptos" w:eastAsia="Aptos" w:hAnsi="Aptos" w:cs="Aptos"/>
                        <w:noProof/>
                        <w:color w:val="FF0000"/>
                        <w:sz w:val="28"/>
                        <w:szCs w:val="28"/>
                      </w:rPr>
                    </w:pPr>
                    <w:r w:rsidRPr="00D53737">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9F80" w14:textId="3FDE598C" w:rsidR="00C422C9" w:rsidRDefault="00C422C9"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F76C94">
      <w:rPr>
        <w:rFonts w:cs="Segoe UI"/>
        <w:noProof/>
        <w:szCs w:val="18"/>
      </w:rPr>
      <w:t>Audit and Risk Committee Charter</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0248C26D" w14:textId="77777777" w:rsidR="00C422C9" w:rsidRPr="00FC413F" w:rsidRDefault="00C422C9"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3633" w14:textId="754D5CF6" w:rsidR="00C422C9" w:rsidRDefault="00C422C9" w:rsidP="008B7158">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F76C94">
      <w:rPr>
        <w:rFonts w:cs="Segoe UI"/>
        <w:noProof/>
        <w:szCs w:val="18"/>
      </w:rPr>
      <w:t>Audit and Risk Committee Charter</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3</w:t>
    </w:r>
    <w:r>
      <w:rPr>
        <w:rFonts w:cs="Segoe UI"/>
        <w:szCs w:val="18"/>
      </w:rPr>
      <w:fldChar w:fldCharType="end"/>
    </w:r>
  </w:p>
  <w:p w14:paraId="64B0FB2C" w14:textId="77777777" w:rsidR="00C422C9" w:rsidRPr="00FC413F" w:rsidRDefault="00C422C9" w:rsidP="00113A03">
    <w:pPr>
      <w:pStyle w:val="Footer"/>
      <w:tabs>
        <w:tab w:val="clear" w:pos="4513"/>
        <w:tab w:val="clear" w:pos="9026"/>
      </w:tabs>
      <w:ind w:left="-1418"/>
      <w:rPr>
        <w:rFonts w:cs="Segoe UI"/>
        <w:szCs w:val="18"/>
      </w:rPr>
    </w:pPr>
    <w:r>
      <w:rPr>
        <w:noProof/>
        <w:lang w:eastAsia="en-AU"/>
      </w:rPr>
      <w:drawing>
        <wp:inline distT="0" distB="0" distL="0" distR="0" wp14:anchorId="415E3A73" wp14:editId="56F52C30">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60FB4" w14:textId="77777777" w:rsidR="0004416E" w:rsidRDefault="0004416E" w:rsidP="00FC413F">
      <w:pPr>
        <w:spacing w:after="0"/>
      </w:pPr>
      <w:r>
        <w:separator/>
      </w:r>
    </w:p>
  </w:footnote>
  <w:footnote w:type="continuationSeparator" w:id="0">
    <w:p w14:paraId="4CB027C6" w14:textId="77777777" w:rsidR="0004416E" w:rsidRDefault="0004416E" w:rsidP="00FC413F">
      <w:pPr>
        <w:spacing w:after="0"/>
      </w:pPr>
      <w:r>
        <w:continuationSeparator/>
      </w:r>
    </w:p>
  </w:footnote>
  <w:footnote w:id="1">
    <w:p w14:paraId="2D8680F4" w14:textId="77777777" w:rsidR="009E5D5A" w:rsidRDefault="009E5D5A" w:rsidP="009E5D5A">
      <w:pPr>
        <w:pStyle w:val="FootnoteText"/>
      </w:pPr>
      <w:r>
        <w:rPr>
          <w:rStyle w:val="FootnoteReference"/>
        </w:rPr>
        <w:footnoteRef/>
      </w:r>
      <w:r>
        <w:t xml:space="preserve"> The Secretary and the Chief Operating Officer may also attend.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A3ED" w14:textId="695C9193" w:rsidR="00D53737" w:rsidRDefault="00D53737">
    <w:pPr>
      <w:pStyle w:val="Header"/>
    </w:pPr>
    <w:r>
      <w:rPr>
        <w:noProof/>
      </w:rPr>
      <mc:AlternateContent>
        <mc:Choice Requires="wps">
          <w:drawing>
            <wp:anchor distT="0" distB="0" distL="0" distR="0" simplePos="0" relativeHeight="251658240" behindDoc="0" locked="0" layoutInCell="1" allowOverlap="1" wp14:anchorId="1F4998E2" wp14:editId="2F034E68">
              <wp:simplePos x="635" y="635"/>
              <wp:positionH relativeFrom="page">
                <wp:align>center</wp:align>
              </wp:positionH>
              <wp:positionV relativeFrom="page">
                <wp:align>top</wp:align>
              </wp:positionV>
              <wp:extent cx="726440" cy="407670"/>
              <wp:effectExtent l="0" t="0" r="16510" b="11430"/>
              <wp:wrapNone/>
              <wp:docPr id="15523645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32BEF9A" w14:textId="2793D7B7" w:rsidR="00D53737" w:rsidRPr="00D53737" w:rsidRDefault="00D53737" w:rsidP="00D53737">
                          <w:pPr>
                            <w:spacing w:after="0"/>
                            <w:rPr>
                              <w:rFonts w:ascii="Aptos" w:eastAsia="Aptos" w:hAnsi="Aptos" w:cs="Aptos"/>
                              <w:noProof/>
                              <w:color w:val="FF0000"/>
                              <w:sz w:val="28"/>
                              <w:szCs w:val="28"/>
                            </w:rPr>
                          </w:pPr>
                          <w:r w:rsidRPr="00D5373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4998E2"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632BEF9A" w14:textId="2793D7B7" w:rsidR="00D53737" w:rsidRPr="00D53737" w:rsidRDefault="00D53737" w:rsidP="00D53737">
                    <w:pPr>
                      <w:spacing w:after="0"/>
                      <w:rPr>
                        <w:rFonts w:ascii="Aptos" w:eastAsia="Aptos" w:hAnsi="Aptos" w:cs="Aptos"/>
                        <w:noProof/>
                        <w:color w:val="FF0000"/>
                        <w:sz w:val="28"/>
                        <w:szCs w:val="28"/>
                      </w:rPr>
                    </w:pPr>
                    <w:r w:rsidRPr="00D53737">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3240" w14:textId="1F451BCF" w:rsidR="00C422C9" w:rsidRPr="00305CB1" w:rsidRDefault="00C422C9" w:rsidP="00D56936">
    <w:pPr>
      <w:pStyle w:val="Header"/>
      <w:tabs>
        <w:tab w:val="clear" w:pos="4678"/>
      </w:tabs>
      <w:jc w:val="right"/>
      <w:rPr>
        <w:rFonts w:cs="Segoe UI Light"/>
        <w:color w:val="001C4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A7963"/>
    <w:multiLevelType w:val="hybridMultilevel"/>
    <w:tmpl w:val="9C0A90A4"/>
    <w:lvl w:ilvl="0" w:tplc="681EC942">
      <w:start w:val="1"/>
      <w:numFmt w:val="bullet"/>
      <w:lvlText w:val="-"/>
      <w:lvlJc w:val="left"/>
      <w:pPr>
        <w:ind w:left="928" w:hanging="360"/>
      </w:pPr>
      <w:rPr>
        <w:rFonts w:ascii="Calibri" w:eastAsia="PMingLiU" w:hAnsi="Calibri" w:cs="Calibri" w:hint="default"/>
      </w:rPr>
    </w:lvl>
    <w:lvl w:ilvl="1" w:tplc="0C090003">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1" w15:restartNumberingAfterBreak="0">
    <w:nsid w:val="05554951"/>
    <w:multiLevelType w:val="hybridMultilevel"/>
    <w:tmpl w:val="D01C742A"/>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2" w15:restartNumberingAfterBreak="0">
    <w:nsid w:val="09257E06"/>
    <w:multiLevelType w:val="multilevel"/>
    <w:tmpl w:val="A742120C"/>
    <w:lvl w:ilvl="0">
      <w:start w:val="1"/>
      <w:numFmt w:val="lowerLetter"/>
      <w:lvlText w:val="%1)"/>
      <w:lvlJc w:val="left"/>
      <w:pPr>
        <w:tabs>
          <w:tab w:val="left" w:pos="-439"/>
        </w:tabs>
      </w:pPr>
      <w:rPr>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D5C32DD"/>
    <w:multiLevelType w:val="multilevel"/>
    <w:tmpl w:val="8E82A4FC"/>
    <w:lvl w:ilvl="0">
      <w:start w:val="1"/>
      <w:numFmt w:val="lowerLetter"/>
      <w:lvlText w:val="%1)"/>
      <w:lvlJc w:val="left"/>
      <w:pPr>
        <w:tabs>
          <w:tab w:val="left" w:pos="1413"/>
        </w:tabs>
      </w:pPr>
      <w:rPr>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1DBF5BE6"/>
    <w:multiLevelType w:val="multilevel"/>
    <w:tmpl w:val="D8609E42"/>
    <w:lvl w:ilvl="0">
      <w:start w:val="1"/>
      <w:numFmt w:val="lowerLetter"/>
      <w:lvlText w:val="%1)"/>
      <w:lvlJc w:val="left"/>
      <w:pPr>
        <w:tabs>
          <w:tab w:val="left" w:pos="432"/>
        </w:tabs>
      </w:pPr>
      <w:rPr>
        <w:rFonts w:asciiTheme="minorHAnsi" w:eastAsia="Calibri" w:hAnsiTheme="minorHAnsi" w:cstheme="minorHAnsi" w:hint="default"/>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D825FC"/>
    <w:multiLevelType w:val="hybridMultilevel"/>
    <w:tmpl w:val="7E2E1CE0"/>
    <w:lvl w:ilvl="0" w:tplc="28F814E2">
      <w:start w:val="1"/>
      <w:numFmt w:val="lowerRoman"/>
      <w:lvlText w:val="%1."/>
      <w:lvlJc w:val="right"/>
      <w:pPr>
        <w:ind w:left="1440" w:hanging="360"/>
      </w:pPr>
      <w:rPr>
        <w:rFonts w:ascii="Calibri" w:eastAsiaTheme="minorHAnsi" w:hAnsi="Calibri" w:cstheme="minorBidi"/>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2D509C"/>
    <w:multiLevelType w:val="multilevel"/>
    <w:tmpl w:val="E820B264"/>
    <w:lvl w:ilvl="0">
      <w:start w:val="1"/>
      <w:numFmt w:val="lowerLetter"/>
      <w:lvlText w:val="%1)"/>
      <w:lvlJc w:val="left"/>
      <w:pPr>
        <w:tabs>
          <w:tab w:val="left" w:pos="432"/>
        </w:tabs>
      </w:pPr>
      <w:rPr>
        <w:rFonts w:asciiTheme="minorHAnsi" w:eastAsia="Calibri" w:hAnsiTheme="minorHAnsi" w:cstheme="minorHAnsi" w:hint="default"/>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0805E51"/>
    <w:multiLevelType w:val="multilevel"/>
    <w:tmpl w:val="7A1033AE"/>
    <w:lvl w:ilvl="0">
      <w:start w:val="1"/>
      <w:numFmt w:val="lowerLetter"/>
      <w:lvlText w:val="%1)"/>
      <w:lvlJc w:val="left"/>
      <w:pPr>
        <w:tabs>
          <w:tab w:val="left" w:pos="432"/>
        </w:tabs>
      </w:pPr>
      <w:rPr>
        <w:rFonts w:asciiTheme="minorHAnsi" w:eastAsia="Calibri" w:hAnsiTheme="minorHAnsi" w:cstheme="minorHAnsi" w:hint="default"/>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33299C"/>
    <w:multiLevelType w:val="hybridMultilevel"/>
    <w:tmpl w:val="B302FEC2"/>
    <w:lvl w:ilvl="0" w:tplc="EF821756">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2" w15:restartNumberingAfterBreak="0">
    <w:nsid w:val="38B363A1"/>
    <w:multiLevelType w:val="multilevel"/>
    <w:tmpl w:val="E84EAB92"/>
    <w:lvl w:ilvl="0">
      <w:start w:val="1"/>
      <w:numFmt w:val="lowerLetter"/>
      <w:lvlText w:val="%1)"/>
      <w:lvlJc w:val="left"/>
      <w:pPr>
        <w:ind w:left="568" w:hanging="284"/>
      </w:pPr>
      <w:rPr>
        <w:rFonts w:hint="default"/>
      </w:rPr>
    </w:lvl>
    <w:lvl w:ilvl="1">
      <w:start w:val="1"/>
      <w:numFmt w:val="lowerLetter"/>
      <w:lvlText w:val="%2."/>
      <w:lvlJc w:val="left"/>
      <w:pPr>
        <w:ind w:left="852" w:hanging="284"/>
      </w:pPr>
      <w:rPr>
        <w:rFonts w:hint="default"/>
      </w:rPr>
    </w:lvl>
    <w:lvl w:ilvl="2">
      <w:start w:val="1"/>
      <w:numFmt w:val="lowerRoman"/>
      <w:lvlText w:val="%3."/>
      <w:lvlJc w:val="left"/>
      <w:pPr>
        <w:ind w:left="1136" w:hanging="284"/>
      </w:pPr>
      <w:rPr>
        <w:rFonts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5" w:hanging="281"/>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2556" w:hanging="284"/>
      </w:pPr>
      <w:rPr>
        <w:rFonts w:hint="default"/>
      </w:rPr>
    </w:lvl>
    <w:lvl w:ilvl="8">
      <w:start w:val="1"/>
      <w:numFmt w:val="lowerRoman"/>
      <w:lvlText w:val="%9)"/>
      <w:lvlJc w:val="left"/>
      <w:pPr>
        <w:ind w:left="2840" w:hanging="284"/>
      </w:pPr>
      <w:rPr>
        <w:rFonts w:hint="default"/>
      </w:rPr>
    </w:lvl>
  </w:abstractNum>
  <w:abstractNum w:abstractNumId="23" w15:restartNumberingAfterBreak="0">
    <w:nsid w:val="3AA51938"/>
    <w:multiLevelType w:val="multilevel"/>
    <w:tmpl w:val="298C34E4"/>
    <w:numStyleLink w:val="AppendixNumbers"/>
  </w:abstractNum>
  <w:abstractNum w:abstractNumId="24"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1956604"/>
    <w:multiLevelType w:val="multilevel"/>
    <w:tmpl w:val="3B9ACF66"/>
    <w:lvl w:ilvl="0">
      <w:start w:val="1"/>
      <w:numFmt w:val="lowerLetter"/>
      <w:lvlText w:val="%1)"/>
      <w:lvlJc w:val="left"/>
      <w:pPr>
        <w:tabs>
          <w:tab w:val="left" w:pos="432"/>
        </w:tabs>
      </w:pPr>
      <w:rPr>
        <w:rFonts w:asciiTheme="minorHAnsi" w:eastAsia="Calibri" w:hAnsiTheme="minorHAnsi" w:cstheme="minorHAnsi" w:hint="default"/>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C44B0D"/>
    <w:multiLevelType w:val="hybridMultilevel"/>
    <w:tmpl w:val="78DAC3DA"/>
    <w:lvl w:ilvl="0" w:tplc="FF2028C4">
      <w:start w:val="1"/>
      <w:numFmt w:val="lowerLetter"/>
      <w:lvlText w:val="%1)"/>
      <w:lvlJc w:val="left"/>
      <w:pPr>
        <w:ind w:left="360" w:hanging="360"/>
      </w:pPr>
      <w:rPr>
        <w:rFonts w:hint="default"/>
        <w:sz w:val="22"/>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A96F0F"/>
    <w:multiLevelType w:val="multilevel"/>
    <w:tmpl w:val="D8609E42"/>
    <w:lvl w:ilvl="0">
      <w:start w:val="1"/>
      <w:numFmt w:val="lowerLetter"/>
      <w:lvlText w:val="%1)"/>
      <w:lvlJc w:val="left"/>
      <w:pPr>
        <w:tabs>
          <w:tab w:val="left" w:pos="432"/>
        </w:tabs>
      </w:pPr>
      <w:rPr>
        <w:rFonts w:asciiTheme="minorHAnsi" w:eastAsia="Calibri" w:hAnsiTheme="minorHAnsi" w:cstheme="minorHAnsi" w:hint="default"/>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E005737"/>
    <w:multiLevelType w:val="hybridMultilevel"/>
    <w:tmpl w:val="1CBA64EE"/>
    <w:lvl w:ilvl="0" w:tplc="ED4ADF66">
      <w:start w:val="1"/>
      <w:numFmt w:val="bullet"/>
      <w:lvlText w:val="-"/>
      <w:lvlJc w:val="left"/>
      <w:pPr>
        <w:ind w:left="644" w:hanging="360"/>
      </w:pPr>
      <w:rPr>
        <w:rFonts w:ascii="Calibri" w:eastAsiaTheme="minorHAnsi" w:hAnsi="Calibri" w:cs="Calibr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1" w15:restartNumberingAfterBreak="0">
    <w:nsid w:val="751B4C55"/>
    <w:multiLevelType w:val="multilevel"/>
    <w:tmpl w:val="AED803C4"/>
    <w:lvl w:ilvl="0">
      <w:start w:val="1"/>
      <w:numFmt w:val="decimal"/>
      <w:lvlText w:val="%1."/>
      <w:lvlJc w:val="left"/>
      <w:pPr>
        <w:tabs>
          <w:tab w:val="left" w:pos="-439"/>
        </w:tabs>
      </w:pPr>
      <w:rPr>
        <w:rFonts w:asciiTheme="minorHAnsi" w:eastAsia="Calibri" w:hAnsiTheme="minorHAnsi" w:cstheme="minorHAnsi" w:hint="default"/>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35676401">
    <w:abstractNumId w:val="28"/>
  </w:num>
  <w:num w:numId="2" w16cid:durableId="168372359">
    <w:abstractNumId w:val="17"/>
  </w:num>
  <w:num w:numId="3" w16cid:durableId="487599509">
    <w:abstractNumId w:val="25"/>
  </w:num>
  <w:num w:numId="4" w16cid:durableId="978801605">
    <w:abstractNumId w:val="9"/>
  </w:num>
  <w:num w:numId="5" w16cid:durableId="1714571370">
    <w:abstractNumId w:val="7"/>
  </w:num>
  <w:num w:numId="6" w16cid:durableId="1191601962">
    <w:abstractNumId w:val="6"/>
  </w:num>
  <w:num w:numId="7" w16cid:durableId="1222449226">
    <w:abstractNumId w:val="5"/>
  </w:num>
  <w:num w:numId="8" w16cid:durableId="1954946135">
    <w:abstractNumId w:val="4"/>
  </w:num>
  <w:num w:numId="9" w16cid:durableId="1738820539">
    <w:abstractNumId w:val="8"/>
  </w:num>
  <w:num w:numId="10" w16cid:durableId="356322473">
    <w:abstractNumId w:val="3"/>
  </w:num>
  <w:num w:numId="11" w16cid:durableId="1964071110">
    <w:abstractNumId w:val="2"/>
  </w:num>
  <w:num w:numId="12" w16cid:durableId="27806648">
    <w:abstractNumId w:val="1"/>
  </w:num>
  <w:num w:numId="13" w16cid:durableId="1567105061">
    <w:abstractNumId w:val="0"/>
  </w:num>
  <w:num w:numId="14" w16cid:durableId="939947619">
    <w:abstractNumId w:val="32"/>
  </w:num>
  <w:num w:numId="15" w16cid:durableId="4547119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095614">
    <w:abstractNumId w:val="14"/>
  </w:num>
  <w:num w:numId="17" w16cid:durableId="441806985">
    <w:abstractNumId w:val="14"/>
    <w:lvlOverride w:ilvl="0">
      <w:startOverride w:val="1"/>
    </w:lvlOverride>
  </w:num>
  <w:num w:numId="18" w16cid:durableId="1284114473">
    <w:abstractNumId w:val="24"/>
  </w:num>
  <w:num w:numId="19" w16cid:durableId="1731490465">
    <w:abstractNumId w:val="22"/>
  </w:num>
  <w:num w:numId="20" w16cid:durableId="958606875">
    <w:abstractNumId w:val="30"/>
  </w:num>
  <w:num w:numId="21" w16cid:durableId="2031181755">
    <w:abstractNumId w:val="19"/>
  </w:num>
  <w:num w:numId="22" w16cid:durableId="397436678">
    <w:abstractNumId w:val="23"/>
  </w:num>
  <w:num w:numId="23" w16cid:durableId="1324629706">
    <w:abstractNumId w:val="31"/>
  </w:num>
  <w:num w:numId="24" w16cid:durableId="766585879">
    <w:abstractNumId w:val="18"/>
  </w:num>
  <w:num w:numId="25" w16cid:durableId="2115203118">
    <w:abstractNumId w:val="13"/>
  </w:num>
  <w:num w:numId="26" w16cid:durableId="1758675266">
    <w:abstractNumId w:val="20"/>
  </w:num>
  <w:num w:numId="27" w16cid:durableId="1559441483">
    <w:abstractNumId w:val="26"/>
  </w:num>
  <w:num w:numId="28" w16cid:durableId="1941984415">
    <w:abstractNumId w:val="27"/>
  </w:num>
  <w:num w:numId="29" w16cid:durableId="15087527">
    <w:abstractNumId w:val="10"/>
  </w:num>
  <w:num w:numId="30" w16cid:durableId="1760835840">
    <w:abstractNumId w:val="11"/>
  </w:num>
  <w:num w:numId="31" w16cid:durableId="1565332926">
    <w:abstractNumId w:val="15"/>
  </w:num>
  <w:num w:numId="32" w16cid:durableId="1349718808">
    <w:abstractNumId w:val="12"/>
  </w:num>
  <w:num w:numId="33" w16cid:durableId="1915116385">
    <w:abstractNumId w:val="16"/>
  </w:num>
  <w:num w:numId="34" w16cid:durableId="1371373038">
    <w:abstractNumId w:val="29"/>
  </w:num>
  <w:num w:numId="35" w16cid:durableId="7749777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07A5"/>
    <w:rsid w:val="00012D3A"/>
    <w:rsid w:val="00014E3E"/>
    <w:rsid w:val="0003502E"/>
    <w:rsid w:val="0004416E"/>
    <w:rsid w:val="000442BC"/>
    <w:rsid w:val="000522EB"/>
    <w:rsid w:val="00054EF4"/>
    <w:rsid w:val="00072195"/>
    <w:rsid w:val="000740FB"/>
    <w:rsid w:val="00090E62"/>
    <w:rsid w:val="00092618"/>
    <w:rsid w:val="000A77D1"/>
    <w:rsid w:val="000B0B52"/>
    <w:rsid w:val="000B157C"/>
    <w:rsid w:val="000B1E86"/>
    <w:rsid w:val="000B6FF7"/>
    <w:rsid w:val="000C0244"/>
    <w:rsid w:val="000D29F4"/>
    <w:rsid w:val="000D4B3B"/>
    <w:rsid w:val="00105DA4"/>
    <w:rsid w:val="00113A03"/>
    <w:rsid w:val="00133A45"/>
    <w:rsid w:val="00134226"/>
    <w:rsid w:val="001351E7"/>
    <w:rsid w:val="0014278C"/>
    <w:rsid w:val="00142BF5"/>
    <w:rsid w:val="00143894"/>
    <w:rsid w:val="001836F1"/>
    <w:rsid w:val="00185F32"/>
    <w:rsid w:val="00190A0C"/>
    <w:rsid w:val="001D583B"/>
    <w:rsid w:val="001D6D6B"/>
    <w:rsid w:val="001E4017"/>
    <w:rsid w:val="001E4471"/>
    <w:rsid w:val="001E7AC4"/>
    <w:rsid w:val="001F2321"/>
    <w:rsid w:val="00204A64"/>
    <w:rsid w:val="00205C1F"/>
    <w:rsid w:val="00217C11"/>
    <w:rsid w:val="00236F1B"/>
    <w:rsid w:val="00247ED9"/>
    <w:rsid w:val="00252A7B"/>
    <w:rsid w:val="002610B0"/>
    <w:rsid w:val="00261FFA"/>
    <w:rsid w:val="00267F8D"/>
    <w:rsid w:val="00272982"/>
    <w:rsid w:val="0027557F"/>
    <w:rsid w:val="00287C7E"/>
    <w:rsid w:val="0029453A"/>
    <w:rsid w:val="00294895"/>
    <w:rsid w:val="002A5AB5"/>
    <w:rsid w:val="002B15B8"/>
    <w:rsid w:val="002F1A23"/>
    <w:rsid w:val="002F58BA"/>
    <w:rsid w:val="00300077"/>
    <w:rsid w:val="00305CB1"/>
    <w:rsid w:val="00310148"/>
    <w:rsid w:val="0031151B"/>
    <w:rsid w:val="00323710"/>
    <w:rsid w:val="003273FA"/>
    <w:rsid w:val="00342348"/>
    <w:rsid w:val="003508A8"/>
    <w:rsid w:val="00381BDA"/>
    <w:rsid w:val="0039507E"/>
    <w:rsid w:val="003B66C1"/>
    <w:rsid w:val="003B6D01"/>
    <w:rsid w:val="003C575A"/>
    <w:rsid w:val="003D71C5"/>
    <w:rsid w:val="003E27D9"/>
    <w:rsid w:val="003E796E"/>
    <w:rsid w:val="003F1C84"/>
    <w:rsid w:val="003F3CB7"/>
    <w:rsid w:val="00400B86"/>
    <w:rsid w:val="0041105F"/>
    <w:rsid w:val="00416734"/>
    <w:rsid w:val="0042621F"/>
    <w:rsid w:val="00445017"/>
    <w:rsid w:val="004535D2"/>
    <w:rsid w:val="0047220E"/>
    <w:rsid w:val="00485524"/>
    <w:rsid w:val="00491BC5"/>
    <w:rsid w:val="004A3207"/>
    <w:rsid w:val="004B09B8"/>
    <w:rsid w:val="004C2D0F"/>
    <w:rsid w:val="005413E7"/>
    <w:rsid w:val="00543D99"/>
    <w:rsid w:val="0059569E"/>
    <w:rsid w:val="005C0459"/>
    <w:rsid w:val="005C37D2"/>
    <w:rsid w:val="005D038B"/>
    <w:rsid w:val="005E55BD"/>
    <w:rsid w:val="005F616A"/>
    <w:rsid w:val="00610225"/>
    <w:rsid w:val="006118FD"/>
    <w:rsid w:val="006139ED"/>
    <w:rsid w:val="006142A5"/>
    <w:rsid w:val="00630D43"/>
    <w:rsid w:val="0063485E"/>
    <w:rsid w:val="006452B1"/>
    <w:rsid w:val="006507B7"/>
    <w:rsid w:val="006542FA"/>
    <w:rsid w:val="00654F9E"/>
    <w:rsid w:val="00675C5D"/>
    <w:rsid w:val="00691FA2"/>
    <w:rsid w:val="006C31D3"/>
    <w:rsid w:val="006D43C7"/>
    <w:rsid w:val="006F2D75"/>
    <w:rsid w:val="00731351"/>
    <w:rsid w:val="00735246"/>
    <w:rsid w:val="00741729"/>
    <w:rsid w:val="00744CD2"/>
    <w:rsid w:val="00754169"/>
    <w:rsid w:val="00772C27"/>
    <w:rsid w:val="00790F25"/>
    <w:rsid w:val="00793843"/>
    <w:rsid w:val="0079788A"/>
    <w:rsid w:val="007B27EA"/>
    <w:rsid w:val="007B45ED"/>
    <w:rsid w:val="007B68AB"/>
    <w:rsid w:val="007D7381"/>
    <w:rsid w:val="007E598F"/>
    <w:rsid w:val="007E7AA0"/>
    <w:rsid w:val="00822DBF"/>
    <w:rsid w:val="0082413B"/>
    <w:rsid w:val="00833E35"/>
    <w:rsid w:val="00844881"/>
    <w:rsid w:val="008632C7"/>
    <w:rsid w:val="008A7B93"/>
    <w:rsid w:val="008B7158"/>
    <w:rsid w:val="008C6CB9"/>
    <w:rsid w:val="008D4156"/>
    <w:rsid w:val="008E534F"/>
    <w:rsid w:val="008F24DE"/>
    <w:rsid w:val="00906514"/>
    <w:rsid w:val="00906533"/>
    <w:rsid w:val="00912D17"/>
    <w:rsid w:val="009276A3"/>
    <w:rsid w:val="009279AE"/>
    <w:rsid w:val="00933112"/>
    <w:rsid w:val="00935A30"/>
    <w:rsid w:val="00953CCD"/>
    <w:rsid w:val="00956894"/>
    <w:rsid w:val="00985DD5"/>
    <w:rsid w:val="009865F6"/>
    <w:rsid w:val="009A4253"/>
    <w:rsid w:val="009B6F35"/>
    <w:rsid w:val="009C3D4E"/>
    <w:rsid w:val="009D3AE6"/>
    <w:rsid w:val="009E2838"/>
    <w:rsid w:val="009E5D5A"/>
    <w:rsid w:val="009E7626"/>
    <w:rsid w:val="009F610F"/>
    <w:rsid w:val="009F6CDD"/>
    <w:rsid w:val="00A24200"/>
    <w:rsid w:val="00A33C10"/>
    <w:rsid w:val="00A44E4B"/>
    <w:rsid w:val="00A4759C"/>
    <w:rsid w:val="00A5600C"/>
    <w:rsid w:val="00A63390"/>
    <w:rsid w:val="00A80365"/>
    <w:rsid w:val="00A82DAF"/>
    <w:rsid w:val="00A86AF3"/>
    <w:rsid w:val="00AB14D6"/>
    <w:rsid w:val="00AC34ED"/>
    <w:rsid w:val="00AC6195"/>
    <w:rsid w:val="00AE61A6"/>
    <w:rsid w:val="00B000A4"/>
    <w:rsid w:val="00B041CB"/>
    <w:rsid w:val="00B12FC1"/>
    <w:rsid w:val="00B3785F"/>
    <w:rsid w:val="00B43F55"/>
    <w:rsid w:val="00B5393D"/>
    <w:rsid w:val="00B71F2C"/>
    <w:rsid w:val="00B74715"/>
    <w:rsid w:val="00B75159"/>
    <w:rsid w:val="00B76D03"/>
    <w:rsid w:val="00B82308"/>
    <w:rsid w:val="00B86B45"/>
    <w:rsid w:val="00BA0878"/>
    <w:rsid w:val="00BA13CE"/>
    <w:rsid w:val="00BB3D46"/>
    <w:rsid w:val="00BC0598"/>
    <w:rsid w:val="00BD78E3"/>
    <w:rsid w:val="00BE731E"/>
    <w:rsid w:val="00C010BB"/>
    <w:rsid w:val="00C02452"/>
    <w:rsid w:val="00C0772D"/>
    <w:rsid w:val="00C209D6"/>
    <w:rsid w:val="00C36E40"/>
    <w:rsid w:val="00C422C9"/>
    <w:rsid w:val="00C43073"/>
    <w:rsid w:val="00C540F2"/>
    <w:rsid w:val="00C62177"/>
    <w:rsid w:val="00CA5147"/>
    <w:rsid w:val="00CD0046"/>
    <w:rsid w:val="00CE3657"/>
    <w:rsid w:val="00CE7FBF"/>
    <w:rsid w:val="00D13C03"/>
    <w:rsid w:val="00D2193D"/>
    <w:rsid w:val="00D22944"/>
    <w:rsid w:val="00D47BFD"/>
    <w:rsid w:val="00D53737"/>
    <w:rsid w:val="00D542B0"/>
    <w:rsid w:val="00D56936"/>
    <w:rsid w:val="00D64922"/>
    <w:rsid w:val="00DB2237"/>
    <w:rsid w:val="00DC5DC8"/>
    <w:rsid w:val="00DC7BA4"/>
    <w:rsid w:val="00DD4F64"/>
    <w:rsid w:val="00E55F6F"/>
    <w:rsid w:val="00E61771"/>
    <w:rsid w:val="00E7227D"/>
    <w:rsid w:val="00E76BC6"/>
    <w:rsid w:val="00E80626"/>
    <w:rsid w:val="00E80E04"/>
    <w:rsid w:val="00E9413F"/>
    <w:rsid w:val="00EA415A"/>
    <w:rsid w:val="00EB0BAC"/>
    <w:rsid w:val="00ED02DB"/>
    <w:rsid w:val="00ED4DA7"/>
    <w:rsid w:val="00EE6EE8"/>
    <w:rsid w:val="00EF5B98"/>
    <w:rsid w:val="00F005AF"/>
    <w:rsid w:val="00F25913"/>
    <w:rsid w:val="00F32F96"/>
    <w:rsid w:val="00F41576"/>
    <w:rsid w:val="00F61FA1"/>
    <w:rsid w:val="00F76C94"/>
    <w:rsid w:val="00F814AD"/>
    <w:rsid w:val="00FA2946"/>
    <w:rsid w:val="00FA64C7"/>
    <w:rsid w:val="00FB12AA"/>
    <w:rsid w:val="00FC413F"/>
    <w:rsid w:val="00FC4377"/>
    <w:rsid w:val="00FD3DAB"/>
    <w:rsid w:val="00FE03EF"/>
    <w:rsid w:val="00FE6ADD"/>
    <w:rsid w:val="00FF137A"/>
    <w:rsid w:val="00FF64D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74A71"/>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FE03EF"/>
    <w:pPr>
      <w:keepNext/>
      <w:keepLines/>
      <w:suppressAutoHyphens/>
      <w:spacing w:before="12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FE03EF"/>
    <w:pPr>
      <w:keepNext/>
      <w:keepLines/>
      <w:suppressAutoHyphens/>
      <w:spacing w:before="120" w:after="120"/>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FE03EF"/>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FE03EF"/>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aliases w:val="List Paragraph—numbers,Recommendation,List Paragraph1,List Paragraph11,L,Number,#List Paragraph,Bullet point,List Paragraph111,F5 List Paragraph,Dot pt,CV text,Medium Grid 1 - Accent 21,Numbered Paragraph,List Paragraph2,FooterText"/>
    <w:basedOn w:val="Normal"/>
    <w:link w:val="ListParagraphChar"/>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0D29F4"/>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FollowedHyperlink">
    <w:name w:val="FollowedHyperlink"/>
    <w:basedOn w:val="DefaultParagraphFont"/>
    <w:uiPriority w:val="99"/>
    <w:semiHidden/>
    <w:unhideWhenUsed/>
    <w:rsid w:val="00C209D6"/>
    <w:rPr>
      <w:color w:val="954F72" w:themeColor="followedHyperlink"/>
      <w:u w:val="single"/>
    </w:rPr>
  </w:style>
  <w:style w:type="table" w:customStyle="1" w:styleId="TableGrid1">
    <w:name w:val="Table Grid1"/>
    <w:basedOn w:val="TableNormal"/>
    <w:next w:val="TableGrid"/>
    <w:uiPriority w:val="39"/>
    <w:rsid w:val="00C01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numbers Char,Recommendation Char,List Paragraph1 Char,List Paragraph11 Char,L Char,Number Char,#List Paragraph Char,Bullet point Char,List Paragraph111 Char,F5 List Paragraph Char,Dot pt Char,CV text Char"/>
    <w:link w:val="ListParagraph"/>
    <w:uiPriority w:val="34"/>
    <w:qFormat/>
    <w:rsid w:val="00E9413F"/>
    <w:rPr>
      <w:rFonts w:ascii="Calibri" w:hAnsi="Calibri"/>
    </w:rPr>
  </w:style>
  <w:style w:type="paragraph" w:customStyle="1" w:styleId="AppendixHeading1">
    <w:name w:val="Appendix Heading 1"/>
    <w:basedOn w:val="Heading1"/>
    <w:uiPriority w:val="11"/>
    <w:qFormat/>
    <w:rsid w:val="006118FD"/>
    <w:pPr>
      <w:keepNext/>
      <w:keepLines/>
      <w:numPr>
        <w:ilvl w:val="0"/>
        <w:numId w:val="22"/>
      </w:numPr>
      <w:spacing w:before="320"/>
      <w:contextualSpacing/>
    </w:pPr>
    <w:rPr>
      <w:rFonts w:asciiTheme="majorHAnsi" w:eastAsiaTheme="majorEastAsia" w:hAnsiTheme="majorHAnsi" w:cstheme="majorBidi"/>
      <w:bCs/>
      <w:color w:val="081E3F"/>
      <w:kern w:val="0"/>
      <w:sz w:val="32"/>
      <w:szCs w:val="22"/>
    </w:rPr>
  </w:style>
  <w:style w:type="paragraph" w:customStyle="1" w:styleId="AppendixHeading2">
    <w:name w:val="Appendix Heading 2"/>
    <w:basedOn w:val="Heading2"/>
    <w:uiPriority w:val="11"/>
    <w:rsid w:val="006118FD"/>
    <w:pPr>
      <w:keepNext w:val="0"/>
      <w:keepLines w:val="0"/>
      <w:numPr>
        <w:ilvl w:val="1"/>
        <w:numId w:val="22"/>
      </w:numPr>
      <w:spacing w:before="320"/>
    </w:pPr>
    <w:rPr>
      <w:rFonts w:asciiTheme="minorHAnsi" w:eastAsiaTheme="minorHAnsi" w:hAnsiTheme="minorHAnsi" w:cs="Times New Roman (Body CS)"/>
      <w:caps/>
      <w:color w:val="806000" w:themeColor="accent4" w:themeShade="80"/>
      <w:kern w:val="0"/>
      <w:sz w:val="22"/>
      <w:szCs w:val="22"/>
    </w:rPr>
  </w:style>
  <w:style w:type="numbering" w:customStyle="1" w:styleId="AppendixNumbers">
    <w:name w:val="Appendix Numbers"/>
    <w:uiPriority w:val="99"/>
    <w:rsid w:val="006118FD"/>
    <w:pPr>
      <w:numPr>
        <w:numId w:val="21"/>
      </w:numPr>
    </w:pPr>
  </w:style>
  <w:style w:type="table" w:customStyle="1" w:styleId="Style5">
    <w:name w:val="Style5"/>
    <w:basedOn w:val="TableNormal"/>
    <w:uiPriority w:val="99"/>
    <w:rsid w:val="009E5D5A"/>
    <w:pPr>
      <w:spacing w:after="0" w:line="240" w:lineRule="auto"/>
    </w:pPr>
    <w:rPr>
      <w:rFonts w:ascii="Calibri" w:hAnsi="Calibri"/>
      <w:color w:val="000000" w:themeColor="text1"/>
      <w:lang w:val="en-US"/>
    </w:rPr>
    <w:tblPr>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jc w:val="center"/>
      </w:pPr>
      <w:rPr>
        <w:b/>
        <w:color w:val="FFFFFF" w:themeColor="background1"/>
      </w:rPr>
      <w:tblPr/>
      <w:tcPr>
        <w:shd w:val="clear" w:color="auto" w:fill="5B9BD5" w:themeFill="accent1"/>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connect.internal.dotars.gov.au/sites/intranet/SitePages/internal-audit-charter.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protectivesecurity.gov.au/system/files/2025-07/pspf-release-2025.pdf" TargetMode="External"/><Relationship Id="rId2" Type="http://schemas.openxmlformats.org/officeDocument/2006/relationships/numbering" Target="numbering.xml"/><Relationship Id="rId16" Type="http://schemas.openxmlformats.org/officeDocument/2006/relationships/hyperlink" Target="https://www.counterfraud.gov.au/library/framework-202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inance.gov.au/government/comcover/risk-services/management/commonwealth-risk-management-policy"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finance.gov.au/government/managing-commonwealth-resources/planning-and-reporting/commonwealth-performance-framewor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6E4DC-A2B1-4DEB-A953-5F9AD3EC00A4}">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7</Pages>
  <Words>2520</Words>
  <Characters>14416</Characters>
  <Application>Microsoft Office Word</Application>
  <DocSecurity>4</DocSecurity>
  <Lines>277</Lines>
  <Paragraphs>169</Paragraphs>
  <ScaleCrop>false</ScaleCrop>
  <HeadingPairs>
    <vt:vector size="2" baseType="variant">
      <vt:variant>
        <vt:lpstr>Title</vt:lpstr>
      </vt:variant>
      <vt:variant>
        <vt:i4>1</vt:i4>
      </vt:variant>
    </vt:vector>
  </HeadingPairs>
  <TitlesOfParts>
    <vt:vector size="1" baseType="lpstr">
      <vt:lpstr>Audit and Risk Committee Charter—January 2026</vt:lpstr>
    </vt:vector>
  </TitlesOfParts>
  <Company>Department of Infrastructure, Transport, Regional Development, Communications, Sport and the Arts</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and Risk Committee Charter—February 2026</dc:title>
  <dc:subject/>
  <dc:creator>Department of Infrastructure, Transport, Regional Development, Communications, Sport and the Arts</dc:creator>
  <cp:keywords/>
  <dc:description>February 2026</dc:description>
  <cp:lastModifiedBy>Hall, Theresa</cp:lastModifiedBy>
  <cp:revision>2</cp:revision>
  <cp:lastPrinted>2026-02-24T01:49:00Z</cp:lastPrinted>
  <dcterms:created xsi:type="dcterms:W3CDTF">2026-02-24T23:16:00Z</dcterms:created>
  <dcterms:modified xsi:type="dcterms:W3CDTF">2026-02-24T23:16:00Z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76ea7342,5c8733db,3f884012</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6c7b6e49,69ef75c8,7b68ccef</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