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FA34A" w14:textId="37ADBC1E" w:rsidR="00F11F23" w:rsidRPr="00A40936" w:rsidRDefault="00176E34" w:rsidP="00664205">
      <w:pPr>
        <w:pStyle w:val="Heading1"/>
        <w:spacing w:after="120"/>
        <w:rPr>
          <w:rFonts w:cstheme="majorHAnsi"/>
        </w:rPr>
      </w:pPr>
      <w:r>
        <w:rPr>
          <w:rFonts w:cstheme="majorHAnsi"/>
        </w:rPr>
        <w:t xml:space="preserve">Attachment C: </w:t>
      </w:r>
      <w:r w:rsidR="00F26EB2" w:rsidRPr="00A40936">
        <w:rPr>
          <w:rFonts w:cstheme="majorHAnsi"/>
        </w:rPr>
        <w:t>Engagement and process snapshot</w:t>
      </w:r>
    </w:p>
    <w:p w14:paraId="6F4522D6" w14:textId="7AEDFE10" w:rsidR="00F26EB2" w:rsidRPr="00A40936" w:rsidRDefault="00F30F5B" w:rsidP="00F26EB2">
      <w:pPr>
        <w:rPr>
          <w:rFonts w:asciiTheme="majorHAnsi" w:hAnsiTheme="majorHAnsi" w:cstheme="majorHAnsi"/>
        </w:rPr>
      </w:pPr>
      <w:r w:rsidRPr="00A40936">
        <w:rPr>
          <w:rFonts w:asciiTheme="majorHAnsi" w:hAnsiTheme="majorHAnsi" w:cstheme="majorHAnsi"/>
        </w:rPr>
        <w:t>In February 2022, t</w:t>
      </w:r>
      <w:r w:rsidR="00376A74" w:rsidRPr="00A40936">
        <w:rPr>
          <w:rFonts w:asciiTheme="majorHAnsi" w:hAnsiTheme="majorHAnsi" w:cstheme="majorHAnsi"/>
        </w:rPr>
        <w:t xml:space="preserve">he Infrastructure and Transport ministers </w:t>
      </w:r>
      <w:r w:rsidR="00E74A66" w:rsidRPr="00A40936">
        <w:rPr>
          <w:rFonts w:asciiTheme="majorHAnsi" w:hAnsiTheme="majorHAnsi" w:cstheme="majorHAnsi"/>
        </w:rPr>
        <w:t>commissioned Ken Kanofski to</w:t>
      </w:r>
      <w:r w:rsidRPr="00A40936">
        <w:rPr>
          <w:rFonts w:asciiTheme="majorHAnsi" w:hAnsiTheme="majorHAnsi" w:cstheme="majorHAnsi"/>
        </w:rPr>
        <w:t xml:space="preserve"> </w:t>
      </w:r>
      <w:r w:rsidR="00EC6619" w:rsidRPr="00A40936">
        <w:rPr>
          <w:rFonts w:asciiTheme="majorHAnsi" w:hAnsiTheme="majorHAnsi" w:cstheme="majorHAnsi"/>
        </w:rPr>
        <w:t xml:space="preserve">engage with industry and jurisdictional stakeholders </w:t>
      </w:r>
      <w:r w:rsidR="00AD388F" w:rsidRPr="00A40936">
        <w:rPr>
          <w:rFonts w:asciiTheme="majorHAnsi" w:hAnsiTheme="majorHAnsi" w:cstheme="majorHAnsi"/>
        </w:rPr>
        <w:t xml:space="preserve">on the new </w:t>
      </w:r>
      <w:r w:rsidR="00AD388F" w:rsidRPr="00A40936">
        <w:rPr>
          <w:rFonts w:asciiTheme="majorHAnsi" w:hAnsiTheme="majorHAnsi" w:cstheme="majorHAnsi"/>
          <w:i/>
          <w:iCs/>
        </w:rPr>
        <w:t>Heavy vehicle National Law (HVNL) review</w:t>
      </w:r>
      <w:r w:rsidR="00AD388F" w:rsidRPr="00A40936">
        <w:rPr>
          <w:rFonts w:asciiTheme="majorHAnsi" w:hAnsiTheme="majorHAnsi" w:cstheme="majorHAnsi"/>
        </w:rPr>
        <w:t xml:space="preserve"> and its implementation </w:t>
      </w:r>
      <w:r w:rsidR="00F465BC" w:rsidRPr="00A40936">
        <w:rPr>
          <w:rFonts w:asciiTheme="majorHAnsi" w:hAnsiTheme="majorHAnsi" w:cstheme="majorHAnsi"/>
        </w:rPr>
        <w:t>program HVNL</w:t>
      </w:r>
      <w:r w:rsidR="00AD388F" w:rsidRPr="00A40936">
        <w:rPr>
          <w:rFonts w:asciiTheme="majorHAnsi" w:hAnsiTheme="majorHAnsi" w:cstheme="majorHAnsi"/>
          <w:i/>
          <w:iCs/>
        </w:rPr>
        <w:t>- Safety and Productivity Program</w:t>
      </w:r>
      <w:r w:rsidR="00AD388F" w:rsidRPr="00A40936">
        <w:rPr>
          <w:rFonts w:asciiTheme="majorHAnsi" w:hAnsiTheme="majorHAnsi" w:cstheme="majorHAnsi"/>
        </w:rPr>
        <w:t xml:space="preserve">. </w:t>
      </w:r>
      <w:r w:rsidR="00F465BC" w:rsidRPr="00A40936">
        <w:rPr>
          <w:rFonts w:asciiTheme="majorHAnsi" w:hAnsiTheme="majorHAnsi" w:cstheme="majorHAnsi"/>
        </w:rPr>
        <w:t xml:space="preserve">The consultation was </w:t>
      </w:r>
      <w:r w:rsidRPr="00A40936">
        <w:rPr>
          <w:rFonts w:asciiTheme="majorHAnsi" w:hAnsiTheme="majorHAnsi" w:cstheme="majorHAnsi"/>
        </w:rPr>
        <w:t xml:space="preserve">aimed at outlining a reform package that </w:t>
      </w:r>
      <w:r w:rsidR="00E718F8" w:rsidRPr="00A40936">
        <w:rPr>
          <w:rFonts w:asciiTheme="majorHAnsi" w:hAnsiTheme="majorHAnsi" w:cstheme="majorHAnsi"/>
        </w:rPr>
        <w:t>considers</w:t>
      </w:r>
      <w:r w:rsidRPr="00A40936">
        <w:rPr>
          <w:rFonts w:asciiTheme="majorHAnsi" w:hAnsiTheme="majorHAnsi" w:cstheme="majorHAnsi"/>
        </w:rPr>
        <w:t xml:space="preserve"> the interest of all stakeholders, and to report on further work required to deliver a new law. </w:t>
      </w:r>
    </w:p>
    <w:p w14:paraId="246D5577" w14:textId="374085EB" w:rsidR="00E718F8" w:rsidRPr="00A40936" w:rsidRDefault="00E718F8" w:rsidP="00E718F8">
      <w:pPr>
        <w:pStyle w:val="Heading2"/>
        <w:spacing w:after="120"/>
        <w:rPr>
          <w:rFonts w:cstheme="majorHAnsi"/>
        </w:rPr>
      </w:pPr>
      <w:r w:rsidRPr="00A40936">
        <w:rPr>
          <w:rFonts w:cstheme="majorHAnsi"/>
        </w:rPr>
        <w:t xml:space="preserve">Consultation </w:t>
      </w:r>
      <w:r w:rsidR="00664205" w:rsidRPr="00A40936">
        <w:rPr>
          <w:rFonts w:cstheme="majorHAnsi"/>
        </w:rPr>
        <w:t>approach</w:t>
      </w:r>
    </w:p>
    <w:p w14:paraId="2F20625D" w14:textId="5F76BD0F" w:rsidR="00E718F8" w:rsidRPr="00A40936" w:rsidRDefault="00E718F8" w:rsidP="00F26EB2">
      <w:pPr>
        <w:rPr>
          <w:rFonts w:asciiTheme="majorHAnsi" w:hAnsiTheme="majorHAnsi" w:cstheme="majorHAnsi"/>
        </w:rPr>
      </w:pPr>
      <w:r w:rsidRPr="00A40936">
        <w:rPr>
          <w:rFonts w:asciiTheme="majorHAnsi" w:hAnsiTheme="majorHAnsi" w:cstheme="majorHAnsi"/>
        </w:rPr>
        <w:t xml:space="preserve">In undertaking this consultation, Ken Kanofski: </w:t>
      </w:r>
    </w:p>
    <w:p w14:paraId="693FC92E" w14:textId="71865F30" w:rsidR="00E718F8" w:rsidRPr="00A40936" w:rsidRDefault="00E718F8" w:rsidP="00F66516">
      <w:pPr>
        <w:pStyle w:val="ListParagraph"/>
        <w:numPr>
          <w:ilvl w:val="0"/>
          <w:numId w:val="4"/>
        </w:numPr>
        <w:spacing w:after="80"/>
        <w:ind w:left="714" w:hanging="357"/>
        <w:contextualSpacing w:val="0"/>
        <w:rPr>
          <w:rFonts w:asciiTheme="majorHAnsi" w:hAnsiTheme="majorHAnsi" w:cstheme="majorHAnsi"/>
        </w:rPr>
      </w:pPr>
      <w:r w:rsidRPr="00A40936">
        <w:rPr>
          <w:rFonts w:asciiTheme="majorHAnsi" w:hAnsiTheme="majorHAnsi" w:cstheme="majorHAnsi"/>
        </w:rPr>
        <w:t xml:space="preserve">Met with industry and jurisdictional stakeholders individually and collectively. </w:t>
      </w:r>
    </w:p>
    <w:p w14:paraId="3453783D" w14:textId="27BCAD54" w:rsidR="00E718F8" w:rsidRPr="00A40936" w:rsidRDefault="00E718F8" w:rsidP="00F66516">
      <w:pPr>
        <w:pStyle w:val="ListParagraph"/>
        <w:numPr>
          <w:ilvl w:val="0"/>
          <w:numId w:val="4"/>
        </w:numPr>
        <w:spacing w:after="80"/>
        <w:ind w:left="714" w:hanging="357"/>
        <w:contextualSpacing w:val="0"/>
        <w:rPr>
          <w:rFonts w:asciiTheme="majorHAnsi" w:hAnsiTheme="majorHAnsi" w:cstheme="majorHAnsi"/>
        </w:rPr>
      </w:pPr>
      <w:r w:rsidRPr="00A40936">
        <w:rPr>
          <w:rFonts w:asciiTheme="majorHAnsi" w:hAnsiTheme="majorHAnsi" w:cstheme="majorHAnsi"/>
        </w:rPr>
        <w:t>Held industry forums engaging more broadly with heavy vehicle operators and drivers.</w:t>
      </w:r>
    </w:p>
    <w:p w14:paraId="0C523D5F" w14:textId="06664C92" w:rsidR="00E718F8" w:rsidRPr="00A40936" w:rsidRDefault="00E718F8" w:rsidP="00F66516">
      <w:pPr>
        <w:pStyle w:val="ListParagraph"/>
        <w:numPr>
          <w:ilvl w:val="0"/>
          <w:numId w:val="4"/>
        </w:numPr>
        <w:spacing w:after="80"/>
        <w:ind w:left="714" w:hanging="357"/>
        <w:contextualSpacing w:val="0"/>
        <w:rPr>
          <w:rFonts w:asciiTheme="majorHAnsi" w:hAnsiTheme="majorHAnsi" w:cstheme="majorHAnsi"/>
        </w:rPr>
      </w:pPr>
      <w:r w:rsidRPr="00A40936">
        <w:rPr>
          <w:rFonts w:asciiTheme="majorHAnsi" w:hAnsiTheme="majorHAnsi" w:cstheme="majorHAnsi"/>
        </w:rPr>
        <w:t xml:space="preserve">Presented and tested jurisdictional positions to industry </w:t>
      </w:r>
      <w:r w:rsidR="004B6DD5" w:rsidRPr="00A40936">
        <w:rPr>
          <w:rFonts w:asciiTheme="majorHAnsi" w:hAnsiTheme="majorHAnsi" w:cstheme="majorHAnsi"/>
        </w:rPr>
        <w:t>on the new HVNL and highlighted areas where issues are unresolved.</w:t>
      </w:r>
    </w:p>
    <w:p w14:paraId="1D9439F5" w14:textId="37E9D466" w:rsidR="004B6DD5" w:rsidRPr="00A40936" w:rsidRDefault="004B6DD5" w:rsidP="00F66516">
      <w:pPr>
        <w:pStyle w:val="ListParagraph"/>
        <w:numPr>
          <w:ilvl w:val="0"/>
          <w:numId w:val="4"/>
        </w:numPr>
        <w:spacing w:after="80"/>
        <w:ind w:left="714" w:hanging="357"/>
        <w:contextualSpacing w:val="0"/>
        <w:rPr>
          <w:rFonts w:asciiTheme="majorHAnsi" w:hAnsiTheme="majorHAnsi" w:cstheme="majorHAnsi"/>
        </w:rPr>
      </w:pPr>
      <w:r w:rsidRPr="00A40936">
        <w:rPr>
          <w:rFonts w:asciiTheme="majorHAnsi" w:hAnsiTheme="majorHAnsi" w:cstheme="majorHAnsi"/>
        </w:rPr>
        <w:t>Presented industry positions</w:t>
      </w:r>
      <w:r w:rsidR="0054187F" w:rsidRPr="00A40936">
        <w:rPr>
          <w:rFonts w:asciiTheme="majorHAnsi" w:hAnsiTheme="majorHAnsi" w:cstheme="majorHAnsi"/>
        </w:rPr>
        <w:t>, proposals,</w:t>
      </w:r>
      <w:r w:rsidRPr="00A40936">
        <w:rPr>
          <w:rFonts w:asciiTheme="majorHAnsi" w:hAnsiTheme="majorHAnsi" w:cstheme="majorHAnsi"/>
        </w:rPr>
        <w:t xml:space="preserve"> </w:t>
      </w:r>
      <w:r w:rsidR="0054187F" w:rsidRPr="00A40936">
        <w:rPr>
          <w:rFonts w:asciiTheme="majorHAnsi" w:hAnsiTheme="majorHAnsi" w:cstheme="majorHAnsi"/>
        </w:rPr>
        <w:t>and concerns to jurisdictions.</w:t>
      </w:r>
    </w:p>
    <w:p w14:paraId="15337FB4" w14:textId="1411952B" w:rsidR="0054187F" w:rsidRPr="00A40936" w:rsidRDefault="0054187F" w:rsidP="00F66516">
      <w:pPr>
        <w:pStyle w:val="ListParagraph"/>
        <w:numPr>
          <w:ilvl w:val="0"/>
          <w:numId w:val="4"/>
        </w:numPr>
        <w:spacing w:after="80"/>
        <w:ind w:left="714" w:hanging="357"/>
        <w:contextualSpacing w:val="0"/>
        <w:rPr>
          <w:rFonts w:asciiTheme="majorHAnsi" w:hAnsiTheme="majorHAnsi" w:cstheme="majorHAnsi"/>
        </w:rPr>
      </w:pPr>
      <w:r w:rsidRPr="00A40936">
        <w:rPr>
          <w:rFonts w:asciiTheme="majorHAnsi" w:hAnsiTheme="majorHAnsi" w:cstheme="majorHAnsi"/>
        </w:rPr>
        <w:t xml:space="preserve">Engaged with the Heavy vehicle Regulator and enforcement bodies including Police. </w:t>
      </w:r>
    </w:p>
    <w:p w14:paraId="33A7E272" w14:textId="77777777" w:rsidR="0054187F" w:rsidRPr="00A40936" w:rsidRDefault="0054187F" w:rsidP="00F66516">
      <w:pPr>
        <w:pStyle w:val="ListParagraph"/>
        <w:numPr>
          <w:ilvl w:val="0"/>
          <w:numId w:val="4"/>
        </w:numPr>
        <w:spacing w:after="80"/>
        <w:ind w:left="714" w:hanging="357"/>
        <w:contextualSpacing w:val="0"/>
        <w:rPr>
          <w:rFonts w:asciiTheme="majorHAnsi" w:hAnsiTheme="majorHAnsi" w:cstheme="majorHAnsi"/>
        </w:rPr>
      </w:pPr>
      <w:r w:rsidRPr="00A40936">
        <w:rPr>
          <w:rFonts w:asciiTheme="majorHAnsi" w:hAnsiTheme="majorHAnsi" w:cstheme="majorHAnsi"/>
        </w:rPr>
        <w:t>Identified opportunities negotiating a mutually agreeable outcome for the new HVNL.</w:t>
      </w:r>
    </w:p>
    <w:p w14:paraId="01943CA9" w14:textId="1F691154" w:rsidR="0054187F" w:rsidRPr="00A40936" w:rsidRDefault="003C4412" w:rsidP="00F66516">
      <w:pPr>
        <w:pStyle w:val="ListParagraph"/>
        <w:numPr>
          <w:ilvl w:val="0"/>
          <w:numId w:val="4"/>
        </w:numPr>
        <w:spacing w:after="80"/>
        <w:ind w:left="714" w:hanging="357"/>
        <w:contextualSpacing w:val="0"/>
        <w:rPr>
          <w:rFonts w:asciiTheme="majorHAnsi" w:hAnsiTheme="majorHAnsi" w:cstheme="majorHAnsi"/>
        </w:rPr>
      </w:pPr>
      <w:r w:rsidRPr="00A40936">
        <w:rPr>
          <w:rFonts w:asciiTheme="majorHAnsi" w:hAnsiTheme="majorHAnsi" w:cstheme="majorHAnsi"/>
        </w:rPr>
        <w:t xml:space="preserve">Identified policy proposals requiring further economic assessments and highlight issues where policy positions are unresolved and recommended ways forward. </w:t>
      </w:r>
    </w:p>
    <w:p w14:paraId="70C55006" w14:textId="26EE1A99" w:rsidR="00D84E3C" w:rsidRDefault="003C4412" w:rsidP="00F26EB2">
      <w:pPr>
        <w:rPr>
          <w:rFonts w:asciiTheme="majorHAnsi" w:hAnsiTheme="majorHAnsi" w:cstheme="majorHAnsi"/>
        </w:rPr>
      </w:pPr>
      <w:r w:rsidRPr="00A40936">
        <w:rPr>
          <w:rFonts w:asciiTheme="majorHAnsi" w:hAnsiTheme="majorHAnsi" w:cstheme="majorHAnsi"/>
        </w:rPr>
        <w:t xml:space="preserve">The following timeline presents a high-level update on the consultation process: </w:t>
      </w:r>
    </w:p>
    <w:tbl>
      <w:tblPr>
        <w:tblStyle w:val="GridTable4-Accent1"/>
        <w:tblW w:w="9067" w:type="dxa"/>
        <w:tblLook w:val="04A0" w:firstRow="1" w:lastRow="0" w:firstColumn="1" w:lastColumn="0" w:noHBand="0" w:noVBand="1"/>
      </w:tblPr>
      <w:tblGrid>
        <w:gridCol w:w="2263"/>
        <w:gridCol w:w="2977"/>
        <w:gridCol w:w="3827"/>
      </w:tblGrid>
      <w:tr w:rsidR="00D84E3C" w14:paraId="714EF641" w14:textId="77777777" w:rsidTr="00277E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4ECEE15" w14:textId="00D48036" w:rsidR="00D84E3C" w:rsidRDefault="00D84E3C" w:rsidP="00F26EB2">
            <w:pPr>
              <w:rPr>
                <w:rFonts w:asciiTheme="majorHAnsi" w:hAnsiTheme="majorHAnsi" w:cstheme="majorHAnsi"/>
              </w:rPr>
            </w:pPr>
            <w:r>
              <w:rPr>
                <w:rFonts w:asciiTheme="majorHAnsi" w:hAnsiTheme="majorHAnsi" w:cstheme="majorHAnsi"/>
              </w:rPr>
              <w:t xml:space="preserve">Timeframe </w:t>
            </w:r>
          </w:p>
        </w:tc>
        <w:tc>
          <w:tcPr>
            <w:tcW w:w="2977" w:type="dxa"/>
          </w:tcPr>
          <w:p w14:paraId="007664EA" w14:textId="7B28A029" w:rsidR="00D84E3C" w:rsidRDefault="00D84E3C" w:rsidP="00F26EB2">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Broad overview of activities </w:t>
            </w:r>
          </w:p>
        </w:tc>
        <w:tc>
          <w:tcPr>
            <w:tcW w:w="3827" w:type="dxa"/>
          </w:tcPr>
          <w:p w14:paraId="590A0AD8" w14:textId="337D218C" w:rsidR="00D84E3C" w:rsidRDefault="00D84E3C" w:rsidP="00F26EB2">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Key dates </w:t>
            </w:r>
          </w:p>
        </w:tc>
      </w:tr>
      <w:tr w:rsidR="00D84E3C" w14:paraId="55E2EDB9" w14:textId="77777777" w:rsidTr="00277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D4A1598" w14:textId="74F929D2" w:rsidR="00D84E3C" w:rsidRDefault="00967B47" w:rsidP="00F26EB2">
            <w:pPr>
              <w:rPr>
                <w:rFonts w:asciiTheme="majorHAnsi" w:hAnsiTheme="majorHAnsi" w:cstheme="majorHAnsi"/>
              </w:rPr>
            </w:pPr>
            <w:r>
              <w:rPr>
                <w:rFonts w:asciiTheme="majorHAnsi" w:hAnsiTheme="majorHAnsi" w:cstheme="majorHAnsi"/>
              </w:rPr>
              <w:t>March – April 2022</w:t>
            </w:r>
          </w:p>
        </w:tc>
        <w:tc>
          <w:tcPr>
            <w:tcW w:w="2977" w:type="dxa"/>
          </w:tcPr>
          <w:p w14:paraId="1E2B5D56" w14:textId="24AEFF01" w:rsidR="00D84E3C" w:rsidRDefault="00967B47" w:rsidP="00F26EB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Bi-lateral industry meetings and bi-lateral senior jurisdictional meetings. </w:t>
            </w:r>
          </w:p>
        </w:tc>
        <w:tc>
          <w:tcPr>
            <w:tcW w:w="3827" w:type="dxa"/>
          </w:tcPr>
          <w:p w14:paraId="0242ED52" w14:textId="78D25436" w:rsidR="00D84E3C" w:rsidRPr="00277EA9" w:rsidRDefault="00967B47" w:rsidP="00D76435">
            <w:pPr>
              <w:pStyle w:val="ListParagraph"/>
              <w:numPr>
                <w:ilvl w:val="0"/>
                <w:numId w:val="13"/>
              </w:numPr>
              <w:ind w:left="323"/>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77EA9">
              <w:rPr>
                <w:rFonts w:asciiTheme="majorHAnsi" w:hAnsiTheme="majorHAnsi" w:cstheme="majorHAnsi"/>
              </w:rPr>
              <w:t>7 March stakeholder briefing – Reform Advisory Committee, J</w:t>
            </w:r>
            <w:r w:rsidR="00277EA9" w:rsidRPr="00277EA9">
              <w:rPr>
                <w:rFonts w:asciiTheme="majorHAnsi" w:hAnsiTheme="majorHAnsi" w:cstheme="majorHAnsi"/>
              </w:rPr>
              <w:t>urisdictions and Regulator Panel</w:t>
            </w:r>
            <w:r w:rsidR="00277EA9" w:rsidRPr="00277EA9">
              <w:rPr>
                <w:rFonts w:asciiTheme="majorHAnsi" w:hAnsiTheme="majorHAnsi" w:cstheme="majorHAnsi"/>
              </w:rPr>
              <w:t xml:space="preserve">, and Industry Advisory Group. </w:t>
            </w:r>
          </w:p>
          <w:p w14:paraId="3380CA71" w14:textId="77777777" w:rsidR="00277EA9" w:rsidRPr="00277EA9" w:rsidRDefault="00277EA9" w:rsidP="00D76435">
            <w:pPr>
              <w:pStyle w:val="ListParagraph"/>
              <w:numPr>
                <w:ilvl w:val="0"/>
                <w:numId w:val="13"/>
              </w:numPr>
              <w:ind w:left="323"/>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77EA9">
              <w:rPr>
                <w:rFonts w:asciiTheme="majorHAnsi" w:hAnsiTheme="majorHAnsi" w:cstheme="majorHAnsi"/>
              </w:rPr>
              <w:t xml:space="preserve">30 March industry meeting. </w:t>
            </w:r>
          </w:p>
          <w:p w14:paraId="3F03FF28" w14:textId="0F8A300C" w:rsidR="00277EA9" w:rsidRDefault="00D76435" w:rsidP="00D76435">
            <w:pPr>
              <w:pStyle w:val="ListParagraph"/>
              <w:numPr>
                <w:ilvl w:val="0"/>
                <w:numId w:val="13"/>
              </w:numPr>
              <w:ind w:left="323"/>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April </w:t>
            </w:r>
            <w:r w:rsidR="00277EA9" w:rsidRPr="00277EA9">
              <w:rPr>
                <w:rFonts w:asciiTheme="majorHAnsi" w:hAnsiTheme="majorHAnsi" w:cstheme="majorHAnsi"/>
              </w:rPr>
              <w:t>I</w:t>
            </w:r>
            <w:r w:rsidR="00D81453">
              <w:rPr>
                <w:rFonts w:asciiTheme="majorHAnsi" w:hAnsiTheme="majorHAnsi" w:cstheme="majorHAnsi"/>
              </w:rPr>
              <w:t xml:space="preserve">nfrastructure and </w:t>
            </w:r>
            <w:r w:rsidR="00277EA9" w:rsidRPr="00277EA9">
              <w:rPr>
                <w:rFonts w:asciiTheme="majorHAnsi" w:hAnsiTheme="majorHAnsi" w:cstheme="majorHAnsi"/>
              </w:rPr>
              <w:t>T</w:t>
            </w:r>
            <w:r w:rsidR="00D81453">
              <w:rPr>
                <w:rFonts w:asciiTheme="majorHAnsi" w:hAnsiTheme="majorHAnsi" w:cstheme="majorHAnsi"/>
              </w:rPr>
              <w:t xml:space="preserve">ransport Senior Officials Committee (ITSOC) </w:t>
            </w:r>
            <w:r w:rsidR="00277EA9" w:rsidRPr="00277EA9">
              <w:rPr>
                <w:rFonts w:asciiTheme="majorHAnsi" w:hAnsiTheme="majorHAnsi" w:cstheme="majorHAnsi"/>
              </w:rPr>
              <w:t>Deputies meeting.</w:t>
            </w:r>
          </w:p>
          <w:p w14:paraId="00A85C20" w14:textId="2C2194B1" w:rsidR="00277EA9" w:rsidRPr="00277EA9" w:rsidRDefault="00277EA9" w:rsidP="00D76435">
            <w:pPr>
              <w:pStyle w:val="ListParagraph"/>
              <w:numPr>
                <w:ilvl w:val="0"/>
                <w:numId w:val="13"/>
              </w:numPr>
              <w:ind w:left="323"/>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27 April </w:t>
            </w:r>
            <w:r w:rsidR="00D76435">
              <w:rPr>
                <w:rFonts w:asciiTheme="majorHAnsi" w:hAnsiTheme="majorHAnsi" w:cstheme="majorHAnsi"/>
              </w:rPr>
              <w:t>1</w:t>
            </w:r>
            <w:r w:rsidR="00D76435" w:rsidRPr="00D76435">
              <w:rPr>
                <w:rFonts w:asciiTheme="majorHAnsi" w:hAnsiTheme="majorHAnsi" w:cstheme="majorHAnsi"/>
                <w:vertAlign w:val="superscript"/>
              </w:rPr>
              <w:t>st</w:t>
            </w:r>
            <w:r>
              <w:rPr>
                <w:rFonts w:asciiTheme="majorHAnsi" w:hAnsiTheme="majorHAnsi" w:cstheme="majorHAnsi"/>
              </w:rPr>
              <w:t xml:space="preserve"> </w:t>
            </w:r>
            <w:r w:rsidRPr="00277EA9">
              <w:rPr>
                <w:rFonts w:asciiTheme="majorHAnsi" w:hAnsiTheme="majorHAnsi" w:cstheme="majorHAnsi"/>
              </w:rPr>
              <w:t>Reform Advisory Committee</w:t>
            </w:r>
            <w:r>
              <w:rPr>
                <w:rFonts w:asciiTheme="majorHAnsi" w:hAnsiTheme="majorHAnsi" w:cstheme="majorHAnsi"/>
              </w:rPr>
              <w:t xml:space="preserve"> (+) workshop. </w:t>
            </w:r>
          </w:p>
        </w:tc>
      </w:tr>
      <w:tr w:rsidR="00D84E3C" w14:paraId="3B834FFB" w14:textId="77777777" w:rsidTr="00277EA9">
        <w:tc>
          <w:tcPr>
            <w:cnfStyle w:val="001000000000" w:firstRow="0" w:lastRow="0" w:firstColumn="1" w:lastColumn="0" w:oddVBand="0" w:evenVBand="0" w:oddHBand="0" w:evenHBand="0" w:firstRowFirstColumn="0" w:firstRowLastColumn="0" w:lastRowFirstColumn="0" w:lastRowLastColumn="0"/>
            <w:tcW w:w="2263" w:type="dxa"/>
          </w:tcPr>
          <w:p w14:paraId="7DC6B197" w14:textId="03B9C2B2" w:rsidR="00D84E3C" w:rsidRDefault="00967B47" w:rsidP="00F26EB2">
            <w:pPr>
              <w:rPr>
                <w:rFonts w:asciiTheme="majorHAnsi" w:hAnsiTheme="majorHAnsi" w:cstheme="majorHAnsi"/>
              </w:rPr>
            </w:pPr>
            <w:r>
              <w:rPr>
                <w:rFonts w:asciiTheme="majorHAnsi" w:hAnsiTheme="majorHAnsi" w:cstheme="majorHAnsi"/>
              </w:rPr>
              <w:t xml:space="preserve">May – July 2022 </w:t>
            </w:r>
          </w:p>
        </w:tc>
        <w:tc>
          <w:tcPr>
            <w:tcW w:w="2977" w:type="dxa"/>
          </w:tcPr>
          <w:p w14:paraId="4A97DBED" w14:textId="4DA55DF8" w:rsidR="00D84E3C" w:rsidRDefault="00967B47" w:rsidP="00F26EB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Targeted senior jurisdictional meetings and targeted in-person industry meetings. </w:t>
            </w:r>
          </w:p>
        </w:tc>
        <w:tc>
          <w:tcPr>
            <w:tcW w:w="3827" w:type="dxa"/>
          </w:tcPr>
          <w:p w14:paraId="1D5E7CE2" w14:textId="77777777" w:rsidR="00D84E3C" w:rsidRPr="00D76435" w:rsidRDefault="00277EA9" w:rsidP="00D76435">
            <w:pPr>
              <w:pStyle w:val="ListParagraph"/>
              <w:numPr>
                <w:ilvl w:val="0"/>
                <w:numId w:val="14"/>
              </w:numPr>
              <w:ind w:left="32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76435">
              <w:rPr>
                <w:rFonts w:asciiTheme="majorHAnsi" w:hAnsiTheme="majorHAnsi" w:cstheme="majorHAnsi"/>
              </w:rPr>
              <w:t>18 May 2</w:t>
            </w:r>
            <w:r w:rsidRPr="00D76435">
              <w:rPr>
                <w:rFonts w:asciiTheme="majorHAnsi" w:hAnsiTheme="majorHAnsi" w:cstheme="majorHAnsi"/>
                <w:vertAlign w:val="superscript"/>
              </w:rPr>
              <w:t>nd</w:t>
            </w:r>
            <w:r w:rsidRPr="00D76435">
              <w:rPr>
                <w:rFonts w:asciiTheme="majorHAnsi" w:hAnsiTheme="majorHAnsi" w:cstheme="majorHAnsi"/>
              </w:rPr>
              <w:t xml:space="preserve"> Reform Advisory Committee (+) workshop.</w:t>
            </w:r>
          </w:p>
          <w:p w14:paraId="5E4EEB36" w14:textId="77777777" w:rsidR="00D76435" w:rsidRPr="00D76435" w:rsidRDefault="00D76435" w:rsidP="00D76435">
            <w:pPr>
              <w:pStyle w:val="ListParagraph"/>
              <w:numPr>
                <w:ilvl w:val="0"/>
                <w:numId w:val="14"/>
              </w:numPr>
              <w:ind w:left="32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76435">
              <w:rPr>
                <w:rFonts w:asciiTheme="majorHAnsi" w:hAnsiTheme="majorHAnsi" w:cstheme="majorHAnsi"/>
              </w:rPr>
              <w:t xml:space="preserve">June HVNL propositions presentation. </w:t>
            </w:r>
          </w:p>
          <w:p w14:paraId="3EDCE67E" w14:textId="3091D64F" w:rsidR="00D76435" w:rsidRPr="00D76435" w:rsidRDefault="00D76435" w:rsidP="00D76435">
            <w:pPr>
              <w:pStyle w:val="ListParagraph"/>
              <w:numPr>
                <w:ilvl w:val="0"/>
                <w:numId w:val="14"/>
              </w:numPr>
              <w:ind w:left="32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76435">
              <w:rPr>
                <w:rFonts w:asciiTheme="majorHAnsi" w:hAnsiTheme="majorHAnsi" w:cstheme="majorHAnsi"/>
              </w:rPr>
              <w:t xml:space="preserve">July consolidated Infrastructure and Transport Ministers Meeting </w:t>
            </w:r>
            <w:r w:rsidR="00D81453">
              <w:rPr>
                <w:rFonts w:asciiTheme="majorHAnsi" w:hAnsiTheme="majorHAnsi" w:cstheme="majorHAnsi"/>
              </w:rPr>
              <w:t xml:space="preserve">(ITMM) </w:t>
            </w:r>
            <w:r w:rsidRPr="00D76435">
              <w:rPr>
                <w:rFonts w:asciiTheme="majorHAnsi" w:hAnsiTheme="majorHAnsi" w:cstheme="majorHAnsi"/>
              </w:rPr>
              <w:t xml:space="preserve">report. </w:t>
            </w:r>
          </w:p>
        </w:tc>
      </w:tr>
    </w:tbl>
    <w:p w14:paraId="62CCC770" w14:textId="77777777" w:rsidR="00D84E3C" w:rsidRPr="00A40936" w:rsidRDefault="00D84E3C" w:rsidP="00F26EB2">
      <w:pPr>
        <w:rPr>
          <w:rFonts w:asciiTheme="majorHAnsi" w:hAnsiTheme="majorHAnsi" w:cstheme="majorHAnsi"/>
        </w:rPr>
      </w:pPr>
    </w:p>
    <w:p w14:paraId="3D3D76BA" w14:textId="408049D1" w:rsidR="003C4412" w:rsidRPr="00A40936" w:rsidRDefault="003C4412" w:rsidP="003C4412">
      <w:pPr>
        <w:pStyle w:val="Heading2"/>
        <w:spacing w:after="120"/>
        <w:rPr>
          <w:rFonts w:cstheme="majorHAnsi"/>
        </w:rPr>
      </w:pPr>
      <w:r w:rsidRPr="00A40936">
        <w:rPr>
          <w:rFonts w:cstheme="majorHAnsi"/>
        </w:rPr>
        <w:t>Summary of process</w:t>
      </w:r>
    </w:p>
    <w:p w14:paraId="6D84EFFF" w14:textId="69846C2A" w:rsidR="003C4412" w:rsidRPr="00A40936" w:rsidRDefault="003C4412" w:rsidP="003C4412">
      <w:pPr>
        <w:rPr>
          <w:rFonts w:asciiTheme="majorHAnsi" w:hAnsiTheme="majorHAnsi" w:cstheme="majorHAnsi"/>
        </w:rPr>
      </w:pPr>
      <w:r w:rsidRPr="00A40936">
        <w:rPr>
          <w:rFonts w:asciiTheme="majorHAnsi" w:hAnsiTheme="majorHAnsi" w:cstheme="majorHAnsi"/>
        </w:rPr>
        <w:t xml:space="preserve">During the consultation process, </w:t>
      </w:r>
      <w:r w:rsidR="00B63E90" w:rsidRPr="00A40936">
        <w:rPr>
          <w:rFonts w:asciiTheme="majorHAnsi" w:hAnsiTheme="majorHAnsi" w:cstheme="majorHAnsi"/>
        </w:rPr>
        <w:t xml:space="preserve">a range of stakeholders were consulted via existing and newly established forums representing a mix of industry, jurisdictions, and enforcement agencies. The following outlines critical consulting forums engaged to date: </w:t>
      </w:r>
    </w:p>
    <w:p w14:paraId="183689C9" w14:textId="13B021E0" w:rsidR="00B63E90" w:rsidRPr="00A40936" w:rsidRDefault="00B63E90" w:rsidP="00B16C81">
      <w:pPr>
        <w:pStyle w:val="ListParagraph"/>
        <w:numPr>
          <w:ilvl w:val="0"/>
          <w:numId w:val="6"/>
        </w:numPr>
        <w:ind w:left="714" w:hanging="357"/>
        <w:contextualSpacing w:val="0"/>
        <w:rPr>
          <w:rFonts w:asciiTheme="majorHAnsi" w:hAnsiTheme="majorHAnsi" w:cstheme="majorHAnsi"/>
        </w:rPr>
      </w:pPr>
      <w:r w:rsidRPr="00A40936">
        <w:rPr>
          <w:rStyle w:val="Heading3Char"/>
          <w:rFonts w:cstheme="majorHAnsi"/>
        </w:rPr>
        <w:lastRenderedPageBreak/>
        <w:t>Reform Advisory Committee (</w:t>
      </w:r>
      <w:r w:rsidR="000223C0" w:rsidRPr="00A40936">
        <w:rPr>
          <w:rStyle w:val="Heading3Char"/>
          <w:rFonts w:cstheme="majorHAnsi"/>
        </w:rPr>
        <w:t xml:space="preserve">RAC </w:t>
      </w:r>
      <w:r w:rsidRPr="00A40936">
        <w:rPr>
          <w:rStyle w:val="Heading3Char"/>
          <w:rFonts w:cstheme="majorHAnsi"/>
        </w:rPr>
        <w:t>+):</w:t>
      </w:r>
      <w:r w:rsidRPr="00A40936">
        <w:rPr>
          <w:rFonts w:asciiTheme="majorHAnsi" w:hAnsiTheme="majorHAnsi" w:cstheme="majorHAnsi"/>
        </w:rPr>
        <w:t xml:space="preserve"> A newly established forum with representation from senior industry, jurisdictions and </w:t>
      </w:r>
      <w:r w:rsidR="008A4F26" w:rsidRPr="00A40936">
        <w:rPr>
          <w:rFonts w:asciiTheme="majorHAnsi" w:hAnsiTheme="majorHAnsi" w:cstheme="majorHAnsi"/>
        </w:rPr>
        <w:t>enforcement</w:t>
      </w:r>
      <w:r w:rsidRPr="00A40936">
        <w:rPr>
          <w:rFonts w:asciiTheme="majorHAnsi" w:hAnsiTheme="majorHAnsi" w:cstheme="majorHAnsi"/>
        </w:rPr>
        <w:t xml:space="preserve"> agencies. </w:t>
      </w:r>
      <w:r w:rsidR="008A4F26" w:rsidRPr="00A40936">
        <w:rPr>
          <w:rFonts w:asciiTheme="majorHAnsi" w:hAnsiTheme="majorHAnsi" w:cstheme="majorHAnsi"/>
        </w:rPr>
        <w:t xml:space="preserve">The group is an expansion of the existing HVNL governance arrangements with addition of more industry representatives to test proposed policy positions. </w:t>
      </w:r>
    </w:p>
    <w:p w14:paraId="3E221AE8" w14:textId="150F3116" w:rsidR="008A4F26" w:rsidRPr="00A40936" w:rsidRDefault="008A4F26" w:rsidP="00B16C81">
      <w:pPr>
        <w:pStyle w:val="ListParagraph"/>
        <w:numPr>
          <w:ilvl w:val="0"/>
          <w:numId w:val="6"/>
        </w:numPr>
        <w:ind w:left="714" w:hanging="357"/>
        <w:contextualSpacing w:val="0"/>
        <w:rPr>
          <w:rFonts w:asciiTheme="majorHAnsi" w:hAnsiTheme="majorHAnsi" w:cstheme="majorHAnsi"/>
        </w:rPr>
      </w:pPr>
      <w:r w:rsidRPr="00A40936">
        <w:rPr>
          <w:rStyle w:val="Heading3Char"/>
          <w:rFonts w:cstheme="majorHAnsi"/>
        </w:rPr>
        <w:t>Industry Advisory Group (</w:t>
      </w:r>
      <w:r w:rsidR="000223C0" w:rsidRPr="00A40936">
        <w:rPr>
          <w:rStyle w:val="Heading3Char"/>
          <w:rFonts w:cstheme="majorHAnsi"/>
        </w:rPr>
        <w:t>IAG-</w:t>
      </w:r>
      <w:r w:rsidRPr="00A40936">
        <w:rPr>
          <w:rStyle w:val="Heading3Char"/>
          <w:rFonts w:cstheme="majorHAnsi"/>
        </w:rPr>
        <w:t>NTC):</w:t>
      </w:r>
      <w:r w:rsidRPr="00A40936">
        <w:rPr>
          <w:rFonts w:asciiTheme="majorHAnsi" w:hAnsiTheme="majorHAnsi" w:cstheme="majorHAnsi"/>
        </w:rPr>
        <w:t xml:space="preserve"> Engaged with the existing NTC established industry group with representation from national and state-based industry peak bodies, </w:t>
      </w:r>
      <w:r w:rsidR="00664205" w:rsidRPr="00A40936">
        <w:rPr>
          <w:rFonts w:asciiTheme="majorHAnsi" w:hAnsiTheme="majorHAnsi" w:cstheme="majorHAnsi"/>
        </w:rPr>
        <w:t>operators,</w:t>
      </w:r>
      <w:r w:rsidRPr="00A40936">
        <w:rPr>
          <w:rFonts w:asciiTheme="majorHAnsi" w:hAnsiTheme="majorHAnsi" w:cstheme="majorHAnsi"/>
        </w:rPr>
        <w:t xml:space="preserve"> and other interested stakeholders. </w:t>
      </w:r>
    </w:p>
    <w:p w14:paraId="751EAE2A" w14:textId="77777777" w:rsidR="00B16C81" w:rsidRPr="00A40936" w:rsidRDefault="00B16C81" w:rsidP="00B16C81">
      <w:pPr>
        <w:pStyle w:val="ListParagraph"/>
        <w:numPr>
          <w:ilvl w:val="0"/>
          <w:numId w:val="6"/>
        </w:numPr>
        <w:ind w:left="714" w:hanging="357"/>
        <w:contextualSpacing w:val="0"/>
        <w:rPr>
          <w:rFonts w:asciiTheme="majorHAnsi" w:hAnsiTheme="majorHAnsi" w:cstheme="majorHAnsi"/>
        </w:rPr>
      </w:pPr>
      <w:r w:rsidRPr="00A40936">
        <w:rPr>
          <w:rStyle w:val="Heading3Char"/>
          <w:rFonts w:cstheme="majorHAnsi"/>
        </w:rPr>
        <w:t xml:space="preserve">ITSOC Deputies group: </w:t>
      </w:r>
      <w:r w:rsidRPr="00A40936">
        <w:rPr>
          <w:rFonts w:asciiTheme="majorHAnsi" w:hAnsiTheme="majorHAnsi" w:cstheme="majorHAnsi"/>
        </w:rPr>
        <w:t xml:space="preserve">In addition to regular engagement with jurisdictional stakeholders, special meetings at the ITSOC Deputies level were conducted seeking jurisdictional views and positions on industry expectations and proposed policy proposals. </w:t>
      </w:r>
    </w:p>
    <w:p w14:paraId="2CE045BA" w14:textId="3927C65B" w:rsidR="008A4F26" w:rsidRPr="00A40936" w:rsidRDefault="00B16C81" w:rsidP="00674A09">
      <w:pPr>
        <w:pStyle w:val="ListParagraph"/>
        <w:numPr>
          <w:ilvl w:val="0"/>
          <w:numId w:val="6"/>
        </w:numPr>
        <w:ind w:left="714" w:hanging="357"/>
        <w:contextualSpacing w:val="0"/>
        <w:rPr>
          <w:rFonts w:asciiTheme="majorHAnsi" w:hAnsiTheme="majorHAnsi" w:cstheme="majorHAnsi"/>
        </w:rPr>
      </w:pPr>
      <w:r w:rsidRPr="00A40936">
        <w:rPr>
          <w:rStyle w:val="Heading3Char"/>
          <w:rFonts w:cstheme="majorHAnsi"/>
        </w:rPr>
        <w:t xml:space="preserve">Broader government agencies group: </w:t>
      </w:r>
      <w:r w:rsidR="00953061" w:rsidRPr="00A40936">
        <w:rPr>
          <w:rFonts w:asciiTheme="majorHAnsi" w:hAnsiTheme="majorHAnsi" w:cstheme="majorHAnsi"/>
        </w:rPr>
        <w:t>Topic-based meetings were conducted</w:t>
      </w:r>
      <w:r w:rsidRPr="00A40936">
        <w:rPr>
          <w:rFonts w:asciiTheme="majorHAnsi" w:hAnsiTheme="majorHAnsi" w:cstheme="majorHAnsi"/>
        </w:rPr>
        <w:t xml:space="preserve"> </w:t>
      </w:r>
      <w:r w:rsidR="00953061" w:rsidRPr="00A40936">
        <w:rPr>
          <w:rFonts w:asciiTheme="majorHAnsi" w:hAnsiTheme="majorHAnsi" w:cstheme="majorHAnsi"/>
        </w:rPr>
        <w:t>with senior level membership from jurisdictions and agencies including Austroads, National Heavy Vehicle Regulator, Australia New Zealand Policing Advisory Agency and The Australian Local Government Association</w:t>
      </w:r>
      <w:r w:rsidR="00AB1D91" w:rsidRPr="00A40936">
        <w:rPr>
          <w:rFonts w:asciiTheme="majorHAnsi" w:hAnsiTheme="majorHAnsi" w:cstheme="majorHAnsi"/>
        </w:rPr>
        <w:t xml:space="preserve"> (ALGA)</w:t>
      </w:r>
      <w:r w:rsidR="00953061" w:rsidRPr="00A40936">
        <w:rPr>
          <w:rFonts w:asciiTheme="majorHAnsi" w:hAnsiTheme="majorHAnsi" w:cstheme="majorHAnsi"/>
        </w:rPr>
        <w:t xml:space="preserve">. These topic-based groups discussed existing reforms across the country and agreed </w:t>
      </w:r>
      <w:r w:rsidR="00674A09" w:rsidRPr="00A40936">
        <w:rPr>
          <w:rFonts w:asciiTheme="majorHAnsi" w:hAnsiTheme="majorHAnsi" w:cstheme="majorHAnsi"/>
        </w:rPr>
        <w:t xml:space="preserve">on consolidated proposals e.g., NSW led- Automated Access Assessment Program and the Heavy Vehicle Access Management System (HVAMS). </w:t>
      </w:r>
    </w:p>
    <w:p w14:paraId="23E1338C" w14:textId="6E504B22" w:rsidR="00674A09" w:rsidRPr="00A40936" w:rsidRDefault="00FC4B6E" w:rsidP="00FC4B6E">
      <w:pPr>
        <w:pStyle w:val="ListParagraph"/>
        <w:numPr>
          <w:ilvl w:val="0"/>
          <w:numId w:val="6"/>
        </w:numPr>
        <w:ind w:left="714" w:hanging="357"/>
        <w:contextualSpacing w:val="0"/>
        <w:rPr>
          <w:rFonts w:asciiTheme="majorHAnsi" w:hAnsiTheme="majorHAnsi" w:cstheme="majorHAnsi"/>
        </w:rPr>
      </w:pPr>
      <w:r w:rsidRPr="00A40936">
        <w:rPr>
          <w:rStyle w:val="Heading3Char"/>
          <w:rFonts w:cstheme="majorHAnsi"/>
        </w:rPr>
        <w:t xml:space="preserve">TfNSW led- Freight Transport Advisory Council (FTAC): </w:t>
      </w:r>
      <w:r w:rsidRPr="00A40936">
        <w:rPr>
          <w:rFonts w:asciiTheme="majorHAnsi" w:hAnsiTheme="majorHAnsi" w:cstheme="majorHAnsi"/>
        </w:rPr>
        <w:t xml:space="preserve">Minister Farraway chaired transport advisory group with senior industry membership was engaged to provide an update on industry positions and proposed solutions including areas of disagreement. The final report incorporates feedback </w:t>
      </w:r>
      <w:r w:rsidR="00F66516" w:rsidRPr="00A40936">
        <w:rPr>
          <w:rFonts w:asciiTheme="majorHAnsi" w:hAnsiTheme="majorHAnsi" w:cstheme="majorHAnsi"/>
        </w:rPr>
        <w:t>received</w:t>
      </w:r>
      <w:r w:rsidRPr="00A40936">
        <w:rPr>
          <w:rFonts w:asciiTheme="majorHAnsi" w:hAnsiTheme="majorHAnsi" w:cstheme="majorHAnsi"/>
        </w:rPr>
        <w:t xml:space="preserve"> from the group. </w:t>
      </w:r>
    </w:p>
    <w:p w14:paraId="195F3B29" w14:textId="35BD9C82" w:rsidR="00F66516" w:rsidRPr="00A40936" w:rsidRDefault="00975950" w:rsidP="00FC4B6E">
      <w:pPr>
        <w:pStyle w:val="ListParagraph"/>
        <w:numPr>
          <w:ilvl w:val="0"/>
          <w:numId w:val="6"/>
        </w:numPr>
        <w:ind w:left="714" w:hanging="357"/>
        <w:contextualSpacing w:val="0"/>
        <w:rPr>
          <w:rFonts w:asciiTheme="majorHAnsi" w:hAnsiTheme="majorHAnsi" w:cstheme="majorHAnsi"/>
        </w:rPr>
      </w:pPr>
      <w:r w:rsidRPr="00A40936">
        <w:rPr>
          <w:rStyle w:val="Heading3Char"/>
          <w:rFonts w:cstheme="majorHAnsi"/>
        </w:rPr>
        <w:t xml:space="preserve">ALGA led- Road and Transport Advisory Committee (RTAC): </w:t>
      </w:r>
      <w:r w:rsidR="00A42DC6" w:rsidRPr="00A40936">
        <w:rPr>
          <w:rFonts w:asciiTheme="majorHAnsi" w:hAnsiTheme="majorHAnsi" w:cstheme="majorHAnsi"/>
        </w:rPr>
        <w:t xml:space="preserve">Local governments were consulted via the national peak ALGA and its state-based member associations to make sure final proposals reflect the views of local asset and infrastructure managers. </w:t>
      </w:r>
    </w:p>
    <w:p w14:paraId="67F1D405" w14:textId="665D8C27" w:rsidR="00A42DC6" w:rsidRPr="00A40936" w:rsidRDefault="00A42DC6" w:rsidP="00A42DC6">
      <w:pPr>
        <w:rPr>
          <w:rFonts w:asciiTheme="majorHAnsi" w:hAnsiTheme="majorHAnsi" w:cstheme="majorHAnsi"/>
        </w:rPr>
      </w:pPr>
      <w:r w:rsidRPr="00A40936">
        <w:rPr>
          <w:rFonts w:asciiTheme="majorHAnsi" w:hAnsiTheme="majorHAnsi" w:cstheme="majorHAnsi"/>
        </w:rPr>
        <w:t xml:space="preserve">In addition to the above forums, individual ministerial and other stakeholder meetings were conducted to inform the final report. The below presents a snapshot of meeting numbers conducted between March-July 2022: </w:t>
      </w:r>
    </w:p>
    <w:tbl>
      <w:tblPr>
        <w:tblStyle w:val="GridTable4-Accent1"/>
        <w:tblW w:w="9291" w:type="dxa"/>
        <w:tblLook w:val="04A0" w:firstRow="1" w:lastRow="0" w:firstColumn="1" w:lastColumn="0" w:noHBand="0" w:noVBand="1"/>
      </w:tblPr>
      <w:tblGrid>
        <w:gridCol w:w="5908"/>
        <w:gridCol w:w="3383"/>
      </w:tblGrid>
      <w:tr w:rsidR="000223C0" w:rsidRPr="000223C0" w14:paraId="39ADE682" w14:textId="77777777" w:rsidTr="00E43D48">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908" w:type="dxa"/>
          </w:tcPr>
          <w:p w14:paraId="08A53FE4" w14:textId="58CF376C" w:rsidR="000223C0" w:rsidRPr="000223C0" w:rsidRDefault="000223C0" w:rsidP="00A42DC6">
            <w:pPr>
              <w:rPr>
                <w:rFonts w:asciiTheme="majorHAnsi" w:hAnsiTheme="majorHAnsi" w:cstheme="majorHAnsi"/>
              </w:rPr>
            </w:pPr>
            <w:r w:rsidRPr="000223C0">
              <w:rPr>
                <w:rFonts w:asciiTheme="majorHAnsi" w:hAnsiTheme="majorHAnsi" w:cstheme="majorHAnsi"/>
              </w:rPr>
              <w:t>Forums</w:t>
            </w:r>
          </w:p>
        </w:tc>
        <w:tc>
          <w:tcPr>
            <w:tcW w:w="3383" w:type="dxa"/>
          </w:tcPr>
          <w:p w14:paraId="4690BCF5" w14:textId="63D6A45C" w:rsidR="000223C0" w:rsidRPr="000223C0" w:rsidRDefault="000223C0" w:rsidP="00A42DC6">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0223C0">
              <w:rPr>
                <w:rFonts w:asciiTheme="majorHAnsi" w:hAnsiTheme="majorHAnsi" w:cstheme="majorHAnsi"/>
              </w:rPr>
              <w:t>No of meetings</w:t>
            </w:r>
          </w:p>
        </w:tc>
      </w:tr>
      <w:tr w:rsidR="000223C0" w:rsidRPr="000223C0" w14:paraId="1A97B5FA" w14:textId="77777777" w:rsidTr="00E43D4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908" w:type="dxa"/>
          </w:tcPr>
          <w:p w14:paraId="5F70EB75" w14:textId="38D805D9" w:rsidR="000223C0" w:rsidRPr="00395ECB" w:rsidRDefault="000223C0" w:rsidP="00A42DC6">
            <w:pPr>
              <w:rPr>
                <w:rFonts w:asciiTheme="majorHAnsi" w:hAnsiTheme="majorHAnsi" w:cstheme="majorHAnsi"/>
                <w:b w:val="0"/>
                <w:bCs w:val="0"/>
              </w:rPr>
            </w:pPr>
            <w:r w:rsidRPr="00395ECB">
              <w:rPr>
                <w:rFonts w:asciiTheme="majorHAnsi" w:hAnsiTheme="majorHAnsi" w:cstheme="majorHAnsi"/>
                <w:b w:val="0"/>
                <w:bCs w:val="0"/>
              </w:rPr>
              <w:t>Reform Advisory Committee (RAC +)</w:t>
            </w:r>
            <w:r w:rsidR="00395ECB" w:rsidRPr="00395ECB">
              <w:rPr>
                <w:rFonts w:asciiTheme="majorHAnsi" w:hAnsiTheme="majorHAnsi" w:cstheme="majorHAnsi"/>
                <w:b w:val="0"/>
                <w:bCs w:val="0"/>
              </w:rPr>
              <w:t xml:space="preserve"> (in-person)</w:t>
            </w:r>
          </w:p>
        </w:tc>
        <w:tc>
          <w:tcPr>
            <w:tcW w:w="3383" w:type="dxa"/>
          </w:tcPr>
          <w:p w14:paraId="0A05C65E" w14:textId="714F3260" w:rsidR="000223C0" w:rsidRPr="00395ECB" w:rsidRDefault="000223C0" w:rsidP="00A42DC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95ECB">
              <w:rPr>
                <w:rFonts w:asciiTheme="majorHAnsi" w:hAnsiTheme="majorHAnsi" w:cstheme="majorHAnsi"/>
              </w:rPr>
              <w:t>2 workshops</w:t>
            </w:r>
          </w:p>
        </w:tc>
      </w:tr>
      <w:tr w:rsidR="000223C0" w:rsidRPr="000223C0" w14:paraId="72E9ED43" w14:textId="77777777" w:rsidTr="00E43D48">
        <w:trPr>
          <w:trHeight w:val="271"/>
        </w:trPr>
        <w:tc>
          <w:tcPr>
            <w:cnfStyle w:val="001000000000" w:firstRow="0" w:lastRow="0" w:firstColumn="1" w:lastColumn="0" w:oddVBand="0" w:evenVBand="0" w:oddHBand="0" w:evenHBand="0" w:firstRowFirstColumn="0" w:firstRowLastColumn="0" w:lastRowFirstColumn="0" w:lastRowLastColumn="0"/>
            <w:tcW w:w="5908" w:type="dxa"/>
          </w:tcPr>
          <w:p w14:paraId="492D09A4" w14:textId="6FA542A6" w:rsidR="000223C0" w:rsidRPr="000223C0" w:rsidRDefault="000223C0" w:rsidP="00A42DC6">
            <w:pPr>
              <w:rPr>
                <w:rFonts w:asciiTheme="majorHAnsi" w:hAnsiTheme="majorHAnsi" w:cstheme="majorHAnsi"/>
                <w:b w:val="0"/>
                <w:bCs w:val="0"/>
              </w:rPr>
            </w:pPr>
            <w:r w:rsidRPr="000223C0">
              <w:rPr>
                <w:rFonts w:asciiTheme="majorHAnsi" w:hAnsiTheme="majorHAnsi" w:cstheme="majorHAnsi"/>
                <w:b w:val="0"/>
                <w:bCs w:val="0"/>
              </w:rPr>
              <w:t>I</w:t>
            </w:r>
            <w:r w:rsidRPr="00395ECB">
              <w:rPr>
                <w:rFonts w:asciiTheme="majorHAnsi" w:hAnsiTheme="majorHAnsi" w:cstheme="majorHAnsi"/>
                <w:b w:val="0"/>
                <w:bCs w:val="0"/>
              </w:rPr>
              <w:t>TSOC Deputies meetings</w:t>
            </w:r>
          </w:p>
        </w:tc>
        <w:tc>
          <w:tcPr>
            <w:tcW w:w="3383" w:type="dxa"/>
          </w:tcPr>
          <w:p w14:paraId="5FD7BFE7" w14:textId="2D9F302F" w:rsidR="000223C0" w:rsidRPr="00395ECB" w:rsidRDefault="000223C0" w:rsidP="00A42DC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95ECB">
              <w:rPr>
                <w:rFonts w:asciiTheme="majorHAnsi" w:hAnsiTheme="majorHAnsi" w:cstheme="majorHAnsi"/>
              </w:rPr>
              <w:t>3 meetings</w:t>
            </w:r>
          </w:p>
        </w:tc>
      </w:tr>
      <w:tr w:rsidR="000223C0" w:rsidRPr="000223C0" w14:paraId="5C305357" w14:textId="77777777" w:rsidTr="00E43D4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908" w:type="dxa"/>
          </w:tcPr>
          <w:p w14:paraId="13401635" w14:textId="746F38CA" w:rsidR="000223C0" w:rsidRPr="000223C0" w:rsidRDefault="000223C0" w:rsidP="00A42DC6">
            <w:pPr>
              <w:rPr>
                <w:rFonts w:asciiTheme="majorHAnsi" w:hAnsiTheme="majorHAnsi" w:cstheme="majorHAnsi"/>
                <w:b w:val="0"/>
                <w:bCs w:val="0"/>
              </w:rPr>
            </w:pPr>
            <w:r>
              <w:rPr>
                <w:rFonts w:asciiTheme="majorHAnsi" w:hAnsiTheme="majorHAnsi" w:cstheme="majorHAnsi"/>
                <w:b w:val="0"/>
                <w:bCs w:val="0"/>
              </w:rPr>
              <w:t>N</w:t>
            </w:r>
            <w:r w:rsidRPr="00395ECB">
              <w:rPr>
                <w:rFonts w:asciiTheme="majorHAnsi" w:hAnsiTheme="majorHAnsi" w:cstheme="majorHAnsi"/>
                <w:b w:val="0"/>
                <w:bCs w:val="0"/>
              </w:rPr>
              <w:t>TC IAG meetings</w:t>
            </w:r>
          </w:p>
        </w:tc>
        <w:tc>
          <w:tcPr>
            <w:tcW w:w="3383" w:type="dxa"/>
          </w:tcPr>
          <w:p w14:paraId="1CA0B444" w14:textId="1C648B44" w:rsidR="000223C0" w:rsidRPr="00395ECB" w:rsidRDefault="000223C0" w:rsidP="00A42DC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95ECB">
              <w:rPr>
                <w:rFonts w:asciiTheme="majorHAnsi" w:hAnsiTheme="majorHAnsi" w:cstheme="majorHAnsi"/>
              </w:rPr>
              <w:t>2 meetings</w:t>
            </w:r>
          </w:p>
        </w:tc>
      </w:tr>
      <w:tr w:rsidR="000223C0" w:rsidRPr="000223C0" w14:paraId="6CD742B5" w14:textId="77777777" w:rsidTr="00E43D48">
        <w:trPr>
          <w:trHeight w:val="271"/>
        </w:trPr>
        <w:tc>
          <w:tcPr>
            <w:cnfStyle w:val="001000000000" w:firstRow="0" w:lastRow="0" w:firstColumn="1" w:lastColumn="0" w:oddVBand="0" w:evenVBand="0" w:oddHBand="0" w:evenHBand="0" w:firstRowFirstColumn="0" w:firstRowLastColumn="0" w:lastRowFirstColumn="0" w:lastRowLastColumn="0"/>
            <w:tcW w:w="5908" w:type="dxa"/>
          </w:tcPr>
          <w:p w14:paraId="44FA2B1D" w14:textId="1A6EEA05" w:rsidR="000223C0" w:rsidRPr="000223C0" w:rsidRDefault="000223C0" w:rsidP="00A42DC6">
            <w:pPr>
              <w:rPr>
                <w:rFonts w:asciiTheme="majorHAnsi" w:hAnsiTheme="majorHAnsi" w:cstheme="majorHAnsi"/>
                <w:b w:val="0"/>
                <w:bCs w:val="0"/>
              </w:rPr>
            </w:pPr>
            <w:r>
              <w:rPr>
                <w:rFonts w:asciiTheme="majorHAnsi" w:hAnsiTheme="majorHAnsi" w:cstheme="majorHAnsi"/>
                <w:b w:val="0"/>
                <w:bCs w:val="0"/>
              </w:rPr>
              <w:t>J</w:t>
            </w:r>
            <w:r w:rsidRPr="00395ECB">
              <w:rPr>
                <w:rFonts w:asciiTheme="majorHAnsi" w:hAnsiTheme="majorHAnsi" w:cstheme="majorHAnsi"/>
                <w:b w:val="0"/>
                <w:bCs w:val="0"/>
              </w:rPr>
              <w:t>oint stakeholder forums</w:t>
            </w:r>
          </w:p>
        </w:tc>
        <w:tc>
          <w:tcPr>
            <w:tcW w:w="3383" w:type="dxa"/>
          </w:tcPr>
          <w:p w14:paraId="4C54D0B3" w14:textId="709F50D2" w:rsidR="000223C0" w:rsidRPr="00395ECB" w:rsidRDefault="000223C0" w:rsidP="00A42DC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95ECB">
              <w:rPr>
                <w:rFonts w:asciiTheme="majorHAnsi" w:hAnsiTheme="majorHAnsi" w:cstheme="majorHAnsi"/>
              </w:rPr>
              <w:t>2 meetings</w:t>
            </w:r>
          </w:p>
        </w:tc>
      </w:tr>
      <w:tr w:rsidR="000223C0" w:rsidRPr="000223C0" w14:paraId="32294BC1" w14:textId="77777777" w:rsidTr="00E43D4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908" w:type="dxa"/>
          </w:tcPr>
          <w:p w14:paraId="1927183C" w14:textId="42053D76" w:rsidR="000223C0" w:rsidRPr="000223C0" w:rsidRDefault="007A4C6D" w:rsidP="00A42DC6">
            <w:pPr>
              <w:rPr>
                <w:rFonts w:asciiTheme="majorHAnsi" w:hAnsiTheme="majorHAnsi" w:cstheme="majorHAnsi"/>
                <w:b w:val="0"/>
                <w:bCs w:val="0"/>
              </w:rPr>
            </w:pPr>
            <w:r>
              <w:rPr>
                <w:rFonts w:asciiTheme="majorHAnsi" w:hAnsiTheme="majorHAnsi" w:cstheme="majorHAnsi"/>
                <w:b w:val="0"/>
                <w:bCs w:val="0"/>
              </w:rPr>
              <w:t xml:space="preserve">Bi-lateral Industry meetings </w:t>
            </w:r>
            <w:r w:rsidR="00395ECB">
              <w:rPr>
                <w:rFonts w:asciiTheme="majorHAnsi" w:hAnsiTheme="majorHAnsi" w:cstheme="majorHAnsi"/>
                <w:b w:val="0"/>
                <w:bCs w:val="0"/>
              </w:rPr>
              <w:t>(online/in-person)</w:t>
            </w:r>
          </w:p>
        </w:tc>
        <w:tc>
          <w:tcPr>
            <w:tcW w:w="3383" w:type="dxa"/>
          </w:tcPr>
          <w:p w14:paraId="0BD980A7" w14:textId="13A3D3BA" w:rsidR="000223C0" w:rsidRPr="00395ECB" w:rsidRDefault="007A4C6D" w:rsidP="00A42DC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95ECB">
              <w:rPr>
                <w:rFonts w:asciiTheme="majorHAnsi" w:hAnsiTheme="majorHAnsi" w:cstheme="majorHAnsi"/>
              </w:rPr>
              <w:t>2</w:t>
            </w:r>
            <w:r w:rsidR="00395ECB" w:rsidRPr="00395ECB">
              <w:rPr>
                <w:rFonts w:asciiTheme="majorHAnsi" w:hAnsiTheme="majorHAnsi" w:cstheme="majorHAnsi"/>
              </w:rPr>
              <w:t>5</w:t>
            </w:r>
            <w:r w:rsidRPr="00395ECB">
              <w:rPr>
                <w:rFonts w:asciiTheme="majorHAnsi" w:hAnsiTheme="majorHAnsi" w:cstheme="majorHAnsi"/>
              </w:rPr>
              <w:t xml:space="preserve"> meetings</w:t>
            </w:r>
          </w:p>
        </w:tc>
      </w:tr>
      <w:tr w:rsidR="000223C0" w:rsidRPr="000223C0" w14:paraId="001FEE69" w14:textId="77777777" w:rsidTr="00E43D48">
        <w:trPr>
          <w:trHeight w:val="255"/>
        </w:trPr>
        <w:tc>
          <w:tcPr>
            <w:cnfStyle w:val="001000000000" w:firstRow="0" w:lastRow="0" w:firstColumn="1" w:lastColumn="0" w:oddVBand="0" w:evenVBand="0" w:oddHBand="0" w:evenHBand="0" w:firstRowFirstColumn="0" w:firstRowLastColumn="0" w:lastRowFirstColumn="0" w:lastRowLastColumn="0"/>
            <w:tcW w:w="5908" w:type="dxa"/>
          </w:tcPr>
          <w:p w14:paraId="78DAF324" w14:textId="7FFBE134" w:rsidR="000223C0" w:rsidRPr="00395ECB" w:rsidRDefault="007A4C6D" w:rsidP="00A42DC6">
            <w:pPr>
              <w:rPr>
                <w:rFonts w:asciiTheme="majorHAnsi" w:hAnsiTheme="majorHAnsi" w:cstheme="majorHAnsi"/>
                <w:b w:val="0"/>
                <w:bCs w:val="0"/>
              </w:rPr>
            </w:pPr>
            <w:r w:rsidRPr="007A4C6D">
              <w:rPr>
                <w:rFonts w:asciiTheme="majorHAnsi" w:hAnsiTheme="majorHAnsi" w:cstheme="majorHAnsi"/>
                <w:b w:val="0"/>
                <w:bCs w:val="0"/>
              </w:rPr>
              <w:t>Bi-lateral jurisdictional meetings</w:t>
            </w:r>
            <w:r w:rsidR="00395ECB">
              <w:rPr>
                <w:rFonts w:asciiTheme="majorHAnsi" w:hAnsiTheme="majorHAnsi" w:cstheme="majorHAnsi"/>
                <w:b w:val="0"/>
                <w:bCs w:val="0"/>
              </w:rPr>
              <w:t xml:space="preserve"> (online/in-person)</w:t>
            </w:r>
          </w:p>
        </w:tc>
        <w:tc>
          <w:tcPr>
            <w:tcW w:w="3383" w:type="dxa"/>
          </w:tcPr>
          <w:p w14:paraId="02AE9F3F" w14:textId="7ACF1E5B" w:rsidR="000223C0" w:rsidRPr="00395ECB" w:rsidRDefault="007A4C6D" w:rsidP="00A42DC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95ECB">
              <w:rPr>
                <w:rFonts w:asciiTheme="majorHAnsi" w:hAnsiTheme="majorHAnsi" w:cstheme="majorHAnsi"/>
              </w:rPr>
              <w:t>12 meetings</w:t>
            </w:r>
          </w:p>
        </w:tc>
      </w:tr>
      <w:tr w:rsidR="000223C0" w:rsidRPr="000223C0" w14:paraId="0AAC1D28" w14:textId="77777777" w:rsidTr="00E43D4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908" w:type="dxa"/>
          </w:tcPr>
          <w:p w14:paraId="6409E04D" w14:textId="65420CCE" w:rsidR="000223C0" w:rsidRPr="00395ECB" w:rsidRDefault="007A4C6D" w:rsidP="00A42DC6">
            <w:pPr>
              <w:rPr>
                <w:rFonts w:asciiTheme="majorHAnsi" w:hAnsiTheme="majorHAnsi" w:cstheme="majorHAnsi"/>
                <w:b w:val="0"/>
                <w:bCs w:val="0"/>
              </w:rPr>
            </w:pPr>
            <w:r w:rsidRPr="007A4C6D">
              <w:rPr>
                <w:rFonts w:asciiTheme="majorHAnsi" w:hAnsiTheme="majorHAnsi" w:cstheme="majorHAnsi"/>
                <w:b w:val="0"/>
                <w:bCs w:val="0"/>
              </w:rPr>
              <w:t>Government agencies meetings</w:t>
            </w:r>
          </w:p>
        </w:tc>
        <w:tc>
          <w:tcPr>
            <w:tcW w:w="3383" w:type="dxa"/>
          </w:tcPr>
          <w:p w14:paraId="69EED69C" w14:textId="713F6A21" w:rsidR="000223C0" w:rsidRPr="000223C0" w:rsidRDefault="00395ECB" w:rsidP="00A42DC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4</w:t>
            </w:r>
            <w:r w:rsidR="007A4C6D">
              <w:rPr>
                <w:rFonts w:asciiTheme="majorHAnsi" w:hAnsiTheme="majorHAnsi" w:cstheme="majorHAnsi"/>
              </w:rPr>
              <w:t xml:space="preserve"> meetings</w:t>
            </w:r>
          </w:p>
        </w:tc>
      </w:tr>
      <w:tr w:rsidR="000223C0" w:rsidRPr="000223C0" w14:paraId="2A6DA150" w14:textId="77777777" w:rsidTr="00E43D48">
        <w:trPr>
          <w:trHeight w:val="255"/>
        </w:trPr>
        <w:tc>
          <w:tcPr>
            <w:cnfStyle w:val="001000000000" w:firstRow="0" w:lastRow="0" w:firstColumn="1" w:lastColumn="0" w:oddVBand="0" w:evenVBand="0" w:oddHBand="0" w:evenHBand="0" w:firstRowFirstColumn="0" w:firstRowLastColumn="0" w:lastRowFirstColumn="0" w:lastRowLastColumn="0"/>
            <w:tcW w:w="5908" w:type="dxa"/>
          </w:tcPr>
          <w:p w14:paraId="07E72C06" w14:textId="4F3218FC" w:rsidR="000223C0" w:rsidRPr="000223C0" w:rsidRDefault="00395ECB" w:rsidP="00A42DC6">
            <w:pPr>
              <w:rPr>
                <w:rFonts w:asciiTheme="majorHAnsi" w:hAnsiTheme="majorHAnsi" w:cstheme="majorHAnsi"/>
              </w:rPr>
            </w:pPr>
            <w:r>
              <w:rPr>
                <w:rFonts w:asciiTheme="majorHAnsi" w:hAnsiTheme="majorHAnsi" w:cstheme="majorHAnsi"/>
              </w:rPr>
              <w:t>Total</w:t>
            </w:r>
          </w:p>
        </w:tc>
        <w:tc>
          <w:tcPr>
            <w:tcW w:w="3383" w:type="dxa"/>
          </w:tcPr>
          <w:p w14:paraId="4A90A743" w14:textId="22DE114F" w:rsidR="000223C0" w:rsidRPr="00395ECB" w:rsidRDefault="00395ECB" w:rsidP="00A42DC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r w:rsidRPr="00395ECB">
              <w:rPr>
                <w:rFonts w:asciiTheme="majorHAnsi" w:hAnsiTheme="majorHAnsi" w:cstheme="majorHAnsi"/>
                <w:b/>
                <w:bCs/>
              </w:rPr>
              <w:t>50 meetings</w:t>
            </w:r>
          </w:p>
        </w:tc>
      </w:tr>
    </w:tbl>
    <w:p w14:paraId="4023AACD" w14:textId="77777777" w:rsidR="00932141" w:rsidRDefault="00932141" w:rsidP="00932141">
      <w:pPr>
        <w:pStyle w:val="Heading2"/>
      </w:pPr>
    </w:p>
    <w:p w14:paraId="02557615" w14:textId="4A2AD06A" w:rsidR="00932141" w:rsidRPr="00932141" w:rsidRDefault="00932141" w:rsidP="000E57D0">
      <w:pPr>
        <w:pStyle w:val="Heading2"/>
        <w:spacing w:after="120"/>
      </w:pPr>
      <w:r>
        <w:t>L</w:t>
      </w:r>
      <w:r w:rsidR="00395ECB">
        <w:t>ist of all consulted</w:t>
      </w:r>
    </w:p>
    <w:p w14:paraId="4162D6EE" w14:textId="6A887412" w:rsidR="00932141" w:rsidRPr="00D84E3C" w:rsidRDefault="00932141" w:rsidP="00D84E3C">
      <w:pPr>
        <w:pStyle w:val="Heading3"/>
      </w:pPr>
      <w:r w:rsidRPr="00D84E3C">
        <w:t>Reform Advisory Committee (+) membership</w:t>
      </w:r>
    </w:p>
    <w:p w14:paraId="516AA11E" w14:textId="77777777" w:rsidR="00D84E3C" w:rsidRDefault="00D84E3C" w:rsidP="00D84E3C">
      <w:pPr>
        <w:pStyle w:val="ListParagraph"/>
        <w:numPr>
          <w:ilvl w:val="0"/>
          <w:numId w:val="12"/>
        </w:numPr>
      </w:pPr>
      <w:r>
        <w:t>All jurisdictional representatives</w:t>
      </w:r>
    </w:p>
    <w:p w14:paraId="02B3D1D8" w14:textId="77777777" w:rsidR="00D84E3C" w:rsidRDefault="00D84E3C" w:rsidP="00D84E3C">
      <w:pPr>
        <w:pStyle w:val="ListParagraph"/>
        <w:numPr>
          <w:ilvl w:val="0"/>
          <w:numId w:val="12"/>
        </w:numPr>
      </w:pPr>
      <w:r>
        <w:t>Australian Trucking Association</w:t>
      </w:r>
    </w:p>
    <w:p w14:paraId="47860C0F" w14:textId="77777777" w:rsidR="00D84E3C" w:rsidRDefault="00D84E3C" w:rsidP="00D84E3C">
      <w:pPr>
        <w:pStyle w:val="ListParagraph"/>
        <w:numPr>
          <w:ilvl w:val="0"/>
          <w:numId w:val="12"/>
        </w:numPr>
      </w:pPr>
      <w:r>
        <w:t>Australian Logistics Council</w:t>
      </w:r>
    </w:p>
    <w:p w14:paraId="7C8964F4" w14:textId="77777777" w:rsidR="00D84E3C" w:rsidRDefault="00D84E3C" w:rsidP="00D84E3C">
      <w:pPr>
        <w:pStyle w:val="ListParagraph"/>
        <w:numPr>
          <w:ilvl w:val="0"/>
          <w:numId w:val="12"/>
        </w:numPr>
      </w:pPr>
      <w:r>
        <w:t xml:space="preserve">Natroad </w:t>
      </w:r>
    </w:p>
    <w:p w14:paraId="3DF2DCC0" w14:textId="77777777" w:rsidR="00D84E3C" w:rsidRDefault="00D84E3C" w:rsidP="00D84E3C">
      <w:pPr>
        <w:pStyle w:val="ListParagraph"/>
        <w:numPr>
          <w:ilvl w:val="0"/>
          <w:numId w:val="12"/>
        </w:numPr>
      </w:pPr>
      <w:r>
        <w:lastRenderedPageBreak/>
        <w:t>Don Watson Transport</w:t>
      </w:r>
    </w:p>
    <w:p w14:paraId="290B922F" w14:textId="77777777" w:rsidR="00D84E3C" w:rsidRDefault="00D84E3C" w:rsidP="00D84E3C">
      <w:pPr>
        <w:pStyle w:val="ListParagraph"/>
        <w:numPr>
          <w:ilvl w:val="0"/>
          <w:numId w:val="12"/>
        </w:numPr>
      </w:pPr>
      <w:r>
        <w:t>Branstrans- Industry operator</w:t>
      </w:r>
    </w:p>
    <w:p w14:paraId="3BF3E626" w14:textId="77777777" w:rsidR="00D84E3C" w:rsidRDefault="00D84E3C" w:rsidP="00D84E3C">
      <w:pPr>
        <w:pStyle w:val="ListParagraph"/>
        <w:numPr>
          <w:ilvl w:val="0"/>
          <w:numId w:val="12"/>
        </w:numPr>
      </w:pPr>
      <w:r>
        <w:t>Road Freight NSW</w:t>
      </w:r>
    </w:p>
    <w:p w14:paraId="16D107D0" w14:textId="77777777" w:rsidR="00D84E3C" w:rsidRDefault="00D84E3C" w:rsidP="00D84E3C">
      <w:pPr>
        <w:pStyle w:val="ListParagraph"/>
        <w:numPr>
          <w:ilvl w:val="0"/>
          <w:numId w:val="12"/>
        </w:numPr>
      </w:pPr>
      <w:r>
        <w:t>Australian Livestock and Rural Transporters Association</w:t>
      </w:r>
    </w:p>
    <w:p w14:paraId="6C257F64" w14:textId="77777777" w:rsidR="00D84E3C" w:rsidRDefault="00D84E3C" w:rsidP="00D84E3C">
      <w:pPr>
        <w:pStyle w:val="ListParagraph"/>
        <w:numPr>
          <w:ilvl w:val="0"/>
          <w:numId w:val="12"/>
        </w:numPr>
      </w:pPr>
      <w:r>
        <w:t>Ron Finemore Transport</w:t>
      </w:r>
    </w:p>
    <w:p w14:paraId="75950E72" w14:textId="77777777" w:rsidR="00D84E3C" w:rsidRDefault="00D84E3C" w:rsidP="00D84E3C">
      <w:pPr>
        <w:pStyle w:val="ListParagraph"/>
        <w:numPr>
          <w:ilvl w:val="0"/>
          <w:numId w:val="12"/>
        </w:numPr>
      </w:pPr>
      <w:r>
        <w:t xml:space="preserve">National Road Freighters Association </w:t>
      </w:r>
    </w:p>
    <w:p w14:paraId="725813A3" w14:textId="77777777" w:rsidR="00D84E3C" w:rsidRDefault="00D84E3C" w:rsidP="00D84E3C">
      <w:pPr>
        <w:pStyle w:val="ListParagraph"/>
        <w:numPr>
          <w:ilvl w:val="0"/>
          <w:numId w:val="12"/>
        </w:numPr>
      </w:pPr>
      <w:r>
        <w:t>Australia New Zealand Policing Advisory Agency</w:t>
      </w:r>
    </w:p>
    <w:p w14:paraId="37F64788" w14:textId="77777777" w:rsidR="00D84E3C" w:rsidRDefault="00D84E3C" w:rsidP="00D84E3C">
      <w:pPr>
        <w:pStyle w:val="ListParagraph"/>
        <w:numPr>
          <w:ilvl w:val="0"/>
          <w:numId w:val="12"/>
        </w:numPr>
      </w:pPr>
      <w:r>
        <w:t>Australian Local Government Association</w:t>
      </w:r>
    </w:p>
    <w:p w14:paraId="7E22F4DC" w14:textId="77777777" w:rsidR="00D84E3C" w:rsidRDefault="00D84E3C" w:rsidP="00D84E3C">
      <w:pPr>
        <w:pStyle w:val="ListParagraph"/>
        <w:numPr>
          <w:ilvl w:val="0"/>
          <w:numId w:val="12"/>
        </w:numPr>
      </w:pPr>
      <w:r>
        <w:t>National Heavy vehicle Regulator</w:t>
      </w:r>
    </w:p>
    <w:p w14:paraId="1E188E91" w14:textId="77777777" w:rsidR="00D84E3C" w:rsidRDefault="00D84E3C" w:rsidP="00D84E3C">
      <w:pPr>
        <w:pStyle w:val="ListParagraph"/>
        <w:numPr>
          <w:ilvl w:val="0"/>
          <w:numId w:val="12"/>
        </w:numPr>
      </w:pPr>
      <w:r>
        <w:t>South Australian Road Transport Association</w:t>
      </w:r>
    </w:p>
    <w:p w14:paraId="2F2200DB" w14:textId="77777777" w:rsidR="00D84E3C" w:rsidRDefault="00D84E3C" w:rsidP="00D84E3C">
      <w:pPr>
        <w:pStyle w:val="ListParagraph"/>
        <w:numPr>
          <w:ilvl w:val="0"/>
          <w:numId w:val="12"/>
        </w:numPr>
      </w:pPr>
      <w:r>
        <w:t>Queensland Trucking Association</w:t>
      </w:r>
    </w:p>
    <w:p w14:paraId="4687A388" w14:textId="77777777" w:rsidR="00D84E3C" w:rsidRDefault="00D84E3C" w:rsidP="00D84E3C">
      <w:pPr>
        <w:pStyle w:val="ListParagraph"/>
        <w:numPr>
          <w:ilvl w:val="0"/>
          <w:numId w:val="12"/>
        </w:numPr>
      </w:pPr>
      <w:r>
        <w:t>Victorian Transport Association</w:t>
      </w:r>
    </w:p>
    <w:p w14:paraId="5C99674E" w14:textId="77777777" w:rsidR="00D84E3C" w:rsidRDefault="00D84E3C" w:rsidP="00D84E3C">
      <w:pPr>
        <w:pStyle w:val="ListParagraph"/>
        <w:numPr>
          <w:ilvl w:val="0"/>
          <w:numId w:val="12"/>
        </w:numPr>
      </w:pPr>
      <w:r>
        <w:t>Tasmania Trucking Association</w:t>
      </w:r>
    </w:p>
    <w:p w14:paraId="041CFF72" w14:textId="77777777" w:rsidR="00D84E3C" w:rsidRDefault="00D84E3C" w:rsidP="00D84E3C">
      <w:pPr>
        <w:pStyle w:val="ListParagraph"/>
        <w:numPr>
          <w:ilvl w:val="0"/>
          <w:numId w:val="12"/>
        </w:numPr>
      </w:pPr>
      <w:r>
        <w:t>Bus Industry Confederation</w:t>
      </w:r>
    </w:p>
    <w:p w14:paraId="67805F4D" w14:textId="77777777" w:rsidR="00D84E3C" w:rsidRDefault="00D84E3C" w:rsidP="00D84E3C">
      <w:pPr>
        <w:pStyle w:val="ListParagraph"/>
        <w:numPr>
          <w:ilvl w:val="0"/>
          <w:numId w:val="12"/>
        </w:numPr>
      </w:pPr>
      <w:r>
        <w:t>Truck Industry Council (TIC)</w:t>
      </w:r>
    </w:p>
    <w:p w14:paraId="42D4F13A" w14:textId="77777777" w:rsidR="00D84E3C" w:rsidRDefault="00D84E3C" w:rsidP="00D84E3C">
      <w:pPr>
        <w:pStyle w:val="ListParagraph"/>
        <w:numPr>
          <w:ilvl w:val="0"/>
          <w:numId w:val="12"/>
        </w:numPr>
      </w:pPr>
      <w:r>
        <w:t>Toll Group</w:t>
      </w:r>
    </w:p>
    <w:p w14:paraId="7499E68A" w14:textId="5F4A0394" w:rsidR="00D84E3C" w:rsidRPr="00D84E3C" w:rsidRDefault="00D84E3C" w:rsidP="00D84E3C">
      <w:pPr>
        <w:pStyle w:val="ListParagraph"/>
        <w:numPr>
          <w:ilvl w:val="0"/>
          <w:numId w:val="12"/>
        </w:numPr>
      </w:pPr>
      <w:r>
        <w:t>Heavy Vehicle Industry Australia</w:t>
      </w:r>
    </w:p>
    <w:p w14:paraId="420910A6" w14:textId="73D50D07" w:rsidR="00932141" w:rsidRPr="00D84E3C" w:rsidRDefault="007A0AB7" w:rsidP="00D84E3C">
      <w:pPr>
        <w:pStyle w:val="Heading3"/>
      </w:pPr>
      <w:r w:rsidRPr="00D84E3C">
        <w:t>NTC IAG membership</w:t>
      </w:r>
    </w:p>
    <w:p w14:paraId="7983C3A1" w14:textId="77777777" w:rsidR="00D84E3C"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t>Australian Trucking Association</w:t>
      </w:r>
    </w:p>
    <w:p w14:paraId="4EF4F85D" w14:textId="77777777" w:rsidR="00D84E3C"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t>Australian Logistics Council</w:t>
      </w:r>
    </w:p>
    <w:p w14:paraId="26E8F1CF" w14:textId="77777777" w:rsidR="00D84E3C"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t xml:space="preserve">Natroad </w:t>
      </w:r>
    </w:p>
    <w:p w14:paraId="51916CDD" w14:textId="77777777" w:rsidR="00D84E3C"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t>Queensland Trucking Association</w:t>
      </w:r>
    </w:p>
    <w:p w14:paraId="530A2BE2" w14:textId="77777777" w:rsidR="00D84E3C"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t>Victorian Transport Association</w:t>
      </w:r>
    </w:p>
    <w:p w14:paraId="48424F86" w14:textId="77777777" w:rsidR="00D84E3C"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t>Road Freight NSW</w:t>
      </w:r>
    </w:p>
    <w:p w14:paraId="32F19A07" w14:textId="77777777" w:rsidR="00D84E3C"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t>South Australian Road Transport Association</w:t>
      </w:r>
    </w:p>
    <w:p w14:paraId="79AEC9EB" w14:textId="77777777" w:rsidR="00D84E3C"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t>Western Roads Federation</w:t>
      </w:r>
    </w:p>
    <w:p w14:paraId="4185323C" w14:textId="77777777" w:rsidR="00D84E3C"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t>NT Road Transport Association</w:t>
      </w:r>
    </w:p>
    <w:p w14:paraId="2DE4F6FF" w14:textId="77777777" w:rsidR="00D84E3C"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t>Tasmania Trucking Association</w:t>
      </w:r>
    </w:p>
    <w:p w14:paraId="43E46E40" w14:textId="77777777" w:rsidR="00D84E3C"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t>Australian Livestock and Rural Transporters Association</w:t>
      </w:r>
    </w:p>
    <w:p w14:paraId="2D667062" w14:textId="77777777" w:rsidR="00D84E3C"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t>Crane Industry Council of Australia</w:t>
      </w:r>
    </w:p>
    <w:p w14:paraId="4DF21EFE" w14:textId="77777777" w:rsidR="00D84E3C"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t>Bus Industry Confederation</w:t>
      </w:r>
    </w:p>
    <w:p w14:paraId="5C9BC360" w14:textId="77777777" w:rsidR="00D84E3C"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t>Heavy Vehicle Industry Australia (HVIA)</w:t>
      </w:r>
    </w:p>
    <w:p w14:paraId="5EA31031" w14:textId="77777777" w:rsidR="00D84E3C"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t>Truck Industry Council (TIC)</w:t>
      </w:r>
    </w:p>
    <w:p w14:paraId="30B10B3B" w14:textId="77777777" w:rsidR="00D84E3C"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t>Australia Post</w:t>
      </w:r>
    </w:p>
    <w:p w14:paraId="1308B1B3" w14:textId="77777777" w:rsidR="00D84E3C"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t xml:space="preserve">Track trailer </w:t>
      </w:r>
    </w:p>
    <w:p w14:paraId="4F95DCA5" w14:textId="77777777" w:rsidR="00D84E3C"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t xml:space="preserve">Toll </w:t>
      </w:r>
    </w:p>
    <w:p w14:paraId="433E7DC2" w14:textId="77777777" w:rsidR="00D84E3C"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t xml:space="preserve">Linfox </w:t>
      </w:r>
    </w:p>
    <w:p w14:paraId="4F6B50D2" w14:textId="77777777" w:rsidR="00D84E3C"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t xml:space="preserve">Marley's Transport </w:t>
      </w:r>
    </w:p>
    <w:p w14:paraId="63085DDB" w14:textId="77777777" w:rsidR="00D84E3C"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t xml:space="preserve">Ron Finemore </w:t>
      </w:r>
    </w:p>
    <w:p w14:paraId="53058508" w14:textId="77777777" w:rsidR="00D84E3C"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t>Qube Transport</w:t>
      </w:r>
    </w:p>
    <w:p w14:paraId="15CD6205" w14:textId="77777777" w:rsidR="00D84E3C"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t>Cootes Transport</w:t>
      </w:r>
    </w:p>
    <w:p w14:paraId="033612B1" w14:textId="77777777" w:rsidR="00D84E3C"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t xml:space="preserve">Track trailer </w:t>
      </w:r>
    </w:p>
    <w:p w14:paraId="4C77BE9B" w14:textId="77777777" w:rsidR="00D84E3C"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t>Gas Energy Australia</w:t>
      </w:r>
    </w:p>
    <w:p w14:paraId="28D823E4" w14:textId="77777777" w:rsidR="00D84E3C"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t>TCA</w:t>
      </w:r>
    </w:p>
    <w:p w14:paraId="06E5BBAC" w14:textId="77777777" w:rsidR="00D84E3C"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t>AustRoads</w:t>
      </w:r>
    </w:p>
    <w:p w14:paraId="365D60CB" w14:textId="77777777" w:rsidR="00D84E3C"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lastRenderedPageBreak/>
        <w:t xml:space="preserve">Toll </w:t>
      </w:r>
    </w:p>
    <w:p w14:paraId="37572523" w14:textId="77777777" w:rsidR="00D84E3C"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t xml:space="preserve">Linfox </w:t>
      </w:r>
    </w:p>
    <w:p w14:paraId="25387DF1" w14:textId="77777777" w:rsidR="00D84E3C"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t xml:space="preserve">Marley's Transport </w:t>
      </w:r>
    </w:p>
    <w:p w14:paraId="0344524F" w14:textId="77777777" w:rsidR="00D84E3C"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t xml:space="preserve">Ron Finemore </w:t>
      </w:r>
    </w:p>
    <w:p w14:paraId="6F164650" w14:textId="77777777" w:rsidR="00D84E3C"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t>Qube Transport</w:t>
      </w:r>
    </w:p>
    <w:p w14:paraId="29580E12" w14:textId="44944BF2" w:rsidR="00932141" w:rsidRPr="00D84E3C" w:rsidRDefault="00D84E3C" w:rsidP="00D84E3C">
      <w:pPr>
        <w:pStyle w:val="ListParagraph"/>
        <w:numPr>
          <w:ilvl w:val="0"/>
          <w:numId w:val="11"/>
        </w:numPr>
        <w:rPr>
          <w:rFonts w:asciiTheme="majorHAnsi" w:hAnsiTheme="majorHAnsi" w:cstheme="majorHAnsi"/>
        </w:rPr>
      </w:pPr>
      <w:r w:rsidRPr="00D84E3C">
        <w:rPr>
          <w:rFonts w:asciiTheme="majorHAnsi" w:hAnsiTheme="majorHAnsi" w:cstheme="majorHAnsi"/>
        </w:rPr>
        <w:t>Cootes Transport</w:t>
      </w:r>
    </w:p>
    <w:sectPr w:rsidR="00932141" w:rsidRPr="00D84E3C">
      <w:headerReference w:type="even" r:id="rId10"/>
      <w:footerReference w:type="even"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5B891" w14:textId="77777777" w:rsidR="00506565" w:rsidRDefault="00506565" w:rsidP="00263806">
      <w:pPr>
        <w:spacing w:after="0" w:line="240" w:lineRule="auto"/>
      </w:pPr>
      <w:r>
        <w:separator/>
      </w:r>
    </w:p>
  </w:endnote>
  <w:endnote w:type="continuationSeparator" w:id="0">
    <w:p w14:paraId="7AEF1AFF" w14:textId="77777777" w:rsidR="00506565" w:rsidRDefault="00506565" w:rsidP="00263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0299" w14:textId="4C6A6F32" w:rsidR="00263806" w:rsidRDefault="00263806">
    <w:pPr>
      <w:pStyle w:val="Footer"/>
    </w:pPr>
    <w:r>
      <w:rPr>
        <w:noProof/>
      </w:rPr>
      <mc:AlternateContent>
        <mc:Choice Requires="wps">
          <w:drawing>
            <wp:inline distT="0" distB="0" distL="0" distR="0" wp14:anchorId="2A38B1F9" wp14:editId="3C7BE347">
              <wp:extent cx="443865" cy="443865"/>
              <wp:effectExtent l="0" t="0" r="635" b="2540"/>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6D7D7B" w14:textId="46738EE8" w:rsidR="00263806" w:rsidRPr="00263806" w:rsidRDefault="00263806">
                          <w:pPr>
                            <w:rPr>
                              <w:rFonts w:ascii="Calibri" w:eastAsia="Calibri" w:hAnsi="Calibri" w:cs="Calibri"/>
                              <w:noProof/>
                              <w:color w:val="FF0000"/>
                              <w:sz w:val="24"/>
                              <w:szCs w:val="24"/>
                            </w:rPr>
                          </w:pPr>
                          <w:r w:rsidRPr="00D84E3C">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2A38B1F9" id="_x0000_t202" coordsize="21600,21600" o:spt="202" path="m,l,21600r21600,l21600,xe">
              <v:stroke joinstyle="miter"/>
              <v:path gradientshapeok="t" o:connecttype="rect"/>
            </v:shapetype>
            <v:shape id="Text Box 6"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1RoXtYAAAAD&#10;AQAADwAAAGRycy9kb3ducmV2LnhtbEyPMU/DMBCFdyT+g3VI3agDQ2lDnKqqxMLWgpDY3PgaR7XP&#10;ke2myb/vFQZY7un0Tu99V61H78SAMXWBFDzNCxBITTAdtQo+P94elyBS1mS0C4QKJkywru/vKl2a&#10;cKEdDvvcCg6hVGoFNue+lDI1Fr1O89AjsXcM0evMa2ylifrC4d7J56JYSK874gare9xabE77s1fw&#10;Mn4F7BNu8fs4NNF209K9T0rNHsbNK4iMY/47hhs+o0PNTIdwJpOEU8CP5J/J3mK1AnH4VVlX8j97&#10;fQUAAP//AwBQSwECLQAUAAYACAAAACEAtoM4kv4AAADhAQAAEwAAAAAAAAAAAAAAAAAAAAAAW0Nv&#10;bnRlbnRfVHlwZXNdLnhtbFBLAQItABQABgAIAAAAIQA4/SH/1gAAAJQBAAALAAAAAAAAAAAAAAAA&#10;AC8BAABfcmVscy8ucmVsc1BLAQItABQABgAIAAAAIQBxiR3FAwIAABcEAAAOAAAAAAAAAAAAAAAA&#10;AC4CAABkcnMvZTJvRG9jLnhtbFBLAQItABQABgAIAAAAIQD7VGhe1gAAAAMBAAAPAAAAAAAAAAAA&#10;AAAAAF0EAABkcnMvZG93bnJldi54bWxQSwUGAAAAAAQABADzAAAAYAUAAAAA&#10;" filled="f" stroked="f">
              <v:fill o:detectmouseclick="t"/>
              <v:textbox style="mso-fit-shape-to-text:t" inset="0,0,0,0">
                <w:txbxContent>
                  <w:p w14:paraId="1F6D7D7B" w14:textId="46738EE8" w:rsidR="00263806" w:rsidRPr="00263806" w:rsidRDefault="00263806">
                    <w:pPr>
                      <w:rPr>
                        <w:rFonts w:ascii="Calibri" w:eastAsia="Calibri" w:hAnsi="Calibri" w:cs="Calibri"/>
                        <w:noProof/>
                        <w:color w:val="FF0000"/>
                        <w:sz w:val="24"/>
                        <w:szCs w:val="24"/>
                      </w:rPr>
                    </w:pPr>
                    <w:r w:rsidRPr="00D84E3C">
                      <w:rPr>
                        <w:rFonts w:ascii="Calibri" w:eastAsia="Calibri" w:hAnsi="Calibri" w:cs="Calibri"/>
                        <w:noProof/>
                        <w:color w:val="C00000"/>
                        <w:sz w:val="24"/>
                        <w:szCs w:val="24"/>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011F" w14:textId="4C0F3885" w:rsidR="00263806" w:rsidRDefault="00263806">
    <w:pPr>
      <w:pStyle w:val="Footer"/>
    </w:pPr>
    <w:r>
      <w:rPr>
        <w:noProof/>
      </w:rPr>
      <mc:AlternateContent>
        <mc:Choice Requires="wps">
          <w:drawing>
            <wp:inline distT="0" distB="0" distL="0" distR="0" wp14:anchorId="7EF81B0F" wp14:editId="784F3222">
              <wp:extent cx="443865" cy="443865"/>
              <wp:effectExtent l="0" t="0" r="635" b="2540"/>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DD8E56" w14:textId="10AA460C" w:rsidR="00263806" w:rsidRPr="00263806" w:rsidRDefault="00263806">
                          <w:pPr>
                            <w:rPr>
                              <w:rFonts w:ascii="Calibri" w:eastAsia="Calibri" w:hAnsi="Calibri" w:cs="Calibri"/>
                              <w:noProof/>
                              <w:color w:val="FF0000"/>
                              <w:sz w:val="24"/>
                              <w:szCs w:val="24"/>
                            </w:rPr>
                          </w:pPr>
                          <w:r w:rsidRPr="00D84E3C">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7EF81B0F" id="_x0000_t202" coordsize="21600,21600" o:spt="202" path="m,l,21600r21600,l21600,xe">
              <v:stroke joinstyle="miter"/>
              <v:path gradientshapeok="t" o:connecttype="rect"/>
            </v:shapetype>
            <v:shape id="Text Box 5"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Dtj9iYFAgAAFwQAAA4AAAAAAAAAAAAA&#10;AAAALgIAAGRycy9lMm9Eb2MueG1sUEsBAi0AFAAGAAgAAAAhAPtUaF7WAAAAAwEAAA8AAAAAAAAA&#10;AAAAAAAAXwQAAGRycy9kb3ducmV2LnhtbFBLBQYAAAAABAAEAPMAAABiBQAAAAA=&#10;" filled="f" stroked="f">
              <v:fill o:detectmouseclick="t"/>
              <v:textbox style="mso-fit-shape-to-text:t" inset="0,0,0,0">
                <w:txbxContent>
                  <w:p w14:paraId="2ADD8E56" w14:textId="10AA460C" w:rsidR="00263806" w:rsidRPr="00263806" w:rsidRDefault="00263806">
                    <w:pPr>
                      <w:rPr>
                        <w:rFonts w:ascii="Calibri" w:eastAsia="Calibri" w:hAnsi="Calibri" w:cs="Calibri"/>
                        <w:noProof/>
                        <w:color w:val="FF0000"/>
                        <w:sz w:val="24"/>
                        <w:szCs w:val="24"/>
                      </w:rPr>
                    </w:pPr>
                    <w:r w:rsidRPr="00D84E3C">
                      <w:rPr>
                        <w:rFonts w:ascii="Calibri" w:eastAsia="Calibri" w:hAnsi="Calibri" w:cs="Calibri"/>
                        <w:noProof/>
                        <w:color w:val="C00000"/>
                        <w:sz w:val="24"/>
                        <w:szCs w:val="24"/>
                      </w:rPr>
                      <w:t>OFFICIAL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9D500" w14:textId="77777777" w:rsidR="00506565" w:rsidRDefault="00506565" w:rsidP="00263806">
      <w:pPr>
        <w:spacing w:after="0" w:line="240" w:lineRule="auto"/>
      </w:pPr>
      <w:r>
        <w:separator/>
      </w:r>
    </w:p>
  </w:footnote>
  <w:footnote w:type="continuationSeparator" w:id="0">
    <w:p w14:paraId="2192C6C6" w14:textId="77777777" w:rsidR="00506565" w:rsidRDefault="00506565" w:rsidP="00263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436E" w14:textId="25F0FABB" w:rsidR="00263806" w:rsidRDefault="00263806">
    <w:pPr>
      <w:pStyle w:val="Header"/>
    </w:pPr>
    <w:r>
      <w:rPr>
        <w:noProof/>
      </w:rPr>
      <mc:AlternateContent>
        <mc:Choice Requires="wps">
          <w:drawing>
            <wp:inline distT="0" distB="0" distL="0" distR="0" wp14:anchorId="28CFAB2E" wp14:editId="4125A552">
              <wp:extent cx="443865" cy="443865"/>
              <wp:effectExtent l="0" t="0" r="635" b="2540"/>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14D2A1" w14:textId="66E112DF" w:rsidR="00263806" w:rsidRPr="00263806" w:rsidRDefault="00263806">
                          <w:pPr>
                            <w:rPr>
                              <w:rFonts w:ascii="Calibri" w:eastAsia="Calibri" w:hAnsi="Calibri" w:cs="Calibri"/>
                              <w:noProof/>
                              <w:color w:val="FF0000"/>
                              <w:sz w:val="24"/>
                              <w:szCs w:val="24"/>
                            </w:rPr>
                          </w:pPr>
                          <w:r w:rsidRPr="00D84E3C">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28CFAB2E" id="_x0000_t202" coordsize="21600,21600" o:spt="202" path="m,l,21600r21600,l21600,xe">
              <v:stroke joinstyle="miter"/>
              <v:path gradientshapeok="t" o:connecttype="rect"/>
            </v:shapetype>
            <v:shape id="Text Box 3"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1RoXtYAAAADAQAA&#10;DwAAAGRycy9kb3ducmV2LnhtbEyPMU/DMBCFdyT+g3VI3agDQ2lDnKqqxMLWgpDY3PgaR7XPke2m&#10;yb/vFQZY7un0Tu99V61H78SAMXWBFDzNCxBITTAdtQo+P94elyBS1mS0C4QKJkywru/vKl2acKEd&#10;DvvcCg6hVGoFNue+lDI1Fr1O89AjsXcM0evMa2ylifrC4d7J56JYSK874gare9xabE77s1fwMn4F&#10;7BNu8fs4NNF209K9T0rNHsbNK4iMY/47hhs+o0PNTIdwJpOEU8CP5J/J3mK1AnH4VVlX8j97fQUA&#10;AP//AwBQSwECLQAUAAYACAAAACEAtoM4kv4AAADhAQAAEwAAAAAAAAAAAAAAAAAAAAAAW0NvbnRl&#10;bnRfVHlwZXNdLnhtbFBLAQItABQABgAIAAAAIQA4/SH/1gAAAJQBAAALAAAAAAAAAAAAAAAAAC8B&#10;AABfcmVscy8ucmVsc1BLAQItABQABgAIAAAAIQBuL83GAAIAABAEAAAOAAAAAAAAAAAAAAAAAC4C&#10;AABkcnMvZTJvRG9jLnhtbFBLAQItABQABgAIAAAAIQD7VGhe1gAAAAMBAAAPAAAAAAAAAAAAAAAA&#10;AFoEAABkcnMvZG93bnJldi54bWxQSwUGAAAAAAQABADzAAAAXQUAAAAA&#10;" filled="f" stroked="f">
              <v:fill o:detectmouseclick="t"/>
              <v:textbox style="mso-fit-shape-to-text:t" inset="0,0,0,0">
                <w:txbxContent>
                  <w:p w14:paraId="1114D2A1" w14:textId="66E112DF" w:rsidR="00263806" w:rsidRPr="00263806" w:rsidRDefault="00263806">
                    <w:pPr>
                      <w:rPr>
                        <w:rFonts w:ascii="Calibri" w:eastAsia="Calibri" w:hAnsi="Calibri" w:cs="Calibri"/>
                        <w:noProof/>
                        <w:color w:val="FF0000"/>
                        <w:sz w:val="24"/>
                        <w:szCs w:val="24"/>
                      </w:rPr>
                    </w:pPr>
                    <w:r w:rsidRPr="00D84E3C">
                      <w:rPr>
                        <w:rFonts w:ascii="Calibri" w:eastAsia="Calibri" w:hAnsi="Calibri" w:cs="Calibri"/>
                        <w:noProof/>
                        <w:color w:val="C00000"/>
                        <w:sz w:val="24"/>
                        <w:szCs w:val="24"/>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9A90" w14:textId="4F2409ED" w:rsidR="00263806" w:rsidRDefault="00263806">
    <w:pPr>
      <w:pStyle w:val="Header"/>
    </w:pPr>
    <w:r>
      <w:rPr>
        <w:noProof/>
      </w:rPr>
      <mc:AlternateContent>
        <mc:Choice Requires="wps">
          <w:drawing>
            <wp:inline distT="0" distB="0" distL="0" distR="0" wp14:anchorId="349DB7EB" wp14:editId="41D82859">
              <wp:extent cx="443865" cy="443865"/>
              <wp:effectExtent l="0" t="0" r="635" b="2540"/>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D4A310" w14:textId="178073F5" w:rsidR="00263806" w:rsidRPr="00263806" w:rsidRDefault="00263806">
                          <w:pPr>
                            <w:rPr>
                              <w:rFonts w:ascii="Calibri" w:eastAsia="Calibri" w:hAnsi="Calibri" w:cs="Calibri"/>
                              <w:noProof/>
                              <w:color w:val="FF0000"/>
                              <w:sz w:val="24"/>
                              <w:szCs w:val="24"/>
                            </w:rPr>
                          </w:pPr>
                          <w:r w:rsidRPr="00D84E3C">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349DB7EB" id="_x0000_t202" coordsize="21600,21600" o:spt="202" path="m,l,21600r21600,l21600,xe">
              <v:stroke joinstyle="miter"/>
              <v:path gradientshapeok="t" o:connecttype="rect"/>
            </v:shapetype>
            <v:shape id="Text Box 1"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B6WA1cFAgAAFwQAAA4AAAAAAAAAAAAA&#10;AAAALgIAAGRycy9lMm9Eb2MueG1sUEsBAi0AFAAGAAgAAAAhAPtUaF7WAAAAAwEAAA8AAAAAAAAA&#10;AAAAAAAAXwQAAGRycy9kb3ducmV2LnhtbFBLBQYAAAAABAAEAPMAAABiBQAAAAA=&#10;" filled="f" stroked="f">
              <v:fill o:detectmouseclick="t"/>
              <v:textbox style="mso-fit-shape-to-text:t" inset="0,0,0,0">
                <w:txbxContent>
                  <w:p w14:paraId="2BD4A310" w14:textId="178073F5" w:rsidR="00263806" w:rsidRPr="00263806" w:rsidRDefault="00263806">
                    <w:pPr>
                      <w:rPr>
                        <w:rFonts w:ascii="Calibri" w:eastAsia="Calibri" w:hAnsi="Calibri" w:cs="Calibri"/>
                        <w:noProof/>
                        <w:color w:val="FF0000"/>
                        <w:sz w:val="24"/>
                        <w:szCs w:val="24"/>
                      </w:rPr>
                    </w:pPr>
                    <w:r w:rsidRPr="00D84E3C">
                      <w:rPr>
                        <w:rFonts w:ascii="Calibri" w:eastAsia="Calibri" w:hAnsi="Calibri" w:cs="Calibri"/>
                        <w:noProof/>
                        <w:color w:val="C00000"/>
                        <w:sz w:val="24"/>
                        <w:szCs w:val="24"/>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1164"/>
    <w:multiLevelType w:val="hybridMultilevel"/>
    <w:tmpl w:val="C220C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8744AA"/>
    <w:multiLevelType w:val="hybridMultilevel"/>
    <w:tmpl w:val="CBAAEFC0"/>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01474F"/>
    <w:multiLevelType w:val="hybridMultilevel"/>
    <w:tmpl w:val="C62C42E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17B7EF0"/>
    <w:multiLevelType w:val="hybridMultilevel"/>
    <w:tmpl w:val="C512D82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A3831D3"/>
    <w:multiLevelType w:val="hybridMultilevel"/>
    <w:tmpl w:val="4260D62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CD1B98"/>
    <w:multiLevelType w:val="hybridMultilevel"/>
    <w:tmpl w:val="73784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D77CC2"/>
    <w:multiLevelType w:val="hybridMultilevel"/>
    <w:tmpl w:val="E63E5A2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76A6567"/>
    <w:multiLevelType w:val="hybridMultilevel"/>
    <w:tmpl w:val="E63E5A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F233BDA"/>
    <w:multiLevelType w:val="hybridMultilevel"/>
    <w:tmpl w:val="A79202A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5F849D1"/>
    <w:multiLevelType w:val="hybridMultilevel"/>
    <w:tmpl w:val="E63E5A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1374FC6"/>
    <w:multiLevelType w:val="hybridMultilevel"/>
    <w:tmpl w:val="0400BFE2"/>
    <w:lvl w:ilvl="0" w:tplc="76D2BD4A">
      <w:start w:val="1"/>
      <w:numFmt w:val="decimal"/>
      <w:lvlText w:val="%1."/>
      <w:lvlJc w:val="left"/>
      <w:pPr>
        <w:ind w:left="720" w:hanging="360"/>
      </w:pPr>
      <w:rPr>
        <w:rFonts w:hint="default"/>
      </w:r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34641B2"/>
    <w:multiLevelType w:val="hybridMultilevel"/>
    <w:tmpl w:val="F2E61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A23DED"/>
    <w:multiLevelType w:val="hybridMultilevel"/>
    <w:tmpl w:val="BCBAA6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DA3173"/>
    <w:multiLevelType w:val="hybridMultilevel"/>
    <w:tmpl w:val="9C2E0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5595711">
    <w:abstractNumId w:val="10"/>
  </w:num>
  <w:num w:numId="2" w16cid:durableId="2009281322">
    <w:abstractNumId w:val="1"/>
  </w:num>
  <w:num w:numId="3" w16cid:durableId="166402921">
    <w:abstractNumId w:val="7"/>
  </w:num>
  <w:num w:numId="4" w16cid:durableId="1598321284">
    <w:abstractNumId w:val="12"/>
  </w:num>
  <w:num w:numId="5" w16cid:durableId="776367999">
    <w:abstractNumId w:val="9"/>
  </w:num>
  <w:num w:numId="6" w16cid:durableId="1126392873">
    <w:abstractNumId w:val="4"/>
  </w:num>
  <w:num w:numId="7" w16cid:durableId="1600286186">
    <w:abstractNumId w:val="6"/>
  </w:num>
  <w:num w:numId="8" w16cid:durableId="825514500">
    <w:abstractNumId w:val="2"/>
  </w:num>
  <w:num w:numId="9" w16cid:durableId="1129401857">
    <w:abstractNumId w:val="8"/>
  </w:num>
  <w:num w:numId="10" w16cid:durableId="1971739574">
    <w:abstractNumId w:val="3"/>
  </w:num>
  <w:num w:numId="11" w16cid:durableId="253977976">
    <w:abstractNumId w:val="13"/>
  </w:num>
  <w:num w:numId="12" w16cid:durableId="1327709027">
    <w:abstractNumId w:val="0"/>
  </w:num>
  <w:num w:numId="13" w16cid:durableId="1330212993">
    <w:abstractNumId w:val="11"/>
  </w:num>
  <w:num w:numId="14" w16cid:durableId="957220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013"/>
    <w:rsid w:val="000223C0"/>
    <w:rsid w:val="000C3EF9"/>
    <w:rsid w:val="000E57D0"/>
    <w:rsid w:val="00121F49"/>
    <w:rsid w:val="00152F64"/>
    <w:rsid w:val="001765CD"/>
    <w:rsid w:val="00176E34"/>
    <w:rsid w:val="00177013"/>
    <w:rsid w:val="001B7248"/>
    <w:rsid w:val="00247AE2"/>
    <w:rsid w:val="00263806"/>
    <w:rsid w:val="00277EA9"/>
    <w:rsid w:val="00376A74"/>
    <w:rsid w:val="00395ECB"/>
    <w:rsid w:val="003C4412"/>
    <w:rsid w:val="004B6DD5"/>
    <w:rsid w:val="004D5CD5"/>
    <w:rsid w:val="00506565"/>
    <w:rsid w:val="0054187F"/>
    <w:rsid w:val="00620E0C"/>
    <w:rsid w:val="00623D24"/>
    <w:rsid w:val="00664205"/>
    <w:rsid w:val="00674A09"/>
    <w:rsid w:val="007A0AB7"/>
    <w:rsid w:val="007A1B7D"/>
    <w:rsid w:val="007A4C6D"/>
    <w:rsid w:val="008A4F26"/>
    <w:rsid w:val="00901653"/>
    <w:rsid w:val="00932141"/>
    <w:rsid w:val="00953061"/>
    <w:rsid w:val="00967B47"/>
    <w:rsid w:val="00975950"/>
    <w:rsid w:val="00A3518C"/>
    <w:rsid w:val="00A40936"/>
    <w:rsid w:val="00A42DC6"/>
    <w:rsid w:val="00AB1D91"/>
    <w:rsid w:val="00AD388F"/>
    <w:rsid w:val="00AE3E7B"/>
    <w:rsid w:val="00B15E7D"/>
    <w:rsid w:val="00B16C81"/>
    <w:rsid w:val="00B63E90"/>
    <w:rsid w:val="00C37213"/>
    <w:rsid w:val="00C408D9"/>
    <w:rsid w:val="00D42D83"/>
    <w:rsid w:val="00D76435"/>
    <w:rsid w:val="00D81453"/>
    <w:rsid w:val="00D84E3C"/>
    <w:rsid w:val="00E43D48"/>
    <w:rsid w:val="00E46884"/>
    <w:rsid w:val="00E718F8"/>
    <w:rsid w:val="00E74A66"/>
    <w:rsid w:val="00EC3654"/>
    <w:rsid w:val="00EC6619"/>
    <w:rsid w:val="00F11F23"/>
    <w:rsid w:val="00F26EB2"/>
    <w:rsid w:val="00F30F5B"/>
    <w:rsid w:val="00F465BC"/>
    <w:rsid w:val="00F66516"/>
    <w:rsid w:val="00FC4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3218A"/>
  <w15:chartTrackingRefBased/>
  <w15:docId w15:val="{28E0CE86-729F-42F9-97F6-83B8CB73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6E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6E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A4F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EB2"/>
    <w:pPr>
      <w:ind w:left="720"/>
      <w:contextualSpacing/>
    </w:pPr>
  </w:style>
  <w:style w:type="character" w:customStyle="1" w:styleId="Heading1Char">
    <w:name w:val="Heading 1 Char"/>
    <w:basedOn w:val="DefaultParagraphFont"/>
    <w:link w:val="Heading1"/>
    <w:uiPriority w:val="9"/>
    <w:rsid w:val="00F26E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26EB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A4F26"/>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022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223C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0223C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2638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806"/>
  </w:style>
  <w:style w:type="paragraph" w:styleId="Footer">
    <w:name w:val="footer"/>
    <w:basedOn w:val="Normal"/>
    <w:link w:val="FooterChar"/>
    <w:uiPriority w:val="99"/>
    <w:unhideWhenUsed/>
    <w:rsid w:val="00263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806"/>
  </w:style>
  <w:style w:type="table" w:styleId="GridTable4-Accent5">
    <w:name w:val="Grid Table 4 Accent 5"/>
    <w:basedOn w:val="TableNormal"/>
    <w:uiPriority w:val="49"/>
    <w:rsid w:val="00C408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876">
      <w:bodyDiv w:val="1"/>
      <w:marLeft w:val="0"/>
      <w:marRight w:val="0"/>
      <w:marTop w:val="0"/>
      <w:marBottom w:val="0"/>
      <w:divBdr>
        <w:top w:val="none" w:sz="0" w:space="0" w:color="auto"/>
        <w:left w:val="none" w:sz="0" w:space="0" w:color="auto"/>
        <w:bottom w:val="none" w:sz="0" w:space="0" w:color="auto"/>
        <w:right w:val="none" w:sz="0" w:space="0" w:color="auto"/>
      </w:divBdr>
    </w:div>
    <w:div w:id="126316894">
      <w:bodyDiv w:val="1"/>
      <w:marLeft w:val="0"/>
      <w:marRight w:val="0"/>
      <w:marTop w:val="0"/>
      <w:marBottom w:val="0"/>
      <w:divBdr>
        <w:top w:val="none" w:sz="0" w:space="0" w:color="auto"/>
        <w:left w:val="none" w:sz="0" w:space="0" w:color="auto"/>
        <w:bottom w:val="none" w:sz="0" w:space="0" w:color="auto"/>
        <w:right w:val="none" w:sz="0" w:space="0" w:color="auto"/>
      </w:divBdr>
    </w:div>
    <w:div w:id="207574562">
      <w:bodyDiv w:val="1"/>
      <w:marLeft w:val="0"/>
      <w:marRight w:val="0"/>
      <w:marTop w:val="0"/>
      <w:marBottom w:val="0"/>
      <w:divBdr>
        <w:top w:val="none" w:sz="0" w:space="0" w:color="auto"/>
        <w:left w:val="none" w:sz="0" w:space="0" w:color="auto"/>
        <w:bottom w:val="none" w:sz="0" w:space="0" w:color="auto"/>
        <w:right w:val="none" w:sz="0" w:space="0" w:color="auto"/>
      </w:divBdr>
    </w:div>
    <w:div w:id="264657964">
      <w:bodyDiv w:val="1"/>
      <w:marLeft w:val="0"/>
      <w:marRight w:val="0"/>
      <w:marTop w:val="0"/>
      <w:marBottom w:val="0"/>
      <w:divBdr>
        <w:top w:val="none" w:sz="0" w:space="0" w:color="auto"/>
        <w:left w:val="none" w:sz="0" w:space="0" w:color="auto"/>
        <w:bottom w:val="none" w:sz="0" w:space="0" w:color="auto"/>
        <w:right w:val="none" w:sz="0" w:space="0" w:color="auto"/>
      </w:divBdr>
    </w:div>
    <w:div w:id="292374275">
      <w:bodyDiv w:val="1"/>
      <w:marLeft w:val="0"/>
      <w:marRight w:val="0"/>
      <w:marTop w:val="0"/>
      <w:marBottom w:val="0"/>
      <w:divBdr>
        <w:top w:val="none" w:sz="0" w:space="0" w:color="auto"/>
        <w:left w:val="none" w:sz="0" w:space="0" w:color="auto"/>
        <w:bottom w:val="none" w:sz="0" w:space="0" w:color="auto"/>
        <w:right w:val="none" w:sz="0" w:space="0" w:color="auto"/>
      </w:divBdr>
    </w:div>
    <w:div w:id="369304772">
      <w:bodyDiv w:val="1"/>
      <w:marLeft w:val="0"/>
      <w:marRight w:val="0"/>
      <w:marTop w:val="0"/>
      <w:marBottom w:val="0"/>
      <w:divBdr>
        <w:top w:val="none" w:sz="0" w:space="0" w:color="auto"/>
        <w:left w:val="none" w:sz="0" w:space="0" w:color="auto"/>
        <w:bottom w:val="none" w:sz="0" w:space="0" w:color="auto"/>
        <w:right w:val="none" w:sz="0" w:space="0" w:color="auto"/>
      </w:divBdr>
    </w:div>
    <w:div w:id="1118178891">
      <w:bodyDiv w:val="1"/>
      <w:marLeft w:val="0"/>
      <w:marRight w:val="0"/>
      <w:marTop w:val="0"/>
      <w:marBottom w:val="0"/>
      <w:divBdr>
        <w:top w:val="none" w:sz="0" w:space="0" w:color="auto"/>
        <w:left w:val="none" w:sz="0" w:space="0" w:color="auto"/>
        <w:bottom w:val="none" w:sz="0" w:space="0" w:color="auto"/>
        <w:right w:val="none" w:sz="0" w:space="0" w:color="auto"/>
      </w:divBdr>
    </w:div>
    <w:div w:id="1164473841">
      <w:bodyDiv w:val="1"/>
      <w:marLeft w:val="0"/>
      <w:marRight w:val="0"/>
      <w:marTop w:val="0"/>
      <w:marBottom w:val="0"/>
      <w:divBdr>
        <w:top w:val="none" w:sz="0" w:space="0" w:color="auto"/>
        <w:left w:val="none" w:sz="0" w:space="0" w:color="auto"/>
        <w:bottom w:val="none" w:sz="0" w:space="0" w:color="auto"/>
        <w:right w:val="none" w:sz="0" w:space="0" w:color="auto"/>
      </w:divBdr>
    </w:div>
    <w:div w:id="1398939077">
      <w:bodyDiv w:val="1"/>
      <w:marLeft w:val="0"/>
      <w:marRight w:val="0"/>
      <w:marTop w:val="0"/>
      <w:marBottom w:val="0"/>
      <w:divBdr>
        <w:top w:val="none" w:sz="0" w:space="0" w:color="auto"/>
        <w:left w:val="none" w:sz="0" w:space="0" w:color="auto"/>
        <w:bottom w:val="none" w:sz="0" w:space="0" w:color="auto"/>
        <w:right w:val="none" w:sz="0" w:space="0" w:color="auto"/>
      </w:divBdr>
    </w:div>
    <w:div w:id="1501119101">
      <w:bodyDiv w:val="1"/>
      <w:marLeft w:val="0"/>
      <w:marRight w:val="0"/>
      <w:marTop w:val="0"/>
      <w:marBottom w:val="0"/>
      <w:divBdr>
        <w:top w:val="none" w:sz="0" w:space="0" w:color="auto"/>
        <w:left w:val="none" w:sz="0" w:space="0" w:color="auto"/>
        <w:bottom w:val="none" w:sz="0" w:space="0" w:color="auto"/>
        <w:right w:val="none" w:sz="0" w:space="0" w:color="auto"/>
      </w:divBdr>
    </w:div>
    <w:div w:id="1559395009">
      <w:bodyDiv w:val="1"/>
      <w:marLeft w:val="0"/>
      <w:marRight w:val="0"/>
      <w:marTop w:val="0"/>
      <w:marBottom w:val="0"/>
      <w:divBdr>
        <w:top w:val="none" w:sz="0" w:space="0" w:color="auto"/>
        <w:left w:val="none" w:sz="0" w:space="0" w:color="auto"/>
        <w:bottom w:val="none" w:sz="0" w:space="0" w:color="auto"/>
        <w:right w:val="none" w:sz="0" w:space="0" w:color="auto"/>
      </w:divBdr>
    </w:div>
    <w:div w:id="161960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008B81976E7B458EC9C573C31C72B6" ma:contentTypeVersion="11" ma:contentTypeDescription="Create a new document." ma:contentTypeScope="" ma:versionID="91f8acb6acbefe60cc92044c650c3ae9">
  <xsd:schema xmlns:xsd="http://www.w3.org/2001/XMLSchema" xmlns:xs="http://www.w3.org/2001/XMLSchema" xmlns:p="http://schemas.microsoft.com/office/2006/metadata/properties" xmlns:ns2="5ec070ae-3bbe-4d5d-bdd9-b219e1746d69" xmlns:ns3="b47cab59-61e5-4668-93d7-c8e0eb71ff06" targetNamespace="http://schemas.microsoft.com/office/2006/metadata/properties" ma:root="true" ma:fieldsID="0aa7d37ee2444199d63404207af77080" ns2:_="" ns3:_="">
    <xsd:import namespace="5ec070ae-3bbe-4d5d-bdd9-b219e1746d69"/>
    <xsd:import namespace="b47cab59-61e5-4668-93d7-c8e0eb71ff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070ae-3bbe-4d5d-bdd9-b219e1746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7cab59-61e5-4668-93d7-c8e0eb71ff0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4E74D-5645-4C0E-86AD-345FBEFA5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070ae-3bbe-4d5d-bdd9-b219e1746d69"/>
    <ds:schemaRef ds:uri="b47cab59-61e5-4668-93d7-c8e0eb71f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072266-48AF-4570-B261-F36C6892FF75}">
  <ds:schemaRefs>
    <ds:schemaRef ds:uri="http://schemas.microsoft.com/sharepoint/v3/contenttype/forms"/>
  </ds:schemaRefs>
</ds:datastoreItem>
</file>

<file path=customXml/itemProps3.xml><?xml version="1.0" encoding="utf-8"?>
<ds:datastoreItem xmlns:ds="http://schemas.openxmlformats.org/officeDocument/2006/customXml" ds:itemID="{395D714F-72B7-4A0C-9252-E0FAC4685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Patiyal</dc:creator>
  <cp:keywords/>
  <dc:description/>
  <cp:lastModifiedBy>Megan Girdler</cp:lastModifiedBy>
  <cp:revision>5</cp:revision>
  <dcterms:created xsi:type="dcterms:W3CDTF">2022-08-12T01:56:00Z</dcterms:created>
  <dcterms:modified xsi:type="dcterms:W3CDTF">2022-08-12T02:37:00Z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5,6,7</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b3d6a607-17d5-4604-8efc-0e6dcdcba3ef_Enabled">
    <vt:lpwstr>true</vt:lpwstr>
  </property>
  <property fmtid="{D5CDD505-2E9C-101B-9397-08002B2CF9AE}" pid="9" name="MSIP_Label_b3d6a607-17d5-4604-8efc-0e6dcdcba3ef_SetDate">
    <vt:lpwstr>2022-08-12T01:56:11Z</vt:lpwstr>
  </property>
  <property fmtid="{D5CDD505-2E9C-101B-9397-08002B2CF9AE}" pid="10" name="MSIP_Label_b3d6a607-17d5-4604-8efc-0e6dcdcba3ef_Method">
    <vt:lpwstr>Privileged</vt:lpwstr>
  </property>
  <property fmtid="{D5CDD505-2E9C-101B-9397-08002B2CF9AE}" pid="11" name="MSIP_Label_b3d6a607-17d5-4604-8efc-0e6dcdcba3ef_Name">
    <vt:lpwstr>OFFICIAL</vt:lpwstr>
  </property>
  <property fmtid="{D5CDD505-2E9C-101B-9397-08002B2CF9AE}" pid="12" name="MSIP_Label_b3d6a607-17d5-4604-8efc-0e6dcdcba3ef_SiteId">
    <vt:lpwstr>a647ddc3-7278-4a1f-9b88-65feade2410b</vt:lpwstr>
  </property>
  <property fmtid="{D5CDD505-2E9C-101B-9397-08002B2CF9AE}" pid="13" name="MSIP_Label_b3d6a607-17d5-4604-8efc-0e6dcdcba3ef_ActionId">
    <vt:lpwstr>1db01275-84c0-458e-b168-789531f4ea43</vt:lpwstr>
  </property>
  <property fmtid="{D5CDD505-2E9C-101B-9397-08002B2CF9AE}" pid="14" name="MSIP_Label_b3d6a607-17d5-4604-8efc-0e6dcdcba3ef_ContentBits">
    <vt:lpwstr>3</vt:lpwstr>
  </property>
</Properties>
</file>