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F4" w:rsidRDefault="005113AA" w:rsidP="005113AA">
      <w:pPr>
        <w:ind w:left="-1418"/>
        <w:sectPr w:rsidR="00C550F4" w:rsidSect="00C550F4">
          <w:footerReference w:type="default" r:id="rId8"/>
          <w:pgSz w:w="11906" w:h="16838"/>
          <w:pgMar w:top="0" w:right="1274" w:bottom="1440" w:left="1440" w:header="708" w:footer="283" w:gutter="0"/>
          <w:cols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615D3811" wp14:editId="503CC103">
            <wp:extent cx="7560000" cy="1368469"/>
            <wp:effectExtent l="0" t="0" r="3175" b="3175"/>
            <wp:docPr id="2" name="Picture 2" descr="Logo: Australian Government, Department of Communications and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469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:rsidR="003C5D02" w:rsidRDefault="00324671" w:rsidP="00324671">
      <w:pPr>
        <w:pStyle w:val="Heading1"/>
        <w:spacing w:before="360" w:after="240"/>
      </w:pPr>
      <w:r>
        <w:t>Archived disclosure log entries—2011</w:t>
      </w:r>
      <w:r w:rsidR="00A02E31">
        <w:t xml:space="preserve"> to </w:t>
      </w:r>
      <w:r>
        <w:t>2016</w:t>
      </w:r>
    </w:p>
    <w:p w:rsidR="00324671" w:rsidRDefault="00324671" w:rsidP="00324671">
      <w:r>
        <w:t>To ensure the department's website contains the most up-to-date and relevant information the department's disclosure log entries from 2011 to 2016 have been archived.</w:t>
      </w:r>
    </w:p>
    <w:p w:rsidR="00324671" w:rsidRPr="00324671" w:rsidRDefault="00324671" w:rsidP="00324671">
      <w:r>
        <w:t xml:space="preserve">The list of archived entries is attached and the documents that were released can be requested by contacting the </w:t>
      </w:r>
      <w:hyperlink r:id="rId10" w:history="1">
        <w:r w:rsidRPr="00324671">
          <w:rPr>
            <w:rStyle w:val="Hyperlink"/>
          </w:rPr>
          <w:t>FOI Coordinator</w:t>
        </w:r>
      </w:hyperlink>
      <w:r>
        <w:t>.</w:t>
      </w:r>
    </w:p>
    <w:tbl>
      <w:tblPr>
        <w:tblStyle w:val="TableGrid1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List of archived disclosure log entries from 2011 to 2016."/>
      </w:tblPr>
      <w:tblGrid>
        <w:gridCol w:w="1560"/>
        <w:gridCol w:w="7796"/>
      </w:tblGrid>
      <w:tr w:rsidR="005113AA" w:rsidRPr="005113AA" w:rsidTr="0048084F">
        <w:trPr>
          <w:cantSplit/>
          <w:tblHeader/>
        </w:trPr>
        <w:tc>
          <w:tcPr>
            <w:tcW w:w="156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5113AA" w:rsidRPr="005113AA" w:rsidRDefault="00324671" w:rsidP="00324671">
            <w:pPr>
              <w:pStyle w:val="Tablerowcolumnheadingcentred"/>
            </w:pPr>
            <w:r>
              <w:t>Date of access</w:t>
            </w:r>
          </w:p>
        </w:tc>
        <w:tc>
          <w:tcPr>
            <w:tcW w:w="77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5113AA" w:rsidRPr="005113AA" w:rsidRDefault="00324671" w:rsidP="00324671">
            <w:pPr>
              <w:pStyle w:val="Tablerowcolumnheading"/>
            </w:pPr>
            <w:r>
              <w:t>Description of documents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30</w:t>
            </w:r>
            <w:r w:rsidR="00A02E31">
              <w:t>–</w:t>
            </w:r>
            <w:r w:rsidRPr="00662E82">
              <w:t>05</w:t>
            </w:r>
            <w:r w:rsidR="00A02E31">
              <w:t>–2011</w:t>
            </w:r>
          </w:p>
        </w:tc>
        <w:tc>
          <w:tcPr>
            <w:tcW w:w="7796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Invoices processed by the department</w:t>
            </w:r>
            <w:r>
              <w:t>—</w:t>
            </w:r>
            <w:r w:rsidRPr="00662E82">
              <w:t>2010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21</w:t>
            </w:r>
            <w:r w:rsidR="00A02E31">
              <w:t>–</w:t>
            </w:r>
            <w:r w:rsidRPr="00662E82">
              <w:t>06</w:t>
            </w:r>
            <w:r w:rsidR="00A02E31">
              <w:t>–2011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Internal Audit reports 2007</w:t>
            </w:r>
            <w:r>
              <w:t>–</w:t>
            </w:r>
            <w:r w:rsidRPr="00662E82">
              <w:t>08, 2008</w:t>
            </w:r>
            <w:r>
              <w:t>–</w:t>
            </w:r>
            <w:r w:rsidRPr="00662E82">
              <w:t>09, 2009</w:t>
            </w:r>
            <w:r>
              <w:t>–</w:t>
            </w:r>
            <w:r w:rsidRPr="00662E82">
              <w:t>10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22</w:t>
            </w:r>
            <w:r w:rsidR="00A02E31">
              <w:t>–</w:t>
            </w:r>
            <w:r w:rsidRPr="00662E82">
              <w:t>06</w:t>
            </w:r>
            <w:r w:rsidR="00A02E31">
              <w:t>–2011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Copy of document tabled in Parliament relating to Evaluation Report for the RFP to Roll-out a National Broadband Network</w:t>
            </w:r>
            <w:r>
              <w:t>—</w:t>
            </w:r>
            <w:r w:rsidRPr="00662E82">
              <w:t>January 2009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13</w:t>
            </w:r>
            <w:r w:rsidR="00A02E31">
              <w:t>–</w:t>
            </w:r>
            <w:r w:rsidRPr="00662E82">
              <w:t>07</w:t>
            </w:r>
            <w:r w:rsidR="00A02E31">
              <w:t>–2011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Report of Household Assistance Scheme complaints database for Regional Victoria onwards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15</w:t>
            </w:r>
            <w:r w:rsidR="00A02E31">
              <w:t>–</w:t>
            </w:r>
            <w:r w:rsidRPr="00662E82">
              <w:t>07</w:t>
            </w:r>
            <w:r w:rsidR="00A02E31">
              <w:t>–2011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Ad hoc papers relating to Casualties of Telstra matters 2005</w:t>
            </w:r>
            <w:r>
              <w:t>–</w:t>
            </w:r>
            <w:r w:rsidRPr="00662E82">
              <w:t>06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</w:t>
            </w:r>
            <w:r w:rsidR="00A02E31">
              <w:t>–</w:t>
            </w:r>
            <w:r w:rsidRPr="00662E82">
              <w:t>08</w:t>
            </w:r>
            <w:r w:rsidR="00A02E31">
              <w:t>–2011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B94217">
            <w:pPr>
              <w:pStyle w:val="Tabletext"/>
            </w:pPr>
            <w:r w:rsidRPr="00662E82">
              <w:t>Representations to the department by carriers, service providers (and others) in relation to different call rates to 1300 and 1800 numbers from mobile phones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10</w:t>
            </w:r>
            <w:r w:rsidR="00A02E31">
              <w:t>–</w:t>
            </w:r>
            <w:r w:rsidRPr="00662E82">
              <w:t>08</w:t>
            </w:r>
            <w:r w:rsidR="00A02E31">
              <w:t>–2011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Documents relating to the appointment of the NBN Chief Executive Officer; and documents referring to Alcatel-Lucent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12</w:t>
            </w:r>
            <w:r w:rsidR="00A02E31">
              <w:t>–</w:t>
            </w:r>
            <w:r w:rsidRPr="00662E82">
              <w:t>08</w:t>
            </w:r>
            <w:r w:rsidR="00A02E31">
              <w:t>–2011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The department's electricity usage and expenditure 2010</w:t>
            </w:r>
            <w:r w:rsidR="00A02E31">
              <w:t>–2011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25</w:t>
            </w:r>
            <w:r w:rsidR="00A02E31">
              <w:t>–</w:t>
            </w:r>
            <w:r w:rsidRPr="00662E82">
              <w:t>08</w:t>
            </w:r>
            <w:r w:rsidR="00A02E31">
              <w:t>–2011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Correspondence between the department and the ACMA regarding complaint about the broadcast of R18+ films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5</w:t>
            </w:r>
            <w:r w:rsidR="00A02E31">
              <w:t>–</w:t>
            </w:r>
            <w:r w:rsidRPr="00662E82">
              <w:t>09</w:t>
            </w:r>
            <w:r w:rsidR="00A02E31">
              <w:t>–2011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Ministerial briefing notes and ministerial correspondence between 1 June 2011 and 29 June 2011 regarding the Australia Network tender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6</w:t>
            </w:r>
            <w:r w:rsidR="00A02E31">
              <w:t>–</w:t>
            </w:r>
            <w:r w:rsidRPr="00662E82">
              <w:t>10</w:t>
            </w:r>
            <w:r w:rsidR="00A02E31">
              <w:t>–2011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Documents regarding the Australia Network tender process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20</w:t>
            </w:r>
            <w:r w:rsidR="00A02E31">
              <w:t>–</w:t>
            </w:r>
            <w:r w:rsidRPr="00662E82">
              <w:t>10</w:t>
            </w:r>
            <w:r w:rsidR="00A02E31">
              <w:t>–2011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Documents regarding the appointment, composition, role, meeting and consultation schedule for the panel charged with deciding the Australia Network tender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28</w:t>
            </w:r>
            <w:r w:rsidR="00A02E31">
              <w:t>–11–2011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Usage of credit cards issued by the department to departmental staff</w:t>
            </w:r>
            <w:r>
              <w:t>—</w:t>
            </w:r>
            <w:r w:rsidRPr="00662E82">
              <w:t>July 2010</w:t>
            </w:r>
            <w:r>
              <w:t>—</w:t>
            </w:r>
            <w:r w:rsidRPr="00662E82">
              <w:t>September 2011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28</w:t>
            </w:r>
            <w:r w:rsidR="00A02E31">
              <w:t>–11–2011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Documents relating to services provided by Telstra to consumers at a lower price than might otherwise be achieved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19</w:t>
            </w:r>
            <w:r w:rsidR="00A02E31">
              <w:t>–12–2011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Voluntary internet filtering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22</w:t>
            </w:r>
            <w:r w:rsidR="00A02E31">
              <w:t>–12–2011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Documents relating to tax deductibility status or support for not-for-profit journalism enterprises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20</w:t>
            </w:r>
            <w:r w:rsidR="00A02E31">
              <w:t>–</w:t>
            </w:r>
            <w:r w:rsidRPr="00662E82">
              <w:t>01</w:t>
            </w:r>
            <w:r w:rsidR="00A02E31">
              <w:t>–2012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Expenses paid to, or claimed by, members of the Independent Media Inquiry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48084F">
            <w:pPr>
              <w:pStyle w:val="Tabletextcentred"/>
              <w:spacing w:before="40"/>
            </w:pPr>
            <w:r w:rsidRPr="00662E82">
              <w:lastRenderedPageBreak/>
              <w:t>6</w:t>
            </w:r>
            <w:r w:rsidR="00A02E31">
              <w:t>–</w:t>
            </w:r>
            <w:r w:rsidRPr="00662E82">
              <w:t>02</w:t>
            </w:r>
            <w:r w:rsidR="00A02E31">
              <w:t>–2012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48084F">
            <w:pPr>
              <w:pStyle w:val="Tabletext"/>
              <w:spacing w:before="40"/>
            </w:pPr>
            <w:r w:rsidRPr="00662E82">
              <w:t>Reimbursement of unintentional personal expenditure on Commonwealth credit cards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14</w:t>
            </w:r>
            <w:r w:rsidR="00A02E31">
              <w:t>–</w:t>
            </w:r>
            <w:r w:rsidRPr="00662E82">
              <w:t>02</w:t>
            </w:r>
            <w:r w:rsidR="00A02E31">
              <w:t>–2012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Year of birth of all new employees hired by the department between 1</w:t>
            </w:r>
            <w:r>
              <w:t> October 2009</w:t>
            </w:r>
            <w:r w:rsidRPr="00662E82">
              <w:t xml:space="preserve"> and 1</w:t>
            </w:r>
            <w:r>
              <w:t> October 2011</w:t>
            </w:r>
            <w:r w:rsidRPr="00662E82">
              <w:t>; recruitment firms utilised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23</w:t>
            </w:r>
            <w:r w:rsidR="00A02E31">
              <w:t>–</w:t>
            </w:r>
            <w:r w:rsidRPr="00662E82">
              <w:t>03</w:t>
            </w:r>
            <w:r w:rsidR="00A02E31">
              <w:t>–2012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Incidental emails regarding the appointment of Lazard to advise the government on its agreement with Telstra to participate in the NBN. Note: the majority of documents covered by this request are publicly available.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23</w:t>
            </w:r>
            <w:r w:rsidR="00A02E31">
              <w:t>–</w:t>
            </w:r>
            <w:r w:rsidRPr="00662E82">
              <w:t>04</w:t>
            </w:r>
            <w:r w:rsidR="00A02E31">
              <w:t>–2012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Report on Feasibility Study into a Telecommunications Disability Equipment Program December 2009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7</w:t>
            </w:r>
            <w:r w:rsidR="00A02E31">
              <w:t>–</w:t>
            </w:r>
            <w:r w:rsidRPr="00662E82">
              <w:t>05</w:t>
            </w:r>
            <w:r w:rsidR="00A02E31">
              <w:t>–2012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Contractual arrangements</w:t>
            </w:r>
            <w:r>
              <w:t>—</w:t>
            </w:r>
            <w:r w:rsidRPr="00662E82">
              <w:t>set-top box roll out</w:t>
            </w:r>
            <w:r>
              <w:t>—</w:t>
            </w:r>
            <w:r w:rsidRPr="00662E82">
              <w:t>Gippsland Region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8</w:t>
            </w:r>
            <w:r w:rsidR="00A02E31">
              <w:t>–</w:t>
            </w:r>
            <w:r w:rsidRPr="00662E82">
              <w:t>05</w:t>
            </w:r>
            <w:r w:rsidR="00A02E31">
              <w:t>–2012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Independent Media Inquiry</w:t>
            </w:r>
            <w:r>
              <w:t>—</w:t>
            </w:r>
            <w:r w:rsidRPr="00662E82">
              <w:t>suggested or proposed persons to conduct or assist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15</w:t>
            </w:r>
            <w:r w:rsidR="00A02E31">
              <w:t>–</w:t>
            </w:r>
            <w:r w:rsidRPr="00662E82">
              <w:t>05</w:t>
            </w:r>
            <w:r w:rsidR="00A02E31">
              <w:t>–2012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Reports from Gibson Quai</w:t>
            </w:r>
            <w:r>
              <w:t>—</w:t>
            </w:r>
            <w:r w:rsidRPr="00662E82">
              <w:t>AAS Pty Ltd on the analysis of public safety mobile broadband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8</w:t>
            </w:r>
            <w:r w:rsidR="00A02E31">
              <w:t>–</w:t>
            </w:r>
            <w:r w:rsidRPr="00662E82">
              <w:t>06</w:t>
            </w:r>
            <w:r w:rsidR="00A02E31">
              <w:t>–2012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Letter to the residents of Koroit regarding the Koroit Post Office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8</w:t>
            </w:r>
            <w:r w:rsidR="00A02E31">
              <w:t>–</w:t>
            </w:r>
            <w:r w:rsidRPr="00662E82">
              <w:t>06</w:t>
            </w:r>
            <w:r w:rsidR="00A02E31">
              <w:t>–2012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Additional document</w:t>
            </w:r>
            <w:r>
              <w:t>—</w:t>
            </w:r>
            <w:r w:rsidRPr="00662E82">
              <w:t>Contractual arrangements</w:t>
            </w:r>
            <w:r>
              <w:t>—</w:t>
            </w:r>
            <w:r w:rsidRPr="00662E82">
              <w:t>set-top box roll out</w:t>
            </w:r>
            <w:r>
              <w:t>—</w:t>
            </w:r>
            <w:r w:rsidRPr="00662E82">
              <w:t>Gippsland Region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29</w:t>
            </w:r>
            <w:r w:rsidR="00A02E31">
              <w:t>–</w:t>
            </w:r>
            <w:r w:rsidRPr="00662E82">
              <w:t>06</w:t>
            </w:r>
            <w:r w:rsidR="00A02E31">
              <w:t>–2012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Cyber security research undertaken by the Department since 1 January 2012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24</w:t>
            </w:r>
            <w:r w:rsidR="00A02E31">
              <w:t>–</w:t>
            </w:r>
            <w:r w:rsidRPr="00662E82">
              <w:t>07</w:t>
            </w:r>
            <w:r w:rsidR="00A02E31">
              <w:t>–2012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Correspondence to or from the Minister's Office relating to interactive gambling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</w:t>
            </w:r>
            <w:r w:rsidR="00A02E31">
              <w:t>–</w:t>
            </w:r>
            <w:r w:rsidRPr="00662E82">
              <w:t>08</w:t>
            </w:r>
            <w:r w:rsidR="00A02E31">
              <w:t>–2012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B94217">
            <w:pPr>
              <w:pStyle w:val="Tabletext"/>
            </w:pPr>
            <w:r w:rsidRPr="00662E82">
              <w:t>Details on the Department's information telephone lines for the years 2009</w:t>
            </w:r>
            <w:r>
              <w:t>–</w:t>
            </w:r>
            <w:r w:rsidRPr="00662E82">
              <w:t>10, 2010</w:t>
            </w:r>
            <w:r w:rsidR="00B94217">
              <w:t>–</w:t>
            </w:r>
            <w:r w:rsidR="00A02E31">
              <w:t>2011</w:t>
            </w:r>
            <w:r w:rsidRPr="00662E82">
              <w:t xml:space="preserve"> and 2011</w:t>
            </w:r>
            <w:r w:rsidR="00B94217">
              <w:t>–</w:t>
            </w:r>
            <w:r w:rsidR="00A02E31">
              <w:t>2012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27</w:t>
            </w:r>
            <w:r w:rsidR="00A02E31">
              <w:t>–</w:t>
            </w:r>
            <w:r w:rsidRPr="00662E82">
              <w:t>08</w:t>
            </w:r>
            <w:r w:rsidR="00A02E31">
              <w:t>–2012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 xml:space="preserve">Final copies briefing notes provided to the Minister relating to the digital set top box roll out since </w:t>
            </w:r>
            <w:r>
              <w:t>1 </w:t>
            </w:r>
            <w:r w:rsidRPr="00662E82">
              <w:t>November 2011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5</w:t>
            </w:r>
            <w:r w:rsidR="00A02E31">
              <w:t>–</w:t>
            </w:r>
            <w:r w:rsidRPr="00662E82">
              <w:t>09</w:t>
            </w:r>
            <w:r w:rsidR="00A02E31">
              <w:t>–2012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Final versions of Ministerial Submissions relatin</w:t>
            </w:r>
            <w:r>
              <w:t>g to the NBN roll out between 1 </w:t>
            </w:r>
            <w:r w:rsidRPr="00662E82">
              <w:t>April 2012 and 30 May 2012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15</w:t>
            </w:r>
            <w:r w:rsidR="00A02E31">
              <w:t>–</w:t>
            </w:r>
            <w:r w:rsidRPr="00662E82">
              <w:t>10</w:t>
            </w:r>
            <w:r w:rsidR="00A02E31">
              <w:t>–2012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Documents relating to the Stay Smart Online Alert Service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26</w:t>
            </w:r>
            <w:r w:rsidR="00A02E31">
              <w:t>–</w:t>
            </w:r>
            <w:r w:rsidRPr="00662E82">
              <w:t>10</w:t>
            </w:r>
            <w:r w:rsidR="00A02E31">
              <w:t>–2012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Documents concerning market research prepared under Commonwealth Contract Notice CN475348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26</w:t>
            </w:r>
            <w:r w:rsidR="00A02E31">
              <w:t>–</w:t>
            </w:r>
            <w:r w:rsidRPr="00662E82">
              <w:t>10</w:t>
            </w:r>
            <w:r w:rsidR="00A02E31">
              <w:t>–2012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Senior Executive Correspondence concerning the status of the Trans-Tasman Mobile Roaming Draft Report between 1 May 2012 and 11 July 2012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26</w:t>
            </w:r>
            <w:r w:rsidR="00A02E31">
              <w:t>–11–2012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Documents relating to the NBN Co Corporate Plan between 1 May 2012 and 8</w:t>
            </w:r>
            <w:r>
              <w:t> </w:t>
            </w:r>
            <w:r w:rsidRPr="00662E82">
              <w:t>August 2012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26</w:t>
            </w:r>
            <w:r w:rsidR="00A02E31">
              <w:t>–11–2012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Additional Document</w:t>
            </w:r>
            <w:r>
              <w:t>—</w:t>
            </w:r>
            <w:r w:rsidRPr="00662E82">
              <w:t>Documents relating to the Stay Smart Online Alert Service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19</w:t>
            </w:r>
            <w:r w:rsidR="00A02E31">
              <w:t>–12–2012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Documents relating to questions on notice asked as part of the Joint Committee on the National Broadband Network's (JCNBN's) Fourth Review of the NBN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20</w:t>
            </w:r>
            <w:r w:rsidR="00A02E31">
              <w:t>–12–2012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 xml:space="preserve">Documents relating to distribution of the Department's </w:t>
            </w:r>
            <w:proofErr w:type="spellStart"/>
            <w:r w:rsidRPr="00662E82">
              <w:t>Cybersafety</w:t>
            </w:r>
            <w:proofErr w:type="spellEnd"/>
            <w:r w:rsidRPr="00662E82">
              <w:t xml:space="preserve"> Help Button by third party platforms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7</w:t>
            </w:r>
            <w:r w:rsidR="00A02E31">
              <w:t>–</w:t>
            </w:r>
            <w:r w:rsidRPr="00662E82">
              <w:t>01</w:t>
            </w:r>
            <w:r w:rsidR="00A02E31">
              <w:t>–2013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Documents relating to the Government's decision to drop its policy for mandatory ISP level internet filtering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48084F">
            <w:pPr>
              <w:pStyle w:val="Tabletextcentred"/>
              <w:spacing w:before="40"/>
            </w:pPr>
            <w:r w:rsidRPr="00662E82">
              <w:lastRenderedPageBreak/>
              <w:t>11</w:t>
            </w:r>
            <w:r w:rsidR="00A02E31">
              <w:t>–</w:t>
            </w:r>
            <w:r w:rsidRPr="00662E82">
              <w:t>01</w:t>
            </w:r>
            <w:r w:rsidR="00A02E31">
              <w:t>–2013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48084F">
            <w:pPr>
              <w:pStyle w:val="Tabletext"/>
              <w:spacing w:before="40"/>
            </w:pPr>
            <w:r w:rsidRPr="00662E82">
              <w:t>Additional Documents</w:t>
            </w:r>
            <w:r>
              <w:t>—</w:t>
            </w:r>
            <w:r w:rsidRPr="00662E82">
              <w:t>Documents relating to the Stay Smart Online Alert Service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6</w:t>
            </w:r>
            <w:r w:rsidR="00A02E31">
              <w:t>–</w:t>
            </w:r>
            <w:r w:rsidRPr="00662E82">
              <w:t>03</w:t>
            </w:r>
            <w:r w:rsidR="00A02E31">
              <w:t>–2013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Analysis prepared by the Department regarding the impact of expanded data interception and retention powers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7</w:t>
            </w:r>
            <w:r w:rsidR="00A02E31">
              <w:t>–</w:t>
            </w:r>
            <w:r w:rsidRPr="00662E82">
              <w:t>03</w:t>
            </w:r>
            <w:r w:rsidR="00A02E31">
              <w:t>–2013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Documents relating to Public Safety mobile broadband spectrum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8</w:t>
            </w:r>
            <w:r w:rsidR="00A02E31">
              <w:t>–</w:t>
            </w:r>
            <w:r w:rsidRPr="00662E82">
              <w:t>03</w:t>
            </w:r>
            <w:r w:rsidR="00A02E31">
              <w:t>–2013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Documents regarding the federal election period and the Broadcasting Services Act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23</w:t>
            </w:r>
            <w:r w:rsidR="00A02E31">
              <w:t>–</w:t>
            </w:r>
            <w:r w:rsidRPr="00662E82">
              <w:t>04</w:t>
            </w:r>
            <w:r w:rsidR="00A02E31">
              <w:t>–2013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Documents listed on the Department's archive website relating to Data Retention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9</w:t>
            </w:r>
            <w:r w:rsidR="00A02E31">
              <w:t>–</w:t>
            </w:r>
            <w:r w:rsidRPr="00662E82">
              <w:t>05</w:t>
            </w:r>
            <w:r w:rsidR="00A02E31">
              <w:t>–2013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Formal correspondence relating to media reform, from Federal Labor MPs to the Minister for Broadband, Communications and the Digital Economy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4</w:t>
            </w:r>
            <w:r w:rsidR="00A02E31">
              <w:t>–</w:t>
            </w:r>
            <w:r w:rsidRPr="00662E82">
              <w:t>06</w:t>
            </w:r>
            <w:r w:rsidR="00A02E31">
              <w:t>–2013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Correspondence to NBN Co February</w:t>
            </w:r>
            <w:r>
              <w:t>—</w:t>
            </w:r>
            <w:r w:rsidRPr="00662E82">
              <w:t>March 2013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16</w:t>
            </w:r>
            <w:r w:rsidR="00A02E31">
              <w:t>–</w:t>
            </w:r>
            <w:r w:rsidRPr="00662E82">
              <w:t>07</w:t>
            </w:r>
            <w:r w:rsidR="00A02E31">
              <w:t>–2013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Additional Documents</w:t>
            </w:r>
            <w:r>
              <w:t>—</w:t>
            </w:r>
            <w:r w:rsidRPr="00662E82">
              <w:t>Correspondence to NBN Co February</w:t>
            </w:r>
            <w:r>
              <w:t>—</w:t>
            </w:r>
            <w:r w:rsidRPr="00662E82">
              <w:t>March 2013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26</w:t>
            </w:r>
            <w:r w:rsidR="00A02E31">
              <w:t>–</w:t>
            </w:r>
            <w:r w:rsidRPr="00662E82">
              <w:t>07</w:t>
            </w:r>
            <w:r w:rsidR="00A02E31">
              <w:t>–2013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Departmental Briefing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11</w:t>
            </w:r>
            <w:r w:rsidR="00A02E31">
              <w:t>–11–2013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Incoming Government Briefs (blue book)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</w:t>
            </w:r>
            <w:r w:rsidR="00A02E31">
              <w:t>–11–2013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IMB June 2013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18</w:t>
            </w:r>
            <w:r w:rsidR="00A02E31">
              <w:t>–12–2013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Significant documents relating to the use of s.313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3</w:t>
            </w:r>
            <w:r w:rsidR="00A02E31">
              <w:t>–</w:t>
            </w:r>
            <w:r w:rsidRPr="00662E82">
              <w:t>02</w:t>
            </w:r>
            <w:r w:rsidR="00A02E31">
              <w:t>–2014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Correspondence regarding asbestos safety concerns linked to the NBN roll-out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17</w:t>
            </w:r>
            <w:r w:rsidR="00A02E31">
              <w:t>–</w:t>
            </w:r>
            <w:r w:rsidRPr="00662E82">
              <w:t>02</w:t>
            </w:r>
            <w:r w:rsidR="00A02E31">
              <w:t>–2014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Documents indicating websites blocked using s.313 of the Telecommunications Act 1997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24</w:t>
            </w:r>
            <w:r w:rsidR="00A02E31">
              <w:t>–</w:t>
            </w:r>
            <w:r w:rsidRPr="00662E82">
              <w:t>03</w:t>
            </w:r>
            <w:r w:rsidR="00A02E31">
              <w:t>–2014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 xml:space="preserve">Monthly </w:t>
            </w:r>
            <w:proofErr w:type="spellStart"/>
            <w:r w:rsidRPr="00662E82">
              <w:t>Cybersafety</w:t>
            </w:r>
            <w:proofErr w:type="spellEnd"/>
            <w:r w:rsidRPr="00662E82">
              <w:t xml:space="preserve"> Help Button Statistics 2014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28</w:t>
            </w:r>
            <w:r w:rsidR="00A02E31">
              <w:t>–</w:t>
            </w:r>
            <w:r w:rsidRPr="00662E82">
              <w:t>03</w:t>
            </w:r>
            <w:r w:rsidR="00A02E31">
              <w:t>–2014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Telstra Definitive Agreement</w:t>
            </w:r>
            <w:r>
              <w:t>—</w:t>
            </w:r>
            <w:r w:rsidRPr="00662E82">
              <w:t>CPI Payment Dispute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</w:t>
            </w:r>
            <w:r w:rsidR="00A02E31">
              <w:t>–</w:t>
            </w:r>
            <w:r w:rsidRPr="00662E82">
              <w:t>05</w:t>
            </w:r>
            <w:r w:rsidR="00A02E31">
              <w:t>–2014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Documents relating to the Digital Enterprise Program</w:t>
            </w:r>
            <w:r>
              <w:t>—</w:t>
            </w:r>
            <w:r w:rsidRPr="00662E82">
              <w:t>Melbourne’s Inner South, South East and Mornington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22</w:t>
            </w:r>
            <w:r w:rsidR="00A02E31">
              <w:t>–</w:t>
            </w:r>
            <w:r w:rsidRPr="00662E82">
              <w:t>04</w:t>
            </w:r>
            <w:r w:rsidR="00A02E31">
              <w:t>–2014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Documents relating to the My Broadband Website Tool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</w:t>
            </w:r>
            <w:r w:rsidR="00A02E31">
              <w:t>–</w:t>
            </w:r>
            <w:r w:rsidRPr="00662E82">
              <w:t>06</w:t>
            </w:r>
            <w:r w:rsidR="00A02E31">
              <w:t>–2014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Extract</w:t>
            </w:r>
            <w:r>
              <w:t>—</w:t>
            </w:r>
            <w:r w:rsidRPr="00662E82">
              <w:t>Digital Switchover Service Contractor User Guide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11</w:t>
            </w:r>
            <w:r w:rsidR="00A02E31">
              <w:t>–</w:t>
            </w:r>
            <w:r w:rsidRPr="00662E82">
              <w:t>06</w:t>
            </w:r>
            <w:r w:rsidR="00A02E31">
              <w:t>–2014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Documents relating to print media expenditure for the Minister’s Office since 18 September 2013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11</w:t>
            </w:r>
            <w:r w:rsidR="00A02E31">
              <w:t>–</w:t>
            </w:r>
            <w:r w:rsidRPr="00662E82">
              <w:t>06</w:t>
            </w:r>
            <w:r w:rsidR="00A02E31">
              <w:t>–2014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Documents showing the number of Ministerial Briefs prepared by the Department at the request of the Ministers Office since 18 September 2013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12</w:t>
            </w:r>
            <w:r w:rsidR="00A02E31">
              <w:t>–</w:t>
            </w:r>
            <w:r w:rsidRPr="00662E82">
              <w:t>06</w:t>
            </w:r>
            <w:r w:rsidR="00A02E31">
              <w:t>–2014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Documents relating to data retention and the national security reform proposals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13</w:t>
            </w:r>
            <w:r w:rsidR="00A02E31">
              <w:t>–</w:t>
            </w:r>
            <w:r w:rsidRPr="00662E82">
              <w:t>06</w:t>
            </w:r>
            <w:r w:rsidR="00A02E31">
              <w:t>–2014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Email communication between the Department and representatives of Australian Screen Association between 7 September 2013 and 14 April 2014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26</w:t>
            </w:r>
            <w:r w:rsidR="00A02E31">
              <w:t>–</w:t>
            </w:r>
            <w:r w:rsidRPr="00662E82">
              <w:t>06</w:t>
            </w:r>
            <w:r w:rsidR="00A02E31">
              <w:t>–2014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Documents relating to a transition to DVB-T2 and MPEG-4 broadcasts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</w:t>
            </w:r>
            <w:r w:rsidR="00A02E31">
              <w:t>–</w:t>
            </w:r>
            <w:r w:rsidRPr="00662E82">
              <w:t>07</w:t>
            </w:r>
            <w:r w:rsidR="00A02E31">
              <w:t>–2014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Stay Smart Online video</w:t>
            </w:r>
            <w:r w:rsidR="00A02E31">
              <w:t>–</w:t>
            </w:r>
            <w:r w:rsidRPr="00662E82">
              <w:t>ambassador budget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4</w:t>
            </w:r>
            <w:r w:rsidR="00A02E31">
              <w:t>–</w:t>
            </w:r>
            <w:r w:rsidRPr="00662E82">
              <w:t>07</w:t>
            </w:r>
            <w:r w:rsidR="00A02E31">
              <w:t>–2014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Office of the Parliamentary Secretary Expenditure</w:t>
            </w:r>
            <w:r>
              <w:t>—</w:t>
            </w:r>
            <w:r w:rsidRPr="00662E82">
              <w:t>18</w:t>
            </w:r>
            <w:r>
              <w:t xml:space="preserve"> September </w:t>
            </w:r>
            <w:r w:rsidRPr="00662E82">
              <w:t>2013 to 3</w:t>
            </w:r>
            <w:r>
              <w:t xml:space="preserve"> June </w:t>
            </w:r>
            <w:r w:rsidRPr="00662E82">
              <w:t>2014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48084F">
            <w:pPr>
              <w:pStyle w:val="Tabletextcentred"/>
            </w:pPr>
            <w:r w:rsidRPr="00662E82">
              <w:t>4</w:t>
            </w:r>
            <w:r w:rsidR="00A02E31">
              <w:t>–</w:t>
            </w:r>
            <w:r w:rsidRPr="00662E82">
              <w:t>07</w:t>
            </w:r>
            <w:r w:rsidR="00A02E31">
              <w:t>–2014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48084F">
            <w:pPr>
              <w:pStyle w:val="Tabletext"/>
            </w:pPr>
            <w:r w:rsidRPr="00662E82">
              <w:t>Ministerial Submissions prepared for the Communications Minister since 18 September 2013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48084F">
            <w:pPr>
              <w:pStyle w:val="Tabletextcentred"/>
              <w:spacing w:before="40"/>
            </w:pPr>
            <w:r w:rsidRPr="00662E82">
              <w:lastRenderedPageBreak/>
              <w:t>8</w:t>
            </w:r>
            <w:r w:rsidR="00A02E31">
              <w:t>–</w:t>
            </w:r>
            <w:r w:rsidRPr="00662E82">
              <w:t>07</w:t>
            </w:r>
            <w:r w:rsidR="00A02E31">
              <w:t>–2014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48084F">
            <w:pPr>
              <w:pStyle w:val="Tabletext"/>
              <w:spacing w:before="40"/>
            </w:pPr>
            <w:r w:rsidRPr="00662E82">
              <w:t>Former Minister’s Overseas Travel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14</w:t>
            </w:r>
            <w:r w:rsidR="00A02E31">
              <w:t>–</w:t>
            </w:r>
            <w:r w:rsidRPr="00662E82">
              <w:t>07</w:t>
            </w:r>
            <w:r w:rsidR="00A02E31">
              <w:t>–2014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Documents relating to website blocking under s.313 of the Telecommunications Act 1997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</w:t>
            </w:r>
            <w:r w:rsidR="00A02E31">
              <w:t>–</w:t>
            </w:r>
            <w:r w:rsidRPr="00662E82">
              <w:t>09</w:t>
            </w:r>
            <w:r w:rsidR="00A02E31">
              <w:t>–2014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Incoming Government Briefs (blue book)</w:t>
            </w:r>
            <w:r>
              <w:t>—</w:t>
            </w:r>
            <w:r w:rsidRPr="00662E82">
              <w:t>documents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</w:t>
            </w:r>
            <w:r w:rsidR="00A02E31">
              <w:t>–</w:t>
            </w:r>
            <w:r w:rsidRPr="00662E82">
              <w:t>09</w:t>
            </w:r>
            <w:r w:rsidR="00A02E31">
              <w:t>–2014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Dee</w:t>
            </w:r>
            <w:bookmarkStart w:id="0" w:name="_GoBack"/>
            <w:bookmarkEnd w:id="0"/>
            <w:r w:rsidRPr="00662E82">
              <w:t>d of Agreement between the Commonwealth and (</w:t>
            </w:r>
            <w:proofErr w:type="spellStart"/>
            <w:r w:rsidRPr="00662E82">
              <w:t>Skybridge</w:t>
            </w:r>
            <w:proofErr w:type="spellEnd"/>
            <w:r w:rsidRPr="00662E82">
              <w:t>) Australia Pty Limited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20</w:t>
            </w:r>
            <w:r w:rsidR="00A02E31">
              <w:t>–</w:t>
            </w:r>
            <w:r w:rsidRPr="00662E82">
              <w:t>10</w:t>
            </w:r>
            <w:r w:rsidR="00A02E31">
              <w:t>–2014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ABC</w:t>
            </w:r>
            <w:r w:rsidR="00A02E31">
              <w:t>–</w:t>
            </w:r>
            <w:r w:rsidRPr="00662E82">
              <w:t>SBS Efficiency Review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16</w:t>
            </w:r>
            <w:r w:rsidR="00A02E31">
              <w:t>–</w:t>
            </w:r>
            <w:r w:rsidRPr="00662E82">
              <w:t>10</w:t>
            </w:r>
            <w:r w:rsidR="00A02E31">
              <w:t>–2014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Ministerial international travel</w:t>
            </w:r>
            <w:r>
              <w:t>—</w:t>
            </w:r>
            <w:r w:rsidRPr="00662E82">
              <w:t>itinerary and costing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10</w:t>
            </w:r>
            <w:r w:rsidR="00A02E31">
              <w:t>–11–2014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Board appointments</w:t>
            </w:r>
            <w:r>
              <w:t>—</w:t>
            </w:r>
            <w:r w:rsidRPr="00662E82">
              <w:t>ABC and SBS nomination panel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10</w:t>
            </w:r>
            <w:r w:rsidR="00A02E31">
              <w:t>–11–2014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Board appointments</w:t>
            </w:r>
            <w:r>
              <w:t>—</w:t>
            </w:r>
            <w:r w:rsidRPr="00662E82">
              <w:t>ABC and SBS nomination panel (MO)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24</w:t>
            </w:r>
            <w:r w:rsidR="00A02E31">
              <w:t>–11–2014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NBN FTTN trial speeds Umina Beach media release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10</w:t>
            </w:r>
            <w:r w:rsidR="00A02E31">
              <w:t>–</w:t>
            </w:r>
            <w:r w:rsidRPr="00662E82">
              <w:t>03</w:t>
            </w:r>
            <w:r w:rsidR="00A02E31">
              <w:t>–2015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Draft Carrier Licence Condition Consultation announced 15 October 2014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14</w:t>
            </w:r>
            <w:r w:rsidR="00A02E31">
              <w:t>–</w:t>
            </w:r>
            <w:r w:rsidRPr="00662E82">
              <w:t>10</w:t>
            </w:r>
            <w:r w:rsidR="00A02E31">
              <w:t>–2015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Letter from Ministers to NBN Co dated 28 April 2015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25</w:t>
            </w:r>
            <w:r w:rsidR="00A02E31">
              <w:t>–11–2015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Media release: ASX announcement</w:t>
            </w:r>
            <w:r>
              <w:t>—</w:t>
            </w:r>
            <w:proofErr w:type="spellStart"/>
            <w:r w:rsidRPr="00662E82">
              <w:t>Singtel</w:t>
            </w:r>
            <w:proofErr w:type="spellEnd"/>
            <w:r w:rsidRPr="00662E82">
              <w:t xml:space="preserve"> plans to de-list from Australian Stock Exchange</w:t>
            </w:r>
            <w:r>
              <w:t>—</w:t>
            </w:r>
            <w:r w:rsidRPr="00662E82">
              <w:t>21 April 2015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16</w:t>
            </w:r>
            <w:r w:rsidR="00A02E31">
              <w:t>–12–2015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Communications Portfolio, Incoming Minister’s Brief, Part 1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16</w:t>
            </w:r>
            <w:r w:rsidR="00A02E31">
              <w:t>–12–2015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Communications Portfolio, Incoming Minister’s Brief, Part 2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23</w:t>
            </w:r>
            <w:r w:rsidR="00A02E31">
              <w:t>–12–2015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Arts Portfolio, Incoming Minister’s Brief, Part 1</w:t>
            </w:r>
            <w:r>
              <w:t>–</w:t>
            </w:r>
            <w:r w:rsidRPr="00662E82">
              <w:t>5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22</w:t>
            </w:r>
            <w:r w:rsidR="00A02E31">
              <w:t>–</w:t>
            </w:r>
            <w:r w:rsidRPr="00662E82">
              <w:t>01</w:t>
            </w:r>
            <w:r w:rsidR="00A02E31">
              <w:t>–2016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Department of Communications and the Arts Recruitment Guidelines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</w:t>
            </w:r>
            <w:r w:rsidR="00A02E31">
              <w:t>–</w:t>
            </w:r>
            <w:r w:rsidRPr="00662E82">
              <w:t>02</w:t>
            </w:r>
            <w:r w:rsidR="00A02E31">
              <w:t>–2016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Department of Communications National</w:t>
            </w:r>
            <w:r w:rsidR="00A02E31">
              <w:t>–</w:t>
            </w:r>
            <w:r w:rsidRPr="00662E82">
              <w:t>State</w:t>
            </w:r>
            <w:r w:rsidR="00A02E31">
              <w:t>–</w:t>
            </w:r>
            <w:r w:rsidRPr="00662E82">
              <w:t>Territory brief on planned rollout of NBN multi technology mix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29</w:t>
            </w:r>
            <w:r w:rsidR="00A02E31">
              <w:t>–</w:t>
            </w:r>
            <w:r w:rsidRPr="00662E82">
              <w:t>03</w:t>
            </w:r>
            <w:r w:rsidR="00A02E31">
              <w:t>–2016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Board appointment</w:t>
            </w:r>
            <w:r>
              <w:t>—</w:t>
            </w:r>
            <w:r w:rsidRPr="00662E82">
              <w:t>Australia Post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19</w:t>
            </w:r>
            <w:r w:rsidR="00A02E31">
              <w:t>–</w:t>
            </w:r>
            <w:r w:rsidRPr="00662E82">
              <w:t>04</w:t>
            </w:r>
            <w:r w:rsidR="00A02E31">
              <w:t>–2016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Poor broadband outcomes in new developments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21</w:t>
            </w:r>
            <w:r w:rsidR="00A02E31">
              <w:t>–</w:t>
            </w:r>
            <w:r w:rsidRPr="00662E82">
              <w:t>04</w:t>
            </w:r>
            <w:r w:rsidR="00A02E31">
              <w:t>–2016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Australia Post Ministerial Briefings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18</w:t>
            </w:r>
            <w:r w:rsidR="00A02E31">
              <w:t>–</w:t>
            </w:r>
            <w:r w:rsidRPr="00662E82">
              <w:t>05</w:t>
            </w:r>
            <w:r w:rsidR="00A02E31">
              <w:t>–2016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Social media policy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30</w:t>
            </w:r>
            <w:r w:rsidR="00A02E31">
              <w:t>–</w:t>
            </w:r>
            <w:r w:rsidRPr="00662E82">
              <w:t>05</w:t>
            </w:r>
            <w:r w:rsidR="00A02E31">
              <w:t>–2016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NBN rollout briefs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10</w:t>
            </w:r>
            <w:r w:rsidR="00A02E31">
              <w:t>–</w:t>
            </w:r>
            <w:r w:rsidRPr="00662E82">
              <w:t>06</w:t>
            </w:r>
            <w:r w:rsidR="00A02E31">
              <w:t>–2016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Catalyst Funding Assessment Notes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27</w:t>
            </w:r>
            <w:r w:rsidR="00A02E31">
              <w:t>–</w:t>
            </w:r>
            <w:r w:rsidRPr="00662E82">
              <w:t>06</w:t>
            </w:r>
            <w:r w:rsidR="00A02E31">
              <w:t>–2016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Ministerial briefs and attachments relating to the Catalyst funding scheme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27</w:t>
            </w:r>
            <w:r w:rsidR="00A02E31">
              <w:t>–</w:t>
            </w:r>
            <w:r w:rsidRPr="00662E82">
              <w:t>06</w:t>
            </w:r>
            <w:r w:rsidR="00A02E31">
              <w:t>–2016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Salary of the Secretary and the members of the Senior Executive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20</w:t>
            </w:r>
            <w:r w:rsidR="00A02E31">
              <w:t>–</w:t>
            </w:r>
            <w:r w:rsidRPr="00662E82">
              <w:t>07</w:t>
            </w:r>
            <w:r w:rsidR="00A02E31">
              <w:t>–2016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Arts' programs grant applications and acquittals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11</w:t>
            </w:r>
            <w:r w:rsidR="00A02E31">
              <w:t>–</w:t>
            </w:r>
            <w:r w:rsidRPr="00662E82">
              <w:t>08</w:t>
            </w:r>
            <w:r w:rsidR="00A02E31">
              <w:t>–2016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Incoming Government brief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1</w:t>
            </w:r>
            <w:r w:rsidR="00A02E31">
              <w:t>–</w:t>
            </w:r>
            <w:r w:rsidRPr="00662E82">
              <w:t>09</w:t>
            </w:r>
            <w:r w:rsidR="00A02E31">
              <w:t>–2016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e-safety policy</w:t>
            </w:r>
          </w:p>
        </w:tc>
      </w:tr>
      <w:tr w:rsidR="00324671" w:rsidRPr="005113AA" w:rsidTr="0048084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24671" w:rsidRPr="00662E82" w:rsidRDefault="00324671" w:rsidP="00324671">
            <w:pPr>
              <w:pStyle w:val="Tabletextcentred"/>
            </w:pPr>
            <w:r w:rsidRPr="00662E82">
              <w:t>28</w:t>
            </w:r>
            <w:r w:rsidR="00A02E31">
              <w:t>–</w:t>
            </w:r>
            <w:r w:rsidRPr="00662E82">
              <w:t>09</w:t>
            </w:r>
            <w:r w:rsidR="00A02E31">
              <w:t>–2016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24671" w:rsidRPr="00662E82" w:rsidRDefault="00324671" w:rsidP="00324671">
            <w:pPr>
              <w:pStyle w:val="Tabletext"/>
            </w:pPr>
            <w:r w:rsidRPr="00662E82">
              <w:t>Minutes of meeting of the .au Domain Administration Board</w:t>
            </w:r>
          </w:p>
        </w:tc>
      </w:tr>
    </w:tbl>
    <w:p w:rsidR="00007A3E" w:rsidRPr="00324671" w:rsidRDefault="00007A3E" w:rsidP="0048084F">
      <w:pPr>
        <w:spacing w:after="0"/>
      </w:pPr>
    </w:p>
    <w:sectPr w:rsidR="00007A3E" w:rsidRPr="00324671" w:rsidSect="00324671">
      <w:headerReference w:type="default" r:id="rId11"/>
      <w:type w:val="continuous"/>
      <w:pgSz w:w="11906" w:h="16838"/>
      <w:pgMar w:top="1560" w:right="1274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671" w:rsidRDefault="00324671" w:rsidP="005113AA">
      <w:pPr>
        <w:spacing w:after="0"/>
      </w:pPr>
      <w:r>
        <w:separator/>
      </w:r>
    </w:p>
  </w:endnote>
  <w:endnote w:type="continuationSeparator" w:id="0">
    <w:p w:rsidR="00324671" w:rsidRDefault="00324671" w:rsidP="005113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A3E" w:rsidRDefault="00007A3E" w:rsidP="005113AA">
    <w:pPr>
      <w:pStyle w:val="Footer"/>
      <w:tabs>
        <w:tab w:val="clear" w:pos="4513"/>
        <w:tab w:val="clear" w:pos="9026"/>
        <w:tab w:val="center" w:pos="4536"/>
        <w:tab w:val="right" w:pos="9498"/>
      </w:tabs>
      <w:ind w:left="-1440" w:right="-613"/>
    </w:pPr>
    <w:r>
      <w:rPr>
        <w:noProof/>
        <w:lang w:eastAsia="en-AU"/>
      </w:rPr>
      <w:drawing>
        <wp:inline distT="0" distB="0" distL="0" distR="0" wp14:anchorId="62D81090" wp14:editId="16004858">
          <wp:extent cx="7596000" cy="400057"/>
          <wp:effectExtent l="0" t="0" r="5080" b="0"/>
          <wp:docPr id="21" name="Picture 21" descr="Decorative banner with departmental logo." title="Decorative banner with departmental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A Template Elements v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400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7A3E" w:rsidRPr="0037566A" w:rsidRDefault="00007A3E" w:rsidP="005113AA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sz w:val="18"/>
        <w:szCs w:val="18"/>
      </w:rPr>
    </w:pPr>
    <w:r>
      <w:tab/>
    </w:r>
    <w:hyperlink r:id="rId2" w:history="1">
      <w:r w:rsidRPr="002725BE">
        <w:rPr>
          <w:rStyle w:val="Hyperlink"/>
          <w:sz w:val="18"/>
          <w:szCs w:val="18"/>
        </w:rPr>
        <w:t>www.communications.gov.au</w:t>
      </w:r>
    </w:hyperlink>
  </w:p>
  <w:p w:rsidR="00007A3E" w:rsidRPr="00943D91" w:rsidRDefault="00324671" w:rsidP="005113AA">
    <w:pPr>
      <w:pStyle w:val="Footer"/>
      <w:tabs>
        <w:tab w:val="clear" w:pos="4513"/>
        <w:tab w:val="clear" w:pos="9026"/>
        <w:tab w:val="center" w:pos="4536"/>
        <w:tab w:val="right" w:pos="9498"/>
      </w:tabs>
      <w:ind w:right="-46"/>
      <w:rPr>
        <w:rStyle w:val="Hyperlink"/>
        <w:color w:val="auto"/>
        <w:sz w:val="18"/>
        <w:szCs w:val="18"/>
      </w:rPr>
    </w:pPr>
    <w:r w:rsidRPr="00324671">
      <w:rPr>
        <w:sz w:val="18"/>
        <w:szCs w:val="18"/>
      </w:rPr>
      <w:t>Archived disclosure log entries—2011</w:t>
    </w:r>
    <w:r w:rsidR="00A02E31">
      <w:rPr>
        <w:sz w:val="18"/>
        <w:szCs w:val="18"/>
      </w:rPr>
      <w:t xml:space="preserve"> to </w:t>
    </w:r>
    <w:r w:rsidRPr="00324671">
      <w:rPr>
        <w:sz w:val="18"/>
        <w:szCs w:val="18"/>
      </w:rPr>
      <w:t>2016</w:t>
    </w:r>
    <w:r w:rsidR="00007A3E">
      <w:rPr>
        <w:sz w:val="18"/>
        <w:szCs w:val="18"/>
      </w:rPr>
      <w:tab/>
    </w:r>
    <w:hyperlink r:id="rId3" w:history="1">
      <w:r w:rsidR="00007A3E" w:rsidRPr="0037566A">
        <w:rPr>
          <w:rStyle w:val="Hyperlink"/>
          <w:sz w:val="18"/>
          <w:szCs w:val="18"/>
        </w:rPr>
        <w:t>www.arts.gov.au</w:t>
      </w:r>
    </w:hyperlink>
    <w:r w:rsidR="00007A3E" w:rsidRPr="0037566A">
      <w:rPr>
        <w:sz w:val="18"/>
        <w:szCs w:val="18"/>
      </w:rPr>
      <w:tab/>
    </w:r>
    <w:sdt>
      <w:sdtPr>
        <w:rPr>
          <w:sz w:val="18"/>
          <w:szCs w:val="18"/>
        </w:rPr>
        <w:id w:val="1063991811"/>
        <w:docPartObj>
          <w:docPartGallery w:val="Page Numbers (Top of Page)"/>
          <w:docPartUnique/>
        </w:docPartObj>
      </w:sdtPr>
      <w:sdtEndPr/>
      <w:sdtContent>
        <w:r w:rsidR="00007A3E" w:rsidRPr="0037566A">
          <w:rPr>
            <w:sz w:val="18"/>
            <w:szCs w:val="18"/>
          </w:rPr>
          <w:t xml:space="preserve">Page </w:t>
        </w:r>
        <w:r w:rsidR="00007A3E" w:rsidRPr="0037566A">
          <w:rPr>
            <w:bCs/>
            <w:sz w:val="18"/>
            <w:szCs w:val="18"/>
          </w:rPr>
          <w:fldChar w:fldCharType="begin"/>
        </w:r>
        <w:r w:rsidR="00007A3E" w:rsidRPr="0037566A">
          <w:rPr>
            <w:bCs/>
            <w:sz w:val="18"/>
            <w:szCs w:val="18"/>
          </w:rPr>
          <w:instrText xml:space="preserve"> PAGE </w:instrText>
        </w:r>
        <w:r w:rsidR="00007A3E" w:rsidRPr="0037566A">
          <w:rPr>
            <w:bCs/>
            <w:sz w:val="18"/>
            <w:szCs w:val="18"/>
          </w:rPr>
          <w:fldChar w:fldCharType="separate"/>
        </w:r>
        <w:r w:rsidR="0048084F">
          <w:rPr>
            <w:bCs/>
            <w:noProof/>
            <w:sz w:val="18"/>
            <w:szCs w:val="18"/>
          </w:rPr>
          <w:t>4</w:t>
        </w:r>
        <w:r w:rsidR="00007A3E" w:rsidRPr="0037566A">
          <w:rPr>
            <w:bCs/>
            <w:sz w:val="18"/>
            <w:szCs w:val="18"/>
          </w:rPr>
          <w:fldChar w:fldCharType="end"/>
        </w:r>
        <w:r w:rsidR="00007A3E" w:rsidRPr="0037566A">
          <w:rPr>
            <w:sz w:val="18"/>
            <w:szCs w:val="18"/>
          </w:rPr>
          <w:t xml:space="preserve"> of </w:t>
        </w:r>
        <w:r w:rsidR="00007A3E" w:rsidRPr="0037566A">
          <w:rPr>
            <w:bCs/>
            <w:sz w:val="18"/>
            <w:szCs w:val="18"/>
          </w:rPr>
          <w:fldChar w:fldCharType="begin"/>
        </w:r>
        <w:r w:rsidR="00007A3E" w:rsidRPr="0037566A">
          <w:rPr>
            <w:bCs/>
            <w:sz w:val="18"/>
            <w:szCs w:val="18"/>
          </w:rPr>
          <w:instrText xml:space="preserve"> NUMPAGES  </w:instrText>
        </w:r>
        <w:r w:rsidR="00007A3E" w:rsidRPr="0037566A">
          <w:rPr>
            <w:bCs/>
            <w:sz w:val="18"/>
            <w:szCs w:val="18"/>
          </w:rPr>
          <w:fldChar w:fldCharType="separate"/>
        </w:r>
        <w:r w:rsidR="0048084F">
          <w:rPr>
            <w:bCs/>
            <w:noProof/>
            <w:sz w:val="18"/>
            <w:szCs w:val="18"/>
          </w:rPr>
          <w:t>4</w:t>
        </w:r>
        <w:r w:rsidR="00007A3E" w:rsidRPr="0037566A">
          <w:rPr>
            <w:bCs/>
            <w:sz w:val="18"/>
            <w:szCs w:val="18"/>
          </w:rPr>
          <w:fldChar w:fldCharType="end"/>
        </w:r>
      </w:sdtContent>
    </w:sdt>
  </w:p>
  <w:p w:rsidR="00007A3E" w:rsidRPr="00007A3E" w:rsidRDefault="00007A3E" w:rsidP="005113AA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rStyle w:val="Hyperlink"/>
        <w:color w:val="auto"/>
        <w:sz w:val="18"/>
        <w:szCs w:val="18"/>
      </w:rPr>
    </w:pPr>
    <w:r>
      <w:tab/>
    </w:r>
    <w:hyperlink r:id="rId4" w:history="1">
      <w:r w:rsidRPr="0037566A">
        <w:rPr>
          <w:rStyle w:val="Hyperlink"/>
          <w:sz w:val="18"/>
          <w:szCs w:val="18"/>
        </w:rPr>
        <w:t>www.classification.gov.au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671" w:rsidRDefault="00324671" w:rsidP="005113AA">
      <w:pPr>
        <w:spacing w:after="0"/>
      </w:pPr>
      <w:r>
        <w:separator/>
      </w:r>
    </w:p>
  </w:footnote>
  <w:footnote w:type="continuationSeparator" w:id="0">
    <w:p w:rsidR="00324671" w:rsidRDefault="00324671" w:rsidP="005113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0F4" w:rsidRPr="00AD7475" w:rsidRDefault="00C550F4" w:rsidP="005113AA">
    <w:pPr>
      <w:pStyle w:val="Header"/>
      <w:tabs>
        <w:tab w:val="clear" w:pos="9026"/>
        <w:tab w:val="right" w:pos="9333"/>
      </w:tabs>
      <w:ind w:right="-46"/>
      <w:rPr>
        <w:color w:val="001C40"/>
      </w:rPr>
    </w:pPr>
    <w:r w:rsidRPr="00AD7475">
      <w:rPr>
        <w:color w:val="001C40"/>
      </w:rPr>
      <w:t>Department of Communications and the Arts</w:t>
    </w:r>
    <w:r w:rsidRPr="00AD7475">
      <w:rPr>
        <w:color w:val="001C40"/>
      </w:rPr>
      <w:tab/>
    </w:r>
    <w:r w:rsidRPr="00AD7475">
      <w:rPr>
        <w:color w:val="001C40"/>
      </w:rPr>
      <w:tab/>
    </w:r>
    <w:r w:rsidR="00A02E31">
      <w:rPr>
        <w:color w:val="001C40"/>
      </w:rPr>
      <w:t>2011 to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5C41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30A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1A0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EC85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2815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8AF4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EAC4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EA9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740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4A2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E92756"/>
    <w:multiLevelType w:val="hybridMultilevel"/>
    <w:tmpl w:val="E46E162C"/>
    <w:lvl w:ilvl="0" w:tplc="DECCD654">
      <w:start w:val="1"/>
      <w:numFmt w:val="bullet"/>
      <w:pStyle w:val="Listparagrap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C34DF"/>
    <w:multiLevelType w:val="hybridMultilevel"/>
    <w:tmpl w:val="D520E654"/>
    <w:lvl w:ilvl="0" w:tplc="D69CC2A8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827E7D"/>
    <w:multiLevelType w:val="hybridMultilevel"/>
    <w:tmpl w:val="7DB6181E"/>
    <w:lvl w:ilvl="0" w:tplc="8968F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71"/>
    <w:rsid w:val="00007A3E"/>
    <w:rsid w:val="00035B2E"/>
    <w:rsid w:val="0007496D"/>
    <w:rsid w:val="000C0C8B"/>
    <w:rsid w:val="001370A9"/>
    <w:rsid w:val="00175036"/>
    <w:rsid w:val="001B52A4"/>
    <w:rsid w:val="001E5F93"/>
    <w:rsid w:val="001F3128"/>
    <w:rsid w:val="00324671"/>
    <w:rsid w:val="00356FF7"/>
    <w:rsid w:val="003C5D02"/>
    <w:rsid w:val="003D193C"/>
    <w:rsid w:val="004119F7"/>
    <w:rsid w:val="0048084F"/>
    <w:rsid w:val="005113AA"/>
    <w:rsid w:val="00696FC0"/>
    <w:rsid w:val="00716BB9"/>
    <w:rsid w:val="00800F3F"/>
    <w:rsid w:val="0081105B"/>
    <w:rsid w:val="008142F0"/>
    <w:rsid w:val="009423F3"/>
    <w:rsid w:val="00943D91"/>
    <w:rsid w:val="00A02E31"/>
    <w:rsid w:val="00A4412F"/>
    <w:rsid w:val="00A756B2"/>
    <w:rsid w:val="00B420C8"/>
    <w:rsid w:val="00B53105"/>
    <w:rsid w:val="00B94217"/>
    <w:rsid w:val="00BB7E85"/>
    <w:rsid w:val="00C54D61"/>
    <w:rsid w:val="00C550F4"/>
    <w:rsid w:val="00CE0589"/>
    <w:rsid w:val="00E43838"/>
    <w:rsid w:val="00E5532B"/>
    <w:rsid w:val="00E928E3"/>
    <w:rsid w:val="00E97D23"/>
    <w:rsid w:val="00EB296B"/>
    <w:rsid w:val="00EC12D8"/>
    <w:rsid w:val="00F63D35"/>
    <w:rsid w:val="00F8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F5E62F5-1287-4321-82A9-7CE989E6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2D8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5D02"/>
    <w:pPr>
      <w:keepNext/>
      <w:spacing w:before="480" w:after="360"/>
      <w:outlineLvl w:val="0"/>
    </w:pPr>
    <w:rPr>
      <w:rFonts w:ascii="Calibri Light" w:eastAsia="MingLiU" w:hAnsi="Calibri Light" w:cs="Mangal"/>
      <w:b/>
      <w:color w:val="001C4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D61"/>
    <w:pPr>
      <w:keepNext/>
      <w:spacing w:after="120"/>
      <w:outlineLvl w:val="1"/>
    </w:pPr>
    <w:rPr>
      <w:rFonts w:ascii="Calibri Light" w:eastAsia="MingLiU" w:hAnsi="Calibri Light" w:cs="Mangal"/>
      <w:b/>
      <w:color w:val="001C4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D61"/>
    <w:pPr>
      <w:keepNext/>
      <w:spacing w:after="120"/>
      <w:outlineLvl w:val="2"/>
    </w:pPr>
    <w:rPr>
      <w:rFonts w:ascii="Calibri Light" w:eastAsia="MingLiU" w:hAnsi="Calibri Light" w:cs="Mangal"/>
      <w:b/>
      <w:color w:val="001C40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532B"/>
    <w:pPr>
      <w:keepNext/>
      <w:keepLines/>
      <w:spacing w:after="120"/>
      <w:outlineLvl w:val="3"/>
    </w:pPr>
    <w:rPr>
      <w:rFonts w:ascii="Calibri Light" w:eastAsia="MingLiU" w:hAnsi="Calibri Light" w:cs="Mangal"/>
      <w:b/>
      <w:bCs/>
      <w:color w:val="001C40"/>
      <w:sz w:val="24"/>
      <w:szCs w:val="24"/>
      <w:lang w:eastAsia="zh-TW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532B"/>
    <w:pPr>
      <w:keepNext/>
      <w:keepLines/>
      <w:spacing w:after="60"/>
      <w:outlineLvl w:val="4"/>
    </w:pPr>
    <w:rPr>
      <w:rFonts w:ascii="Calibri Light" w:eastAsia="MingLiU" w:hAnsi="Calibri Light" w:cs="Mangal"/>
      <w:b/>
      <w:color w:val="001C4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3A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13AA"/>
  </w:style>
  <w:style w:type="paragraph" w:styleId="Footer">
    <w:name w:val="footer"/>
    <w:basedOn w:val="Normal"/>
    <w:link w:val="FooterChar"/>
    <w:uiPriority w:val="99"/>
    <w:unhideWhenUsed/>
    <w:rsid w:val="005113A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3AA"/>
  </w:style>
  <w:style w:type="character" w:styleId="Hyperlink">
    <w:name w:val="Hyperlink"/>
    <w:basedOn w:val="DefaultParagraphFont"/>
    <w:uiPriority w:val="99"/>
    <w:unhideWhenUsed/>
    <w:rsid w:val="005113AA"/>
    <w:rPr>
      <w:color w:val="15558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D02"/>
    <w:rPr>
      <w:rFonts w:ascii="Calibri Light" w:eastAsia="MingLiU" w:hAnsi="Calibri Light" w:cs="Mangal"/>
      <w:b/>
      <w:color w:val="001C4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4D61"/>
    <w:rPr>
      <w:rFonts w:ascii="Calibri Light" w:eastAsia="MingLiU" w:hAnsi="Calibri Light" w:cs="Mangal"/>
      <w:b/>
      <w:color w:val="001C4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4D61"/>
    <w:rPr>
      <w:rFonts w:ascii="Calibri Light" w:eastAsia="MingLiU" w:hAnsi="Calibri Light" w:cs="Mangal"/>
      <w:b/>
      <w:color w:val="001C40"/>
      <w:sz w:val="3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532B"/>
    <w:rPr>
      <w:rFonts w:ascii="Calibri Light" w:eastAsia="MingLiU" w:hAnsi="Calibri Light" w:cs="Mangal"/>
      <w:b/>
      <w:bCs/>
      <w:color w:val="001C40"/>
      <w:sz w:val="24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uiPriority w:val="9"/>
    <w:rsid w:val="00E5532B"/>
    <w:rPr>
      <w:rFonts w:ascii="Calibri Light" w:eastAsia="MingLiU" w:hAnsi="Calibri Light" w:cs="Mangal"/>
      <w:b/>
      <w:color w:val="001C4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13A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13AA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1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5113AA"/>
    <w:rPr>
      <w:vertAlign w:val="superscript"/>
    </w:rPr>
  </w:style>
  <w:style w:type="table" w:styleId="TableGrid">
    <w:name w:val="Table Grid"/>
    <w:basedOn w:val="TableNormal"/>
    <w:uiPriority w:val="39"/>
    <w:rsid w:val="0051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F63D35"/>
    <w:pPr>
      <w:keepNext/>
      <w:spacing w:after="0"/>
    </w:pPr>
    <w:rPr>
      <w:rFonts w:asciiTheme="majorHAnsi" w:hAnsiTheme="majorHAnsi"/>
      <w:b/>
      <w:color w:val="626E81"/>
      <w:sz w:val="24"/>
    </w:rPr>
  </w:style>
  <w:style w:type="paragraph" w:customStyle="1" w:styleId="Tabletextcentred">
    <w:name w:val="Table text centred"/>
    <w:basedOn w:val="Normal"/>
    <w:next w:val="NoSpacing"/>
    <w:rsid w:val="00800F3F"/>
    <w:pPr>
      <w:spacing w:after="0"/>
      <w:jc w:val="center"/>
    </w:pPr>
    <w:rPr>
      <w:rFonts w:eastAsia="Times New Roman" w:cs="Times New Roman"/>
      <w:szCs w:val="20"/>
    </w:rPr>
  </w:style>
  <w:style w:type="paragraph" w:customStyle="1" w:styleId="Tablerowcolumnheadingcentred">
    <w:name w:val="Table row/column heading centred"/>
    <w:basedOn w:val="Normal"/>
    <w:next w:val="Normal"/>
    <w:rsid w:val="00800F3F"/>
    <w:pPr>
      <w:spacing w:after="0"/>
      <w:jc w:val="center"/>
    </w:pPr>
    <w:rPr>
      <w:rFonts w:eastAsia="Times New Roman" w:cs="Times New Roman"/>
      <w:b/>
      <w:bCs/>
      <w:szCs w:val="20"/>
    </w:rPr>
  </w:style>
  <w:style w:type="paragraph" w:customStyle="1" w:styleId="Tabletext">
    <w:name w:val="Table text"/>
    <w:basedOn w:val="Tabletextcentred"/>
    <w:qFormat/>
    <w:rsid w:val="00800F3F"/>
    <w:pPr>
      <w:jc w:val="left"/>
    </w:pPr>
  </w:style>
  <w:style w:type="paragraph" w:customStyle="1" w:styleId="Tablerowcolumnheading">
    <w:name w:val="Table row/column heading"/>
    <w:basedOn w:val="Normal"/>
    <w:next w:val="Normal"/>
    <w:rsid w:val="00800F3F"/>
    <w:pPr>
      <w:spacing w:after="0"/>
    </w:pPr>
    <w:rPr>
      <w:rFonts w:eastAsia="Times New Roman" w:cs="Times New Roman"/>
      <w:b/>
      <w:bCs/>
      <w:szCs w:val="20"/>
    </w:rPr>
  </w:style>
  <w:style w:type="paragraph" w:customStyle="1" w:styleId="Checkboxemptybulletpoint">
    <w:name w:val="Check box empty bullet point"/>
    <w:basedOn w:val="Normal"/>
    <w:qFormat/>
    <w:rsid w:val="00800F3F"/>
    <w:pPr>
      <w:numPr>
        <w:numId w:val="1"/>
      </w:numPr>
      <w:spacing w:after="0"/>
      <w:ind w:left="567" w:hanging="567"/>
      <w:contextualSpacing/>
    </w:pPr>
  </w:style>
  <w:style w:type="paragraph" w:styleId="NoSpacing">
    <w:name w:val="No Spacing"/>
    <w:uiPriority w:val="1"/>
    <w:qFormat/>
    <w:rsid w:val="00800F3F"/>
    <w:pPr>
      <w:spacing w:after="0" w:line="240" w:lineRule="auto"/>
    </w:pPr>
  </w:style>
  <w:style w:type="paragraph" w:customStyle="1" w:styleId="Heading2notshowing">
    <w:name w:val="Heading 2—not showing"/>
    <w:basedOn w:val="Heading2"/>
    <w:qFormat/>
    <w:rsid w:val="00943D91"/>
    <w:rPr>
      <w:sz w:val="32"/>
    </w:rPr>
  </w:style>
  <w:style w:type="paragraph" w:styleId="ListParagraph">
    <w:name w:val="List Paragraph"/>
    <w:aliases w:val="List Paragraph—numbers"/>
    <w:basedOn w:val="Normal"/>
    <w:uiPriority w:val="34"/>
    <w:qFormat/>
    <w:rsid w:val="0007496D"/>
    <w:pPr>
      <w:numPr>
        <w:numId w:val="14"/>
      </w:numPr>
      <w:ind w:left="567" w:hanging="567"/>
      <w:contextualSpacing/>
    </w:pPr>
  </w:style>
  <w:style w:type="paragraph" w:customStyle="1" w:styleId="Listparagraphbullets">
    <w:name w:val="List paragraph—bullets"/>
    <w:basedOn w:val="ListParagraph"/>
    <w:qFormat/>
    <w:rsid w:val="0007496D"/>
    <w:pPr>
      <w:numPr>
        <w:numId w:val="13"/>
      </w:numPr>
      <w:ind w:left="567" w:hanging="567"/>
    </w:pPr>
    <w:rPr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C54D61"/>
    <w:pPr>
      <w:ind w:left="567"/>
    </w:pPr>
    <w:rPr>
      <w:rFonts w:ascii="Calibri" w:eastAsia="Calibri" w:hAnsi="Calibri" w:cs="Mangal"/>
      <w:b/>
      <w:i/>
      <w:iCs/>
      <w:color w:val="626E81"/>
    </w:rPr>
  </w:style>
  <w:style w:type="character" w:customStyle="1" w:styleId="QuoteChar">
    <w:name w:val="Quote Char"/>
    <w:basedOn w:val="DefaultParagraphFont"/>
    <w:link w:val="Quote"/>
    <w:uiPriority w:val="29"/>
    <w:rsid w:val="00C54D61"/>
    <w:rPr>
      <w:rFonts w:ascii="Calibri" w:eastAsia="Calibri" w:hAnsi="Calibri" w:cs="Mangal"/>
      <w:b/>
      <w:i/>
      <w:iCs/>
      <w:color w:val="626E81"/>
    </w:rPr>
  </w:style>
  <w:style w:type="paragraph" w:customStyle="1" w:styleId="Heading3notshowing">
    <w:name w:val="Heading 3—not showing"/>
    <w:basedOn w:val="Heading3"/>
    <w:qFormat/>
    <w:rsid w:val="00943D91"/>
    <w:rPr>
      <w:sz w:val="26"/>
    </w:rPr>
  </w:style>
  <w:style w:type="paragraph" w:customStyle="1" w:styleId="Sourcenote">
    <w:name w:val="Source / note"/>
    <w:basedOn w:val="Normal"/>
    <w:qFormat/>
    <w:rsid w:val="00F63D35"/>
    <w:rPr>
      <w:rFonts w:ascii="Calibri" w:eastAsia="PMingLiU" w:hAnsi="Calibri" w:cs="Mangal"/>
      <w:b/>
      <w:color w:val="626E81"/>
      <w:sz w:val="20"/>
      <w:szCs w:val="20"/>
      <w:lang w:eastAsia="zh-TW"/>
    </w:rPr>
  </w:style>
  <w:style w:type="paragraph" w:styleId="TOCHeading">
    <w:name w:val="TOC Heading"/>
    <w:basedOn w:val="TOC4"/>
    <w:next w:val="Normal"/>
    <w:uiPriority w:val="39"/>
    <w:unhideWhenUsed/>
    <w:qFormat/>
    <w:rsid w:val="00F63D35"/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F63D35"/>
    <w:pPr>
      <w:keepNext/>
      <w:tabs>
        <w:tab w:val="right" w:leader="dot" w:pos="9072"/>
      </w:tabs>
      <w:spacing w:before="120" w:after="0"/>
      <w:ind w:left="284" w:right="567" w:hanging="284"/>
    </w:pPr>
    <w:rPr>
      <w:b/>
      <w:color w:val="001C40"/>
    </w:rPr>
  </w:style>
  <w:style w:type="paragraph" w:styleId="TOC2">
    <w:name w:val="toc 2"/>
    <w:basedOn w:val="Normal"/>
    <w:next w:val="Normal"/>
    <w:autoRedefine/>
    <w:uiPriority w:val="39"/>
    <w:unhideWhenUsed/>
    <w:rsid w:val="00F63D35"/>
    <w:pPr>
      <w:tabs>
        <w:tab w:val="right" w:leader="dot" w:pos="9072"/>
      </w:tabs>
      <w:spacing w:after="0"/>
      <w:ind w:left="851" w:right="567" w:hanging="284"/>
    </w:pPr>
  </w:style>
  <w:style w:type="paragraph" w:styleId="TOC3">
    <w:name w:val="toc 3"/>
    <w:basedOn w:val="Normal"/>
    <w:next w:val="Normal"/>
    <w:autoRedefine/>
    <w:uiPriority w:val="39"/>
    <w:unhideWhenUsed/>
    <w:rsid w:val="00F63D35"/>
    <w:pPr>
      <w:tabs>
        <w:tab w:val="right" w:leader="dot" w:pos="9072"/>
      </w:tabs>
      <w:spacing w:after="0"/>
      <w:ind w:left="1418" w:right="567" w:hanging="284"/>
    </w:pPr>
  </w:style>
  <w:style w:type="paragraph" w:styleId="TOC4">
    <w:name w:val="toc 4"/>
    <w:basedOn w:val="Normal"/>
    <w:next w:val="Normal"/>
    <w:autoRedefine/>
    <w:uiPriority w:val="39"/>
    <w:unhideWhenUsed/>
    <w:rsid w:val="00F63D35"/>
    <w:pPr>
      <w:tabs>
        <w:tab w:val="right" w:leader="dot" w:pos="9072"/>
        <w:tab w:val="right" w:leader="dot" w:pos="9182"/>
      </w:tabs>
      <w:spacing w:after="0"/>
      <w:ind w:right="567"/>
    </w:pPr>
  </w:style>
  <w:style w:type="paragraph" w:customStyle="1" w:styleId="Normal-disclaimerpage">
    <w:name w:val="Normal - disclaimer page"/>
    <w:basedOn w:val="Normal"/>
    <w:qFormat/>
    <w:rsid w:val="00F63D35"/>
    <w:pPr>
      <w:spacing w:after="120"/>
    </w:pPr>
    <w:rPr>
      <w:rFonts w:ascii="Calibri" w:eastAsia="PMingLiU" w:hAnsi="Calibri" w:cs="Mangal"/>
      <w:sz w:val="21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C550F4"/>
    <w:rPr>
      <w:color w:val="155589" w:themeColor="followedHyperlink"/>
      <w:u w:val="single"/>
    </w:rPr>
  </w:style>
  <w:style w:type="paragraph" w:customStyle="1" w:styleId="Listparagraphbulletssecondlevel">
    <w:name w:val="List paragraph—bullets—second level"/>
    <w:basedOn w:val="Listparagraphbullets"/>
    <w:qFormat/>
    <w:rsid w:val="000C0C8B"/>
    <w:pPr>
      <w:ind w:left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I@communications.gov.au?subject=Request%20for%20archived%20FOI%20reque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" TargetMode="External"/><Relationship Id="rId2" Type="http://schemas.openxmlformats.org/officeDocument/2006/relationships/hyperlink" Target="http://www.communications.gov.au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lassification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DEPT\department--document--accessible--9april2019.dotx" TargetMode="External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155589"/>
      </a:accent1>
      <a:accent2>
        <a:srgbClr val="0D6635"/>
      </a:accent2>
      <a:accent3>
        <a:srgbClr val="626E81"/>
      </a:accent3>
      <a:accent4>
        <a:srgbClr val="488CCB"/>
      </a:accent4>
      <a:accent5>
        <a:srgbClr val="959ACD"/>
      </a:accent5>
      <a:accent6>
        <a:srgbClr val="488CCB"/>
      </a:accent6>
      <a:hlink>
        <a:srgbClr val="155589"/>
      </a:hlink>
      <a:folHlink>
        <a:srgbClr val="15558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0CFD5-93F4-4B88-B92A-7FC37F0B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department--document--accessible--9april2019.dotx</Template>
  <TotalTime>25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 and the Arts</Company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Archived disclosure log entries—2011 to 2016</dc:title>
  <dc:subject/>
  <dc:creator>Department of Communications and the Arts</dc:creator>
  <cp:keywords/>
  <dc:description>9 April 2019</dc:description>
  <cp:lastModifiedBy>Department of Communications and the Arts</cp:lastModifiedBy>
  <cp:revision>3</cp:revision>
  <dcterms:created xsi:type="dcterms:W3CDTF">2019-05-07T01:00:00Z</dcterms:created>
  <dcterms:modified xsi:type="dcterms:W3CDTF">2019-05-07T03:14:00Z</dcterms:modified>
</cp:coreProperties>
</file>