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592" w:type="dxa"/>
        <w:tblLook w:val="04A0" w:firstRow="1" w:lastRow="0" w:firstColumn="1" w:lastColumn="0" w:noHBand="0" w:noVBand="1"/>
      </w:tblPr>
      <w:tblGrid>
        <w:gridCol w:w="1580"/>
        <w:gridCol w:w="8627"/>
      </w:tblGrid>
      <w:tr w:rsidR="00DB3795" w:rsidRPr="00552DC4" w14:paraId="3F791DBE" w14:textId="77777777" w:rsidTr="00183972">
        <w:tc>
          <w:tcPr>
            <w:tcW w:w="10207" w:type="dxa"/>
            <w:gridSpan w:val="2"/>
            <w:shd w:val="clear" w:color="auto" w:fill="BDD6EE" w:themeFill="accent1" w:themeFillTint="66"/>
          </w:tcPr>
          <w:p w14:paraId="3F791DBD" w14:textId="77777777" w:rsidR="00DB3795" w:rsidRPr="00DB0AAD" w:rsidRDefault="00DB3795" w:rsidP="00183972">
            <w:pPr>
              <w:spacing w:after="0"/>
              <w:rPr>
                <w:rFonts w:asciiTheme="minorHAnsi" w:eastAsiaTheme="majorEastAsia" w:hAnsiTheme="minorHAnsi" w:cstheme="minorHAnsi"/>
                <w:color w:val="000000" w:themeColor="text1"/>
                <w:sz w:val="44"/>
                <w:szCs w:val="44"/>
              </w:rPr>
            </w:pPr>
            <w:r w:rsidRPr="00DB0AAD">
              <w:rPr>
                <w:rFonts w:asciiTheme="minorHAnsi" w:eastAsiaTheme="majorEastAsia" w:hAnsiTheme="minorHAnsi" w:cstheme="minorHAnsi"/>
                <w:color w:val="000000" w:themeColor="text1"/>
                <w:sz w:val="44"/>
                <w:szCs w:val="44"/>
              </w:rPr>
              <w:t>TERMS OF REFERENCE January 2021</w:t>
            </w:r>
          </w:p>
        </w:tc>
      </w:tr>
      <w:tr w:rsidR="00DB3795" w:rsidRPr="00552DC4" w14:paraId="3F791DC0" w14:textId="77777777" w:rsidTr="00183972">
        <w:tc>
          <w:tcPr>
            <w:tcW w:w="10207" w:type="dxa"/>
            <w:gridSpan w:val="2"/>
          </w:tcPr>
          <w:p w14:paraId="3F791DBF" w14:textId="77777777" w:rsidR="00DB3795" w:rsidRPr="00DB0AAD" w:rsidRDefault="00DB3795" w:rsidP="00183972">
            <w:pPr>
              <w:keepNext/>
              <w:spacing w:before="60" w:after="60" w:line="240" w:lineRule="auto"/>
              <w:rPr>
                <w:rFonts w:asciiTheme="minorHAnsi" w:eastAsia="MingLiU" w:hAnsiTheme="minorHAnsi" w:cstheme="minorHAnsi"/>
                <w:color w:val="626E81"/>
                <w:sz w:val="28"/>
                <w:szCs w:val="26"/>
              </w:rPr>
            </w:pPr>
            <w:r w:rsidRPr="00DB0AAD">
              <w:rPr>
                <w:rFonts w:asciiTheme="minorHAnsi" w:eastAsia="Times New Roman" w:hAnsiTheme="minorHAnsi" w:cstheme="minorHAnsi"/>
                <w:b/>
                <w:color w:val="2E74B5" w:themeColor="accent1" w:themeShade="BF"/>
                <w:sz w:val="32"/>
                <w:szCs w:val="32"/>
                <w:lang w:eastAsia="en-AU"/>
              </w:rPr>
              <w:t>AVIATION POLICY GROUP (APG)</w:t>
            </w:r>
          </w:p>
        </w:tc>
      </w:tr>
      <w:tr w:rsidR="00DB3795" w:rsidRPr="00552DC4" w14:paraId="3F791DC3" w14:textId="77777777" w:rsidTr="00183972">
        <w:tc>
          <w:tcPr>
            <w:tcW w:w="1580" w:type="dxa"/>
          </w:tcPr>
          <w:p w14:paraId="3F791DC1" w14:textId="77777777" w:rsidR="00DB3795" w:rsidRPr="00DB0AAD" w:rsidRDefault="00DB3795" w:rsidP="00183972">
            <w:pPr>
              <w:spacing w:before="60" w:after="60" w:line="240" w:lineRule="auto"/>
              <w:rPr>
                <w:rFonts w:asciiTheme="minorHAnsi" w:hAnsiTheme="minorHAnsi" w:cstheme="minorHAnsi"/>
                <w:sz w:val="21"/>
              </w:rPr>
            </w:pPr>
            <w:r w:rsidRPr="00DB0AAD">
              <w:rPr>
                <w:rFonts w:asciiTheme="minorHAnsi" w:hAnsiTheme="minorHAnsi" w:cstheme="minorHAnsi"/>
                <w:sz w:val="21"/>
              </w:rPr>
              <w:t>Chair</w:t>
            </w:r>
          </w:p>
        </w:tc>
        <w:tc>
          <w:tcPr>
            <w:tcW w:w="8627" w:type="dxa"/>
          </w:tcPr>
          <w:p w14:paraId="3F791DC2" w14:textId="77777777" w:rsidR="00DB3795" w:rsidRPr="00DB0AAD" w:rsidRDefault="00DB3795" w:rsidP="00183972">
            <w:pPr>
              <w:spacing w:before="60" w:after="60" w:line="240" w:lineRule="auto"/>
              <w:rPr>
                <w:rFonts w:asciiTheme="minorHAnsi" w:hAnsiTheme="minorHAnsi" w:cstheme="minorHAnsi"/>
                <w:sz w:val="21"/>
              </w:rPr>
            </w:pPr>
            <w:r w:rsidRPr="00DB0AAD">
              <w:rPr>
                <w:rFonts w:asciiTheme="minorHAnsi" w:hAnsiTheme="minorHAnsi" w:cstheme="minorHAnsi"/>
                <w:sz w:val="21"/>
              </w:rPr>
              <w:t>The Secretary of the Department of Infrastructure, Transport, Regional Development, Communications and the Arts.</w:t>
            </w:r>
          </w:p>
        </w:tc>
      </w:tr>
      <w:tr w:rsidR="00DB3795" w:rsidRPr="00552DC4" w14:paraId="3F791DCF" w14:textId="77777777" w:rsidTr="00183972">
        <w:tc>
          <w:tcPr>
            <w:tcW w:w="1580" w:type="dxa"/>
          </w:tcPr>
          <w:p w14:paraId="3F791DC4" w14:textId="77777777" w:rsidR="00DB3795" w:rsidRPr="00DB0AAD" w:rsidRDefault="00DB3795" w:rsidP="00183972">
            <w:pPr>
              <w:spacing w:before="60" w:after="60" w:line="240" w:lineRule="auto"/>
              <w:rPr>
                <w:rFonts w:asciiTheme="minorHAnsi" w:hAnsiTheme="minorHAnsi" w:cstheme="minorHAnsi"/>
                <w:sz w:val="21"/>
              </w:rPr>
            </w:pPr>
            <w:r w:rsidRPr="00DB0AAD">
              <w:rPr>
                <w:rFonts w:asciiTheme="minorHAnsi" w:hAnsiTheme="minorHAnsi" w:cstheme="minorHAnsi"/>
                <w:sz w:val="21"/>
              </w:rPr>
              <w:t>Membership</w:t>
            </w:r>
          </w:p>
        </w:tc>
        <w:tc>
          <w:tcPr>
            <w:tcW w:w="8627" w:type="dxa"/>
          </w:tcPr>
          <w:p w14:paraId="3F791DC5" w14:textId="77777777" w:rsidR="00DB3795" w:rsidRPr="00DB0AAD" w:rsidRDefault="00DB3795" w:rsidP="00183972">
            <w:pPr>
              <w:spacing w:before="60" w:after="60" w:line="240" w:lineRule="auto"/>
              <w:rPr>
                <w:rFonts w:asciiTheme="minorHAnsi" w:hAnsiTheme="minorHAnsi" w:cstheme="minorHAnsi"/>
                <w:sz w:val="21"/>
              </w:rPr>
            </w:pPr>
            <w:r w:rsidRPr="00DB0AAD">
              <w:rPr>
                <w:rFonts w:asciiTheme="minorHAnsi" w:hAnsiTheme="minorHAnsi" w:cstheme="minorHAnsi"/>
                <w:sz w:val="21"/>
              </w:rPr>
              <w:t>APG comprises:</w:t>
            </w:r>
          </w:p>
          <w:p w14:paraId="3F791DC6" w14:textId="77777777" w:rsidR="00DB3795" w:rsidRPr="00DB0AAD" w:rsidRDefault="00DB3795" w:rsidP="00DB3795">
            <w:pPr>
              <w:numPr>
                <w:ilvl w:val="0"/>
                <w:numId w:val="1"/>
              </w:numPr>
              <w:spacing w:before="60" w:after="60" w:line="240" w:lineRule="auto"/>
              <w:rPr>
                <w:rFonts w:asciiTheme="minorHAnsi" w:hAnsiTheme="minorHAnsi" w:cstheme="minorHAnsi"/>
                <w:sz w:val="21"/>
              </w:rPr>
            </w:pPr>
            <w:r w:rsidRPr="00DB0AAD">
              <w:rPr>
                <w:rFonts w:asciiTheme="minorHAnsi" w:hAnsiTheme="minorHAnsi" w:cstheme="minorHAnsi"/>
                <w:sz w:val="21"/>
              </w:rPr>
              <w:t>A maximum of three representatives from each Commonwealth agency with relevant decision-making power, including the Agency Heads of CASA, AA and Chief of Air Force.</w:t>
            </w:r>
          </w:p>
          <w:p w14:paraId="3F791DC7" w14:textId="77777777" w:rsidR="00DB3795" w:rsidRPr="00DB0AAD" w:rsidRDefault="00DB3795" w:rsidP="00183972">
            <w:pPr>
              <w:spacing w:before="60" w:after="60" w:line="240" w:lineRule="auto"/>
              <w:rPr>
                <w:rFonts w:asciiTheme="minorHAnsi" w:hAnsiTheme="minorHAnsi" w:cstheme="minorHAnsi"/>
                <w:sz w:val="21"/>
              </w:rPr>
            </w:pPr>
            <w:r w:rsidRPr="00DB0AAD">
              <w:rPr>
                <w:rFonts w:asciiTheme="minorHAnsi" w:hAnsiTheme="minorHAnsi" w:cstheme="minorHAnsi"/>
                <w:sz w:val="21"/>
              </w:rPr>
              <w:t>Commonwealth agencies participating:</w:t>
            </w:r>
          </w:p>
          <w:p w14:paraId="3F791DC8" w14:textId="77777777" w:rsidR="00DB3795" w:rsidRPr="00DB0AAD" w:rsidRDefault="00DB3795" w:rsidP="00DB3795">
            <w:pPr>
              <w:numPr>
                <w:ilvl w:val="0"/>
                <w:numId w:val="1"/>
              </w:numPr>
              <w:spacing w:before="60" w:after="60" w:line="240" w:lineRule="auto"/>
              <w:rPr>
                <w:rFonts w:asciiTheme="minorHAnsi" w:hAnsiTheme="minorHAnsi" w:cstheme="minorHAnsi"/>
                <w:sz w:val="21"/>
              </w:rPr>
            </w:pPr>
            <w:r w:rsidRPr="00DB0AAD">
              <w:rPr>
                <w:rFonts w:asciiTheme="minorHAnsi" w:hAnsiTheme="minorHAnsi" w:cstheme="minorHAnsi"/>
                <w:sz w:val="21"/>
              </w:rPr>
              <w:t>Department of Infrastructure, Transport, Regional Development, Communications and the Arts;</w:t>
            </w:r>
          </w:p>
          <w:p w14:paraId="3F791DC9" w14:textId="77777777" w:rsidR="00DB3795" w:rsidRPr="00DB0AAD" w:rsidRDefault="00DB3795" w:rsidP="00DB3795">
            <w:pPr>
              <w:numPr>
                <w:ilvl w:val="0"/>
                <w:numId w:val="1"/>
              </w:numPr>
              <w:spacing w:before="60" w:after="60" w:line="240" w:lineRule="auto"/>
              <w:rPr>
                <w:rFonts w:asciiTheme="minorHAnsi" w:hAnsiTheme="minorHAnsi" w:cstheme="minorHAnsi"/>
                <w:sz w:val="21"/>
              </w:rPr>
            </w:pPr>
            <w:r w:rsidRPr="00DB0AAD">
              <w:rPr>
                <w:rFonts w:asciiTheme="minorHAnsi" w:hAnsiTheme="minorHAnsi" w:cstheme="minorHAnsi"/>
                <w:sz w:val="21"/>
              </w:rPr>
              <w:t>Department of Defence;</w:t>
            </w:r>
          </w:p>
          <w:p w14:paraId="3F791DCA" w14:textId="77777777" w:rsidR="00DB3795" w:rsidRPr="00DB0AAD" w:rsidRDefault="00DB3795" w:rsidP="00DB3795">
            <w:pPr>
              <w:numPr>
                <w:ilvl w:val="0"/>
                <w:numId w:val="1"/>
              </w:numPr>
              <w:spacing w:before="60" w:after="60" w:line="240" w:lineRule="auto"/>
              <w:rPr>
                <w:rFonts w:asciiTheme="minorHAnsi" w:hAnsiTheme="minorHAnsi" w:cstheme="minorHAnsi"/>
                <w:sz w:val="21"/>
              </w:rPr>
            </w:pPr>
            <w:r w:rsidRPr="00DB0AAD">
              <w:rPr>
                <w:rFonts w:asciiTheme="minorHAnsi" w:hAnsiTheme="minorHAnsi" w:cstheme="minorHAnsi"/>
                <w:sz w:val="21"/>
              </w:rPr>
              <w:t xml:space="preserve">Civil Aviation Safety Authority; and </w:t>
            </w:r>
          </w:p>
          <w:p w14:paraId="3F791DCB" w14:textId="77777777" w:rsidR="00DB3795" w:rsidRPr="00DB0AAD" w:rsidRDefault="00DB3795" w:rsidP="00DB3795">
            <w:pPr>
              <w:numPr>
                <w:ilvl w:val="0"/>
                <w:numId w:val="1"/>
              </w:numPr>
              <w:spacing w:before="60" w:after="60" w:line="240" w:lineRule="auto"/>
              <w:rPr>
                <w:rFonts w:asciiTheme="minorHAnsi" w:hAnsiTheme="minorHAnsi" w:cstheme="minorHAnsi"/>
                <w:sz w:val="21"/>
              </w:rPr>
            </w:pPr>
            <w:proofErr w:type="spellStart"/>
            <w:r w:rsidRPr="00DB0AAD">
              <w:rPr>
                <w:rFonts w:asciiTheme="minorHAnsi" w:hAnsiTheme="minorHAnsi" w:cstheme="minorHAnsi"/>
                <w:sz w:val="21"/>
              </w:rPr>
              <w:t>Airservices</w:t>
            </w:r>
            <w:proofErr w:type="spellEnd"/>
            <w:r w:rsidRPr="00DB0AAD">
              <w:rPr>
                <w:rFonts w:asciiTheme="minorHAnsi" w:hAnsiTheme="minorHAnsi" w:cstheme="minorHAnsi"/>
                <w:sz w:val="21"/>
              </w:rPr>
              <w:t xml:space="preserve"> Australia.</w:t>
            </w:r>
          </w:p>
          <w:p w14:paraId="3F791DCC" w14:textId="77777777" w:rsidR="00DB3795" w:rsidRPr="00DB0AAD" w:rsidRDefault="00DB3795" w:rsidP="00183972">
            <w:pPr>
              <w:spacing w:before="60" w:after="60" w:line="240" w:lineRule="auto"/>
              <w:rPr>
                <w:rFonts w:asciiTheme="minorHAnsi" w:hAnsiTheme="minorHAnsi" w:cstheme="minorHAnsi"/>
                <w:sz w:val="21"/>
              </w:rPr>
            </w:pPr>
            <w:r w:rsidRPr="00DB0AAD">
              <w:rPr>
                <w:rFonts w:asciiTheme="minorHAnsi" w:hAnsiTheme="minorHAnsi" w:cstheme="minorHAnsi"/>
                <w:sz w:val="21"/>
              </w:rPr>
              <w:t>By invitation:</w:t>
            </w:r>
          </w:p>
          <w:p w14:paraId="3F791DCD" w14:textId="77777777" w:rsidR="00DB3795" w:rsidRPr="00DB0AAD" w:rsidRDefault="00DB3795" w:rsidP="00DB3795">
            <w:pPr>
              <w:numPr>
                <w:ilvl w:val="0"/>
                <w:numId w:val="2"/>
              </w:numPr>
              <w:spacing w:before="60" w:after="60" w:line="240" w:lineRule="auto"/>
              <w:rPr>
                <w:rFonts w:asciiTheme="minorHAnsi" w:hAnsiTheme="minorHAnsi" w:cstheme="minorHAnsi"/>
                <w:sz w:val="21"/>
              </w:rPr>
            </w:pPr>
            <w:r w:rsidRPr="00DB0AAD">
              <w:rPr>
                <w:rFonts w:asciiTheme="minorHAnsi" w:hAnsiTheme="minorHAnsi" w:cstheme="minorHAnsi"/>
                <w:sz w:val="21"/>
              </w:rPr>
              <w:t>Australian Transport Safety Bureau</w:t>
            </w:r>
          </w:p>
          <w:p w14:paraId="1E46D5CA" w14:textId="77777777" w:rsidR="00DB3795" w:rsidRDefault="00DB3795" w:rsidP="00DB3795">
            <w:pPr>
              <w:numPr>
                <w:ilvl w:val="0"/>
                <w:numId w:val="2"/>
              </w:numPr>
              <w:spacing w:before="60" w:after="60" w:line="240" w:lineRule="auto"/>
              <w:rPr>
                <w:rFonts w:asciiTheme="minorHAnsi" w:hAnsiTheme="minorHAnsi" w:cstheme="minorHAnsi"/>
                <w:sz w:val="21"/>
              </w:rPr>
            </w:pPr>
            <w:r w:rsidRPr="00DB0AAD">
              <w:rPr>
                <w:rFonts w:asciiTheme="minorHAnsi" w:hAnsiTheme="minorHAnsi" w:cstheme="minorHAnsi"/>
                <w:sz w:val="21"/>
              </w:rPr>
              <w:t>Australian Space Agency</w:t>
            </w:r>
          </w:p>
          <w:p w14:paraId="3F791DCE" w14:textId="76CDA8B0" w:rsidR="00BD1A75" w:rsidRPr="00DB0AAD" w:rsidRDefault="00BD1A75" w:rsidP="00DB3795">
            <w:pPr>
              <w:numPr>
                <w:ilvl w:val="0"/>
                <w:numId w:val="2"/>
              </w:numPr>
              <w:spacing w:before="60" w:after="60" w:line="240" w:lineRule="auto"/>
              <w:rPr>
                <w:rFonts w:asciiTheme="minorHAnsi" w:hAnsiTheme="minorHAnsi" w:cstheme="minorHAnsi"/>
                <w:sz w:val="21"/>
              </w:rPr>
            </w:pPr>
            <w:r>
              <w:rPr>
                <w:rFonts w:asciiTheme="minorHAnsi" w:hAnsiTheme="minorHAnsi" w:cstheme="minorHAnsi"/>
                <w:sz w:val="21"/>
              </w:rPr>
              <w:t>Department of Home Affairs</w:t>
            </w:r>
            <w:bookmarkStart w:id="0" w:name="_GoBack"/>
            <w:bookmarkEnd w:id="0"/>
          </w:p>
        </w:tc>
      </w:tr>
      <w:tr w:rsidR="00DB3795" w:rsidRPr="00552DC4" w14:paraId="3F791DD6" w14:textId="77777777" w:rsidTr="00183972">
        <w:trPr>
          <w:trHeight w:val="3853"/>
        </w:trPr>
        <w:tc>
          <w:tcPr>
            <w:tcW w:w="1580" w:type="dxa"/>
          </w:tcPr>
          <w:p w14:paraId="3F791DD0" w14:textId="77777777" w:rsidR="00DB3795" w:rsidRPr="00DB0AAD" w:rsidRDefault="00DB3795" w:rsidP="00183972">
            <w:pPr>
              <w:spacing w:before="60" w:after="60" w:line="240" w:lineRule="auto"/>
              <w:rPr>
                <w:rFonts w:asciiTheme="minorHAnsi" w:hAnsiTheme="minorHAnsi" w:cstheme="minorHAnsi"/>
                <w:sz w:val="21"/>
              </w:rPr>
            </w:pPr>
            <w:r w:rsidRPr="00DB0AAD">
              <w:rPr>
                <w:rFonts w:asciiTheme="minorHAnsi" w:hAnsiTheme="minorHAnsi" w:cstheme="minorHAnsi"/>
                <w:sz w:val="21"/>
              </w:rPr>
              <w:t>Responsibilities</w:t>
            </w:r>
          </w:p>
        </w:tc>
        <w:tc>
          <w:tcPr>
            <w:tcW w:w="8627" w:type="dxa"/>
          </w:tcPr>
          <w:p w14:paraId="3F791DD1" w14:textId="77777777" w:rsidR="00DB3795" w:rsidRPr="00DB0AAD" w:rsidRDefault="00DB3795" w:rsidP="00183972">
            <w:pPr>
              <w:spacing w:before="60" w:after="60" w:line="240" w:lineRule="auto"/>
              <w:rPr>
                <w:rFonts w:asciiTheme="minorHAnsi" w:hAnsiTheme="minorHAnsi" w:cstheme="minorHAnsi"/>
                <w:sz w:val="21"/>
              </w:rPr>
            </w:pPr>
            <w:r w:rsidRPr="00DB0AAD">
              <w:rPr>
                <w:rFonts w:asciiTheme="minorHAnsi" w:hAnsiTheme="minorHAnsi" w:cstheme="minorHAnsi"/>
                <w:sz w:val="21"/>
              </w:rPr>
              <w:t>To enable cooperation and coordination across the four Commonwealth Government agencies responsible for aviation policy, regulation and service provision. With particular focus on:</w:t>
            </w:r>
          </w:p>
          <w:p w14:paraId="3F791DD2" w14:textId="77777777" w:rsidR="00DB3795" w:rsidRPr="00DB0AAD" w:rsidRDefault="00DB3795" w:rsidP="00DB3795">
            <w:pPr>
              <w:numPr>
                <w:ilvl w:val="0"/>
                <w:numId w:val="1"/>
              </w:numPr>
              <w:spacing w:before="60" w:after="60" w:line="240" w:lineRule="auto"/>
              <w:rPr>
                <w:rFonts w:asciiTheme="minorHAnsi" w:hAnsiTheme="minorHAnsi" w:cstheme="minorHAnsi"/>
                <w:sz w:val="21"/>
              </w:rPr>
            </w:pPr>
            <w:r w:rsidRPr="00DB0AAD">
              <w:rPr>
                <w:rFonts w:asciiTheme="minorHAnsi" w:hAnsiTheme="minorHAnsi" w:cstheme="minorHAnsi"/>
                <w:sz w:val="21"/>
              </w:rPr>
              <w:t xml:space="preserve">sharing and discussing advice on civil and military aviation-related issues to assist in coordinated and cooperative action by Government agencies on these issues including those covered in the Minister’s Statement of Expectations to </w:t>
            </w:r>
            <w:proofErr w:type="spellStart"/>
            <w:r w:rsidRPr="00DB0AAD">
              <w:rPr>
                <w:rFonts w:asciiTheme="minorHAnsi" w:hAnsiTheme="minorHAnsi" w:cstheme="minorHAnsi"/>
                <w:sz w:val="21"/>
              </w:rPr>
              <w:t>Airservices</w:t>
            </w:r>
            <w:proofErr w:type="spellEnd"/>
            <w:r w:rsidRPr="00DB0AAD">
              <w:rPr>
                <w:rFonts w:asciiTheme="minorHAnsi" w:hAnsiTheme="minorHAnsi" w:cstheme="minorHAnsi"/>
                <w:sz w:val="21"/>
              </w:rPr>
              <w:t xml:space="preserve"> Australia and the Civil Aviation Safety Authority; </w:t>
            </w:r>
          </w:p>
          <w:p w14:paraId="3F791DD3" w14:textId="77777777" w:rsidR="00DB3795" w:rsidRPr="00DB0AAD" w:rsidRDefault="00DB3795" w:rsidP="00DB3795">
            <w:pPr>
              <w:numPr>
                <w:ilvl w:val="0"/>
                <w:numId w:val="1"/>
              </w:numPr>
              <w:spacing w:before="60" w:after="60" w:line="240" w:lineRule="auto"/>
              <w:rPr>
                <w:rFonts w:asciiTheme="minorHAnsi" w:hAnsiTheme="minorHAnsi" w:cstheme="minorHAnsi"/>
                <w:sz w:val="21"/>
              </w:rPr>
            </w:pPr>
            <w:r w:rsidRPr="00DB0AAD">
              <w:rPr>
                <w:rFonts w:asciiTheme="minorHAnsi" w:hAnsiTheme="minorHAnsi" w:cstheme="minorHAnsi"/>
                <w:sz w:val="21"/>
              </w:rPr>
              <w:t xml:space="preserve">guiding the development, review and updating of Australia’s Aviation State Safety Program and consider other International Civil Aviation Organization (ICAO) issues; and </w:t>
            </w:r>
          </w:p>
          <w:p w14:paraId="3F791DD4" w14:textId="77777777" w:rsidR="00DB3795" w:rsidRPr="00DB0AAD" w:rsidRDefault="00DB3795" w:rsidP="00DB3795">
            <w:pPr>
              <w:numPr>
                <w:ilvl w:val="0"/>
                <w:numId w:val="1"/>
              </w:numPr>
              <w:spacing w:before="60" w:after="60" w:line="240" w:lineRule="auto"/>
              <w:rPr>
                <w:rFonts w:asciiTheme="minorHAnsi" w:hAnsiTheme="minorHAnsi" w:cstheme="minorHAnsi"/>
                <w:sz w:val="21"/>
              </w:rPr>
            </w:pPr>
            <w:r w:rsidRPr="00DB0AAD">
              <w:rPr>
                <w:rFonts w:asciiTheme="minorHAnsi" w:hAnsiTheme="minorHAnsi" w:cstheme="minorHAnsi"/>
                <w:sz w:val="21"/>
              </w:rPr>
              <w:t>assisting the development and implementation of a strategic and coordinated approach to Australian air traffic management policy and planning.</w:t>
            </w:r>
          </w:p>
          <w:p w14:paraId="3F791DD5" w14:textId="77777777" w:rsidR="00DB3795" w:rsidRPr="00DB0AAD" w:rsidRDefault="00DB3795" w:rsidP="00183972">
            <w:pPr>
              <w:spacing w:before="60" w:after="60" w:line="240" w:lineRule="auto"/>
              <w:rPr>
                <w:rFonts w:asciiTheme="minorHAnsi" w:hAnsiTheme="minorHAnsi" w:cstheme="minorHAnsi"/>
                <w:sz w:val="21"/>
              </w:rPr>
            </w:pPr>
            <w:r w:rsidRPr="00DB0AAD">
              <w:rPr>
                <w:rFonts w:asciiTheme="minorHAnsi" w:hAnsiTheme="minorHAnsi" w:cstheme="minorHAnsi"/>
                <w:sz w:val="21"/>
              </w:rPr>
              <w:t xml:space="preserve">Individual agency authority or accountability for legislative, regulatory and service provision roles remains with the relevant agency. Each agency reports their activities through established legislative and governance requirements to their relevant Ministers and Boards. </w:t>
            </w:r>
          </w:p>
        </w:tc>
      </w:tr>
      <w:tr w:rsidR="00DB3795" w:rsidRPr="00552DC4" w14:paraId="3F791DD9" w14:textId="77777777" w:rsidTr="00183972">
        <w:tc>
          <w:tcPr>
            <w:tcW w:w="1580" w:type="dxa"/>
          </w:tcPr>
          <w:p w14:paraId="3F791DD7" w14:textId="77777777" w:rsidR="00DB3795" w:rsidRPr="00DB0AAD" w:rsidRDefault="00DB3795" w:rsidP="00183972">
            <w:pPr>
              <w:spacing w:before="60" w:after="60" w:line="240" w:lineRule="auto"/>
              <w:rPr>
                <w:rFonts w:asciiTheme="minorHAnsi" w:hAnsiTheme="minorHAnsi" w:cstheme="minorHAnsi"/>
                <w:sz w:val="21"/>
              </w:rPr>
            </w:pPr>
            <w:r w:rsidRPr="00DB0AAD">
              <w:rPr>
                <w:rFonts w:asciiTheme="minorHAnsi" w:hAnsiTheme="minorHAnsi" w:cstheme="minorHAnsi"/>
                <w:sz w:val="21"/>
              </w:rPr>
              <w:t>Operations</w:t>
            </w:r>
          </w:p>
        </w:tc>
        <w:tc>
          <w:tcPr>
            <w:tcW w:w="8627" w:type="dxa"/>
          </w:tcPr>
          <w:p w14:paraId="3F791DD8" w14:textId="77777777" w:rsidR="00DB3795" w:rsidRPr="00DB0AAD" w:rsidRDefault="00DB3795" w:rsidP="00183972">
            <w:pPr>
              <w:spacing w:before="60" w:after="60" w:line="240" w:lineRule="auto"/>
              <w:rPr>
                <w:rFonts w:asciiTheme="minorHAnsi" w:hAnsiTheme="minorHAnsi" w:cstheme="minorHAnsi"/>
                <w:sz w:val="21"/>
              </w:rPr>
            </w:pPr>
            <w:r w:rsidRPr="00DB0AAD">
              <w:rPr>
                <w:rFonts w:asciiTheme="minorHAnsi" w:hAnsiTheme="minorHAnsi" w:cstheme="minorHAnsi"/>
                <w:sz w:val="21"/>
              </w:rPr>
              <w:t>The APG will meet face-to-face at least three times a year, with additional meetings as required at the discretion of the Chair. Additional work may be conducted out-of-session.</w:t>
            </w:r>
          </w:p>
        </w:tc>
      </w:tr>
      <w:tr w:rsidR="00DB3795" w:rsidRPr="00552DC4" w14:paraId="3F791DDE" w14:textId="77777777" w:rsidTr="00183972">
        <w:trPr>
          <w:trHeight w:val="1890"/>
        </w:trPr>
        <w:tc>
          <w:tcPr>
            <w:tcW w:w="1580" w:type="dxa"/>
          </w:tcPr>
          <w:p w14:paraId="3F791DDA" w14:textId="77777777" w:rsidR="00DB3795" w:rsidRPr="00DB0AAD" w:rsidRDefault="00DB3795" w:rsidP="00183972">
            <w:pPr>
              <w:spacing w:before="60" w:after="60" w:line="240" w:lineRule="auto"/>
              <w:rPr>
                <w:rFonts w:asciiTheme="minorHAnsi" w:hAnsiTheme="minorHAnsi" w:cstheme="minorHAnsi"/>
                <w:sz w:val="21"/>
              </w:rPr>
            </w:pPr>
            <w:r w:rsidRPr="00DB0AAD">
              <w:rPr>
                <w:rFonts w:asciiTheme="minorHAnsi" w:hAnsiTheme="minorHAnsi" w:cstheme="minorHAnsi"/>
                <w:sz w:val="21"/>
              </w:rPr>
              <w:t>Support</w:t>
            </w:r>
          </w:p>
        </w:tc>
        <w:tc>
          <w:tcPr>
            <w:tcW w:w="8627" w:type="dxa"/>
          </w:tcPr>
          <w:p w14:paraId="3F791DDB" w14:textId="77777777" w:rsidR="00DB3795" w:rsidRPr="00DB0AAD" w:rsidRDefault="00DB3795" w:rsidP="00183972">
            <w:pPr>
              <w:spacing w:before="60" w:after="60" w:line="240" w:lineRule="auto"/>
              <w:rPr>
                <w:rFonts w:asciiTheme="minorHAnsi" w:hAnsiTheme="minorHAnsi" w:cstheme="minorHAnsi"/>
                <w:sz w:val="21"/>
              </w:rPr>
            </w:pPr>
            <w:r w:rsidRPr="00DB0AAD">
              <w:rPr>
                <w:rFonts w:asciiTheme="minorHAnsi" w:hAnsiTheme="minorHAnsi" w:cstheme="minorHAnsi"/>
                <w:sz w:val="21"/>
              </w:rPr>
              <w:t>APG delivers the work program and will task the Aviation Implementation Group (AIG) on an as needed basis. The AIG will:</w:t>
            </w:r>
          </w:p>
          <w:p w14:paraId="3F791DDC" w14:textId="77777777" w:rsidR="00DB3795" w:rsidRPr="00DB0AAD" w:rsidRDefault="00DB3795" w:rsidP="00DB3795">
            <w:pPr>
              <w:numPr>
                <w:ilvl w:val="0"/>
                <w:numId w:val="3"/>
              </w:numPr>
              <w:spacing w:before="60" w:after="60" w:line="240" w:lineRule="auto"/>
              <w:rPr>
                <w:rFonts w:asciiTheme="minorHAnsi" w:hAnsiTheme="minorHAnsi" w:cstheme="minorHAnsi"/>
                <w:sz w:val="21"/>
              </w:rPr>
            </w:pPr>
            <w:r w:rsidRPr="00DB0AAD">
              <w:rPr>
                <w:rFonts w:asciiTheme="minorHAnsi" w:hAnsiTheme="minorHAnsi" w:cstheme="minorHAnsi"/>
                <w:sz w:val="21"/>
              </w:rPr>
              <w:t>Act as a clearing house for technical matters: progress and resolve issues that did not need to be escalated to APG; and</w:t>
            </w:r>
          </w:p>
          <w:p w14:paraId="3F791DDD" w14:textId="77777777" w:rsidR="00DB3795" w:rsidRPr="00DB0AAD" w:rsidRDefault="00DB3795" w:rsidP="00DB3795">
            <w:pPr>
              <w:numPr>
                <w:ilvl w:val="0"/>
                <w:numId w:val="3"/>
              </w:numPr>
              <w:spacing w:before="60" w:after="60" w:line="240" w:lineRule="auto"/>
              <w:rPr>
                <w:rFonts w:asciiTheme="minorHAnsi" w:hAnsiTheme="minorHAnsi" w:cstheme="minorHAnsi"/>
                <w:sz w:val="21"/>
              </w:rPr>
            </w:pPr>
            <w:r w:rsidRPr="00DB0AAD">
              <w:rPr>
                <w:rFonts w:asciiTheme="minorHAnsi" w:hAnsiTheme="minorHAnsi" w:cstheme="minorHAnsi"/>
                <w:sz w:val="21"/>
              </w:rPr>
              <w:t>Identify and ‘work up’ issues that need to be escalated to APG for strategic consideration. These can be at the direction of APG or come from AIG considerations.</w:t>
            </w:r>
          </w:p>
        </w:tc>
      </w:tr>
    </w:tbl>
    <w:p w14:paraId="3F791DDF" w14:textId="77777777" w:rsidR="00865B4F" w:rsidRDefault="00865B4F"/>
    <w:sectPr w:rsidR="00865B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299"/>
    <w:multiLevelType w:val="hybridMultilevel"/>
    <w:tmpl w:val="5C082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9E2B5D"/>
    <w:multiLevelType w:val="hybridMultilevel"/>
    <w:tmpl w:val="BA0AB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BE93E7D"/>
    <w:multiLevelType w:val="hybridMultilevel"/>
    <w:tmpl w:val="0C00A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95"/>
    <w:rsid w:val="005221C2"/>
    <w:rsid w:val="00865B4F"/>
    <w:rsid w:val="00974570"/>
    <w:rsid w:val="009C07B2"/>
    <w:rsid w:val="00BD1A75"/>
    <w:rsid w:val="00DB37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1DBD"/>
  <w15:chartTrackingRefBased/>
  <w15:docId w15:val="{F6D3023A-F8FE-4CE1-BABD-27768563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795"/>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3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Jiten MANGAL</dc:creator>
  <cp:keywords/>
  <dc:description/>
  <cp:lastModifiedBy>Mangal, Jiten</cp:lastModifiedBy>
  <cp:revision>3</cp:revision>
  <dcterms:created xsi:type="dcterms:W3CDTF">2025-03-28T05:53:00Z</dcterms:created>
  <dcterms:modified xsi:type="dcterms:W3CDTF">2025-03-28T05:53:00Z</dcterms:modified>
</cp:coreProperties>
</file>