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CCE6B0" w14:textId="77777777" w:rsidR="00133A45" w:rsidRDefault="000E29BE" w:rsidP="00C817A5">
      <w:pPr>
        <w:spacing w:after="480"/>
      </w:pPr>
      <w:r>
        <w:rPr>
          <w:noProof/>
          <w:lang w:eastAsia="en-AU"/>
        </w:rPr>
        <w:drawing>
          <wp:inline distT="0" distB="0" distL="0" distR="0" wp14:anchorId="4C273B7B" wp14:editId="1821BF51">
            <wp:extent cx="4637731" cy="850900"/>
            <wp:effectExtent l="0" t="0" r="0" b="6350"/>
            <wp:docPr id="5" name="Picture 5"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49657" cy="853088"/>
                    </a:xfrm>
                    <a:prstGeom prst="rect">
                      <a:avLst/>
                    </a:prstGeom>
                  </pic:spPr>
                </pic:pic>
              </a:graphicData>
            </a:graphic>
          </wp:inline>
        </w:drawing>
      </w:r>
    </w:p>
    <w:p w14:paraId="17BAEFB7" w14:textId="77777777" w:rsidR="00C817A5" w:rsidRDefault="00C817A5" w:rsidP="000E29BE">
      <w:pPr>
        <w:spacing w:after="720"/>
        <w:sectPr w:rsidR="00C817A5" w:rsidSect="000E29BE">
          <w:headerReference w:type="default" r:id="rId9"/>
          <w:footerReference w:type="default" r:id="rId10"/>
          <w:footerReference w:type="first" r:id="rId11"/>
          <w:pgSz w:w="11906" w:h="16838"/>
          <w:pgMar w:top="1135" w:right="991" w:bottom="1276" w:left="1440" w:header="0" w:footer="113" w:gutter="0"/>
          <w:cols w:space="708"/>
          <w:titlePg/>
          <w:docGrid w:linePitch="360"/>
        </w:sectPr>
      </w:pPr>
    </w:p>
    <w:p w14:paraId="798B0A08" w14:textId="77777777" w:rsidR="00B041CB" w:rsidRPr="00F41576" w:rsidRDefault="00277B15" w:rsidP="00C817A5">
      <w:pPr>
        <w:suppressAutoHyphens/>
        <w:spacing w:after="120"/>
        <w:ind w:left="1134"/>
        <w:rPr>
          <w:rFonts w:eastAsia="Calibri" w:cs="Times New Roman (Body CS)"/>
          <w:caps/>
          <w:color w:val="595C6E"/>
          <w:kern w:val="12"/>
          <w:sz w:val="21"/>
          <w:szCs w:val="20"/>
        </w:rPr>
      </w:pPr>
      <w:r>
        <w:t>BUREAU OF COMMUNICATIONS, ARTS AND REGIONAL RESEARCH</w:t>
      </w:r>
    </w:p>
    <w:p w14:paraId="660CCAD7" w14:textId="12D9D532" w:rsidR="00B041CB" w:rsidRPr="00B041CB" w:rsidRDefault="00277B15" w:rsidP="00C817A5">
      <w:pPr>
        <w:pStyle w:val="Heading1"/>
      </w:pPr>
      <w:r>
        <w:t>Analysis of the Cultural and Creative Sector</w:t>
      </w:r>
    </w:p>
    <w:p w14:paraId="13CE96B7" w14:textId="77777777" w:rsidR="00B041CB" w:rsidRPr="00B041CB" w:rsidRDefault="00277B15" w:rsidP="00C817A5">
      <w:pPr>
        <w:pStyle w:val="Subtitle"/>
      </w:pPr>
      <w:r>
        <w:t>Revive: Sectoral Analysis</w:t>
      </w:r>
    </w:p>
    <w:p w14:paraId="7778A093" w14:textId="77777777" w:rsidR="00B041CB" w:rsidRPr="00B041CB" w:rsidRDefault="00277B15" w:rsidP="00C817A5">
      <w:pPr>
        <w:suppressAutoHyphens/>
        <w:spacing w:before="160" w:after="80"/>
        <w:ind w:left="1134"/>
        <w:rPr>
          <w:rFonts w:eastAsia="Calibri" w:cs="Times New Roman"/>
          <w:b/>
          <w:color w:val="081E3E"/>
          <w:kern w:val="12"/>
          <w:sz w:val="20"/>
          <w:szCs w:val="20"/>
        </w:rPr>
      </w:pPr>
      <w:r>
        <w:rPr>
          <w:rFonts w:eastAsia="Calibri" w:cs="Times New Roman"/>
          <w:b/>
          <w:color w:val="081E3E"/>
          <w:kern w:val="12"/>
          <w:sz w:val="20"/>
          <w:szCs w:val="20"/>
        </w:rPr>
        <w:t>December</w:t>
      </w:r>
      <w:r w:rsidR="00B041CB" w:rsidRPr="00B041CB">
        <w:rPr>
          <w:rFonts w:eastAsia="Calibri" w:cs="Times New Roman"/>
          <w:b/>
          <w:color w:val="081E3E"/>
          <w:kern w:val="12"/>
          <w:sz w:val="20"/>
          <w:szCs w:val="20"/>
        </w:rPr>
        <w:t xml:space="preserve"> 202</w:t>
      </w:r>
      <w:r w:rsidR="00D10954">
        <w:rPr>
          <w:rFonts w:eastAsia="Calibri" w:cs="Times New Roman"/>
          <w:b/>
          <w:color w:val="081E3E"/>
          <w:kern w:val="12"/>
          <w:sz w:val="20"/>
          <w:szCs w:val="20"/>
        </w:rPr>
        <w:t>4</w:t>
      </w:r>
    </w:p>
    <w:p w14:paraId="69B52D26" w14:textId="77777777" w:rsidR="009C1ECD" w:rsidRDefault="009C1ECD" w:rsidP="009C1ECD">
      <w:pPr>
        <w:jc w:val="right"/>
        <w:rPr>
          <w:rFonts w:eastAsia="Calibri" w:cs="Times New Roman"/>
          <w:color w:val="000000"/>
          <w:kern w:val="12"/>
          <w:sz w:val="20"/>
          <w:szCs w:val="20"/>
        </w:rPr>
      </w:pPr>
    </w:p>
    <w:p w14:paraId="6691ED7C" w14:textId="77777777" w:rsidR="009C1ECD" w:rsidRDefault="009C1ECD">
      <w:pPr>
        <w:spacing w:line="259" w:lineRule="auto"/>
        <w:rPr>
          <w:rFonts w:eastAsia="Calibri" w:cs="Times New Roman"/>
          <w:color w:val="000000"/>
          <w:kern w:val="12"/>
          <w:sz w:val="20"/>
          <w:szCs w:val="20"/>
        </w:rPr>
      </w:pPr>
      <w:r>
        <w:rPr>
          <w:rFonts w:eastAsia="Calibri" w:cs="Times New Roman"/>
          <w:color w:val="000000"/>
          <w:kern w:val="12"/>
          <w:sz w:val="20"/>
          <w:szCs w:val="20"/>
        </w:rPr>
        <w:br w:type="page"/>
      </w:r>
    </w:p>
    <w:p w14:paraId="3001C5C4" w14:textId="51A9D2A0" w:rsidR="00A9155C" w:rsidRDefault="00A9155C" w:rsidP="00C817A5">
      <w:pPr>
        <w:pStyle w:val="NoSpacing"/>
        <w:spacing w:before="120"/>
      </w:pPr>
      <w:r w:rsidRPr="00A9155C">
        <w:lastRenderedPageBreak/>
        <w:t xml:space="preserve">The Department of Infrastructure, Transport, Regional Development, Communications and the Arts acknowledges the Traditional Custodians of Country throughout Australia and their continuing connection to land, sea and community. We pay </w:t>
      </w:r>
      <w:r w:rsidR="00FC2920">
        <w:t xml:space="preserve">our </w:t>
      </w:r>
      <w:r w:rsidRPr="00A9155C">
        <w:t>respects to them, their cultures and to their Elders, past, present and emerging.</w:t>
      </w:r>
    </w:p>
    <w:p w14:paraId="0750905B" w14:textId="0FC3EEF7" w:rsidR="00C817A5" w:rsidRPr="000E5674" w:rsidRDefault="00C817A5" w:rsidP="00C817A5">
      <w:pPr>
        <w:pStyle w:val="NoSpacing"/>
        <w:spacing w:before="120"/>
      </w:pPr>
      <w:r w:rsidRPr="000E5674">
        <w:t>© Commonwealth of Australia 202</w:t>
      </w:r>
      <w:r w:rsidR="00D10954">
        <w:t>4</w:t>
      </w:r>
    </w:p>
    <w:p w14:paraId="38BEB286" w14:textId="56C272C7" w:rsidR="00C817A5" w:rsidRPr="000E5674" w:rsidRDefault="00C817A5" w:rsidP="00C817A5">
      <w:pPr>
        <w:pStyle w:val="NoSpacing"/>
        <w:spacing w:before="120"/>
      </w:pPr>
      <w:r w:rsidRPr="000E5674">
        <w:t xml:space="preserve">ISBN </w:t>
      </w:r>
      <w:r w:rsidR="00E2457E" w:rsidRPr="00BA6DE4">
        <w:t>978-1-922879-72-1</w:t>
      </w:r>
      <w:r w:rsidR="00E2457E">
        <w:t xml:space="preserve"> BCARR reference: 2024-1220</w:t>
      </w:r>
    </w:p>
    <w:p w14:paraId="06D392C1" w14:textId="77777777" w:rsidR="00C817A5" w:rsidRPr="000E5674" w:rsidRDefault="00277B15" w:rsidP="00C817A5">
      <w:pPr>
        <w:pStyle w:val="NoSpacing"/>
        <w:spacing w:before="120"/>
      </w:pPr>
      <w:r w:rsidRPr="00277B15">
        <w:t>December</w:t>
      </w:r>
      <w:r w:rsidR="00C817A5" w:rsidRPr="000E5674">
        <w:t xml:space="preserve"> 202</w:t>
      </w:r>
      <w:r w:rsidR="00D10954">
        <w:t>4</w:t>
      </w:r>
    </w:p>
    <w:p w14:paraId="7DB1A1F1" w14:textId="77777777" w:rsidR="00277B15" w:rsidRPr="000E5674" w:rsidRDefault="00277B15" w:rsidP="00277B15">
      <w:pPr>
        <w:pStyle w:val="Heading2notshowing"/>
      </w:pPr>
      <w:r w:rsidRPr="000E5674">
        <w:t>Ownership of intellectual property rights in this publication</w:t>
      </w:r>
    </w:p>
    <w:p w14:paraId="229EA4B8" w14:textId="77777777" w:rsidR="00277B15" w:rsidRPr="000E5674" w:rsidRDefault="00277B15" w:rsidP="00277B15">
      <w:pPr>
        <w:spacing w:before="120"/>
        <w:rPr>
          <w:lang w:val="x-none"/>
        </w:rPr>
      </w:pPr>
      <w:r w:rsidRPr="000E5674">
        <w:rPr>
          <w:lang w:val="x-none"/>
        </w:rPr>
        <w:t>Unless otherwise noted, copyright (and any other intellectual property rights, if any) in this publication is owned by the</w:t>
      </w:r>
      <w:r>
        <w:rPr>
          <w:lang w:val="en-US"/>
        </w:rPr>
        <w:t xml:space="preserve"> </w:t>
      </w:r>
      <w:r w:rsidRPr="000E5674">
        <w:rPr>
          <w:lang w:val="x-none"/>
        </w:rPr>
        <w:t>Commonwealth of Australia (referred to below as the Commonwealth).</w:t>
      </w:r>
    </w:p>
    <w:p w14:paraId="3B21FE96" w14:textId="77777777" w:rsidR="00277B15" w:rsidRPr="000E5674" w:rsidRDefault="00277B15" w:rsidP="00277B15">
      <w:pPr>
        <w:pStyle w:val="Heading2notshowing"/>
      </w:pPr>
      <w:r w:rsidRPr="000E5674">
        <w:t>Disclaimer</w:t>
      </w:r>
    </w:p>
    <w:p w14:paraId="22308EDF" w14:textId="77777777" w:rsidR="00277B15" w:rsidRPr="000E5674" w:rsidRDefault="00277B15" w:rsidP="00277B15">
      <w:pPr>
        <w:spacing w:before="120"/>
        <w:rPr>
          <w:lang w:val="x-none"/>
        </w:rPr>
      </w:pPr>
      <w:r w:rsidRPr="000E5674">
        <w:rPr>
          <w:lang w:val="x-none"/>
        </w:rPr>
        <w:t>The material contained in this publication is made available on the understanding that the Commonwealth is not</w:t>
      </w:r>
      <w:r>
        <w:rPr>
          <w:lang w:val="en-US"/>
        </w:rPr>
        <w:t xml:space="preserve"> </w:t>
      </w:r>
      <w:r w:rsidRPr="000E5674">
        <w:rPr>
          <w:lang w:val="x-none"/>
        </w:rPr>
        <w:t>providing professional advice, and that users exercise their own skill and care with respect to its use, and seek</w:t>
      </w:r>
      <w:r>
        <w:rPr>
          <w:lang w:val="en-US"/>
        </w:rPr>
        <w:t xml:space="preserve"> </w:t>
      </w:r>
      <w:r w:rsidRPr="000E5674">
        <w:rPr>
          <w:lang w:val="x-none"/>
        </w:rPr>
        <w:t>independent advice if necessary.</w:t>
      </w:r>
    </w:p>
    <w:p w14:paraId="3BE5B457" w14:textId="77777777" w:rsidR="00277B15" w:rsidRDefault="00277B15" w:rsidP="00277B15">
      <w:pPr>
        <w:spacing w:before="120"/>
        <w:rPr>
          <w:lang w:val="x-none"/>
        </w:rPr>
      </w:pPr>
      <w:r w:rsidRPr="000E5674">
        <w:rPr>
          <w:lang w:val="x-none"/>
        </w:rPr>
        <w:t>The Commonwealth makes no representations or warranties as to the contents or accuracy of the information contained</w:t>
      </w:r>
      <w:r>
        <w:rPr>
          <w:lang w:val="en-US"/>
        </w:rPr>
        <w:t xml:space="preserve"> </w:t>
      </w:r>
      <w:r w:rsidRPr="000E5674">
        <w:rPr>
          <w:lang w:val="x-none"/>
        </w:rPr>
        <w:t>in this publication. To the extent permitted by law, the Commonwealth disclaims liability to any person or organisation in</w:t>
      </w:r>
      <w:r>
        <w:rPr>
          <w:lang w:val="en-US"/>
        </w:rPr>
        <w:t xml:space="preserve"> </w:t>
      </w:r>
      <w:r w:rsidRPr="000E5674">
        <w:rPr>
          <w:lang w:val="x-none"/>
        </w:rPr>
        <w:t>respect of anything done, or omitted to be done, in reliance upon information contained in this publication.</w:t>
      </w:r>
    </w:p>
    <w:p w14:paraId="76443156" w14:textId="77777777" w:rsidR="00277B15" w:rsidRDefault="00277B15" w:rsidP="00277B15">
      <w:pPr>
        <w:pStyle w:val="ImprintHeading"/>
        <w:spacing w:before="120" w:after="80"/>
        <w:rPr>
          <w:b w:val="0"/>
          <w:i/>
          <w:lang w:val="en-US"/>
        </w:rPr>
      </w:pPr>
      <w:r w:rsidRPr="00E2457E">
        <w:rPr>
          <w:b w:val="0"/>
          <w:i/>
          <w:lang w:val="en-US"/>
        </w:rPr>
        <w:t>Unless otherwise noted, copyright (and any other intellectual property rights, if any) in this publication is owned by the Commonwealth of Australia (referred to below as the Commonwealth).</w:t>
      </w:r>
    </w:p>
    <w:p w14:paraId="3125B83D" w14:textId="77777777" w:rsidR="00277B15" w:rsidRDefault="00277B15" w:rsidP="00277B15">
      <w:pPr>
        <w:pStyle w:val="Heading2notshowing"/>
      </w:pPr>
      <w:r>
        <w:t>Creative Commons licence</w:t>
      </w:r>
    </w:p>
    <w:p w14:paraId="0F19C9B7" w14:textId="77777777" w:rsidR="00277B15" w:rsidRDefault="00277B15" w:rsidP="00277B15">
      <w:r>
        <w:rPr>
          <w:noProof/>
        </w:rPr>
        <w:drawing>
          <wp:inline distT="0" distB="0" distL="0" distR="0" wp14:anchorId="37534524" wp14:editId="10904189">
            <wp:extent cx="1007927" cy="352649"/>
            <wp:effectExtent l="0" t="0" r="1905" b="9525"/>
            <wp:docPr id="3" name="Picture 3"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irrors.creativecommons.org/presskit/buttons/88x31/png/by.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741" cy="360281"/>
                    </a:xfrm>
                    <a:prstGeom prst="rect">
                      <a:avLst/>
                    </a:prstGeom>
                    <a:noFill/>
                    <a:ln>
                      <a:noFill/>
                    </a:ln>
                  </pic:spPr>
                </pic:pic>
              </a:graphicData>
            </a:graphic>
          </wp:inline>
        </w:drawing>
      </w:r>
    </w:p>
    <w:p w14:paraId="6B5C24E1" w14:textId="77777777" w:rsidR="00277B15" w:rsidRDefault="00277B15" w:rsidP="00277B15">
      <w:r w:rsidRPr="00650DDB">
        <w:t>With the exception of (a) the Coat of Arms; (b) the Department of Infrastructure, Transport, Regional Development, Communications and the Arts photos and graphics; (c) content supplied by third parties; (d) content otherwise labelled; copyright in this publication is licensed under a Creative Commons BY Attribution 4.0 International Licence.</w:t>
      </w:r>
    </w:p>
    <w:p w14:paraId="48FFBCCE" w14:textId="77777777" w:rsidR="00277B15" w:rsidRPr="000E5674" w:rsidRDefault="00277B15" w:rsidP="00277B15">
      <w:pPr>
        <w:pStyle w:val="Heading2notshowing"/>
      </w:pPr>
      <w:r w:rsidRPr="000E5674">
        <w:t>Use of the Coat of Arms</w:t>
      </w:r>
    </w:p>
    <w:p w14:paraId="15FB086D" w14:textId="5258591C" w:rsidR="00277B15" w:rsidRDefault="00277B15" w:rsidP="00277B15">
      <w:pPr>
        <w:spacing w:before="120"/>
        <w:rPr>
          <w:lang w:val="x-none"/>
        </w:rPr>
      </w:pPr>
      <w:r w:rsidRPr="006F06F2">
        <w:rPr>
          <w:lang w:val="x-none"/>
        </w:rPr>
        <w:t xml:space="preserve">The Department of the Prime Minister and Cabinet sets the terms under which the Coat of Arms is used. For further information, please refer to the </w:t>
      </w:r>
      <w:hyperlink r:id="rId13" w:history="1">
        <w:r w:rsidRPr="006F06F2">
          <w:rPr>
            <w:rStyle w:val="Hyperlink"/>
            <w:lang w:val="x-none"/>
          </w:rPr>
          <w:t>Commonwealth Coat of Arms - Information and Guidelines</w:t>
        </w:r>
      </w:hyperlink>
      <w:r w:rsidRPr="006F06F2">
        <w:rPr>
          <w:lang w:val="x-none"/>
        </w:rPr>
        <w:t>.</w:t>
      </w:r>
    </w:p>
    <w:p w14:paraId="5A7EEC0D" w14:textId="77777777" w:rsidR="00277B15" w:rsidRPr="000E5674" w:rsidRDefault="00277B15" w:rsidP="00277B15">
      <w:pPr>
        <w:pStyle w:val="Heading2notshowing"/>
      </w:pPr>
      <w:r w:rsidRPr="000E5674">
        <w:t>Contact us</w:t>
      </w:r>
    </w:p>
    <w:p w14:paraId="5232A03D" w14:textId="77777777" w:rsidR="00277B15" w:rsidRPr="00E2457E" w:rsidRDefault="00277B15" w:rsidP="00277B15">
      <w:pPr>
        <w:spacing w:before="120"/>
        <w:rPr>
          <w:lang w:val="x-none"/>
        </w:rPr>
      </w:pPr>
      <w:r w:rsidRPr="000E5674">
        <w:rPr>
          <w:lang w:val="x-none"/>
        </w:rPr>
        <w:t xml:space="preserve">This </w:t>
      </w:r>
      <w:r w:rsidRPr="00BD0320">
        <w:rPr>
          <w:lang w:val="x-none"/>
        </w:rPr>
        <w:t xml:space="preserve">publication is available in </w:t>
      </w:r>
      <w:sdt>
        <w:sdtPr>
          <w:rPr>
            <w:lang w:val="x-none"/>
          </w:rPr>
          <w:tag w:val="[select format option]"/>
          <w:id w:val="1958295965"/>
          <w:placeholder>
            <w:docPart w:val="3DDA5A4E14B54FB2B713E8E1F9F2F369"/>
          </w:placeholder>
          <w:dropDownList>
            <w:listItem w:value="Choose an item."/>
            <w:listItem w:displayText="hard copy" w:value="hard copy"/>
            <w:listItem w:displayText="PDF format" w:value="PDF format"/>
            <w:listItem w:displayText="Word format" w:value="Word format"/>
            <w:listItem w:displayText="other format" w:value="other format"/>
          </w:dropDownList>
        </w:sdtPr>
        <w:sdtEndPr/>
        <w:sdtContent>
          <w:r w:rsidRPr="00BD0320">
            <w:rPr>
              <w:lang w:val="x-none"/>
            </w:rPr>
            <w:t>PDF format</w:t>
          </w:r>
        </w:sdtContent>
      </w:sdt>
      <w:r w:rsidRPr="00BD0320">
        <w:rPr>
          <w:lang w:val="x-none"/>
        </w:rPr>
        <w:t>. All</w:t>
      </w:r>
      <w:r w:rsidRPr="000E5674">
        <w:rPr>
          <w:lang w:val="x-none"/>
        </w:rPr>
        <w:t xml:space="preserve"> other rights are reserved, including in relation to any</w:t>
      </w:r>
      <w:r>
        <w:rPr>
          <w:lang w:val="en-US"/>
        </w:rPr>
        <w:t xml:space="preserve"> </w:t>
      </w:r>
      <w:r w:rsidRPr="00E2457E">
        <w:rPr>
          <w:lang w:val="en-US"/>
        </w:rPr>
        <w:t>departmental</w:t>
      </w:r>
      <w:r w:rsidRPr="00E2457E">
        <w:rPr>
          <w:lang w:val="x-none"/>
        </w:rPr>
        <w:t xml:space="preserve"> logos or trademarks which may exist. For enquiries regarding the licence and any use of this publication,</w:t>
      </w:r>
      <w:r w:rsidRPr="00E2457E">
        <w:rPr>
          <w:lang w:val="en-US"/>
        </w:rPr>
        <w:t xml:space="preserve"> </w:t>
      </w:r>
      <w:r w:rsidRPr="00E2457E">
        <w:rPr>
          <w:lang w:val="x-none"/>
        </w:rPr>
        <w:t>please contact:</w:t>
      </w:r>
    </w:p>
    <w:p w14:paraId="7B3A251D" w14:textId="225F73BF" w:rsidR="00277B15" w:rsidRPr="00E2457E" w:rsidRDefault="00277B15" w:rsidP="00277B15">
      <w:pPr>
        <w:spacing w:before="120"/>
        <w:rPr>
          <w:lang w:val="en-US"/>
        </w:rPr>
      </w:pPr>
      <w:r w:rsidRPr="00E2457E">
        <w:rPr>
          <w:lang w:val="x-none"/>
        </w:rPr>
        <w:t xml:space="preserve">Email: </w:t>
      </w:r>
      <w:hyperlink r:id="rId14" w:tooltip="Email the Publishing team at the Department of Infrastructure, Transport, Regional Development and Communications" w:history="1">
        <w:r w:rsidRPr="00E2457E">
          <w:rPr>
            <w:rStyle w:val="Hyperlink"/>
          </w:rPr>
          <w:t>publishing@infrastructure.gov.au</w:t>
        </w:r>
      </w:hyperlink>
    </w:p>
    <w:p w14:paraId="00AECB64" w14:textId="42E8216E" w:rsidR="00277B15" w:rsidRPr="00E2457E" w:rsidRDefault="00277B15" w:rsidP="00277B15">
      <w:pPr>
        <w:spacing w:before="120"/>
        <w:rPr>
          <w:kern w:val="12"/>
        </w:rPr>
      </w:pPr>
      <w:r w:rsidRPr="00E2457E">
        <w:rPr>
          <w:lang w:val="x-none"/>
        </w:rPr>
        <w:t>Website:</w:t>
      </w:r>
      <w:r w:rsidRPr="00E2457E">
        <w:rPr>
          <w:lang w:val="en-US"/>
        </w:rPr>
        <w:t xml:space="preserve"> </w:t>
      </w:r>
      <w:hyperlink r:id="rId15" w:tooltip="Department of Infrastructure, Transport, Regional Development and Communications website" w:history="1">
        <w:r w:rsidRPr="00E2457E">
          <w:rPr>
            <w:rStyle w:val="Hyperlink"/>
          </w:rPr>
          <w:t>www.infrastructure.gov.au</w:t>
        </w:r>
      </w:hyperlink>
    </w:p>
    <w:p w14:paraId="4CBD6690" w14:textId="77777777" w:rsidR="009C1ECD" w:rsidRDefault="009C1ECD" w:rsidP="009C1ECD">
      <w:r>
        <w:br w:type="page"/>
      </w:r>
    </w:p>
    <w:p w14:paraId="191474BD" w14:textId="77777777" w:rsidR="00670726" w:rsidRPr="006B1F9C" w:rsidRDefault="00670726" w:rsidP="00277B15">
      <w:pPr>
        <w:pStyle w:val="Heading2notshowing"/>
        <w:rPr>
          <w:sz w:val="32"/>
          <w:szCs w:val="32"/>
        </w:rPr>
      </w:pPr>
      <w:r w:rsidRPr="006B1F9C">
        <w:rPr>
          <w:sz w:val="32"/>
          <w:szCs w:val="32"/>
        </w:rPr>
        <w:lastRenderedPageBreak/>
        <w:t>Table of contents</w:t>
      </w:r>
    </w:p>
    <w:p w14:paraId="05B84E65" w14:textId="7E615AC8" w:rsidR="002D7A6E" w:rsidRDefault="006E5952">
      <w:pPr>
        <w:pStyle w:val="TOC1"/>
        <w:rPr>
          <w:rFonts w:asciiTheme="minorHAnsi" w:eastAsiaTheme="minorEastAsia" w:hAnsiTheme="minorHAnsi"/>
          <w:b w:val="0"/>
          <w:noProof/>
          <w:color w:val="auto"/>
          <w:u w:val="none"/>
          <w:lang w:eastAsia="en-AU"/>
        </w:rPr>
      </w:pPr>
      <w:r>
        <w:rPr>
          <w:b w:val="0"/>
        </w:rPr>
        <w:fldChar w:fldCharType="begin"/>
      </w:r>
      <w:r>
        <w:rPr>
          <w:b w:val="0"/>
        </w:rPr>
        <w:instrText xml:space="preserve"> TOC \h \z \t "Heading 2,1,Heading 3,2,Heading 4,3" </w:instrText>
      </w:r>
      <w:r>
        <w:rPr>
          <w:b w:val="0"/>
        </w:rPr>
        <w:fldChar w:fldCharType="separate"/>
      </w:r>
      <w:hyperlink w:anchor="_Toc184650654" w:history="1">
        <w:r w:rsidR="002D7A6E" w:rsidRPr="0093096D">
          <w:rPr>
            <w:rStyle w:val="Hyperlink"/>
            <w:noProof/>
          </w:rPr>
          <w:t>Introduction</w:t>
        </w:r>
        <w:r w:rsidR="002D7A6E">
          <w:rPr>
            <w:noProof/>
            <w:webHidden/>
          </w:rPr>
          <w:tab/>
        </w:r>
        <w:r w:rsidR="002D7A6E">
          <w:rPr>
            <w:noProof/>
            <w:webHidden/>
          </w:rPr>
          <w:fldChar w:fldCharType="begin"/>
        </w:r>
        <w:r w:rsidR="002D7A6E">
          <w:rPr>
            <w:noProof/>
            <w:webHidden/>
          </w:rPr>
          <w:instrText xml:space="preserve"> PAGEREF _Toc184650654 \h </w:instrText>
        </w:r>
        <w:r w:rsidR="002D7A6E">
          <w:rPr>
            <w:noProof/>
            <w:webHidden/>
          </w:rPr>
        </w:r>
        <w:r w:rsidR="002D7A6E">
          <w:rPr>
            <w:noProof/>
            <w:webHidden/>
          </w:rPr>
          <w:fldChar w:fldCharType="separate"/>
        </w:r>
        <w:r w:rsidR="003C2F6D">
          <w:rPr>
            <w:noProof/>
            <w:webHidden/>
          </w:rPr>
          <w:t>5</w:t>
        </w:r>
        <w:r w:rsidR="002D7A6E">
          <w:rPr>
            <w:noProof/>
            <w:webHidden/>
          </w:rPr>
          <w:fldChar w:fldCharType="end"/>
        </w:r>
      </w:hyperlink>
    </w:p>
    <w:p w14:paraId="0AA42893" w14:textId="7CAC2E0E" w:rsidR="002D7A6E" w:rsidRDefault="003C2F6D">
      <w:pPr>
        <w:pStyle w:val="TOC1"/>
        <w:rPr>
          <w:rFonts w:asciiTheme="minorHAnsi" w:eastAsiaTheme="minorEastAsia" w:hAnsiTheme="minorHAnsi"/>
          <w:b w:val="0"/>
          <w:noProof/>
          <w:color w:val="auto"/>
          <w:u w:val="none"/>
          <w:lang w:eastAsia="en-AU"/>
        </w:rPr>
      </w:pPr>
      <w:hyperlink w:anchor="_Toc184650655" w:history="1">
        <w:r w:rsidR="002D7A6E" w:rsidRPr="0093096D">
          <w:rPr>
            <w:rStyle w:val="Hyperlink"/>
            <w:noProof/>
          </w:rPr>
          <w:t>The post-COVID recovery has been challenged by cost of living pressures</w:t>
        </w:r>
        <w:r w:rsidR="002D7A6E">
          <w:rPr>
            <w:noProof/>
            <w:webHidden/>
          </w:rPr>
          <w:tab/>
        </w:r>
        <w:r w:rsidR="002D7A6E">
          <w:rPr>
            <w:noProof/>
            <w:webHidden/>
          </w:rPr>
          <w:fldChar w:fldCharType="begin"/>
        </w:r>
        <w:r w:rsidR="002D7A6E">
          <w:rPr>
            <w:noProof/>
            <w:webHidden/>
          </w:rPr>
          <w:instrText xml:space="preserve"> PAGEREF _Toc184650655 \h </w:instrText>
        </w:r>
        <w:r w:rsidR="002D7A6E">
          <w:rPr>
            <w:noProof/>
            <w:webHidden/>
          </w:rPr>
        </w:r>
        <w:r w:rsidR="002D7A6E">
          <w:rPr>
            <w:noProof/>
            <w:webHidden/>
          </w:rPr>
          <w:fldChar w:fldCharType="separate"/>
        </w:r>
        <w:r>
          <w:rPr>
            <w:noProof/>
            <w:webHidden/>
          </w:rPr>
          <w:t>7</w:t>
        </w:r>
        <w:r w:rsidR="002D7A6E">
          <w:rPr>
            <w:noProof/>
            <w:webHidden/>
          </w:rPr>
          <w:fldChar w:fldCharType="end"/>
        </w:r>
      </w:hyperlink>
    </w:p>
    <w:p w14:paraId="56B54580" w14:textId="10EC6B19" w:rsidR="002D7A6E" w:rsidRDefault="003C2F6D">
      <w:pPr>
        <w:pStyle w:val="TOC1"/>
        <w:rPr>
          <w:rFonts w:asciiTheme="minorHAnsi" w:eastAsiaTheme="minorEastAsia" w:hAnsiTheme="minorHAnsi"/>
          <w:b w:val="0"/>
          <w:noProof/>
          <w:color w:val="auto"/>
          <w:u w:val="none"/>
          <w:lang w:eastAsia="en-AU"/>
        </w:rPr>
      </w:pPr>
      <w:hyperlink w:anchor="_Toc184650656" w:history="1">
        <w:r w:rsidR="002D7A6E" w:rsidRPr="0093096D">
          <w:rPr>
            <w:rStyle w:val="Hyperlink"/>
            <w:noProof/>
          </w:rPr>
          <w:t>Diverging trends are evident across the cultural and creative domains</w:t>
        </w:r>
        <w:r w:rsidR="002D7A6E">
          <w:rPr>
            <w:noProof/>
            <w:webHidden/>
          </w:rPr>
          <w:tab/>
        </w:r>
        <w:r w:rsidR="002D7A6E">
          <w:rPr>
            <w:noProof/>
            <w:webHidden/>
          </w:rPr>
          <w:fldChar w:fldCharType="begin"/>
        </w:r>
        <w:r w:rsidR="002D7A6E">
          <w:rPr>
            <w:noProof/>
            <w:webHidden/>
          </w:rPr>
          <w:instrText xml:space="preserve"> PAGEREF _Toc184650656 \h </w:instrText>
        </w:r>
        <w:r w:rsidR="002D7A6E">
          <w:rPr>
            <w:noProof/>
            <w:webHidden/>
          </w:rPr>
        </w:r>
        <w:r w:rsidR="002D7A6E">
          <w:rPr>
            <w:noProof/>
            <w:webHidden/>
          </w:rPr>
          <w:fldChar w:fldCharType="separate"/>
        </w:r>
        <w:r>
          <w:rPr>
            <w:noProof/>
            <w:webHidden/>
          </w:rPr>
          <w:t>12</w:t>
        </w:r>
        <w:r w:rsidR="002D7A6E">
          <w:rPr>
            <w:noProof/>
            <w:webHidden/>
          </w:rPr>
          <w:fldChar w:fldCharType="end"/>
        </w:r>
      </w:hyperlink>
    </w:p>
    <w:p w14:paraId="03381EE3" w14:textId="63B45CC0" w:rsidR="002D7A6E" w:rsidRDefault="003C2F6D">
      <w:pPr>
        <w:pStyle w:val="TOC1"/>
        <w:rPr>
          <w:rFonts w:asciiTheme="minorHAnsi" w:eastAsiaTheme="minorEastAsia" w:hAnsiTheme="minorHAnsi"/>
          <w:b w:val="0"/>
          <w:noProof/>
          <w:color w:val="auto"/>
          <w:u w:val="none"/>
          <w:lang w:eastAsia="en-AU"/>
        </w:rPr>
      </w:pPr>
      <w:hyperlink w:anchor="_Toc184650657" w:history="1">
        <w:r w:rsidR="002D7A6E" w:rsidRPr="0093096D">
          <w:rPr>
            <w:rStyle w:val="Hyperlink"/>
            <w:noProof/>
          </w:rPr>
          <w:t>Employment in traditional arts domains underperforms against national employment growth</w:t>
        </w:r>
        <w:r w:rsidR="002D7A6E">
          <w:rPr>
            <w:noProof/>
            <w:webHidden/>
          </w:rPr>
          <w:tab/>
        </w:r>
        <w:r w:rsidR="002D7A6E">
          <w:rPr>
            <w:noProof/>
            <w:webHidden/>
          </w:rPr>
          <w:fldChar w:fldCharType="begin"/>
        </w:r>
        <w:r w:rsidR="002D7A6E">
          <w:rPr>
            <w:noProof/>
            <w:webHidden/>
          </w:rPr>
          <w:instrText xml:space="preserve"> PAGEREF _Toc184650657 \h </w:instrText>
        </w:r>
        <w:r w:rsidR="002D7A6E">
          <w:rPr>
            <w:noProof/>
            <w:webHidden/>
          </w:rPr>
        </w:r>
        <w:r w:rsidR="002D7A6E">
          <w:rPr>
            <w:noProof/>
            <w:webHidden/>
          </w:rPr>
          <w:fldChar w:fldCharType="separate"/>
        </w:r>
        <w:r>
          <w:rPr>
            <w:noProof/>
            <w:webHidden/>
          </w:rPr>
          <w:t>14</w:t>
        </w:r>
        <w:r w:rsidR="002D7A6E">
          <w:rPr>
            <w:noProof/>
            <w:webHidden/>
          </w:rPr>
          <w:fldChar w:fldCharType="end"/>
        </w:r>
      </w:hyperlink>
    </w:p>
    <w:p w14:paraId="1B05A6B6" w14:textId="502071AC" w:rsidR="002D7A6E" w:rsidRDefault="003C2F6D">
      <w:pPr>
        <w:pStyle w:val="TOC1"/>
        <w:rPr>
          <w:rFonts w:asciiTheme="minorHAnsi" w:eastAsiaTheme="minorEastAsia" w:hAnsiTheme="minorHAnsi"/>
          <w:b w:val="0"/>
          <w:noProof/>
          <w:color w:val="auto"/>
          <w:u w:val="none"/>
          <w:lang w:eastAsia="en-AU"/>
        </w:rPr>
      </w:pPr>
      <w:hyperlink w:anchor="_Toc184650658" w:history="1">
        <w:r w:rsidR="002D7A6E" w:rsidRPr="0093096D">
          <w:rPr>
            <w:rStyle w:val="Hyperlink"/>
            <w:noProof/>
          </w:rPr>
          <w:t>Digital disruption continues to impact on business activity in media domains</w:t>
        </w:r>
        <w:r w:rsidR="002D7A6E">
          <w:rPr>
            <w:noProof/>
            <w:webHidden/>
          </w:rPr>
          <w:tab/>
        </w:r>
        <w:r w:rsidR="002D7A6E">
          <w:rPr>
            <w:noProof/>
            <w:webHidden/>
          </w:rPr>
          <w:fldChar w:fldCharType="begin"/>
        </w:r>
        <w:r w:rsidR="002D7A6E">
          <w:rPr>
            <w:noProof/>
            <w:webHidden/>
          </w:rPr>
          <w:instrText xml:space="preserve"> PAGEREF _Toc184650658 \h </w:instrText>
        </w:r>
        <w:r w:rsidR="002D7A6E">
          <w:rPr>
            <w:noProof/>
            <w:webHidden/>
          </w:rPr>
        </w:r>
        <w:r w:rsidR="002D7A6E">
          <w:rPr>
            <w:noProof/>
            <w:webHidden/>
          </w:rPr>
          <w:fldChar w:fldCharType="separate"/>
        </w:r>
        <w:r>
          <w:rPr>
            <w:noProof/>
            <w:webHidden/>
          </w:rPr>
          <w:t>15</w:t>
        </w:r>
        <w:r w:rsidR="002D7A6E">
          <w:rPr>
            <w:noProof/>
            <w:webHidden/>
          </w:rPr>
          <w:fldChar w:fldCharType="end"/>
        </w:r>
      </w:hyperlink>
    </w:p>
    <w:p w14:paraId="42D94918" w14:textId="3E94962E" w:rsidR="002D7A6E" w:rsidRDefault="003C2F6D">
      <w:pPr>
        <w:pStyle w:val="TOC1"/>
        <w:rPr>
          <w:rFonts w:asciiTheme="minorHAnsi" w:eastAsiaTheme="minorEastAsia" w:hAnsiTheme="minorHAnsi"/>
          <w:b w:val="0"/>
          <w:noProof/>
          <w:color w:val="auto"/>
          <w:u w:val="none"/>
          <w:lang w:eastAsia="en-AU"/>
        </w:rPr>
      </w:pPr>
      <w:hyperlink w:anchor="_Toc184650659" w:history="1">
        <w:r w:rsidR="002D7A6E" w:rsidRPr="0093096D">
          <w:rPr>
            <w:rStyle w:val="Hyperlink"/>
            <w:noProof/>
          </w:rPr>
          <w:t>Appendix A—Detailed analysis</w:t>
        </w:r>
        <w:r w:rsidR="002D7A6E">
          <w:rPr>
            <w:noProof/>
            <w:webHidden/>
          </w:rPr>
          <w:tab/>
        </w:r>
        <w:r w:rsidR="002D7A6E">
          <w:rPr>
            <w:noProof/>
            <w:webHidden/>
          </w:rPr>
          <w:fldChar w:fldCharType="begin"/>
        </w:r>
        <w:r w:rsidR="002D7A6E">
          <w:rPr>
            <w:noProof/>
            <w:webHidden/>
          </w:rPr>
          <w:instrText xml:space="preserve"> PAGEREF _Toc184650659 \h </w:instrText>
        </w:r>
        <w:r w:rsidR="002D7A6E">
          <w:rPr>
            <w:noProof/>
            <w:webHidden/>
          </w:rPr>
        </w:r>
        <w:r w:rsidR="002D7A6E">
          <w:rPr>
            <w:noProof/>
            <w:webHidden/>
          </w:rPr>
          <w:fldChar w:fldCharType="separate"/>
        </w:r>
        <w:r>
          <w:rPr>
            <w:noProof/>
            <w:webHidden/>
          </w:rPr>
          <w:t>16</w:t>
        </w:r>
        <w:r w:rsidR="002D7A6E">
          <w:rPr>
            <w:noProof/>
            <w:webHidden/>
          </w:rPr>
          <w:fldChar w:fldCharType="end"/>
        </w:r>
      </w:hyperlink>
    </w:p>
    <w:p w14:paraId="24D5F84F" w14:textId="10461829" w:rsidR="002D7A6E" w:rsidRDefault="003C2F6D">
      <w:pPr>
        <w:pStyle w:val="TOC2"/>
        <w:rPr>
          <w:rFonts w:asciiTheme="minorHAnsi" w:eastAsiaTheme="minorEastAsia" w:hAnsiTheme="minorHAnsi"/>
          <w:noProof/>
          <w:sz w:val="22"/>
          <w:lang w:eastAsia="en-AU"/>
        </w:rPr>
      </w:pPr>
      <w:hyperlink w:anchor="_Toc184650660" w:history="1">
        <w:r w:rsidR="002D7A6E" w:rsidRPr="0093096D">
          <w:rPr>
            <w:rStyle w:val="Hyperlink"/>
            <w:noProof/>
          </w:rPr>
          <w:t>A.1</w:t>
        </w:r>
        <w:r w:rsidR="002D7A6E">
          <w:rPr>
            <w:rFonts w:asciiTheme="minorHAnsi" w:eastAsiaTheme="minorEastAsia" w:hAnsiTheme="minorHAnsi"/>
            <w:noProof/>
            <w:sz w:val="22"/>
            <w:lang w:eastAsia="en-AU"/>
          </w:rPr>
          <w:tab/>
        </w:r>
        <w:r w:rsidR="002D7A6E" w:rsidRPr="0093096D">
          <w:rPr>
            <w:rStyle w:val="Hyperlink"/>
            <w:noProof/>
          </w:rPr>
          <w:t>Businesses in cultural and creative industries</w:t>
        </w:r>
        <w:r w:rsidR="002D7A6E">
          <w:rPr>
            <w:noProof/>
            <w:webHidden/>
          </w:rPr>
          <w:tab/>
        </w:r>
        <w:r w:rsidR="002D7A6E">
          <w:rPr>
            <w:noProof/>
            <w:webHidden/>
          </w:rPr>
          <w:fldChar w:fldCharType="begin"/>
        </w:r>
        <w:r w:rsidR="002D7A6E">
          <w:rPr>
            <w:noProof/>
            <w:webHidden/>
          </w:rPr>
          <w:instrText xml:space="preserve"> PAGEREF _Toc184650660 \h </w:instrText>
        </w:r>
        <w:r w:rsidR="002D7A6E">
          <w:rPr>
            <w:noProof/>
            <w:webHidden/>
          </w:rPr>
        </w:r>
        <w:r w:rsidR="002D7A6E">
          <w:rPr>
            <w:noProof/>
            <w:webHidden/>
          </w:rPr>
          <w:fldChar w:fldCharType="separate"/>
        </w:r>
        <w:r>
          <w:rPr>
            <w:noProof/>
            <w:webHidden/>
          </w:rPr>
          <w:t>16</w:t>
        </w:r>
        <w:r w:rsidR="002D7A6E">
          <w:rPr>
            <w:noProof/>
            <w:webHidden/>
          </w:rPr>
          <w:fldChar w:fldCharType="end"/>
        </w:r>
      </w:hyperlink>
    </w:p>
    <w:p w14:paraId="3FA3B954" w14:textId="176C3B50" w:rsidR="002D7A6E" w:rsidRDefault="003C2F6D">
      <w:pPr>
        <w:pStyle w:val="TOC3"/>
        <w:rPr>
          <w:rFonts w:asciiTheme="minorHAnsi" w:eastAsiaTheme="minorEastAsia" w:hAnsiTheme="minorHAnsi"/>
          <w:noProof/>
          <w:sz w:val="22"/>
          <w:lang w:eastAsia="en-AU"/>
        </w:rPr>
      </w:pPr>
      <w:hyperlink w:anchor="_Toc184650661" w:history="1">
        <w:r w:rsidR="002D7A6E" w:rsidRPr="0093096D">
          <w:rPr>
            <w:rStyle w:val="Hyperlink"/>
            <w:noProof/>
          </w:rPr>
          <w:t>Total businesses in cultural and creative industries</w:t>
        </w:r>
        <w:r w:rsidR="002D7A6E">
          <w:rPr>
            <w:noProof/>
            <w:webHidden/>
          </w:rPr>
          <w:tab/>
        </w:r>
        <w:r w:rsidR="002D7A6E">
          <w:rPr>
            <w:noProof/>
            <w:webHidden/>
          </w:rPr>
          <w:fldChar w:fldCharType="begin"/>
        </w:r>
        <w:r w:rsidR="002D7A6E">
          <w:rPr>
            <w:noProof/>
            <w:webHidden/>
          </w:rPr>
          <w:instrText xml:space="preserve"> PAGEREF _Toc184650661 \h </w:instrText>
        </w:r>
        <w:r w:rsidR="002D7A6E">
          <w:rPr>
            <w:noProof/>
            <w:webHidden/>
          </w:rPr>
        </w:r>
        <w:r w:rsidR="002D7A6E">
          <w:rPr>
            <w:noProof/>
            <w:webHidden/>
          </w:rPr>
          <w:fldChar w:fldCharType="separate"/>
        </w:r>
        <w:r>
          <w:rPr>
            <w:noProof/>
            <w:webHidden/>
          </w:rPr>
          <w:t>16</w:t>
        </w:r>
        <w:r w:rsidR="002D7A6E">
          <w:rPr>
            <w:noProof/>
            <w:webHidden/>
          </w:rPr>
          <w:fldChar w:fldCharType="end"/>
        </w:r>
      </w:hyperlink>
    </w:p>
    <w:p w14:paraId="0709A210" w14:textId="4F5D0969" w:rsidR="002D7A6E" w:rsidRDefault="003C2F6D">
      <w:pPr>
        <w:pStyle w:val="TOC3"/>
        <w:rPr>
          <w:rFonts w:asciiTheme="minorHAnsi" w:eastAsiaTheme="minorEastAsia" w:hAnsiTheme="minorHAnsi"/>
          <w:noProof/>
          <w:sz w:val="22"/>
          <w:lang w:eastAsia="en-AU"/>
        </w:rPr>
      </w:pPr>
      <w:hyperlink w:anchor="_Toc184650662" w:history="1">
        <w:r w:rsidR="002D7A6E" w:rsidRPr="0093096D">
          <w:rPr>
            <w:rStyle w:val="Hyperlink"/>
            <w:noProof/>
          </w:rPr>
          <w:t>Businesses wit</w:t>
        </w:r>
        <w:bookmarkStart w:id="0" w:name="_GoBack"/>
        <w:bookmarkEnd w:id="0"/>
        <w:r w:rsidR="002D7A6E" w:rsidRPr="0093096D">
          <w:rPr>
            <w:rStyle w:val="Hyperlink"/>
            <w:noProof/>
          </w:rPr>
          <w:t>hin cultural and creative domains</w:t>
        </w:r>
        <w:r w:rsidR="002D7A6E">
          <w:rPr>
            <w:noProof/>
            <w:webHidden/>
          </w:rPr>
          <w:tab/>
        </w:r>
        <w:r w:rsidR="002D7A6E">
          <w:rPr>
            <w:noProof/>
            <w:webHidden/>
          </w:rPr>
          <w:fldChar w:fldCharType="begin"/>
        </w:r>
        <w:r w:rsidR="002D7A6E">
          <w:rPr>
            <w:noProof/>
            <w:webHidden/>
          </w:rPr>
          <w:instrText xml:space="preserve"> PAGEREF _Toc184650662 \h </w:instrText>
        </w:r>
        <w:r w:rsidR="002D7A6E">
          <w:rPr>
            <w:noProof/>
            <w:webHidden/>
          </w:rPr>
        </w:r>
        <w:r w:rsidR="002D7A6E">
          <w:rPr>
            <w:noProof/>
            <w:webHidden/>
          </w:rPr>
          <w:fldChar w:fldCharType="separate"/>
        </w:r>
        <w:r>
          <w:rPr>
            <w:noProof/>
            <w:webHidden/>
          </w:rPr>
          <w:t>18</w:t>
        </w:r>
        <w:r w:rsidR="002D7A6E">
          <w:rPr>
            <w:noProof/>
            <w:webHidden/>
          </w:rPr>
          <w:fldChar w:fldCharType="end"/>
        </w:r>
      </w:hyperlink>
    </w:p>
    <w:p w14:paraId="179AEB6C" w14:textId="62F9478C" w:rsidR="002D7A6E" w:rsidRDefault="003C2F6D">
      <w:pPr>
        <w:pStyle w:val="TOC2"/>
        <w:rPr>
          <w:rFonts w:asciiTheme="minorHAnsi" w:eastAsiaTheme="minorEastAsia" w:hAnsiTheme="minorHAnsi"/>
          <w:noProof/>
          <w:sz w:val="22"/>
          <w:lang w:eastAsia="en-AU"/>
        </w:rPr>
      </w:pPr>
      <w:hyperlink w:anchor="_Toc184650663" w:history="1">
        <w:r w:rsidR="002D7A6E" w:rsidRPr="0093096D">
          <w:rPr>
            <w:rStyle w:val="Hyperlink"/>
            <w:noProof/>
          </w:rPr>
          <w:t>A.2</w:t>
        </w:r>
        <w:r w:rsidR="002D7A6E">
          <w:rPr>
            <w:rFonts w:asciiTheme="minorHAnsi" w:eastAsiaTheme="minorEastAsia" w:hAnsiTheme="minorHAnsi"/>
            <w:noProof/>
            <w:sz w:val="22"/>
            <w:lang w:eastAsia="en-AU"/>
          </w:rPr>
          <w:tab/>
        </w:r>
        <w:r w:rsidR="002D7A6E" w:rsidRPr="0093096D">
          <w:rPr>
            <w:rStyle w:val="Hyperlink"/>
            <w:noProof/>
          </w:rPr>
          <w:t>First Nations businesses in arts and heritage industries</w:t>
        </w:r>
        <w:r w:rsidR="002D7A6E">
          <w:rPr>
            <w:noProof/>
            <w:webHidden/>
          </w:rPr>
          <w:tab/>
        </w:r>
        <w:r w:rsidR="002D7A6E">
          <w:rPr>
            <w:noProof/>
            <w:webHidden/>
          </w:rPr>
          <w:fldChar w:fldCharType="begin"/>
        </w:r>
        <w:r w:rsidR="002D7A6E">
          <w:rPr>
            <w:noProof/>
            <w:webHidden/>
          </w:rPr>
          <w:instrText xml:space="preserve"> PAGEREF _Toc184650663 \h </w:instrText>
        </w:r>
        <w:r w:rsidR="002D7A6E">
          <w:rPr>
            <w:noProof/>
            <w:webHidden/>
          </w:rPr>
        </w:r>
        <w:r w:rsidR="002D7A6E">
          <w:rPr>
            <w:noProof/>
            <w:webHidden/>
          </w:rPr>
          <w:fldChar w:fldCharType="separate"/>
        </w:r>
        <w:r>
          <w:rPr>
            <w:noProof/>
            <w:webHidden/>
          </w:rPr>
          <w:t>22</w:t>
        </w:r>
        <w:r w:rsidR="002D7A6E">
          <w:rPr>
            <w:noProof/>
            <w:webHidden/>
          </w:rPr>
          <w:fldChar w:fldCharType="end"/>
        </w:r>
      </w:hyperlink>
    </w:p>
    <w:p w14:paraId="2D465D23" w14:textId="2833B472" w:rsidR="002D7A6E" w:rsidRDefault="003C2F6D">
      <w:pPr>
        <w:pStyle w:val="TOC2"/>
        <w:rPr>
          <w:rFonts w:asciiTheme="minorHAnsi" w:eastAsiaTheme="minorEastAsia" w:hAnsiTheme="minorHAnsi"/>
          <w:noProof/>
          <w:sz w:val="22"/>
          <w:lang w:eastAsia="en-AU"/>
        </w:rPr>
      </w:pPr>
      <w:hyperlink w:anchor="_Toc184650664" w:history="1">
        <w:r w:rsidR="002D7A6E" w:rsidRPr="0093096D">
          <w:rPr>
            <w:rStyle w:val="Hyperlink"/>
            <w:noProof/>
          </w:rPr>
          <w:t>A.3</w:t>
        </w:r>
        <w:r w:rsidR="002D7A6E">
          <w:rPr>
            <w:rFonts w:asciiTheme="minorHAnsi" w:eastAsiaTheme="minorEastAsia" w:hAnsiTheme="minorHAnsi"/>
            <w:noProof/>
            <w:sz w:val="22"/>
            <w:lang w:eastAsia="en-AU"/>
          </w:rPr>
          <w:tab/>
        </w:r>
        <w:r w:rsidR="002D7A6E" w:rsidRPr="0093096D">
          <w:rPr>
            <w:rStyle w:val="Hyperlink"/>
            <w:noProof/>
          </w:rPr>
          <w:t>Demographics of workers in cultural and creative industries</w:t>
        </w:r>
        <w:r w:rsidR="002D7A6E">
          <w:rPr>
            <w:noProof/>
            <w:webHidden/>
          </w:rPr>
          <w:tab/>
        </w:r>
        <w:r w:rsidR="002D7A6E">
          <w:rPr>
            <w:noProof/>
            <w:webHidden/>
          </w:rPr>
          <w:fldChar w:fldCharType="begin"/>
        </w:r>
        <w:r w:rsidR="002D7A6E">
          <w:rPr>
            <w:noProof/>
            <w:webHidden/>
          </w:rPr>
          <w:instrText xml:space="preserve"> PAGEREF _Toc184650664 \h </w:instrText>
        </w:r>
        <w:r w:rsidR="002D7A6E">
          <w:rPr>
            <w:noProof/>
            <w:webHidden/>
          </w:rPr>
        </w:r>
        <w:r w:rsidR="002D7A6E">
          <w:rPr>
            <w:noProof/>
            <w:webHidden/>
          </w:rPr>
          <w:fldChar w:fldCharType="separate"/>
        </w:r>
        <w:r>
          <w:rPr>
            <w:noProof/>
            <w:webHidden/>
          </w:rPr>
          <w:t>24</w:t>
        </w:r>
        <w:r w:rsidR="002D7A6E">
          <w:rPr>
            <w:noProof/>
            <w:webHidden/>
          </w:rPr>
          <w:fldChar w:fldCharType="end"/>
        </w:r>
      </w:hyperlink>
    </w:p>
    <w:p w14:paraId="7F6FC574" w14:textId="616E83ED" w:rsidR="002D7A6E" w:rsidRDefault="003C2F6D">
      <w:pPr>
        <w:pStyle w:val="TOC3"/>
        <w:rPr>
          <w:rFonts w:asciiTheme="minorHAnsi" w:eastAsiaTheme="minorEastAsia" w:hAnsiTheme="minorHAnsi"/>
          <w:noProof/>
          <w:sz w:val="22"/>
          <w:lang w:eastAsia="en-AU"/>
        </w:rPr>
      </w:pPr>
      <w:hyperlink w:anchor="_Toc184650665" w:history="1">
        <w:r w:rsidR="002D7A6E" w:rsidRPr="0093096D">
          <w:rPr>
            <w:rStyle w:val="Hyperlink"/>
            <w:noProof/>
          </w:rPr>
          <w:t>Employment in cultural and creative industries</w:t>
        </w:r>
        <w:r w:rsidR="002D7A6E">
          <w:rPr>
            <w:noProof/>
            <w:webHidden/>
          </w:rPr>
          <w:tab/>
        </w:r>
        <w:r w:rsidR="002D7A6E">
          <w:rPr>
            <w:noProof/>
            <w:webHidden/>
          </w:rPr>
          <w:fldChar w:fldCharType="begin"/>
        </w:r>
        <w:r w:rsidR="002D7A6E">
          <w:rPr>
            <w:noProof/>
            <w:webHidden/>
          </w:rPr>
          <w:instrText xml:space="preserve"> PAGEREF _Toc184650665 \h </w:instrText>
        </w:r>
        <w:r w:rsidR="002D7A6E">
          <w:rPr>
            <w:noProof/>
            <w:webHidden/>
          </w:rPr>
        </w:r>
        <w:r w:rsidR="002D7A6E">
          <w:rPr>
            <w:noProof/>
            <w:webHidden/>
          </w:rPr>
          <w:fldChar w:fldCharType="separate"/>
        </w:r>
        <w:r>
          <w:rPr>
            <w:noProof/>
            <w:webHidden/>
          </w:rPr>
          <w:t>24</w:t>
        </w:r>
        <w:r w:rsidR="002D7A6E">
          <w:rPr>
            <w:noProof/>
            <w:webHidden/>
          </w:rPr>
          <w:fldChar w:fldCharType="end"/>
        </w:r>
      </w:hyperlink>
    </w:p>
    <w:p w14:paraId="7DF6E6C0" w14:textId="72538650" w:rsidR="002D7A6E" w:rsidRDefault="003C2F6D">
      <w:pPr>
        <w:pStyle w:val="TOC3"/>
        <w:rPr>
          <w:rFonts w:asciiTheme="minorHAnsi" w:eastAsiaTheme="minorEastAsia" w:hAnsiTheme="minorHAnsi"/>
          <w:noProof/>
          <w:sz w:val="22"/>
          <w:lang w:eastAsia="en-AU"/>
        </w:rPr>
      </w:pPr>
      <w:hyperlink w:anchor="_Toc184650666" w:history="1">
        <w:r w:rsidR="002D7A6E" w:rsidRPr="0093096D">
          <w:rPr>
            <w:rStyle w:val="Hyperlink"/>
            <w:noProof/>
          </w:rPr>
          <w:t>Indicative employment trends in cultural and creative industries</w:t>
        </w:r>
        <w:r w:rsidR="002D7A6E">
          <w:rPr>
            <w:noProof/>
            <w:webHidden/>
          </w:rPr>
          <w:tab/>
        </w:r>
        <w:r w:rsidR="002D7A6E">
          <w:rPr>
            <w:noProof/>
            <w:webHidden/>
          </w:rPr>
          <w:fldChar w:fldCharType="begin"/>
        </w:r>
        <w:r w:rsidR="002D7A6E">
          <w:rPr>
            <w:noProof/>
            <w:webHidden/>
          </w:rPr>
          <w:instrText xml:space="preserve"> PAGEREF _Toc184650666 \h </w:instrText>
        </w:r>
        <w:r w:rsidR="002D7A6E">
          <w:rPr>
            <w:noProof/>
            <w:webHidden/>
          </w:rPr>
        </w:r>
        <w:r w:rsidR="002D7A6E">
          <w:rPr>
            <w:noProof/>
            <w:webHidden/>
          </w:rPr>
          <w:fldChar w:fldCharType="separate"/>
        </w:r>
        <w:r>
          <w:rPr>
            <w:noProof/>
            <w:webHidden/>
          </w:rPr>
          <w:t>25</w:t>
        </w:r>
        <w:r w:rsidR="002D7A6E">
          <w:rPr>
            <w:noProof/>
            <w:webHidden/>
          </w:rPr>
          <w:fldChar w:fldCharType="end"/>
        </w:r>
      </w:hyperlink>
    </w:p>
    <w:p w14:paraId="03FF5E72" w14:textId="3C53FAF7" w:rsidR="002D7A6E" w:rsidRDefault="003C2F6D">
      <w:pPr>
        <w:pStyle w:val="TOC3"/>
        <w:rPr>
          <w:rFonts w:asciiTheme="minorHAnsi" w:eastAsiaTheme="minorEastAsia" w:hAnsiTheme="minorHAnsi"/>
          <w:noProof/>
          <w:sz w:val="22"/>
          <w:lang w:eastAsia="en-AU"/>
        </w:rPr>
      </w:pPr>
      <w:hyperlink w:anchor="_Toc184650667" w:history="1">
        <w:r w:rsidR="002D7A6E" w:rsidRPr="0093096D">
          <w:rPr>
            <w:rStyle w:val="Hyperlink"/>
            <w:noProof/>
          </w:rPr>
          <w:t>Multiple job holders</w:t>
        </w:r>
        <w:r w:rsidR="002D7A6E">
          <w:rPr>
            <w:noProof/>
            <w:webHidden/>
          </w:rPr>
          <w:tab/>
        </w:r>
        <w:r w:rsidR="002D7A6E">
          <w:rPr>
            <w:noProof/>
            <w:webHidden/>
          </w:rPr>
          <w:fldChar w:fldCharType="begin"/>
        </w:r>
        <w:r w:rsidR="002D7A6E">
          <w:rPr>
            <w:noProof/>
            <w:webHidden/>
          </w:rPr>
          <w:instrText xml:space="preserve"> PAGEREF _Toc184650667 \h </w:instrText>
        </w:r>
        <w:r w:rsidR="002D7A6E">
          <w:rPr>
            <w:noProof/>
            <w:webHidden/>
          </w:rPr>
        </w:r>
        <w:r w:rsidR="002D7A6E">
          <w:rPr>
            <w:noProof/>
            <w:webHidden/>
          </w:rPr>
          <w:fldChar w:fldCharType="separate"/>
        </w:r>
        <w:r>
          <w:rPr>
            <w:noProof/>
            <w:webHidden/>
          </w:rPr>
          <w:t>26</w:t>
        </w:r>
        <w:r w:rsidR="002D7A6E">
          <w:rPr>
            <w:noProof/>
            <w:webHidden/>
          </w:rPr>
          <w:fldChar w:fldCharType="end"/>
        </w:r>
      </w:hyperlink>
    </w:p>
    <w:p w14:paraId="76D6F747" w14:textId="0726DCDA" w:rsidR="002D7A6E" w:rsidRDefault="003C2F6D">
      <w:pPr>
        <w:pStyle w:val="TOC3"/>
        <w:rPr>
          <w:rFonts w:asciiTheme="minorHAnsi" w:eastAsiaTheme="minorEastAsia" w:hAnsiTheme="minorHAnsi"/>
          <w:noProof/>
          <w:sz w:val="22"/>
          <w:lang w:eastAsia="en-AU"/>
        </w:rPr>
      </w:pPr>
      <w:hyperlink w:anchor="_Toc184650668" w:history="1">
        <w:r w:rsidR="002D7A6E" w:rsidRPr="0093096D">
          <w:rPr>
            <w:rStyle w:val="Hyperlink"/>
            <w:noProof/>
          </w:rPr>
          <w:t>Persons with a disability</w:t>
        </w:r>
        <w:r w:rsidR="002D7A6E">
          <w:rPr>
            <w:noProof/>
            <w:webHidden/>
          </w:rPr>
          <w:tab/>
        </w:r>
        <w:r w:rsidR="002D7A6E">
          <w:rPr>
            <w:noProof/>
            <w:webHidden/>
          </w:rPr>
          <w:fldChar w:fldCharType="begin"/>
        </w:r>
        <w:r w:rsidR="002D7A6E">
          <w:rPr>
            <w:noProof/>
            <w:webHidden/>
          </w:rPr>
          <w:instrText xml:space="preserve"> PAGEREF _Toc184650668 \h </w:instrText>
        </w:r>
        <w:r w:rsidR="002D7A6E">
          <w:rPr>
            <w:noProof/>
            <w:webHidden/>
          </w:rPr>
        </w:r>
        <w:r w:rsidR="002D7A6E">
          <w:rPr>
            <w:noProof/>
            <w:webHidden/>
          </w:rPr>
          <w:fldChar w:fldCharType="separate"/>
        </w:r>
        <w:r>
          <w:rPr>
            <w:noProof/>
            <w:webHidden/>
          </w:rPr>
          <w:t>27</w:t>
        </w:r>
        <w:r w:rsidR="002D7A6E">
          <w:rPr>
            <w:noProof/>
            <w:webHidden/>
          </w:rPr>
          <w:fldChar w:fldCharType="end"/>
        </w:r>
      </w:hyperlink>
    </w:p>
    <w:p w14:paraId="2FD96404" w14:textId="6789918B" w:rsidR="002D7A6E" w:rsidRDefault="003C2F6D">
      <w:pPr>
        <w:pStyle w:val="TOC2"/>
        <w:rPr>
          <w:rFonts w:asciiTheme="minorHAnsi" w:eastAsiaTheme="minorEastAsia" w:hAnsiTheme="minorHAnsi"/>
          <w:noProof/>
          <w:sz w:val="22"/>
          <w:lang w:eastAsia="en-AU"/>
        </w:rPr>
      </w:pPr>
      <w:hyperlink w:anchor="_Toc184650669" w:history="1">
        <w:r w:rsidR="002D7A6E" w:rsidRPr="0093096D">
          <w:rPr>
            <w:rStyle w:val="Hyperlink"/>
            <w:noProof/>
          </w:rPr>
          <w:t>A.4</w:t>
        </w:r>
        <w:r w:rsidR="002D7A6E">
          <w:rPr>
            <w:rFonts w:asciiTheme="minorHAnsi" w:eastAsiaTheme="minorEastAsia" w:hAnsiTheme="minorHAnsi"/>
            <w:noProof/>
            <w:sz w:val="22"/>
            <w:lang w:eastAsia="en-AU"/>
          </w:rPr>
          <w:tab/>
        </w:r>
        <w:r w:rsidR="002D7A6E" w:rsidRPr="0093096D">
          <w:rPr>
            <w:rStyle w:val="Hyperlink"/>
            <w:noProof/>
          </w:rPr>
          <w:t>Cultural and creative activities – attendance and participation</w:t>
        </w:r>
        <w:r w:rsidR="002D7A6E">
          <w:rPr>
            <w:noProof/>
            <w:webHidden/>
          </w:rPr>
          <w:tab/>
        </w:r>
        <w:r w:rsidR="002D7A6E">
          <w:rPr>
            <w:noProof/>
            <w:webHidden/>
          </w:rPr>
          <w:fldChar w:fldCharType="begin"/>
        </w:r>
        <w:r w:rsidR="002D7A6E">
          <w:rPr>
            <w:noProof/>
            <w:webHidden/>
          </w:rPr>
          <w:instrText xml:space="preserve"> PAGEREF _Toc184650669 \h </w:instrText>
        </w:r>
        <w:r w:rsidR="002D7A6E">
          <w:rPr>
            <w:noProof/>
            <w:webHidden/>
          </w:rPr>
        </w:r>
        <w:r w:rsidR="002D7A6E">
          <w:rPr>
            <w:noProof/>
            <w:webHidden/>
          </w:rPr>
          <w:fldChar w:fldCharType="separate"/>
        </w:r>
        <w:r>
          <w:rPr>
            <w:noProof/>
            <w:webHidden/>
          </w:rPr>
          <w:t>28</w:t>
        </w:r>
        <w:r w:rsidR="002D7A6E">
          <w:rPr>
            <w:noProof/>
            <w:webHidden/>
          </w:rPr>
          <w:fldChar w:fldCharType="end"/>
        </w:r>
      </w:hyperlink>
    </w:p>
    <w:p w14:paraId="41DEC5CB" w14:textId="213421ED" w:rsidR="002D7A6E" w:rsidRDefault="003C2F6D">
      <w:pPr>
        <w:pStyle w:val="TOC3"/>
        <w:rPr>
          <w:rFonts w:asciiTheme="minorHAnsi" w:eastAsiaTheme="minorEastAsia" w:hAnsiTheme="minorHAnsi"/>
          <w:noProof/>
          <w:sz w:val="22"/>
          <w:lang w:eastAsia="en-AU"/>
        </w:rPr>
      </w:pPr>
      <w:hyperlink w:anchor="_Toc184650670" w:history="1">
        <w:r w:rsidR="002D7A6E" w:rsidRPr="0093096D">
          <w:rPr>
            <w:rStyle w:val="Hyperlink"/>
            <w:noProof/>
          </w:rPr>
          <w:t>Attendance</w:t>
        </w:r>
        <w:r w:rsidR="002D7A6E">
          <w:rPr>
            <w:noProof/>
            <w:webHidden/>
          </w:rPr>
          <w:tab/>
        </w:r>
        <w:r w:rsidR="002D7A6E">
          <w:rPr>
            <w:noProof/>
            <w:webHidden/>
          </w:rPr>
          <w:fldChar w:fldCharType="begin"/>
        </w:r>
        <w:r w:rsidR="002D7A6E">
          <w:rPr>
            <w:noProof/>
            <w:webHidden/>
          </w:rPr>
          <w:instrText xml:space="preserve"> PAGEREF _Toc184650670 \h </w:instrText>
        </w:r>
        <w:r w:rsidR="002D7A6E">
          <w:rPr>
            <w:noProof/>
            <w:webHidden/>
          </w:rPr>
        </w:r>
        <w:r w:rsidR="002D7A6E">
          <w:rPr>
            <w:noProof/>
            <w:webHidden/>
          </w:rPr>
          <w:fldChar w:fldCharType="separate"/>
        </w:r>
        <w:r>
          <w:rPr>
            <w:noProof/>
            <w:webHidden/>
          </w:rPr>
          <w:t>29</w:t>
        </w:r>
        <w:r w:rsidR="002D7A6E">
          <w:rPr>
            <w:noProof/>
            <w:webHidden/>
          </w:rPr>
          <w:fldChar w:fldCharType="end"/>
        </w:r>
      </w:hyperlink>
    </w:p>
    <w:p w14:paraId="1A56DC82" w14:textId="2BCA091F" w:rsidR="002D7A6E" w:rsidRDefault="003C2F6D">
      <w:pPr>
        <w:pStyle w:val="TOC3"/>
        <w:rPr>
          <w:rFonts w:asciiTheme="minorHAnsi" w:eastAsiaTheme="minorEastAsia" w:hAnsiTheme="minorHAnsi"/>
          <w:noProof/>
          <w:sz w:val="22"/>
          <w:lang w:eastAsia="en-AU"/>
        </w:rPr>
      </w:pPr>
      <w:hyperlink w:anchor="_Toc184650671" w:history="1">
        <w:r w:rsidR="002D7A6E" w:rsidRPr="0093096D">
          <w:rPr>
            <w:rStyle w:val="Hyperlink"/>
            <w:noProof/>
          </w:rPr>
          <w:t>Participation</w:t>
        </w:r>
        <w:r w:rsidR="002D7A6E">
          <w:rPr>
            <w:noProof/>
            <w:webHidden/>
          </w:rPr>
          <w:tab/>
        </w:r>
        <w:r w:rsidR="002D7A6E">
          <w:rPr>
            <w:noProof/>
            <w:webHidden/>
          </w:rPr>
          <w:fldChar w:fldCharType="begin"/>
        </w:r>
        <w:r w:rsidR="002D7A6E">
          <w:rPr>
            <w:noProof/>
            <w:webHidden/>
          </w:rPr>
          <w:instrText xml:space="preserve"> PAGEREF _Toc184650671 \h </w:instrText>
        </w:r>
        <w:r w:rsidR="002D7A6E">
          <w:rPr>
            <w:noProof/>
            <w:webHidden/>
          </w:rPr>
        </w:r>
        <w:r w:rsidR="002D7A6E">
          <w:rPr>
            <w:noProof/>
            <w:webHidden/>
          </w:rPr>
          <w:fldChar w:fldCharType="separate"/>
        </w:r>
        <w:r>
          <w:rPr>
            <w:noProof/>
            <w:webHidden/>
          </w:rPr>
          <w:t>30</w:t>
        </w:r>
        <w:r w:rsidR="002D7A6E">
          <w:rPr>
            <w:noProof/>
            <w:webHidden/>
          </w:rPr>
          <w:fldChar w:fldCharType="end"/>
        </w:r>
      </w:hyperlink>
    </w:p>
    <w:p w14:paraId="11561FF3" w14:textId="45EB32B0" w:rsidR="002D7A6E" w:rsidRDefault="003C2F6D">
      <w:pPr>
        <w:pStyle w:val="TOC1"/>
        <w:rPr>
          <w:rFonts w:asciiTheme="minorHAnsi" w:eastAsiaTheme="minorEastAsia" w:hAnsiTheme="minorHAnsi"/>
          <w:b w:val="0"/>
          <w:noProof/>
          <w:color w:val="auto"/>
          <w:u w:val="none"/>
          <w:lang w:eastAsia="en-AU"/>
        </w:rPr>
      </w:pPr>
      <w:hyperlink w:anchor="_Toc184650672" w:history="1">
        <w:r w:rsidR="002D7A6E" w:rsidRPr="0093096D">
          <w:rPr>
            <w:rStyle w:val="Hyperlink"/>
            <w:noProof/>
          </w:rPr>
          <w:t>Appendix B—Glossary</w:t>
        </w:r>
        <w:r w:rsidR="002D7A6E">
          <w:rPr>
            <w:noProof/>
            <w:webHidden/>
          </w:rPr>
          <w:tab/>
        </w:r>
        <w:r w:rsidR="002D7A6E">
          <w:rPr>
            <w:noProof/>
            <w:webHidden/>
          </w:rPr>
          <w:fldChar w:fldCharType="begin"/>
        </w:r>
        <w:r w:rsidR="002D7A6E">
          <w:rPr>
            <w:noProof/>
            <w:webHidden/>
          </w:rPr>
          <w:instrText xml:space="preserve"> PAGEREF _Toc184650672 \h </w:instrText>
        </w:r>
        <w:r w:rsidR="002D7A6E">
          <w:rPr>
            <w:noProof/>
            <w:webHidden/>
          </w:rPr>
        </w:r>
        <w:r w:rsidR="002D7A6E">
          <w:rPr>
            <w:noProof/>
            <w:webHidden/>
          </w:rPr>
          <w:fldChar w:fldCharType="separate"/>
        </w:r>
        <w:r>
          <w:rPr>
            <w:noProof/>
            <w:webHidden/>
          </w:rPr>
          <w:t>31</w:t>
        </w:r>
        <w:r w:rsidR="002D7A6E">
          <w:rPr>
            <w:noProof/>
            <w:webHidden/>
          </w:rPr>
          <w:fldChar w:fldCharType="end"/>
        </w:r>
      </w:hyperlink>
    </w:p>
    <w:p w14:paraId="30147403" w14:textId="4135F485" w:rsidR="002D7A6E" w:rsidRDefault="003C2F6D">
      <w:pPr>
        <w:pStyle w:val="TOC2"/>
        <w:rPr>
          <w:rFonts w:asciiTheme="minorHAnsi" w:eastAsiaTheme="minorEastAsia" w:hAnsiTheme="minorHAnsi"/>
          <w:noProof/>
          <w:sz w:val="22"/>
          <w:lang w:eastAsia="en-AU"/>
        </w:rPr>
      </w:pPr>
      <w:hyperlink w:anchor="_Toc184650673" w:history="1">
        <w:r w:rsidR="002D7A6E" w:rsidRPr="0093096D">
          <w:rPr>
            <w:rStyle w:val="Hyperlink"/>
            <w:noProof/>
          </w:rPr>
          <w:t>B.1</w:t>
        </w:r>
        <w:r w:rsidR="002D7A6E">
          <w:rPr>
            <w:rFonts w:asciiTheme="minorHAnsi" w:eastAsiaTheme="minorEastAsia" w:hAnsiTheme="minorHAnsi"/>
            <w:noProof/>
            <w:sz w:val="22"/>
            <w:lang w:eastAsia="en-AU"/>
          </w:rPr>
          <w:tab/>
        </w:r>
        <w:r w:rsidR="002D7A6E" w:rsidRPr="0093096D">
          <w:rPr>
            <w:rStyle w:val="Hyperlink"/>
            <w:noProof/>
          </w:rPr>
          <w:t>Domains</w:t>
        </w:r>
        <w:r w:rsidR="002D7A6E">
          <w:rPr>
            <w:noProof/>
            <w:webHidden/>
          </w:rPr>
          <w:tab/>
        </w:r>
        <w:r w:rsidR="002D7A6E">
          <w:rPr>
            <w:noProof/>
            <w:webHidden/>
          </w:rPr>
          <w:fldChar w:fldCharType="begin"/>
        </w:r>
        <w:r w:rsidR="002D7A6E">
          <w:rPr>
            <w:noProof/>
            <w:webHidden/>
          </w:rPr>
          <w:instrText xml:space="preserve"> PAGEREF _Toc184650673 \h </w:instrText>
        </w:r>
        <w:r w:rsidR="002D7A6E">
          <w:rPr>
            <w:noProof/>
            <w:webHidden/>
          </w:rPr>
        </w:r>
        <w:r w:rsidR="002D7A6E">
          <w:rPr>
            <w:noProof/>
            <w:webHidden/>
          </w:rPr>
          <w:fldChar w:fldCharType="separate"/>
        </w:r>
        <w:r>
          <w:rPr>
            <w:noProof/>
            <w:webHidden/>
          </w:rPr>
          <w:t>31</w:t>
        </w:r>
        <w:r w:rsidR="002D7A6E">
          <w:rPr>
            <w:noProof/>
            <w:webHidden/>
          </w:rPr>
          <w:fldChar w:fldCharType="end"/>
        </w:r>
      </w:hyperlink>
    </w:p>
    <w:p w14:paraId="1BB35C8D" w14:textId="75608D21" w:rsidR="002D7A6E" w:rsidRDefault="003C2F6D">
      <w:pPr>
        <w:pStyle w:val="TOC2"/>
        <w:rPr>
          <w:rFonts w:asciiTheme="minorHAnsi" w:eastAsiaTheme="minorEastAsia" w:hAnsiTheme="minorHAnsi"/>
          <w:noProof/>
          <w:sz w:val="22"/>
          <w:lang w:eastAsia="en-AU"/>
        </w:rPr>
      </w:pPr>
      <w:hyperlink w:anchor="_Toc184650674" w:history="1">
        <w:r w:rsidR="002D7A6E" w:rsidRPr="0093096D">
          <w:rPr>
            <w:rStyle w:val="Hyperlink"/>
            <w:noProof/>
          </w:rPr>
          <w:t>B.2</w:t>
        </w:r>
        <w:r w:rsidR="002D7A6E">
          <w:rPr>
            <w:rFonts w:asciiTheme="minorHAnsi" w:eastAsiaTheme="minorEastAsia" w:hAnsiTheme="minorHAnsi"/>
            <w:noProof/>
            <w:sz w:val="22"/>
            <w:lang w:eastAsia="en-AU"/>
          </w:rPr>
          <w:tab/>
        </w:r>
        <w:r w:rsidR="002D7A6E" w:rsidRPr="0093096D">
          <w:rPr>
            <w:rStyle w:val="Hyperlink"/>
            <w:noProof/>
          </w:rPr>
          <w:t>Businesses and employment within cultural and creative domains</w:t>
        </w:r>
        <w:r w:rsidR="002D7A6E">
          <w:rPr>
            <w:noProof/>
            <w:webHidden/>
          </w:rPr>
          <w:tab/>
        </w:r>
        <w:r w:rsidR="002D7A6E">
          <w:rPr>
            <w:noProof/>
            <w:webHidden/>
          </w:rPr>
          <w:fldChar w:fldCharType="begin"/>
        </w:r>
        <w:r w:rsidR="002D7A6E">
          <w:rPr>
            <w:noProof/>
            <w:webHidden/>
          </w:rPr>
          <w:instrText xml:space="preserve"> PAGEREF _Toc184650674 \h </w:instrText>
        </w:r>
        <w:r w:rsidR="002D7A6E">
          <w:rPr>
            <w:noProof/>
            <w:webHidden/>
          </w:rPr>
        </w:r>
        <w:r w:rsidR="002D7A6E">
          <w:rPr>
            <w:noProof/>
            <w:webHidden/>
          </w:rPr>
          <w:fldChar w:fldCharType="separate"/>
        </w:r>
        <w:r>
          <w:rPr>
            <w:noProof/>
            <w:webHidden/>
          </w:rPr>
          <w:t>32</w:t>
        </w:r>
        <w:r w:rsidR="002D7A6E">
          <w:rPr>
            <w:noProof/>
            <w:webHidden/>
          </w:rPr>
          <w:fldChar w:fldCharType="end"/>
        </w:r>
      </w:hyperlink>
    </w:p>
    <w:p w14:paraId="4AF24F4F" w14:textId="1DEDB676" w:rsidR="002D7A6E" w:rsidRDefault="003C2F6D">
      <w:pPr>
        <w:pStyle w:val="TOC2"/>
        <w:rPr>
          <w:rFonts w:asciiTheme="minorHAnsi" w:eastAsiaTheme="minorEastAsia" w:hAnsiTheme="minorHAnsi"/>
          <w:noProof/>
          <w:sz w:val="22"/>
          <w:lang w:eastAsia="en-AU"/>
        </w:rPr>
      </w:pPr>
      <w:hyperlink w:anchor="_Toc184650675" w:history="1">
        <w:r w:rsidR="002D7A6E" w:rsidRPr="0093096D">
          <w:rPr>
            <w:rStyle w:val="Hyperlink"/>
            <w:noProof/>
          </w:rPr>
          <w:t>B.3</w:t>
        </w:r>
        <w:r w:rsidR="002D7A6E">
          <w:rPr>
            <w:rFonts w:asciiTheme="minorHAnsi" w:eastAsiaTheme="minorEastAsia" w:hAnsiTheme="minorHAnsi"/>
            <w:noProof/>
            <w:sz w:val="22"/>
            <w:lang w:eastAsia="en-AU"/>
          </w:rPr>
          <w:tab/>
        </w:r>
        <w:r w:rsidR="002D7A6E" w:rsidRPr="0093096D">
          <w:rPr>
            <w:rStyle w:val="Hyperlink"/>
            <w:noProof/>
          </w:rPr>
          <w:t>Indicative employment within cultural and creative industries</w:t>
        </w:r>
        <w:r w:rsidR="002D7A6E">
          <w:rPr>
            <w:noProof/>
            <w:webHidden/>
          </w:rPr>
          <w:tab/>
        </w:r>
        <w:r w:rsidR="002D7A6E">
          <w:rPr>
            <w:noProof/>
            <w:webHidden/>
          </w:rPr>
          <w:fldChar w:fldCharType="begin"/>
        </w:r>
        <w:r w:rsidR="002D7A6E">
          <w:rPr>
            <w:noProof/>
            <w:webHidden/>
          </w:rPr>
          <w:instrText xml:space="preserve"> PAGEREF _Toc184650675 \h </w:instrText>
        </w:r>
        <w:r w:rsidR="002D7A6E">
          <w:rPr>
            <w:noProof/>
            <w:webHidden/>
          </w:rPr>
        </w:r>
        <w:r w:rsidR="002D7A6E">
          <w:rPr>
            <w:noProof/>
            <w:webHidden/>
          </w:rPr>
          <w:fldChar w:fldCharType="separate"/>
        </w:r>
        <w:r>
          <w:rPr>
            <w:noProof/>
            <w:webHidden/>
          </w:rPr>
          <w:t>33</w:t>
        </w:r>
        <w:r w:rsidR="002D7A6E">
          <w:rPr>
            <w:noProof/>
            <w:webHidden/>
          </w:rPr>
          <w:fldChar w:fldCharType="end"/>
        </w:r>
      </w:hyperlink>
    </w:p>
    <w:p w14:paraId="4CD96B7B" w14:textId="1373C535" w:rsidR="002D7A6E" w:rsidRDefault="003C2F6D">
      <w:pPr>
        <w:pStyle w:val="TOC1"/>
        <w:rPr>
          <w:rFonts w:asciiTheme="minorHAnsi" w:eastAsiaTheme="minorEastAsia" w:hAnsiTheme="minorHAnsi"/>
          <w:b w:val="0"/>
          <w:noProof/>
          <w:color w:val="auto"/>
          <w:u w:val="none"/>
          <w:lang w:eastAsia="en-AU"/>
        </w:rPr>
      </w:pPr>
      <w:hyperlink w:anchor="_Toc184650676" w:history="1">
        <w:r w:rsidR="002D7A6E" w:rsidRPr="0093096D">
          <w:rPr>
            <w:rStyle w:val="Hyperlink"/>
            <w:noProof/>
          </w:rPr>
          <w:t>References</w:t>
        </w:r>
        <w:r w:rsidR="002D7A6E">
          <w:rPr>
            <w:noProof/>
            <w:webHidden/>
          </w:rPr>
          <w:tab/>
        </w:r>
        <w:r w:rsidR="002D7A6E">
          <w:rPr>
            <w:noProof/>
            <w:webHidden/>
          </w:rPr>
          <w:fldChar w:fldCharType="begin"/>
        </w:r>
        <w:r w:rsidR="002D7A6E">
          <w:rPr>
            <w:noProof/>
            <w:webHidden/>
          </w:rPr>
          <w:instrText xml:space="preserve"> PAGEREF _Toc184650676 \h </w:instrText>
        </w:r>
        <w:r w:rsidR="002D7A6E">
          <w:rPr>
            <w:noProof/>
            <w:webHidden/>
          </w:rPr>
        </w:r>
        <w:r w:rsidR="002D7A6E">
          <w:rPr>
            <w:noProof/>
            <w:webHidden/>
          </w:rPr>
          <w:fldChar w:fldCharType="separate"/>
        </w:r>
        <w:r>
          <w:rPr>
            <w:noProof/>
            <w:webHidden/>
          </w:rPr>
          <w:t>35</w:t>
        </w:r>
        <w:r w:rsidR="002D7A6E">
          <w:rPr>
            <w:noProof/>
            <w:webHidden/>
          </w:rPr>
          <w:fldChar w:fldCharType="end"/>
        </w:r>
      </w:hyperlink>
    </w:p>
    <w:p w14:paraId="4F3C5CD7" w14:textId="7E75BBF3" w:rsidR="00BF5FA4" w:rsidRPr="00EB5C5D" w:rsidRDefault="006E5952" w:rsidP="00EB5C5D">
      <w:pPr>
        <w:suppressAutoHyphens/>
        <w:rPr>
          <w:rFonts w:eastAsia="Calibri" w:cs="Times New Roman"/>
          <w:color w:val="000000"/>
          <w:kern w:val="12"/>
        </w:rPr>
      </w:pPr>
      <w:r>
        <w:rPr>
          <w:b/>
          <w:color w:val="000000" w:themeColor="text1"/>
          <w:u w:val="single" w:color="4BB3B5"/>
        </w:rPr>
        <w:fldChar w:fldCharType="end"/>
      </w:r>
    </w:p>
    <w:p w14:paraId="11A3BF0D" w14:textId="77777777" w:rsidR="00796AB4" w:rsidRDefault="00796AB4">
      <w:pPr>
        <w:spacing w:line="259" w:lineRule="auto"/>
        <w:sectPr w:rsidR="00796AB4" w:rsidSect="000E29BE">
          <w:footerReference w:type="default" r:id="rId16"/>
          <w:type w:val="continuous"/>
          <w:pgSz w:w="11906" w:h="16838"/>
          <w:pgMar w:top="1276" w:right="991" w:bottom="1276" w:left="1440" w:header="567" w:footer="0" w:gutter="0"/>
          <w:cols w:space="708"/>
          <w:titlePg/>
          <w:docGrid w:linePitch="360"/>
        </w:sectPr>
      </w:pPr>
    </w:p>
    <w:p w14:paraId="0EBCA9F1" w14:textId="449643A7" w:rsidR="003D3443" w:rsidRDefault="003D3443" w:rsidP="006829E2">
      <w:pPr>
        <w:pStyle w:val="Box1Heading"/>
        <w:pBdr>
          <w:top w:val="single" w:sz="4" w:space="14" w:color="4BB3B5"/>
          <w:left w:val="single" w:sz="4" w:space="14" w:color="4BB3B5"/>
          <w:bottom w:val="single" w:sz="4" w:space="14" w:color="4BB3B5"/>
          <w:right w:val="single" w:sz="4" w:space="14" w:color="4BB3B5"/>
        </w:pBdr>
        <w:rPr>
          <w:lang w:val="en-AU"/>
        </w:rPr>
      </w:pPr>
      <w:r>
        <w:rPr>
          <w:lang w:val="en-AU"/>
        </w:rPr>
        <w:lastRenderedPageBreak/>
        <w:t>Key Findings</w:t>
      </w:r>
    </w:p>
    <w:p w14:paraId="76D0343A" w14:textId="41F3608C" w:rsidR="003D3443" w:rsidRPr="00BD0320" w:rsidRDefault="003D3443" w:rsidP="006829E2">
      <w:pPr>
        <w:pStyle w:val="Box1Text"/>
        <w:pBdr>
          <w:top w:val="single" w:sz="4" w:space="14" w:color="4BB3B5"/>
          <w:left w:val="single" w:sz="4" w:space="14" w:color="4BB3B5"/>
          <w:bottom w:val="single" w:sz="4" w:space="14" w:color="4BB3B5"/>
          <w:right w:val="single" w:sz="4" w:space="14" w:color="4BB3B5"/>
        </w:pBdr>
      </w:pPr>
      <w:r w:rsidRPr="00BD0320">
        <w:rPr>
          <w:b/>
        </w:rPr>
        <w:t>Cultural and creative activity plays an important role in Australia’s economy.</w:t>
      </w:r>
      <w:r w:rsidRPr="00BD0320">
        <w:t xml:space="preserve"> In 2022–23, businesses within the cultural and creative industries accounted for almost 4% of businesses (at over 95,700 businesses) and cultural and creative activities contributed 2.5% to Australia’s Gross Domestic Product (at $63.7 </w:t>
      </w:r>
      <w:r w:rsidR="00AB2199">
        <w:rPr>
          <w:lang w:val="en-AU"/>
        </w:rPr>
        <w:t>billion</w:t>
      </w:r>
      <w:r w:rsidR="00AB2199">
        <w:rPr>
          <w:rStyle w:val="FootnoteReference"/>
          <w:lang w:val="en-AU"/>
        </w:rPr>
        <w:footnoteReference w:id="2"/>
      </w:r>
      <w:r w:rsidRPr="00BD0320">
        <w:t>). In 2021, employees within these industries comprised approximately 2.4% of total employment (at approximately 282,000 workers).</w:t>
      </w:r>
      <w:r>
        <w:rPr>
          <w:rStyle w:val="FootnoteReference"/>
        </w:rPr>
        <w:footnoteReference w:id="3"/>
      </w:r>
    </w:p>
    <w:p w14:paraId="2C707F52" w14:textId="77777777" w:rsidR="003D3443" w:rsidRPr="00BD0320" w:rsidRDefault="003D3443" w:rsidP="006829E2">
      <w:pPr>
        <w:pStyle w:val="Box1Text"/>
        <w:pBdr>
          <w:top w:val="single" w:sz="4" w:space="14" w:color="4BB3B5"/>
          <w:left w:val="single" w:sz="4" w:space="14" w:color="4BB3B5"/>
          <w:bottom w:val="single" w:sz="4" w:space="14" w:color="4BB3B5"/>
          <w:right w:val="single" w:sz="4" w:space="14" w:color="4BB3B5"/>
        </w:pBdr>
      </w:pPr>
      <w:r w:rsidRPr="00BD0320">
        <w:rPr>
          <w:b/>
        </w:rPr>
        <w:t xml:space="preserve">Many types of cultural and creative activities (known as ‘domains’) were more exposed to the challenges of the pandemic than other sectors of the economy, </w:t>
      </w:r>
      <w:r>
        <w:rPr>
          <w:b/>
          <w:lang w:val="en-AU"/>
        </w:rPr>
        <w:t>particularly</w:t>
      </w:r>
      <w:r w:rsidRPr="00BD0320">
        <w:rPr>
          <w:b/>
        </w:rPr>
        <w:t xml:space="preserve"> those involving live performance and public exhibition.</w:t>
      </w:r>
      <w:r w:rsidRPr="00BD0320">
        <w:t xml:space="preserve"> Some of these domains are traditionally key contributors to total employment in cultural and creative industries. </w:t>
      </w:r>
    </w:p>
    <w:p w14:paraId="72D13624" w14:textId="77777777" w:rsidR="003D3443" w:rsidRPr="00BD0320" w:rsidRDefault="003D3443" w:rsidP="006829E2">
      <w:pPr>
        <w:pStyle w:val="Box1Text"/>
        <w:pBdr>
          <w:top w:val="single" w:sz="4" w:space="14" w:color="4BB3B5"/>
          <w:left w:val="single" w:sz="4" w:space="14" w:color="4BB3B5"/>
          <w:bottom w:val="single" w:sz="4" w:space="14" w:color="4BB3B5"/>
          <w:right w:val="single" w:sz="4" w:space="14" w:color="4BB3B5"/>
        </w:pBdr>
      </w:pPr>
      <w:r w:rsidRPr="00BD0320">
        <w:rPr>
          <w:b/>
        </w:rPr>
        <w:t xml:space="preserve">The arts and recreation services industry </w:t>
      </w:r>
      <w:r>
        <w:rPr>
          <w:b/>
          <w:lang w:val="en-AU"/>
        </w:rPr>
        <w:t xml:space="preserve">division </w:t>
      </w:r>
      <w:r w:rsidRPr="00BD0320">
        <w:rPr>
          <w:b/>
        </w:rPr>
        <w:t>could be considered inclusive.</w:t>
      </w:r>
      <w:r>
        <w:rPr>
          <w:b/>
          <w:lang w:val="en-AU"/>
        </w:rPr>
        <w:t xml:space="preserve"> </w:t>
      </w:r>
      <w:r w:rsidRPr="00CC6D85">
        <w:rPr>
          <w:lang w:val="en-AU"/>
        </w:rPr>
        <w:t>Approximately</w:t>
      </w:r>
      <w:r w:rsidRPr="00BD0320">
        <w:t xml:space="preserve"> 13.4% of workers in the arts and recreation services industry </w:t>
      </w:r>
      <w:r>
        <w:rPr>
          <w:lang w:val="en-AU"/>
        </w:rPr>
        <w:t xml:space="preserve">division </w:t>
      </w:r>
      <w:r w:rsidRPr="00BD0320">
        <w:t>had a form of disability in 2022, compared with 11.6% of Australia’s workforce.</w:t>
      </w:r>
    </w:p>
    <w:p w14:paraId="5F16FC9C" w14:textId="77777777" w:rsidR="003D3443" w:rsidRPr="00BD0320" w:rsidRDefault="003D3443" w:rsidP="006829E2">
      <w:pPr>
        <w:pStyle w:val="Box1Text"/>
        <w:pBdr>
          <w:top w:val="single" w:sz="4" w:space="14" w:color="4BB3B5"/>
          <w:left w:val="single" w:sz="4" w:space="14" w:color="4BB3B5"/>
          <w:bottom w:val="single" w:sz="4" w:space="14" w:color="4BB3B5"/>
          <w:right w:val="single" w:sz="4" w:space="14" w:color="4BB3B5"/>
        </w:pBdr>
      </w:pPr>
      <w:r w:rsidRPr="00BD0320">
        <w:rPr>
          <w:b/>
        </w:rPr>
        <w:t>Cultural and creative activities (in aggregate) posted a recovery in employment, business counts and economic activity between 2021 and 2023, supported by the unwinding of COVID-related restrictions.</w:t>
      </w:r>
      <w:r w:rsidRPr="00BD0320">
        <w:t xml:space="preserve"> However, some domains within the cultural and creative sector experienced net reductions in businesses and employment, despite all domains expanding in terms of Gross Domestic Product over this timeframe. </w:t>
      </w:r>
    </w:p>
    <w:p w14:paraId="0FE5DE7E" w14:textId="77777777" w:rsidR="003D3443" w:rsidRPr="00BD0320" w:rsidRDefault="003D3443" w:rsidP="006829E2">
      <w:pPr>
        <w:pStyle w:val="Box1Text"/>
        <w:pBdr>
          <w:top w:val="single" w:sz="4" w:space="14" w:color="4BB3B5"/>
          <w:left w:val="single" w:sz="4" w:space="14" w:color="4BB3B5"/>
          <w:bottom w:val="single" w:sz="4" w:space="14" w:color="4BB3B5"/>
          <w:right w:val="single" w:sz="4" w:space="14" w:color="4BB3B5"/>
        </w:pBdr>
      </w:pPr>
      <w:r w:rsidRPr="00BD0320">
        <w:rPr>
          <w:b/>
        </w:rPr>
        <w:t>Cost of living pressures have intensified over 2024, and there are indications of pockets of instability within some domains.</w:t>
      </w:r>
      <w:r w:rsidRPr="00BD0320">
        <w:t xml:space="preserve"> Indicative employment in cultural and creative industries posted modest growth in the year to 2024. The arts and recreation services industry division (which can only be considered indicative of cultural and creative activities) has experienced </w:t>
      </w:r>
      <w:r>
        <w:rPr>
          <w:lang w:val="en-AU"/>
        </w:rPr>
        <w:t>an increase in</w:t>
      </w:r>
      <w:r w:rsidRPr="00BD0320">
        <w:t xml:space="preserve"> underemployment and there has been a reduction in multiple job holding – though this work arrangement remains common at 8% of the arts and recreation services </w:t>
      </w:r>
      <w:r>
        <w:rPr>
          <w:lang w:val="en-AU"/>
        </w:rPr>
        <w:t>industry division</w:t>
      </w:r>
      <w:r w:rsidRPr="00BD0320">
        <w:t xml:space="preserve"> workforce. Workers in the arts and recreation services industry division are also more likely to have changed industries than the average worker across all sectors of the economy. </w:t>
      </w:r>
    </w:p>
    <w:p w14:paraId="009537E2" w14:textId="77777777" w:rsidR="003D3443" w:rsidRPr="00BD0320" w:rsidRDefault="003D3443" w:rsidP="006829E2">
      <w:pPr>
        <w:pStyle w:val="Box1Text"/>
        <w:pBdr>
          <w:top w:val="single" w:sz="4" w:space="14" w:color="4BB3B5"/>
          <w:left w:val="single" w:sz="4" w:space="14" w:color="4BB3B5"/>
          <w:bottom w:val="single" w:sz="4" w:space="14" w:color="4BB3B5"/>
          <w:right w:val="single" w:sz="4" w:space="14" w:color="4BB3B5"/>
        </w:pBdr>
      </w:pPr>
      <w:r w:rsidRPr="00E656EE">
        <w:rPr>
          <w:b/>
        </w:rPr>
        <w:t xml:space="preserve">Attendance at cultural venues and events has fallen considerably </w:t>
      </w:r>
      <w:r w:rsidRPr="00E656EE">
        <w:rPr>
          <w:b/>
          <w:lang w:val="en-AU"/>
        </w:rPr>
        <w:t>from pre-</w:t>
      </w:r>
      <w:r w:rsidRPr="00E656EE">
        <w:rPr>
          <w:b/>
        </w:rPr>
        <w:t>COVID</w:t>
      </w:r>
      <w:r w:rsidRPr="00E656EE">
        <w:rPr>
          <w:b/>
          <w:lang w:val="en-AU"/>
        </w:rPr>
        <w:t xml:space="preserve"> levels</w:t>
      </w:r>
      <w:r w:rsidRPr="00BD0320">
        <w:t xml:space="preserve">. Between 2017–18 and 2021–22, the share of both adults and children who attended at least one cultural venue or event reduced significantly. In both instances, reduced attendance was particularly prominent for performing arts events and cinemas. </w:t>
      </w:r>
    </w:p>
    <w:p w14:paraId="778D7DBD" w14:textId="77777777" w:rsidR="003D3443" w:rsidRPr="00BD0320" w:rsidRDefault="003D3443" w:rsidP="006829E2">
      <w:pPr>
        <w:pStyle w:val="Box1Text"/>
        <w:pBdr>
          <w:top w:val="single" w:sz="4" w:space="14" w:color="4BB3B5"/>
          <w:left w:val="single" w:sz="4" w:space="14" w:color="4BB3B5"/>
          <w:bottom w:val="single" w:sz="4" w:space="14" w:color="4BB3B5"/>
          <w:right w:val="single" w:sz="4" w:space="14" w:color="4BB3B5"/>
        </w:pBdr>
      </w:pPr>
      <w:r w:rsidRPr="00E656EE">
        <w:rPr>
          <w:b/>
        </w:rPr>
        <w:t>Arts and heritage activities support a broad number of First Nations businesses across Australia.</w:t>
      </w:r>
      <w:r w:rsidRPr="00BD0320">
        <w:t xml:space="preserve"> In 2024, over 1,000 registered First Nations businesses were operating within arts and heritage industries, accounting for roughly 20% of all First Nations businesses.</w:t>
      </w:r>
    </w:p>
    <w:p w14:paraId="0A1DB50C" w14:textId="77777777" w:rsidR="003D3443" w:rsidRDefault="003D3443" w:rsidP="003D3443">
      <w:pPr>
        <w:rPr>
          <w:color w:val="377B88"/>
          <w:sz w:val="26"/>
          <w:lang w:val="x-none"/>
        </w:rPr>
      </w:pPr>
      <w:r>
        <w:br w:type="page"/>
      </w:r>
    </w:p>
    <w:p w14:paraId="30B75644" w14:textId="77777777" w:rsidR="003D3443" w:rsidRDefault="003D3443" w:rsidP="003D3443">
      <w:pPr>
        <w:pStyle w:val="Heading2"/>
        <w:spacing w:before="240" w:after="120"/>
      </w:pPr>
      <w:bookmarkStart w:id="1" w:name="_Toc182914575"/>
      <w:bookmarkStart w:id="2" w:name="_Toc184650654"/>
      <w:r>
        <w:lastRenderedPageBreak/>
        <w:t>Introduction</w:t>
      </w:r>
      <w:bookmarkEnd w:id="1"/>
      <w:bookmarkEnd w:id="2"/>
    </w:p>
    <w:p w14:paraId="04753E6E" w14:textId="11FE63FA" w:rsidR="003D3443" w:rsidRDefault="003D3443" w:rsidP="003D3443">
      <w:pPr>
        <w:spacing w:after="120"/>
      </w:pPr>
      <w:r>
        <w:t xml:space="preserve">Australia’s National Cultural Policy – </w:t>
      </w:r>
      <w:hyperlink r:id="rId17" w:history="1">
        <w:r w:rsidRPr="00B359BB">
          <w:rPr>
            <w:rStyle w:val="Hyperlink"/>
            <w:i/>
          </w:rPr>
          <w:t>Revive: a place for every story, a story for every place</w:t>
        </w:r>
      </w:hyperlink>
      <w:r>
        <w:t xml:space="preserve"> – was released on 30 January 2023 and outlines a comprehensive framework for supporting the cultural and creative sector (Department of Infrastructure, Transport, Regional Development, Communications and the Arts, 2023).</w:t>
      </w:r>
    </w:p>
    <w:p w14:paraId="20E8BFA1" w14:textId="77777777" w:rsidR="003D3443" w:rsidRDefault="003D3443" w:rsidP="003D3443">
      <w:pPr>
        <w:spacing w:after="120"/>
      </w:pPr>
      <w:r>
        <w:t xml:space="preserve">An action listed in </w:t>
      </w:r>
      <w:r w:rsidRPr="00655AAC">
        <w:rPr>
          <w:i/>
        </w:rPr>
        <w:t>Revive: a place for every story, a story for every place</w:t>
      </w:r>
      <w:r>
        <w:t xml:space="preserve"> was a refresh of the economic measure of cultural and creative activity. The purpose of this refresh was to ensure that estimates of the cultural and creative sector remain fit-for-purpose in our changing economy. The Bureau of Communications, Arts and Regional Research’s </w:t>
      </w:r>
      <w:r w:rsidRPr="00655AAC">
        <w:rPr>
          <w:i/>
        </w:rPr>
        <w:t>Cultural and Creative Activity in Australia, 2008–09 to 2022–23 (Methodology Refresh)</w:t>
      </w:r>
      <w:r>
        <w:t xml:space="preserve"> working paper addresses this action. This Sectoral Analysis provides supporting guidance on metrics which are not reflected in the </w:t>
      </w:r>
      <w:r w:rsidRPr="00655AAC">
        <w:rPr>
          <w:i/>
        </w:rPr>
        <w:t>Cultural and Creative Activity in Australia, 2008–09 to 2022–23 (Methodology Refresh)</w:t>
      </w:r>
      <w:r>
        <w:t xml:space="preserve"> working paper, such as businesses and employment, and adds some contextual analysis to the results. </w:t>
      </w:r>
    </w:p>
    <w:p w14:paraId="1C0C49C6" w14:textId="77777777" w:rsidR="003D3443" w:rsidRDefault="003D3443" w:rsidP="003D3443">
      <w:pPr>
        <w:spacing w:after="120"/>
      </w:pPr>
      <w:r>
        <w:t>This document is structured in two parts:</w:t>
      </w:r>
    </w:p>
    <w:p w14:paraId="1E76F2F2" w14:textId="77777777" w:rsidR="003D3443" w:rsidRPr="003D3443" w:rsidRDefault="003D3443" w:rsidP="00445D52">
      <w:pPr>
        <w:pStyle w:val="Listparagraphbullets"/>
        <w:ind w:left="567" w:hanging="567"/>
      </w:pPr>
      <w:r w:rsidRPr="003D3443">
        <w:t>The body of the report combines the key points from the datasets to describe the sector’s trajectory since 2021, with a key focus on the 2021 to 2023 period (with additional data provided for 2024 wherever available).</w:t>
      </w:r>
    </w:p>
    <w:p w14:paraId="5452E25D" w14:textId="674E3407" w:rsidR="003D3443" w:rsidRPr="00B57595" w:rsidRDefault="003D3443" w:rsidP="00445D52">
      <w:pPr>
        <w:pStyle w:val="Listparagraphbullets"/>
        <w:spacing w:after="240"/>
        <w:ind w:left="567" w:hanging="567"/>
        <w:rPr>
          <w:i/>
        </w:rPr>
      </w:pPr>
      <w:r w:rsidRPr="003D3443">
        <w:t xml:space="preserve">A detailed analysis of the datasets is provided in </w:t>
      </w:r>
      <w:hyperlink w:anchor="_Appendix_A—Detailed_analysis" w:history="1">
        <w:r w:rsidR="00D27951" w:rsidRPr="00717EF5">
          <w:rPr>
            <w:rStyle w:val="Hyperlink"/>
            <w:i/>
          </w:rPr>
          <w:t>Appendix A—Detailed analysis</w:t>
        </w:r>
      </w:hyperlink>
      <w:r w:rsidRPr="00B57595">
        <w:rPr>
          <w:i/>
        </w:rPr>
        <w:t>.</w:t>
      </w:r>
    </w:p>
    <w:p w14:paraId="2A472238" w14:textId="77777777" w:rsidR="002706FF" w:rsidRPr="00B57595" w:rsidRDefault="002706FF" w:rsidP="004C7C12"/>
    <w:p w14:paraId="727DB8F7" w14:textId="79D0DBFF" w:rsidR="003D3443" w:rsidRDefault="003D3443" w:rsidP="001F1BBD">
      <w:pPr>
        <w:pStyle w:val="Box1Heading"/>
        <w:pBdr>
          <w:top w:val="single" w:sz="4" w:space="14" w:color="4BB3B5"/>
          <w:left w:val="single" w:sz="4" w:space="14" w:color="4BB3B5"/>
          <w:bottom w:val="single" w:sz="4" w:space="14" w:color="4BB3B5"/>
          <w:right w:val="single" w:sz="4" w:space="14" w:color="4BB3B5"/>
        </w:pBdr>
      </w:pPr>
      <w:r>
        <w:t>Terminologies used in this paper</w:t>
      </w:r>
    </w:p>
    <w:p w14:paraId="5C2DD530" w14:textId="77777777" w:rsidR="003D3443" w:rsidRPr="003D3443" w:rsidRDefault="003D3443" w:rsidP="001F1BBD">
      <w:pPr>
        <w:pStyle w:val="Box1Text"/>
        <w:pBdr>
          <w:top w:val="single" w:sz="4" w:space="14" w:color="4BB3B5"/>
          <w:left w:val="single" w:sz="4" w:space="14" w:color="4BB3B5"/>
          <w:bottom w:val="single" w:sz="4" w:space="14" w:color="4BB3B5"/>
          <w:right w:val="single" w:sz="4" w:space="14" w:color="4BB3B5"/>
        </w:pBdr>
        <w:rPr>
          <w:b/>
        </w:rPr>
      </w:pPr>
      <w:r w:rsidRPr="003D3443">
        <w:rPr>
          <w:b/>
        </w:rPr>
        <w:t>Cultural and creative activity</w:t>
      </w:r>
    </w:p>
    <w:p w14:paraId="65587D35" w14:textId="77777777" w:rsidR="003D3443" w:rsidRPr="00A66AA3" w:rsidRDefault="003D3443" w:rsidP="001F1BBD">
      <w:pPr>
        <w:pStyle w:val="Box1Text"/>
        <w:pBdr>
          <w:top w:val="single" w:sz="4" w:space="14" w:color="4BB3B5"/>
          <w:left w:val="single" w:sz="4" w:space="14" w:color="4BB3B5"/>
          <w:bottom w:val="single" w:sz="4" w:space="14" w:color="4BB3B5"/>
          <w:right w:val="single" w:sz="4" w:space="14" w:color="4BB3B5"/>
        </w:pBdr>
      </w:pPr>
      <w:r w:rsidRPr="00A66AA3">
        <w:t>Cultural and creative activity refers to the economic activity generated from the production and support of goods and services created by cultural and artistic means. This activity is much larger than ‘the arts’ sector alone. It takes place across the economy and spans activities from architecture services to digital games development, from museums and galleries to design and fashion.</w:t>
      </w:r>
    </w:p>
    <w:p w14:paraId="0EC8543E" w14:textId="77777777" w:rsidR="003D3443" w:rsidRDefault="003D3443" w:rsidP="001F1BBD">
      <w:pPr>
        <w:pStyle w:val="Box1Text"/>
        <w:pBdr>
          <w:top w:val="single" w:sz="4" w:space="14" w:color="4BB3B5"/>
          <w:left w:val="single" w:sz="4" w:space="14" w:color="4BB3B5"/>
          <w:bottom w:val="single" w:sz="4" w:space="14" w:color="4BB3B5"/>
          <w:right w:val="single" w:sz="4" w:space="14" w:color="4BB3B5"/>
        </w:pBdr>
      </w:pPr>
      <w:r>
        <w:t xml:space="preserve">Cultural and creative activity is recognised as an important part of knowledge-based economies. In Australia, this activity makes a valuable contribution to our economic and social wellbeing. No universal definition of cultural and creative activity exists. Each country has different views on what they see as being cultural and creative, and each has a different way of measuring this activity. </w:t>
      </w:r>
    </w:p>
    <w:p w14:paraId="365476E9" w14:textId="77777777" w:rsidR="003D3443" w:rsidRDefault="003D3443" w:rsidP="001F1BBD">
      <w:pPr>
        <w:pStyle w:val="Box1Text"/>
        <w:pBdr>
          <w:top w:val="single" w:sz="4" w:space="14" w:color="4BB3B5"/>
          <w:left w:val="single" w:sz="4" w:space="14" w:color="4BB3B5"/>
          <w:bottom w:val="single" w:sz="4" w:space="14" w:color="4BB3B5"/>
          <w:right w:val="single" w:sz="4" w:space="14" w:color="4BB3B5"/>
        </w:pBdr>
      </w:pPr>
      <w:r>
        <w:t xml:space="preserve">Following a detailed review (refer to the </w:t>
      </w:r>
      <w:r w:rsidRPr="00655AAC">
        <w:rPr>
          <w:i/>
        </w:rPr>
        <w:t>Cultural and Creative Activity in Australia, 2008–09 to 2022–23 (Methodology Refresh)</w:t>
      </w:r>
      <w:r>
        <w:t xml:space="preserve"> </w:t>
      </w:r>
      <w:r>
        <w:rPr>
          <w:lang w:val="en-AU"/>
        </w:rPr>
        <w:t>working paper</w:t>
      </w:r>
      <w:r>
        <w:t>), the approach to measuring this activity has changed and the scope is now narrower than it was previously. The methodology now captures cultural and creative activity based on detailed industries defined by the Australian and New Zealand Standard Industrial Classification and by products defined by the Input-Output Product Classifications. Where this definition of the sector has been applied, it has been referred to as ‘cultural and creative activity’.</w:t>
      </w:r>
    </w:p>
    <w:p w14:paraId="61629ECF" w14:textId="14FF065C" w:rsidR="003D3443" w:rsidRDefault="003D3443" w:rsidP="001F1BBD">
      <w:pPr>
        <w:pStyle w:val="Box1Text"/>
        <w:pBdr>
          <w:top w:val="single" w:sz="4" w:space="14" w:color="4BB3B5"/>
          <w:left w:val="single" w:sz="4" w:space="14" w:color="4BB3B5"/>
          <w:bottom w:val="single" w:sz="4" w:space="14" w:color="4BB3B5"/>
          <w:right w:val="single" w:sz="4" w:space="14" w:color="4BB3B5"/>
        </w:pBdr>
      </w:pPr>
      <w:r>
        <w:t xml:space="preserve">The definition of the cultural and creative sector as applied in calculating cultural and creative activity is bespoke, and is not consistently replicable in published datasets from the Australian Bureau of Statistics. Many Australian Bureau of Statistics datasets are published by Australian and New Zealand Standard Industrial Classification industry only (excluding products), and even when produced by Australian and New Zealand Standard Industrial Classification, may not be available at a level detailed enough to replicate the industry component of cultural and creative activity. </w:t>
      </w:r>
    </w:p>
    <w:p w14:paraId="16A3B338" w14:textId="77777777" w:rsidR="001F1BBD" w:rsidRDefault="001F1BBD" w:rsidP="001F1BBD">
      <w:pPr>
        <w:pStyle w:val="Sourcenotes"/>
      </w:pPr>
    </w:p>
    <w:p w14:paraId="1F73670F" w14:textId="62EC7045" w:rsidR="003D3443" w:rsidRDefault="003D3443" w:rsidP="001F1BBD">
      <w:pPr>
        <w:pStyle w:val="Box1Text"/>
        <w:keepNext/>
        <w:keepLines/>
        <w:pBdr>
          <w:top w:val="single" w:sz="4" w:space="14" w:color="4BB3B5"/>
          <w:left w:val="single" w:sz="4" w:space="14" w:color="4BB3B5"/>
          <w:bottom w:val="single" w:sz="4" w:space="14" w:color="4BB3B5"/>
          <w:right w:val="single" w:sz="4" w:space="14" w:color="4BB3B5"/>
        </w:pBdr>
      </w:pPr>
      <w:r>
        <w:lastRenderedPageBreak/>
        <w:t>In this report, we have applied a definition of the sector which best fits the granularity of data available for each metric. As a result, datasets presented within different sections of this report are not always consistent with each other. Care should be taken when comparing data across this report.</w:t>
      </w:r>
    </w:p>
    <w:p w14:paraId="66A3EE16" w14:textId="77777777" w:rsidR="003D3443" w:rsidRDefault="003D3443" w:rsidP="003D3443">
      <w:pPr>
        <w:pStyle w:val="Box1Text"/>
        <w:pBdr>
          <w:top w:val="single" w:sz="4" w:space="14" w:color="4BB3B5"/>
          <w:left w:val="single" w:sz="4" w:space="14" w:color="4BB3B5"/>
          <w:bottom w:val="single" w:sz="4" w:space="14" w:color="4BB3B5"/>
          <w:right w:val="single" w:sz="4" w:space="14" w:color="4BB3B5"/>
        </w:pBdr>
      </w:pPr>
      <w:r>
        <w:t xml:space="preserve">Future stages of the </w:t>
      </w:r>
      <w:r w:rsidRPr="00655AAC">
        <w:rPr>
          <w:i/>
        </w:rPr>
        <w:t>Cultural and Creative Activity in Australia Methodology Refresh</w:t>
      </w:r>
      <w:r>
        <w:t xml:space="preserve"> may include other estimated metrics of cultural and creative activity (such as employment). In this instance, any estimates provided in this Sectoral Analysis would be considered less accurate than published estimates relating directly to cultural and creative activity.</w:t>
      </w:r>
    </w:p>
    <w:p w14:paraId="39F1A0DA" w14:textId="77777777" w:rsidR="003D3443" w:rsidRPr="006829E2" w:rsidRDefault="003D3443" w:rsidP="003D3443">
      <w:pPr>
        <w:pStyle w:val="Box1Text"/>
        <w:pBdr>
          <w:top w:val="single" w:sz="4" w:space="14" w:color="4BB3B5"/>
          <w:left w:val="single" w:sz="4" w:space="14" w:color="4BB3B5"/>
          <w:bottom w:val="single" w:sz="4" w:space="14" w:color="4BB3B5"/>
          <w:right w:val="single" w:sz="4" w:space="14" w:color="4BB3B5"/>
        </w:pBdr>
        <w:rPr>
          <w:b/>
        </w:rPr>
      </w:pPr>
      <w:r w:rsidRPr="006829E2">
        <w:rPr>
          <w:b/>
        </w:rPr>
        <w:t>Cultural and creative industries</w:t>
      </w:r>
    </w:p>
    <w:p w14:paraId="05B4A364" w14:textId="77777777" w:rsidR="003D3443" w:rsidRDefault="003D3443" w:rsidP="003D3443">
      <w:pPr>
        <w:pStyle w:val="Box1Text"/>
        <w:pBdr>
          <w:top w:val="single" w:sz="4" w:space="14" w:color="4BB3B5"/>
          <w:left w:val="single" w:sz="4" w:space="14" w:color="4BB3B5"/>
          <w:bottom w:val="single" w:sz="4" w:space="14" w:color="4BB3B5"/>
          <w:right w:val="single" w:sz="4" w:space="14" w:color="4BB3B5"/>
        </w:pBdr>
      </w:pPr>
      <w:r>
        <w:t xml:space="preserve">This paper provides details on businesses and workers using industry-based data at varying levels of granularity from the Australian Bureau of Statistics. In these instances, the data reflects activities within cultural and creative </w:t>
      </w:r>
      <w:r w:rsidRPr="00655AAC">
        <w:rPr>
          <w:u w:val="single"/>
        </w:rPr>
        <w:t>industries</w:t>
      </w:r>
      <w:r>
        <w:t xml:space="preserve"> only and has been referred to as ‘businesses/ workers in cultural and creative industries’.</w:t>
      </w:r>
      <w:r>
        <w:rPr>
          <w:rStyle w:val="FootnoteReference"/>
        </w:rPr>
        <w:footnoteReference w:id="4"/>
      </w:r>
    </w:p>
    <w:p w14:paraId="7DECDEC8" w14:textId="25075B08" w:rsidR="003D3443" w:rsidRDefault="003D3443" w:rsidP="003D3443">
      <w:pPr>
        <w:pStyle w:val="Box1Text"/>
        <w:pBdr>
          <w:top w:val="single" w:sz="4" w:space="14" w:color="4BB3B5"/>
          <w:left w:val="single" w:sz="4" w:space="14" w:color="4BB3B5"/>
          <w:bottom w:val="single" w:sz="4" w:space="14" w:color="4BB3B5"/>
          <w:right w:val="single" w:sz="4" w:space="14" w:color="4BB3B5"/>
        </w:pBdr>
      </w:pPr>
      <w:r>
        <w:t xml:space="preserve">Employment data from the </w:t>
      </w:r>
      <w:r w:rsidRPr="004D7E58">
        <w:t>Australian</w:t>
      </w:r>
      <w:r w:rsidRPr="004D7E58">
        <w:rPr>
          <w:i/>
        </w:rPr>
        <w:t xml:space="preserve"> Census of Population and Housing</w:t>
      </w:r>
      <w:r>
        <w:t xml:space="preserve"> provides a better match for the cultural and creative industries than more regularly published data (such as the Australian Bureau of Statistics </w:t>
      </w:r>
      <w:r w:rsidRPr="000A7BEE">
        <w:rPr>
          <w:lang w:val="en-AU"/>
        </w:rPr>
        <w:t>l</w:t>
      </w:r>
      <w:proofErr w:type="spellStart"/>
      <w:r>
        <w:t>abour</w:t>
      </w:r>
      <w:proofErr w:type="spellEnd"/>
      <w:r>
        <w:t xml:space="preserve"> </w:t>
      </w:r>
      <w:r w:rsidRPr="000A7BEE">
        <w:rPr>
          <w:lang w:val="en-AU"/>
        </w:rPr>
        <w:t>f</w:t>
      </w:r>
      <w:proofErr w:type="spellStart"/>
      <w:r>
        <w:t>orce</w:t>
      </w:r>
      <w:proofErr w:type="spellEnd"/>
      <w:r>
        <w:t xml:space="preserve"> </w:t>
      </w:r>
      <w:r w:rsidR="000A7BEE" w:rsidRPr="000A7BEE">
        <w:rPr>
          <w:lang w:val="en-AU"/>
        </w:rPr>
        <w:t>data</w:t>
      </w:r>
      <w:r>
        <w:t xml:space="preserve">). In this report, data from the </w:t>
      </w:r>
      <w:r w:rsidRPr="004D7E58">
        <w:rPr>
          <w:i/>
        </w:rPr>
        <w:t>Census of Population and Housing</w:t>
      </w:r>
      <w:r>
        <w:t xml:space="preserve"> has been used to provide an estimate of employment in cultural and creative sectors, and the less detailed </w:t>
      </w:r>
      <w:r w:rsidRPr="000A7BEE">
        <w:rPr>
          <w:lang w:val="en-AU"/>
        </w:rPr>
        <w:t>l</w:t>
      </w:r>
      <w:proofErr w:type="spellStart"/>
      <w:r>
        <w:t>abour</w:t>
      </w:r>
      <w:proofErr w:type="spellEnd"/>
      <w:r>
        <w:t xml:space="preserve"> </w:t>
      </w:r>
      <w:r w:rsidRPr="000A7BEE">
        <w:rPr>
          <w:lang w:val="en-AU"/>
        </w:rPr>
        <w:t>f</w:t>
      </w:r>
      <w:proofErr w:type="spellStart"/>
      <w:r>
        <w:t>orce</w:t>
      </w:r>
      <w:proofErr w:type="spellEnd"/>
      <w:r>
        <w:t xml:space="preserve"> </w:t>
      </w:r>
      <w:r w:rsidR="000A7BEE" w:rsidRPr="000A7BEE">
        <w:rPr>
          <w:lang w:val="en-AU"/>
        </w:rPr>
        <w:t>data</w:t>
      </w:r>
      <w:r>
        <w:t xml:space="preserve"> has been used to provide an indication of trends since 2021. It is noted that some of Australia’s largest cities were in lockdown at the time of the 2021 </w:t>
      </w:r>
      <w:r w:rsidRPr="004D7E58">
        <w:rPr>
          <w:i/>
        </w:rPr>
        <w:t xml:space="preserve">Census </w:t>
      </w:r>
      <w:r w:rsidR="00AC32F8" w:rsidRPr="004D7E58">
        <w:rPr>
          <w:i/>
        </w:rPr>
        <w:t>of Population and Housing</w:t>
      </w:r>
      <w:r w:rsidR="00AC32F8">
        <w:t xml:space="preserve"> </w:t>
      </w:r>
      <w:r>
        <w:t>which may impact on the reported outcomes (Australian Bureau of Statistics, 2022a).</w:t>
      </w:r>
    </w:p>
    <w:p w14:paraId="032BAC5A" w14:textId="77777777" w:rsidR="003D3443" w:rsidRPr="006829E2" w:rsidRDefault="003D3443" w:rsidP="003D3443">
      <w:pPr>
        <w:pStyle w:val="Box1Text"/>
        <w:pBdr>
          <w:top w:val="single" w:sz="4" w:space="14" w:color="4BB3B5"/>
          <w:left w:val="single" w:sz="4" w:space="14" w:color="4BB3B5"/>
          <w:bottom w:val="single" w:sz="4" w:space="14" w:color="4BB3B5"/>
          <w:right w:val="single" w:sz="4" w:space="14" w:color="4BB3B5"/>
        </w:pBdr>
        <w:rPr>
          <w:b/>
          <w:lang w:val="en-AU"/>
        </w:rPr>
      </w:pPr>
      <w:r w:rsidRPr="006829E2">
        <w:rPr>
          <w:b/>
        </w:rPr>
        <w:t>Arts and recreation services industry</w:t>
      </w:r>
      <w:r w:rsidRPr="006829E2">
        <w:rPr>
          <w:b/>
          <w:lang w:val="en-AU"/>
        </w:rPr>
        <w:t xml:space="preserve"> division</w:t>
      </w:r>
    </w:p>
    <w:p w14:paraId="3D7F9864" w14:textId="77777777" w:rsidR="003D3443" w:rsidRDefault="003D3443" w:rsidP="003D3443">
      <w:pPr>
        <w:pStyle w:val="Box1Text"/>
        <w:pBdr>
          <w:top w:val="single" w:sz="4" w:space="14" w:color="4BB3B5"/>
          <w:left w:val="single" w:sz="4" w:space="14" w:color="4BB3B5"/>
          <w:bottom w:val="single" w:sz="4" w:space="14" w:color="4BB3B5"/>
          <w:right w:val="single" w:sz="4" w:space="14" w:color="4BB3B5"/>
        </w:pBdr>
      </w:pPr>
      <w:r>
        <w:t>Where the industry-level data available is less detailed than required for data to be aligned with the cultural and creative industries, data relating to the arts and recreation services industry division has been applied. In these instances, the report’s findings should be considered indicative only.</w:t>
      </w:r>
    </w:p>
    <w:p w14:paraId="630607CC" w14:textId="77777777" w:rsidR="003D3443" w:rsidRPr="006829E2" w:rsidRDefault="003D3443" w:rsidP="003D3443">
      <w:pPr>
        <w:pStyle w:val="Box1Text"/>
        <w:pBdr>
          <w:top w:val="single" w:sz="4" w:space="14" w:color="4BB3B5"/>
          <w:left w:val="single" w:sz="4" w:space="14" w:color="4BB3B5"/>
          <w:bottom w:val="single" w:sz="4" w:space="14" w:color="4BB3B5"/>
          <w:right w:val="single" w:sz="4" w:space="14" w:color="4BB3B5"/>
        </w:pBdr>
        <w:rPr>
          <w:b/>
        </w:rPr>
      </w:pPr>
      <w:r w:rsidRPr="006829E2">
        <w:rPr>
          <w:b/>
        </w:rPr>
        <w:t>Cultural and creative activity domains</w:t>
      </w:r>
    </w:p>
    <w:p w14:paraId="79661B49" w14:textId="77777777" w:rsidR="003D3443" w:rsidRDefault="003D3443" w:rsidP="003D3443">
      <w:pPr>
        <w:pStyle w:val="Box1Text"/>
        <w:pBdr>
          <w:top w:val="single" w:sz="4" w:space="14" w:color="4BB3B5"/>
          <w:left w:val="single" w:sz="4" w:space="14" w:color="4BB3B5"/>
          <w:bottom w:val="single" w:sz="4" w:space="14" w:color="4BB3B5"/>
          <w:right w:val="single" w:sz="4" w:space="14" w:color="4BB3B5"/>
        </w:pBdr>
      </w:pPr>
      <w:r>
        <w:t xml:space="preserve">Cultural and creative activity has been disaggregated into domains. These domains allow for analysis of trends within various types of cultural and creative activities, allowing for sectoral reporting. </w:t>
      </w:r>
    </w:p>
    <w:p w14:paraId="5D31BB3A" w14:textId="3E2ED1F3" w:rsidR="003D3443" w:rsidRDefault="003D3443" w:rsidP="003D3443">
      <w:pPr>
        <w:pStyle w:val="Box1Text"/>
        <w:pBdr>
          <w:top w:val="single" w:sz="4" w:space="14" w:color="4BB3B5"/>
          <w:left w:val="single" w:sz="4" w:space="14" w:color="4BB3B5"/>
          <w:bottom w:val="single" w:sz="4" w:space="14" w:color="4BB3B5"/>
          <w:right w:val="single" w:sz="4" w:space="14" w:color="4BB3B5"/>
        </w:pBdr>
      </w:pPr>
      <w:r>
        <w:t xml:space="preserve">In this report, we have aggregated some of the 15 domains provided in the </w:t>
      </w:r>
      <w:r w:rsidRPr="00655AAC">
        <w:rPr>
          <w:i/>
        </w:rPr>
        <w:t>Cultural and Creative Activity in Australia, 2008–09 to 2022–23 (Methodology Refresh)</w:t>
      </w:r>
      <w:r w:rsidRPr="00655AAC">
        <w:t xml:space="preserve"> </w:t>
      </w:r>
      <w:r w:rsidRPr="00655AAC">
        <w:rPr>
          <w:lang w:val="en-AU"/>
        </w:rPr>
        <w:t>working paper</w:t>
      </w:r>
      <w:r>
        <w:t xml:space="preserve"> to enable greater (but still imperfect) comparability of Gross Domestic Product and collected data on businesses and employment. In </w:t>
      </w:r>
      <w:hyperlink w:anchor="_Appendix_A—Detailed_analysis" w:history="1">
        <w:r w:rsidR="00D27951" w:rsidRPr="00A11C3F">
          <w:rPr>
            <w:rStyle w:val="Hyperlink"/>
            <w:i/>
          </w:rPr>
          <w:t>Appendix A—Detailed analysis</w:t>
        </w:r>
      </w:hyperlink>
      <w:r>
        <w:t>, detailed domain information is presented</w:t>
      </w:r>
      <w:r>
        <w:rPr>
          <w:lang w:val="en-AU"/>
        </w:rPr>
        <w:t xml:space="preserve"> for</w:t>
      </w:r>
      <w:r>
        <w:t xml:space="preserve"> business counts </w:t>
      </w:r>
      <w:r>
        <w:rPr>
          <w:lang w:val="en-AU"/>
        </w:rPr>
        <w:t xml:space="preserve">and Census of Population and Housing employment, </w:t>
      </w:r>
      <w:r>
        <w:t>and less detailed domain information is presented for employment</w:t>
      </w:r>
      <w:r>
        <w:rPr>
          <w:lang w:val="en-AU"/>
        </w:rPr>
        <w:t xml:space="preserve"> trends analysis</w:t>
      </w:r>
      <w:r>
        <w:t xml:space="preserve">. </w:t>
      </w:r>
    </w:p>
    <w:p w14:paraId="57E875B6" w14:textId="25393637" w:rsidR="003D3443" w:rsidRDefault="003D3443" w:rsidP="003D3443">
      <w:pPr>
        <w:pStyle w:val="Box1Text"/>
        <w:pBdr>
          <w:top w:val="single" w:sz="4" w:space="14" w:color="4BB3B5"/>
          <w:left w:val="single" w:sz="4" w:space="14" w:color="4BB3B5"/>
          <w:bottom w:val="single" w:sz="4" w:space="14" w:color="4BB3B5"/>
          <w:right w:val="single" w:sz="4" w:space="14" w:color="4BB3B5"/>
        </w:pBdr>
      </w:pPr>
      <w:r>
        <w:t xml:space="preserve">For further details on definitions and correspondences applied in this paper, refer to </w:t>
      </w:r>
      <w:hyperlink w:anchor="_Appendix_B—Glossary" w:history="1">
        <w:r w:rsidR="00D27951" w:rsidRPr="00D27951">
          <w:rPr>
            <w:rStyle w:val="Hyperlink"/>
            <w:i/>
          </w:rPr>
          <w:t>Appendix B—Glossary</w:t>
        </w:r>
      </w:hyperlink>
      <w:r>
        <w:t>.</w:t>
      </w:r>
    </w:p>
    <w:p w14:paraId="0BF8B890" w14:textId="77777777" w:rsidR="003D3443" w:rsidRPr="00217BCD" w:rsidRDefault="003D3443" w:rsidP="00217BCD">
      <w:r w:rsidRPr="00217BCD">
        <w:br w:type="page"/>
      </w:r>
    </w:p>
    <w:p w14:paraId="5FCD1FF0" w14:textId="77777777" w:rsidR="003D3443" w:rsidRDefault="003D3443" w:rsidP="00E968AF">
      <w:pPr>
        <w:pStyle w:val="Heading2"/>
      </w:pPr>
      <w:bookmarkStart w:id="3" w:name="_Toc182914576"/>
      <w:bookmarkStart w:id="4" w:name="_Toc184650655"/>
      <w:r w:rsidRPr="00E656EE">
        <w:lastRenderedPageBreak/>
        <w:t>The post-COVID recovery has been challenged by cost of living pressures</w:t>
      </w:r>
      <w:bookmarkEnd w:id="3"/>
      <w:bookmarkEnd w:id="4"/>
    </w:p>
    <w:p w14:paraId="5B4F19CB" w14:textId="77777777" w:rsidR="003D3443" w:rsidRDefault="003D3443" w:rsidP="003D3443">
      <w:r w:rsidRPr="00655AAC">
        <w:t>The Australian economy was negatively impacted by the onset of COVID</w:t>
      </w:r>
      <w:r>
        <w:t>-</w:t>
      </w:r>
      <w:r w:rsidRPr="00655AAC">
        <w:t>19 and associated restrictions and health measures (Australian Bureau of Statistics, 2022b), resulting in a 5.8% decline</w:t>
      </w:r>
      <w:r>
        <w:rPr>
          <w:rStyle w:val="FootnoteReference"/>
        </w:rPr>
        <w:footnoteReference w:id="5"/>
      </w:r>
      <w:r w:rsidRPr="00655AAC">
        <w:t xml:space="preserve"> in employment in the financial year to June 2020, relatively low (1.8%) growth in Gross Domestic Product,</w:t>
      </w:r>
      <w:r>
        <w:t xml:space="preserve"> and</w:t>
      </w:r>
      <w:r w:rsidRPr="00655AAC">
        <w:t xml:space="preserve"> 2% growth in the number of businesses in operation (Australian Bureau of Statistics, 2023a; Australian Bureau of Statistics, 2024a).</w:t>
      </w:r>
    </w:p>
    <w:p w14:paraId="049D7843" w14:textId="02C83295" w:rsidR="003D3443" w:rsidRDefault="003D3443" w:rsidP="003D3443">
      <w:r>
        <w:t>Many cultural and creative activity domains were more exposed to the challenges of the pandemic than other sectors of the economy, especially those involving live performance and public exhibition.</w:t>
      </w:r>
    </w:p>
    <w:p w14:paraId="281B4AF4" w14:textId="706ACF46" w:rsidR="003D3443" w:rsidRDefault="003D3443" w:rsidP="003D3443">
      <w:r>
        <w:t>Cultural and creative activities are also highly interconnected with the tourism sector (Creative Australia, 2018). Domestic visitors who undertake arts tourism on their visit</w:t>
      </w:r>
      <w:r>
        <w:rPr>
          <w:rStyle w:val="FootnoteReference"/>
        </w:rPr>
        <w:footnoteReference w:id="6"/>
      </w:r>
      <w:r>
        <w:t xml:space="preserve"> tend to stay longer and spend more than other visitors. In return, tourism is a key contributor to economic activity within the arts and recreation services industry division, contributing to approximately 17.2% of the arts and recreation services industry division’s Gross Domestic Product in 2022–23 (Australian Bureau of Statistics, 2023b). The closure of Australia’s borders (including state and territory borders) during the pandemic, and the resulting impact on tourism, flowed through to the arts and recreation services industry division. As a result, this industry recorded weaker economic outcomes than the national economy in this period.</w:t>
      </w:r>
    </w:p>
    <w:p w14:paraId="3A17375A" w14:textId="1BD6B854" w:rsidR="003D3443" w:rsidRDefault="003D3443" w:rsidP="003D3443">
      <w:r>
        <w:t>As COVID response policies were unwound and borders opened, household spending recovered and business conditions improved, supporting an economic recovery (Australian Bureau of Statistics, 2022b). The economy posted strong employment and economic growth, as economic, tourism and social activities slowly returned to normal. Cultural and creative activity also benefited. In 2021, approximately 282,000 workers</w:t>
      </w:r>
      <w:r>
        <w:rPr>
          <w:rStyle w:val="FootnoteReference"/>
        </w:rPr>
        <w:footnoteReference w:id="7"/>
      </w:r>
      <w:r>
        <w:t xml:space="preserve"> were employed in cultural and creative industries (Australian Bureau of Statistics, 2022c). Trends from more recently published data (which reflect broader industries than the cultural and creative activities but may be indicative of trends in these industries) suggest the sector may have recorded 5% growth between 2021 and 2023 (Australian Bureau of Statistics, 2024a).</w:t>
      </w:r>
    </w:p>
    <w:p w14:paraId="27B340D4" w14:textId="24AB1C8A" w:rsidR="003D3443" w:rsidRDefault="003D3443" w:rsidP="003D3443">
      <w:r>
        <w:t xml:space="preserve">Over this timeframe, the number of businesses in cultural and creative industries increased by 8.9% to approximately 95,700 businesses (Australian Bureau of Statistics, 2023a), and, mirroring growth in the national economy, cultural and creative economic activity expanded by 22% to $63.7 billion </w:t>
      </w:r>
      <w:r w:rsidR="007B6646">
        <w:t>(</w:t>
      </w:r>
      <w:r w:rsidR="007B6646">
        <w:fldChar w:fldCharType="begin"/>
      </w:r>
      <w:r w:rsidR="007B6646">
        <w:instrText xml:space="preserve"> REF _Ref184640029 \h </w:instrText>
      </w:r>
      <w:r w:rsidR="007B6646">
        <w:fldChar w:fldCharType="separate"/>
      </w:r>
      <w:r w:rsidR="00C65220">
        <w:t xml:space="preserve">Figure </w:t>
      </w:r>
      <w:r w:rsidR="00C65220">
        <w:rPr>
          <w:noProof/>
        </w:rPr>
        <w:t>1</w:t>
      </w:r>
      <w:r w:rsidR="007B6646">
        <w:fldChar w:fldCharType="end"/>
      </w:r>
      <w:r w:rsidR="007B6646">
        <w:t>)</w:t>
      </w:r>
      <w:r>
        <w:t xml:space="preserve"> (in the period from 2020–21 to 2022–23).</w:t>
      </w:r>
      <w:r>
        <w:rPr>
          <w:rStyle w:val="FootnoteReference"/>
        </w:rPr>
        <w:footnoteReference w:id="8"/>
      </w:r>
    </w:p>
    <w:p w14:paraId="22CAC348" w14:textId="4C41AF48" w:rsidR="003D3443" w:rsidRDefault="003D3443" w:rsidP="00E968AF">
      <w:pPr>
        <w:pStyle w:val="Tablefigureheading"/>
      </w:pPr>
      <w:bookmarkStart w:id="5" w:name="_Ref184640029"/>
      <w:bookmarkStart w:id="6" w:name="_Toc182484659"/>
      <w:bookmarkStart w:id="7" w:name="_Toc182914583"/>
      <w:bookmarkStart w:id="8" w:name="_Toc184641641"/>
      <w:r>
        <w:lastRenderedPageBreak/>
        <w:t xml:space="preserve">Figure </w:t>
      </w:r>
      <w:r w:rsidR="003C2F6D">
        <w:fldChar w:fldCharType="begin"/>
      </w:r>
      <w:r w:rsidR="003C2F6D">
        <w:instrText xml:space="preserve"> SEQ Figure \* ARABIC </w:instrText>
      </w:r>
      <w:r w:rsidR="003C2F6D">
        <w:fldChar w:fldCharType="separate"/>
      </w:r>
      <w:r w:rsidR="00C65220">
        <w:rPr>
          <w:noProof/>
        </w:rPr>
        <w:t>1</w:t>
      </w:r>
      <w:r w:rsidR="003C2F6D">
        <w:rPr>
          <w:noProof/>
        </w:rPr>
        <w:fldChar w:fldCharType="end"/>
      </w:r>
      <w:bookmarkEnd w:id="5"/>
      <w:r>
        <w:t xml:space="preserve">. </w:t>
      </w:r>
      <w:r w:rsidRPr="009C0253">
        <w:t>Change in cultural and creative metrics, 2021 to 2023</w:t>
      </w:r>
      <w:bookmarkEnd w:id="6"/>
      <w:bookmarkEnd w:id="7"/>
      <w:bookmarkEnd w:id="8"/>
    </w:p>
    <w:p w14:paraId="57B278D2" w14:textId="77777777" w:rsidR="003D3443" w:rsidRDefault="003D3443" w:rsidP="00217BCD">
      <w:pPr>
        <w:spacing w:after="0"/>
        <w:jc w:val="center"/>
      </w:pPr>
      <w:r>
        <w:rPr>
          <w:noProof/>
        </w:rPr>
        <w:drawing>
          <wp:inline distT="0" distB="0" distL="0" distR="0" wp14:anchorId="2A7E95E4" wp14:editId="0245D858">
            <wp:extent cx="4572635" cy="2743200"/>
            <wp:effectExtent l="0" t="0" r="0" b="0"/>
            <wp:docPr id="9" name="Picture 9" descr="A column graph displays growth of the cultural and creative sector in terms of GDP, businesses and indicative employment in cultural and creative industries between 2021 and 2023.">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2635" cy="2743200"/>
                    </a:xfrm>
                    <a:prstGeom prst="rect">
                      <a:avLst/>
                    </a:prstGeom>
                    <a:noFill/>
                  </pic:spPr>
                </pic:pic>
              </a:graphicData>
            </a:graphic>
          </wp:inline>
        </w:drawing>
      </w:r>
    </w:p>
    <w:p w14:paraId="74D1FE0E" w14:textId="77777777" w:rsidR="003D3443" w:rsidRDefault="003D3443" w:rsidP="003D3443">
      <w:pPr>
        <w:pStyle w:val="Sourcenotes"/>
      </w:pPr>
      <w:r>
        <w:t>Note: The data published by industry for employment includes a range of activities beyond the cultural and creative scope. These estimates should therefore be considered as indicative only.</w:t>
      </w:r>
    </w:p>
    <w:p w14:paraId="370C6343" w14:textId="545AD45A" w:rsidR="003D3443" w:rsidRDefault="003D3443" w:rsidP="003D3443">
      <w:pPr>
        <w:pStyle w:val="Sourcenotes"/>
      </w:pPr>
      <w:r>
        <w:t xml:space="preserve">Source: Bureau of Communications, Arts and Regional Research, Australian Bureau of Statistics </w:t>
      </w:r>
      <w:r w:rsidR="00DF5D13">
        <w:t>–</w:t>
      </w:r>
      <w:r>
        <w:t xml:space="preserve"> Counts of Australian Businesses, including Entries and Exits, June 2019 to June 2023, Australian Bureau of Statistics – Labour Force, Australia, Detailed, August 2024.</w:t>
      </w:r>
    </w:p>
    <w:p w14:paraId="7148C4B3" w14:textId="5FE44B66" w:rsidR="003D3443" w:rsidRDefault="003D3443" w:rsidP="003D3443">
      <w:r w:rsidRPr="00816CDC">
        <w:t xml:space="preserve">Regularly published employment data is not a perfect match for the sector (and includes a number of activities which are beyond the scope of cultural and creative activities), but trends in this data may be considered as indicative of trends in employment in cultural and creative industries. This data suggests employment in the cultural and creative industries has </w:t>
      </w:r>
      <w:r>
        <w:t xml:space="preserve">historically </w:t>
      </w:r>
      <w:r w:rsidRPr="00816CDC">
        <w:t>been more volatile than total employment in Australia</w:t>
      </w:r>
      <w:r>
        <w:t xml:space="preserve"> (see </w:t>
      </w:r>
      <w:r>
        <w:fldChar w:fldCharType="begin"/>
      </w:r>
      <w:r>
        <w:instrText xml:space="preserve"> REF _Ref182905349 \h </w:instrText>
      </w:r>
      <w:r>
        <w:fldChar w:fldCharType="separate"/>
      </w:r>
      <w:r w:rsidR="00C65220">
        <w:t xml:space="preserve">Figure </w:t>
      </w:r>
      <w:r w:rsidR="00C65220">
        <w:rPr>
          <w:noProof/>
        </w:rPr>
        <w:t>2</w:t>
      </w:r>
      <w:r>
        <w:fldChar w:fldCharType="end"/>
      </w:r>
      <w:r>
        <w:t>)</w:t>
      </w:r>
      <w:r w:rsidRPr="00816CDC">
        <w:t>. Cultural and creative activities which are typically unable to be conducted remotely (such as live performance and visual arts) experienced a sharp decline in employment in the very early months of COVID. Some of these activities, especially those involving live performance and public exhibition, have struggled to recover to pre-COVID levels (Australian Bureau of Statistics, 2024a).</w:t>
      </w:r>
    </w:p>
    <w:p w14:paraId="0FAEEC2F" w14:textId="1EB5425D" w:rsidR="003D3443" w:rsidRDefault="003D3443" w:rsidP="00E968AF">
      <w:pPr>
        <w:pStyle w:val="Tablefigureheading"/>
      </w:pPr>
      <w:bookmarkStart w:id="9" w:name="_Ref182905349"/>
      <w:bookmarkStart w:id="10" w:name="_Toc182484660"/>
      <w:bookmarkStart w:id="11" w:name="_Toc182914584"/>
      <w:bookmarkStart w:id="12" w:name="_Toc184641642"/>
      <w:r>
        <w:t xml:space="preserve">Figure </w:t>
      </w:r>
      <w:r w:rsidR="003C2F6D">
        <w:fldChar w:fldCharType="begin"/>
      </w:r>
      <w:r w:rsidR="003C2F6D">
        <w:instrText xml:space="preserve"> SEQ Figure \* ARABIC </w:instrText>
      </w:r>
      <w:r w:rsidR="003C2F6D">
        <w:fldChar w:fldCharType="separate"/>
      </w:r>
      <w:r w:rsidR="00C65220">
        <w:rPr>
          <w:noProof/>
        </w:rPr>
        <w:t>2</w:t>
      </w:r>
      <w:r w:rsidR="003C2F6D">
        <w:rPr>
          <w:noProof/>
        </w:rPr>
        <w:fldChar w:fldCharType="end"/>
      </w:r>
      <w:bookmarkEnd w:id="9"/>
      <w:r>
        <w:t xml:space="preserve">. </w:t>
      </w:r>
      <w:r w:rsidRPr="00CE52E8">
        <w:t xml:space="preserve">Annual employment growth, indicative employment in cultural and creative industries and national employment, May 2014 to </w:t>
      </w:r>
      <w:r>
        <w:t xml:space="preserve">May </w:t>
      </w:r>
      <w:r w:rsidRPr="00CE52E8">
        <w:t>2024</w:t>
      </w:r>
      <w:bookmarkEnd w:id="10"/>
      <w:bookmarkEnd w:id="11"/>
      <w:bookmarkEnd w:id="12"/>
    </w:p>
    <w:p w14:paraId="44A782F1" w14:textId="77777777" w:rsidR="003D3443" w:rsidRDefault="003D3443" w:rsidP="00217BCD">
      <w:pPr>
        <w:spacing w:after="0"/>
        <w:jc w:val="center"/>
      </w:pPr>
      <w:r>
        <w:rPr>
          <w:noProof/>
        </w:rPr>
        <w:drawing>
          <wp:inline distT="0" distB="0" distL="0" distR="0" wp14:anchorId="6F376552" wp14:editId="61477CE5">
            <wp:extent cx="4785995" cy="2895600"/>
            <wp:effectExtent l="0" t="0" r="0" b="0"/>
            <wp:docPr id="58" name="Picture 58" descr="A column graph compares annual indicative employment growth in cultural and creative industries to total employment growth in Australia.">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85995" cy="2895600"/>
                    </a:xfrm>
                    <a:prstGeom prst="rect">
                      <a:avLst/>
                    </a:prstGeom>
                    <a:noFill/>
                  </pic:spPr>
                </pic:pic>
              </a:graphicData>
            </a:graphic>
          </wp:inline>
        </w:drawing>
      </w:r>
    </w:p>
    <w:p w14:paraId="69573668" w14:textId="77777777" w:rsidR="003D3443" w:rsidRDefault="003D3443" w:rsidP="00217BCD">
      <w:pPr>
        <w:pStyle w:val="Sourcenotes"/>
        <w:spacing w:after="120"/>
      </w:pPr>
      <w:r>
        <w:t xml:space="preserve">Note: </w:t>
      </w:r>
      <w:r>
        <w:rPr>
          <w:lang w:val="en-AU"/>
        </w:rPr>
        <w:t>A</w:t>
      </w:r>
      <w:proofErr w:type="spellStart"/>
      <w:r>
        <w:t>ll</w:t>
      </w:r>
      <w:proofErr w:type="spellEnd"/>
      <w:r>
        <w:t xml:space="preserve"> time periods presented are reported as of May in the year.</w:t>
      </w:r>
    </w:p>
    <w:p w14:paraId="51CF3256" w14:textId="77777777" w:rsidR="003D3443" w:rsidRDefault="003D3443" w:rsidP="003D3443">
      <w:pPr>
        <w:pStyle w:val="Sourcenotes"/>
      </w:pPr>
      <w:r>
        <w:t>Source: Australian Bureau of Statistics – Labour Force, Australia, Detailed, November 2023.</w:t>
      </w:r>
    </w:p>
    <w:p w14:paraId="14CADF11" w14:textId="7FB8EE22" w:rsidR="003D3443" w:rsidRDefault="003D3443" w:rsidP="003D3443">
      <w:r>
        <w:lastRenderedPageBreak/>
        <w:t>There are signs of employment instability in some cultural and creative domains in 2024. Indicative employment in cultural and creative industries</w:t>
      </w:r>
      <w:r>
        <w:rPr>
          <w:rStyle w:val="FootnoteReference"/>
        </w:rPr>
        <w:footnoteReference w:id="9"/>
      </w:r>
      <w:r>
        <w:t xml:space="preserve"> posted modest growth of 1.2% in the year to 2024, underemployment in the arts and recreation services industry division has increased and multiple job holding in the sector has declined</w:t>
      </w:r>
      <w:r w:rsidR="007B6646">
        <w:t xml:space="preserve"> (</w:t>
      </w:r>
      <w:r w:rsidR="007B6646">
        <w:fldChar w:fldCharType="begin"/>
      </w:r>
      <w:r w:rsidR="007B6646">
        <w:instrText xml:space="preserve"> REF _Ref184640151 \h </w:instrText>
      </w:r>
      <w:r w:rsidR="007B6646">
        <w:fldChar w:fldCharType="separate"/>
      </w:r>
      <w:r w:rsidR="00C65220">
        <w:t xml:space="preserve">Figure </w:t>
      </w:r>
      <w:r w:rsidR="00C65220">
        <w:rPr>
          <w:noProof/>
        </w:rPr>
        <w:t>3</w:t>
      </w:r>
      <w:r w:rsidR="007B6646">
        <w:fldChar w:fldCharType="end"/>
      </w:r>
      <w:r w:rsidR="007B6646">
        <w:t>)</w:t>
      </w:r>
      <w:r>
        <w:t>.</w:t>
      </w:r>
    </w:p>
    <w:p w14:paraId="45DC5023" w14:textId="7EAA1EEC" w:rsidR="003D3443" w:rsidRDefault="003D3443" w:rsidP="00E968AF">
      <w:pPr>
        <w:pStyle w:val="Tablefigureheading"/>
      </w:pPr>
      <w:bookmarkStart w:id="13" w:name="_Ref184640151"/>
      <w:bookmarkStart w:id="14" w:name="_Toc182484661"/>
      <w:bookmarkStart w:id="15" w:name="_Toc182914585"/>
      <w:bookmarkStart w:id="16" w:name="_Toc184641643"/>
      <w:r>
        <w:t xml:space="preserve">Figure </w:t>
      </w:r>
      <w:r w:rsidR="003C2F6D">
        <w:fldChar w:fldCharType="begin"/>
      </w:r>
      <w:r w:rsidR="003C2F6D">
        <w:instrText xml:space="preserve"> SEQ Figure \* ARABIC </w:instrText>
      </w:r>
      <w:r w:rsidR="003C2F6D">
        <w:fldChar w:fldCharType="separate"/>
      </w:r>
      <w:r w:rsidR="00C65220">
        <w:rPr>
          <w:noProof/>
        </w:rPr>
        <w:t>3</w:t>
      </w:r>
      <w:r w:rsidR="003C2F6D">
        <w:rPr>
          <w:noProof/>
        </w:rPr>
        <w:fldChar w:fldCharType="end"/>
      </w:r>
      <w:bookmarkEnd w:id="13"/>
      <w:r>
        <w:t xml:space="preserve">. </w:t>
      </w:r>
      <w:r w:rsidRPr="00555F5C">
        <w:t xml:space="preserve">Change in selected arts and recreation services industry division metrics, May 2023 to </w:t>
      </w:r>
      <w:r>
        <w:t xml:space="preserve">May </w:t>
      </w:r>
      <w:r w:rsidRPr="00555F5C">
        <w:t>2024</w:t>
      </w:r>
      <w:bookmarkEnd w:id="14"/>
      <w:bookmarkEnd w:id="15"/>
      <w:bookmarkEnd w:id="16"/>
    </w:p>
    <w:p w14:paraId="2FFB3B10" w14:textId="77777777" w:rsidR="003D3443" w:rsidRDefault="003D3443" w:rsidP="003D3443">
      <w:pPr>
        <w:keepNext/>
        <w:keepLines/>
        <w:jc w:val="center"/>
      </w:pPr>
      <w:r>
        <w:rPr>
          <w:noProof/>
        </w:rPr>
        <w:drawing>
          <wp:inline distT="0" distB="0" distL="0" distR="0" wp14:anchorId="4561E9F4" wp14:editId="52074714">
            <wp:extent cx="4572635" cy="2743200"/>
            <wp:effectExtent l="0" t="0" r="0" b="0"/>
            <wp:docPr id="11" name="Picture 11" descr="A column chart compares the change in underemployment, job vacancies and multiple job holdings in the arts and recreation services industry to the Australian industry aver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72635" cy="2743200"/>
                    </a:xfrm>
                    <a:prstGeom prst="rect">
                      <a:avLst/>
                    </a:prstGeom>
                    <a:noFill/>
                  </pic:spPr>
                </pic:pic>
              </a:graphicData>
            </a:graphic>
          </wp:inline>
        </w:drawing>
      </w:r>
    </w:p>
    <w:p w14:paraId="5415A150" w14:textId="3B6B63FF" w:rsidR="003D3443" w:rsidRDefault="003D3443" w:rsidP="003D3443">
      <w:pPr>
        <w:pStyle w:val="Sourcenotes"/>
      </w:pPr>
      <w:r w:rsidRPr="00816CDC">
        <w:t xml:space="preserve">Source: Australian Bureau of Statistics – Multiple job-holders, June 2024, Australian Bureau of Statistics </w:t>
      </w:r>
      <w:r w:rsidR="00676EF8">
        <w:t>–</w:t>
      </w:r>
      <w:r w:rsidRPr="00816CDC">
        <w:t xml:space="preserve"> Job mobility, February 2024, Australian Bureau of Statistics – Underemployed workers, July 2024.</w:t>
      </w:r>
    </w:p>
    <w:p w14:paraId="5CDA655C" w14:textId="77777777" w:rsidR="003D3443" w:rsidRDefault="003D3443" w:rsidP="003D3443">
      <w:r>
        <w:t>Since 2022–23, the pace of national economic growth has been relatively slow, at 1.5%, reflecting subdued household demand (Australian Bureau of Statistics, 2024b). Cost of living pressures have impacted the purchasing power of households over the past year (Reserve Bank of Australia, 2024). Many cultural and creative outputs (such as theatre productions and music events and festivals) are considered as discretionary expenditure for households – and may be wound back in times of economic and financial uncertainty.</w:t>
      </w:r>
    </w:p>
    <w:p w14:paraId="416F5875" w14:textId="77777777" w:rsidR="003D3443" w:rsidRDefault="003D3443" w:rsidP="003D3443">
      <w:r>
        <w:t>Recent surveys of Australians’ participation in cultural and creative activities indicate that Australians are attending arts and cultural events less frequently, despite wanting to attend more, primarily due to cost and location barriers (Creative Australia, 2023). Analysis of attendance at cultural venues and events indicates performing arts events and cinemas have experienced a marked drop in demand (Australian Bureau of Statistics, 2023c).</w:t>
      </w:r>
    </w:p>
    <w:p w14:paraId="67A158C4" w14:textId="77777777" w:rsidR="003D3443" w:rsidRDefault="003D3443" w:rsidP="00E968AF">
      <w:pPr>
        <w:pStyle w:val="Box2Heading"/>
        <w:shd w:val="clear" w:color="auto" w:fill="F2F6E8"/>
        <w:spacing w:before="0"/>
      </w:pPr>
      <w:r>
        <w:t>Spotlight on businesses in the cultural and creative industries</w:t>
      </w:r>
      <w:r>
        <w:rPr>
          <w:rStyle w:val="FootnoteReference"/>
        </w:rPr>
        <w:footnoteReference w:id="10"/>
      </w:r>
    </w:p>
    <w:p w14:paraId="33D7565C" w14:textId="234B17BA" w:rsidR="003D3443" w:rsidRDefault="003D3443" w:rsidP="00E968AF">
      <w:pPr>
        <w:pStyle w:val="Box2Text"/>
        <w:shd w:val="clear" w:color="auto" w:fill="F2F6E8"/>
        <w:spacing w:before="0"/>
      </w:pPr>
      <w:r>
        <w:t xml:space="preserve">In June 2023, businesses in the cultural and creative industries </w:t>
      </w:r>
      <w:r>
        <w:rPr>
          <w:lang w:val="en-AU"/>
        </w:rPr>
        <w:t>comprised</w:t>
      </w:r>
      <w:r>
        <w:t xml:space="preserve"> approximately 3.7% of Australian businesses. Literature, creative and performing arts and visual arts and crafts was the most prominent domain within these industries (reflecting the prominence of self-employment within this domain), representing over 30% of cultural and creative businesses in the year, followed by the design and fashion domain which represented over 18% of businesses. Other domains comprising a prominent share of businesses, of over 10%, included architecture services, advertising and promotion and film and television activities</w:t>
      </w:r>
      <w:r w:rsidR="007B6646">
        <w:rPr>
          <w:lang w:val="en-US"/>
        </w:rPr>
        <w:t xml:space="preserve"> (</w:t>
      </w:r>
      <w:r w:rsidR="007B6646">
        <w:rPr>
          <w:lang w:val="en-US"/>
        </w:rPr>
        <w:fldChar w:fldCharType="begin"/>
      </w:r>
      <w:r w:rsidR="007B6646">
        <w:rPr>
          <w:lang w:val="en-US"/>
        </w:rPr>
        <w:instrText xml:space="preserve"> REF _Ref184640196 \h </w:instrText>
      </w:r>
      <w:r w:rsidR="007B6646">
        <w:rPr>
          <w:lang w:val="en-US"/>
        </w:rPr>
      </w:r>
      <w:r w:rsidR="007B6646">
        <w:rPr>
          <w:lang w:val="en-US"/>
        </w:rPr>
        <w:fldChar w:fldCharType="separate"/>
      </w:r>
      <w:r w:rsidR="00C65220" w:rsidRPr="00F15730">
        <w:t xml:space="preserve">Figure </w:t>
      </w:r>
      <w:r w:rsidR="00C65220">
        <w:rPr>
          <w:noProof/>
        </w:rPr>
        <w:t>4</w:t>
      </w:r>
      <w:r w:rsidR="007B6646">
        <w:rPr>
          <w:lang w:val="en-US"/>
        </w:rPr>
        <w:fldChar w:fldCharType="end"/>
      </w:r>
      <w:r w:rsidR="007B6646">
        <w:rPr>
          <w:lang w:val="en-US"/>
        </w:rPr>
        <w:t>)</w:t>
      </w:r>
      <w:r>
        <w:t xml:space="preserve">. </w:t>
      </w:r>
    </w:p>
    <w:p w14:paraId="42E59583" w14:textId="77777777" w:rsidR="002706FF" w:rsidRDefault="002706FF" w:rsidP="002706FF">
      <w:pPr>
        <w:pStyle w:val="Sourcenotes"/>
      </w:pPr>
    </w:p>
    <w:p w14:paraId="6718C443" w14:textId="7A876A77" w:rsidR="003D3443" w:rsidRDefault="003D3443" w:rsidP="002706FF">
      <w:pPr>
        <w:pStyle w:val="Box2Text"/>
        <w:keepNext/>
        <w:keepLines/>
        <w:shd w:val="clear" w:color="auto" w:fill="F2F6E8"/>
        <w:spacing w:after="0"/>
      </w:pPr>
      <w:r>
        <w:lastRenderedPageBreak/>
        <w:t xml:space="preserve">Overall, businesses within the cultural and creative industries tend to be smaller in size than businesses in other industries. In June 2023, businesses within cultural and creative industries were more likely to record turnover of less than $200,000 per annum and be non-employing or have </w:t>
      </w:r>
      <w:r w:rsidR="00087F94">
        <w:rPr>
          <w:lang w:val="en-AU"/>
        </w:rPr>
        <w:t>1</w:t>
      </w:r>
      <w:r>
        <w:t xml:space="preserve"> to 4 employees than other businesses.</w:t>
      </w:r>
    </w:p>
    <w:p w14:paraId="3C2E2B10" w14:textId="4496578C" w:rsidR="003D3443" w:rsidRPr="00F15730" w:rsidRDefault="003D3443" w:rsidP="00DF673A">
      <w:pPr>
        <w:pStyle w:val="Tablefigureheading"/>
        <w:pBdr>
          <w:top w:val="single" w:sz="4" w:space="14" w:color="D9E2F3" w:themeColor="accent5" w:themeTint="33"/>
          <w:left w:val="single" w:sz="4" w:space="14" w:color="D9E2F3" w:themeColor="accent5" w:themeTint="33"/>
          <w:bottom w:val="single" w:sz="4" w:space="14" w:color="D9E2F3" w:themeColor="accent5" w:themeTint="33"/>
          <w:right w:val="single" w:sz="4" w:space="14" w:color="D9E2F3" w:themeColor="accent5" w:themeTint="33"/>
        </w:pBdr>
        <w:shd w:val="clear" w:color="auto" w:fill="F2F6E8"/>
        <w:spacing w:before="160" w:after="80"/>
        <w:ind w:left="284" w:right="284"/>
      </w:pPr>
      <w:bookmarkStart w:id="17" w:name="_Ref184640196"/>
      <w:bookmarkStart w:id="18" w:name="_Toc182914586"/>
      <w:bookmarkStart w:id="19" w:name="_Toc184641644"/>
      <w:r w:rsidRPr="00F15730">
        <w:t xml:space="preserve">Figure </w:t>
      </w:r>
      <w:r w:rsidR="003C2F6D">
        <w:fldChar w:fldCharType="begin"/>
      </w:r>
      <w:r w:rsidR="003C2F6D">
        <w:instrText xml:space="preserve"> SEQ Figure \* ARABIC </w:instrText>
      </w:r>
      <w:r w:rsidR="003C2F6D">
        <w:fldChar w:fldCharType="separate"/>
      </w:r>
      <w:r w:rsidR="00C65220">
        <w:rPr>
          <w:noProof/>
        </w:rPr>
        <w:t>4</w:t>
      </w:r>
      <w:r w:rsidR="003C2F6D">
        <w:rPr>
          <w:noProof/>
        </w:rPr>
        <w:fldChar w:fldCharType="end"/>
      </w:r>
      <w:bookmarkEnd w:id="17"/>
      <w:r w:rsidRPr="00F15730">
        <w:t>. Cultural and creative domains share of businesses in cultural and creative industries, June</w:t>
      </w:r>
      <w:r w:rsidR="00087F94">
        <w:t> </w:t>
      </w:r>
      <w:r w:rsidRPr="00F15730">
        <w:t>2023</w:t>
      </w:r>
      <w:bookmarkEnd w:id="18"/>
      <w:bookmarkEnd w:id="19"/>
    </w:p>
    <w:p w14:paraId="5B9BA2EA" w14:textId="421948AD" w:rsidR="003D3443" w:rsidRDefault="0026595C" w:rsidP="0026595C">
      <w:pPr>
        <w:pStyle w:val="Box2Text"/>
        <w:shd w:val="clear" w:color="auto" w:fill="F2F6E8"/>
        <w:spacing w:before="0" w:after="0"/>
        <w:jc w:val="center"/>
        <w:rPr>
          <w:sz w:val="20"/>
          <w:szCs w:val="20"/>
        </w:rPr>
      </w:pPr>
      <w:r>
        <w:rPr>
          <w:noProof/>
          <w:sz w:val="20"/>
          <w:szCs w:val="20"/>
        </w:rPr>
        <w:drawing>
          <wp:inline distT="0" distB="0" distL="0" distR="0" wp14:anchorId="0CB704CA" wp14:editId="068310A2">
            <wp:extent cx="4319410" cy="3348000"/>
            <wp:effectExtent l="0" t="0" r="5080" b="0"/>
            <wp:docPr id="10" name="Picture 10" descr="A bar graph displays the share of businesses in cultural and creative industries belonging to each of the cultural and creative domai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19410" cy="3348000"/>
                    </a:xfrm>
                    <a:prstGeom prst="rect">
                      <a:avLst/>
                    </a:prstGeom>
                    <a:noFill/>
                  </pic:spPr>
                </pic:pic>
              </a:graphicData>
            </a:graphic>
          </wp:inline>
        </w:drawing>
      </w:r>
    </w:p>
    <w:p w14:paraId="1B81BB71" w14:textId="0F055BB3" w:rsidR="003D3443" w:rsidRPr="00E968AF" w:rsidRDefault="003D3443" w:rsidP="00E968AF">
      <w:pPr>
        <w:pStyle w:val="Box2Text"/>
        <w:shd w:val="clear" w:color="auto" w:fill="F2F6E8"/>
        <w:spacing w:before="0" w:after="0"/>
        <w:rPr>
          <w:sz w:val="20"/>
          <w:szCs w:val="20"/>
          <w:lang w:val="en-AU"/>
        </w:rPr>
      </w:pPr>
      <w:r w:rsidRPr="00E968AF">
        <w:rPr>
          <w:sz w:val="20"/>
          <w:szCs w:val="20"/>
        </w:rPr>
        <w:t xml:space="preserve">Source: Australian Bureau of Statistics </w:t>
      </w:r>
      <w:r w:rsidR="004C74FB" w:rsidRPr="00E968AF">
        <w:rPr>
          <w:sz w:val="20"/>
          <w:szCs w:val="20"/>
        </w:rPr>
        <w:t>–</w:t>
      </w:r>
      <w:r w:rsidRPr="00E968AF">
        <w:rPr>
          <w:sz w:val="20"/>
          <w:szCs w:val="20"/>
        </w:rPr>
        <w:t xml:space="preserve"> Counts of Australian Businesses, including Entries and Exits, June 2019 to June 2023</w:t>
      </w:r>
      <w:r w:rsidRPr="00E968AF">
        <w:rPr>
          <w:sz w:val="20"/>
          <w:szCs w:val="20"/>
          <w:lang w:val="en-AU"/>
        </w:rPr>
        <w:t>.</w:t>
      </w:r>
    </w:p>
    <w:p w14:paraId="5B009798" w14:textId="77777777" w:rsidR="003D3443" w:rsidRPr="00E968AF" w:rsidRDefault="003D3443" w:rsidP="00E968AF">
      <w:pPr>
        <w:pStyle w:val="Sourcenotes"/>
        <w:spacing w:after="0"/>
        <w:rPr>
          <w:sz w:val="16"/>
          <w:szCs w:val="16"/>
        </w:rPr>
      </w:pPr>
    </w:p>
    <w:p w14:paraId="40C48F3D" w14:textId="77777777" w:rsidR="003D3443" w:rsidRDefault="003D3443" w:rsidP="00E968AF">
      <w:pPr>
        <w:pStyle w:val="Box2Heading"/>
        <w:shd w:val="clear" w:color="auto" w:fill="F2F6E8"/>
        <w:spacing w:before="0" w:after="120"/>
      </w:pPr>
      <w:r>
        <w:t>Spotlight on First Nations Businesses</w:t>
      </w:r>
    </w:p>
    <w:p w14:paraId="4FB7FC03" w14:textId="77777777" w:rsidR="003D3443" w:rsidRDefault="003D3443" w:rsidP="00E968AF">
      <w:pPr>
        <w:pStyle w:val="Box2Text"/>
        <w:shd w:val="clear" w:color="auto" w:fill="F2F6E8"/>
        <w:spacing w:before="0" w:after="0"/>
      </w:pPr>
      <w:r>
        <w:t>Approximately 20% of First Nations businesses</w:t>
      </w:r>
      <w:r>
        <w:rPr>
          <w:rStyle w:val="FootnoteReference"/>
        </w:rPr>
        <w:footnoteReference w:id="11"/>
      </w:r>
      <w:r>
        <w:t xml:space="preserve"> were in the arts and heritage industries in June 2024 (Office of the Registrar of Indigenous Corporations, 2024). These businesses are more likely to be defined (by a combination of employment, assets and income) as large or medium sized businesses than other First Nations businesses (representing 35% of these businesses, compared to 30% of all First Nations businesses). First Nations businesses in arts and heritage industries are more prominent as a share of total First Nations businesses in New South Wales, Queensland and Western Australia than other states.</w:t>
      </w:r>
    </w:p>
    <w:p w14:paraId="604BEBA9" w14:textId="77777777" w:rsidR="003D3443" w:rsidRDefault="003D3443" w:rsidP="00E968AF">
      <w:pPr>
        <w:spacing w:after="0"/>
      </w:pPr>
    </w:p>
    <w:p w14:paraId="5B9C93CD" w14:textId="77777777" w:rsidR="003D3443" w:rsidRDefault="003D3443" w:rsidP="00E968AF">
      <w:pPr>
        <w:pStyle w:val="Box2Heading"/>
        <w:keepLines/>
        <w:shd w:val="clear" w:color="auto" w:fill="F2F6E8"/>
        <w:spacing w:before="0"/>
      </w:pPr>
      <w:r>
        <w:lastRenderedPageBreak/>
        <w:t>Spotlight on employment in the cultural and creative industries</w:t>
      </w:r>
      <w:r>
        <w:rPr>
          <w:rStyle w:val="FootnoteReference"/>
        </w:rPr>
        <w:footnoteReference w:id="12"/>
      </w:r>
    </w:p>
    <w:p w14:paraId="20DEFE69" w14:textId="77777777" w:rsidR="003D3443" w:rsidRDefault="003D3443" w:rsidP="00E968AF">
      <w:pPr>
        <w:pStyle w:val="Box2Text"/>
        <w:shd w:val="clear" w:color="auto" w:fill="F2F6E8"/>
      </w:pPr>
      <w:r>
        <w:t>In 2021, 281,986 workers were employed in cultural and creative industries (Australian Bureau of Statistics, 2022c). Between 2016 and 2021, the number of workers in these industries increased by 10.7%, slightly lower than the growth in national employment of 12.7%.</w:t>
      </w:r>
    </w:p>
    <w:p w14:paraId="25D2BAF1" w14:textId="77777777" w:rsidR="003D3443" w:rsidRDefault="003D3443" w:rsidP="00E968AF">
      <w:pPr>
        <w:pStyle w:val="Box2Text"/>
        <w:shd w:val="clear" w:color="auto" w:fill="F2F6E8"/>
      </w:pPr>
      <w:r>
        <w:t xml:space="preserve">The most prominent domains contributing to total employment in cultural and creative industries in 2021 were literature, creative and performing arts and visual arts and crafts (17.1% of total), architecture services (16.7%) and advertising and promotion (14.9%). </w:t>
      </w:r>
    </w:p>
    <w:p w14:paraId="205A7D41" w14:textId="4DE6DF28" w:rsidR="003D3443" w:rsidRDefault="003D3443" w:rsidP="006829E2">
      <w:pPr>
        <w:pStyle w:val="Box2Text"/>
        <w:shd w:val="clear" w:color="auto" w:fill="F2F6E8"/>
        <w:spacing w:after="0"/>
      </w:pPr>
      <w:r>
        <w:t>Between 2016 and 2021, internet publishing and broadcasting posted the strongest employment growth of all the domains (at 34%) – lifting off a very small base (of less than 3,000 employees). Over this timeframe, the domains of advertising and promotion, and architecture services increased their share of total employment within cultural and creative industries by more than 1 percentage point each, whilst print media and publishing (excl. internet) reduced as a share of the total by approximately 2 percentage points</w:t>
      </w:r>
      <w:r>
        <w:rPr>
          <w:lang w:val="en-US"/>
        </w:rPr>
        <w:t xml:space="preserve"> </w:t>
      </w:r>
      <w:r w:rsidR="007B6646">
        <w:rPr>
          <w:lang w:val="en-US"/>
        </w:rPr>
        <w:t>(</w:t>
      </w:r>
      <w:r w:rsidR="007B6646">
        <w:rPr>
          <w:lang w:val="en-US"/>
        </w:rPr>
        <w:fldChar w:fldCharType="begin"/>
      </w:r>
      <w:r w:rsidR="007B6646">
        <w:rPr>
          <w:lang w:val="en-US"/>
        </w:rPr>
        <w:instrText xml:space="preserve"> REF _Ref184640344 \h </w:instrText>
      </w:r>
      <w:r w:rsidR="007B6646">
        <w:rPr>
          <w:lang w:val="en-US"/>
        </w:rPr>
      </w:r>
      <w:r w:rsidR="007B6646">
        <w:rPr>
          <w:lang w:val="en-US"/>
        </w:rPr>
        <w:fldChar w:fldCharType="separate"/>
      </w:r>
      <w:r w:rsidR="00C65220" w:rsidRPr="00F15730">
        <w:t xml:space="preserve">Figure </w:t>
      </w:r>
      <w:r w:rsidR="00C65220">
        <w:rPr>
          <w:noProof/>
        </w:rPr>
        <w:t>5</w:t>
      </w:r>
      <w:r w:rsidR="007B6646">
        <w:rPr>
          <w:lang w:val="en-US"/>
        </w:rPr>
        <w:fldChar w:fldCharType="end"/>
      </w:r>
      <w:r w:rsidR="007B6646">
        <w:rPr>
          <w:lang w:val="en-US"/>
        </w:rPr>
        <w:t>)</w:t>
      </w:r>
      <w:r>
        <w:t xml:space="preserve"> (driven by a 9.7% decline in employment).</w:t>
      </w:r>
    </w:p>
    <w:p w14:paraId="4A83E7F3" w14:textId="0024A39D" w:rsidR="003D3443" w:rsidRPr="00F15730" w:rsidRDefault="003D3443" w:rsidP="00DF673A">
      <w:pPr>
        <w:pStyle w:val="Tablefigureheading"/>
        <w:pBdr>
          <w:top w:val="single" w:sz="4" w:space="14" w:color="D9E2F3" w:themeColor="accent5" w:themeTint="33"/>
          <w:left w:val="single" w:sz="4" w:space="14" w:color="D9E2F3" w:themeColor="accent5" w:themeTint="33"/>
          <w:bottom w:val="single" w:sz="4" w:space="14" w:color="D9E2F3" w:themeColor="accent5" w:themeTint="33"/>
          <w:right w:val="single" w:sz="4" w:space="14" w:color="D9E2F3" w:themeColor="accent5" w:themeTint="33"/>
        </w:pBdr>
        <w:shd w:val="clear" w:color="auto" w:fill="F2F6E8"/>
        <w:spacing w:before="160" w:after="80"/>
        <w:ind w:left="284" w:right="284"/>
      </w:pPr>
      <w:bookmarkStart w:id="20" w:name="_Ref184640344"/>
      <w:bookmarkStart w:id="21" w:name="_Toc182914587"/>
      <w:bookmarkStart w:id="22" w:name="_Toc184641645"/>
      <w:r w:rsidRPr="00F15730">
        <w:t xml:space="preserve">Figure </w:t>
      </w:r>
      <w:r w:rsidR="003C2F6D">
        <w:fldChar w:fldCharType="begin"/>
      </w:r>
      <w:r w:rsidR="003C2F6D">
        <w:instrText xml:space="preserve"> SEQ Figure \* ARABIC </w:instrText>
      </w:r>
      <w:r w:rsidR="003C2F6D">
        <w:fldChar w:fldCharType="separate"/>
      </w:r>
      <w:r w:rsidR="00C65220">
        <w:rPr>
          <w:noProof/>
        </w:rPr>
        <w:t>5</w:t>
      </w:r>
      <w:r w:rsidR="003C2F6D">
        <w:rPr>
          <w:noProof/>
        </w:rPr>
        <w:fldChar w:fldCharType="end"/>
      </w:r>
      <w:bookmarkEnd w:id="20"/>
      <w:r w:rsidRPr="00F15730">
        <w:t>.</w:t>
      </w:r>
      <w:r w:rsidRPr="001C4729">
        <w:t xml:space="preserve"> Cultural and creative domains share of employment in cultural and creative industries, 2016 and 2021</w:t>
      </w:r>
      <w:bookmarkEnd w:id="21"/>
      <w:bookmarkEnd w:id="22"/>
    </w:p>
    <w:p w14:paraId="41663E1A" w14:textId="77777777" w:rsidR="003D3443" w:rsidRDefault="003D3443" w:rsidP="006829E2">
      <w:pPr>
        <w:pStyle w:val="Box2Text"/>
        <w:shd w:val="clear" w:color="auto" w:fill="F2F6E8"/>
        <w:spacing w:before="0"/>
        <w:jc w:val="center"/>
      </w:pPr>
      <w:r>
        <w:rPr>
          <w:b/>
          <w:noProof/>
          <w:lang w:val="en-AU"/>
        </w:rPr>
        <w:drawing>
          <wp:inline distT="0" distB="0" distL="0" distR="0" wp14:anchorId="67F85DB3" wp14:editId="52120086">
            <wp:extent cx="5426297" cy="3594100"/>
            <wp:effectExtent l="0" t="0" r="3175" b="0"/>
            <wp:docPr id="30" name="Picture 30" descr="A bar graph displays the share of employment in cultural and creative industries belonging to each of the cultural and creative domains in 2021 and 2016.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28973" cy="3595873"/>
                    </a:xfrm>
                    <a:prstGeom prst="rect">
                      <a:avLst/>
                    </a:prstGeom>
                    <a:noFill/>
                  </pic:spPr>
                </pic:pic>
              </a:graphicData>
            </a:graphic>
          </wp:inline>
        </w:drawing>
      </w:r>
    </w:p>
    <w:p w14:paraId="0A6949B5" w14:textId="77777777" w:rsidR="003D3443" w:rsidRPr="00E968AF" w:rsidRDefault="003D3443" w:rsidP="00E968AF">
      <w:pPr>
        <w:pStyle w:val="Box2Text"/>
        <w:shd w:val="clear" w:color="auto" w:fill="F2F6E8"/>
        <w:spacing w:before="120"/>
        <w:rPr>
          <w:sz w:val="20"/>
          <w:szCs w:val="20"/>
        </w:rPr>
      </w:pPr>
      <w:r w:rsidRPr="00E968AF">
        <w:rPr>
          <w:sz w:val="20"/>
          <w:szCs w:val="20"/>
        </w:rPr>
        <w:t>Source: Australian Bureau of Statistics – Census of Population and Housing (2016 and 2021).</w:t>
      </w:r>
    </w:p>
    <w:p w14:paraId="043D6B91" w14:textId="77777777" w:rsidR="003D3443" w:rsidRDefault="003D3443" w:rsidP="003D3443"/>
    <w:p w14:paraId="43543FBD" w14:textId="4B304BE3" w:rsidR="003D3443" w:rsidRDefault="003D3443" w:rsidP="00DD1443">
      <w:pPr>
        <w:pStyle w:val="Box1Heading"/>
        <w:keepNext/>
        <w:pBdr>
          <w:top w:val="single" w:sz="4" w:space="14" w:color="4BB3B5"/>
          <w:left w:val="single" w:sz="4" w:space="14" w:color="4BB3B5"/>
          <w:bottom w:val="single" w:sz="4" w:space="14" w:color="4BB3B5"/>
          <w:right w:val="single" w:sz="4" w:space="14" w:color="4BB3B5"/>
        </w:pBdr>
      </w:pPr>
      <w:r>
        <w:lastRenderedPageBreak/>
        <w:t>Spotlight on indicative employment trends 2021 to 2023</w:t>
      </w:r>
      <w:r>
        <w:rPr>
          <w:rStyle w:val="FootnoteReference"/>
        </w:rPr>
        <w:footnoteReference w:id="13"/>
      </w:r>
    </w:p>
    <w:p w14:paraId="121E19FE" w14:textId="5FB475FE" w:rsidR="003D3443" w:rsidRPr="007B6646" w:rsidRDefault="003D3443" w:rsidP="00DD1443">
      <w:pPr>
        <w:pStyle w:val="Box1Text"/>
        <w:pBdr>
          <w:top w:val="single" w:sz="4" w:space="14" w:color="4BB3B5"/>
          <w:left w:val="single" w:sz="4" w:space="14" w:color="4BB3B5"/>
          <w:bottom w:val="single" w:sz="4" w:space="14" w:color="4BB3B5"/>
          <w:right w:val="single" w:sz="4" w:space="14" w:color="4BB3B5"/>
        </w:pBdr>
        <w:spacing w:before="0" w:after="0"/>
        <w:rPr>
          <w:lang w:val="en-US"/>
        </w:rPr>
      </w:pPr>
      <w:r>
        <w:rPr>
          <w:lang w:val="en-AU"/>
        </w:rPr>
        <w:t>Data relating to indicative</w:t>
      </w:r>
      <w:r>
        <w:t xml:space="preserve"> employment in the cultural and creative industries suggests domains such as museums and galleries, advertising and promotion and radio broadcasting all recorded strong rates of employment growth between 2021 and 2023. In contrast, internet publishing and broadcasting, music production and distribution</w:t>
      </w:r>
      <w:r>
        <w:rPr>
          <w:lang w:val="en-AU"/>
        </w:rPr>
        <w:t>,</w:t>
      </w:r>
      <w:r>
        <w:t xml:space="preserve"> and literature, creative and performing arts and visual arts and crafts all recorded a reduction in employment over the period</w:t>
      </w:r>
      <w:r w:rsidR="007B6646">
        <w:rPr>
          <w:lang w:val="en-US"/>
        </w:rPr>
        <w:t xml:space="preserve"> (</w:t>
      </w:r>
      <w:r w:rsidR="007B6646">
        <w:rPr>
          <w:lang w:val="en-US"/>
        </w:rPr>
        <w:fldChar w:fldCharType="begin"/>
      </w:r>
      <w:r w:rsidR="007B6646">
        <w:rPr>
          <w:lang w:val="en-US"/>
        </w:rPr>
        <w:instrText xml:space="preserve"> REF _Ref184640397 \h </w:instrText>
      </w:r>
      <w:r w:rsidR="007B6646">
        <w:rPr>
          <w:lang w:val="en-US"/>
        </w:rPr>
      </w:r>
      <w:r w:rsidR="007B6646">
        <w:rPr>
          <w:lang w:val="en-US"/>
        </w:rPr>
        <w:fldChar w:fldCharType="separate"/>
      </w:r>
      <w:r w:rsidR="00C65220" w:rsidRPr="00484838">
        <w:t xml:space="preserve">Figure </w:t>
      </w:r>
      <w:r w:rsidR="00C65220">
        <w:rPr>
          <w:noProof/>
        </w:rPr>
        <w:t>6</w:t>
      </w:r>
      <w:r w:rsidR="007B6646">
        <w:rPr>
          <w:lang w:val="en-US"/>
        </w:rPr>
        <w:fldChar w:fldCharType="end"/>
      </w:r>
      <w:r w:rsidR="007B6646">
        <w:rPr>
          <w:lang w:val="en-US"/>
        </w:rPr>
        <w:t>)</w:t>
      </w:r>
      <w:r>
        <w:t>.</w:t>
      </w:r>
    </w:p>
    <w:p w14:paraId="27D7E111" w14:textId="0F9A0EBD" w:rsidR="003D3443" w:rsidRPr="00484838" w:rsidRDefault="003D3443" w:rsidP="0086095C">
      <w:pPr>
        <w:pStyle w:val="Tablefigureheading"/>
        <w:pBdr>
          <w:top w:val="single" w:sz="4" w:space="14" w:color="4BB3B5"/>
          <w:left w:val="single" w:sz="4" w:space="14" w:color="4BB3B5"/>
          <w:bottom w:val="single" w:sz="4" w:space="14" w:color="4BB3B5"/>
          <w:right w:val="single" w:sz="4" w:space="14" w:color="4BB3B5"/>
        </w:pBdr>
        <w:suppressAutoHyphens/>
        <w:spacing w:before="160" w:after="80"/>
        <w:ind w:left="284" w:right="284"/>
      </w:pPr>
      <w:bookmarkStart w:id="23" w:name="_Ref184640397"/>
      <w:bookmarkStart w:id="24" w:name="_Toc182914588"/>
      <w:bookmarkStart w:id="25" w:name="_Toc184641646"/>
      <w:r w:rsidRPr="00484838">
        <w:t xml:space="preserve">Figure </w:t>
      </w:r>
      <w:r w:rsidR="003C2F6D">
        <w:fldChar w:fldCharType="begin"/>
      </w:r>
      <w:r w:rsidR="003C2F6D">
        <w:instrText xml:space="preserve"> SEQ Figure \* ARABIC </w:instrText>
      </w:r>
      <w:r w:rsidR="003C2F6D">
        <w:fldChar w:fldCharType="separate"/>
      </w:r>
      <w:r w:rsidR="00C65220">
        <w:rPr>
          <w:noProof/>
        </w:rPr>
        <w:t>6</w:t>
      </w:r>
      <w:r w:rsidR="003C2F6D">
        <w:rPr>
          <w:noProof/>
        </w:rPr>
        <w:fldChar w:fldCharType="end"/>
      </w:r>
      <w:bookmarkEnd w:id="23"/>
      <w:r w:rsidRPr="00484838">
        <w:t xml:space="preserve">. Indicative change in employment in cultural and creative domains, </w:t>
      </w:r>
      <w:r>
        <w:t xml:space="preserve">May </w:t>
      </w:r>
      <w:r w:rsidRPr="00484838">
        <w:t xml:space="preserve">2021 to </w:t>
      </w:r>
      <w:r>
        <w:t xml:space="preserve">May </w:t>
      </w:r>
      <w:r w:rsidRPr="00484838">
        <w:t>2023</w:t>
      </w:r>
      <w:bookmarkEnd w:id="24"/>
      <w:bookmarkEnd w:id="25"/>
    </w:p>
    <w:p w14:paraId="1FE22112" w14:textId="77777777" w:rsidR="003D3443" w:rsidRDefault="003D3443" w:rsidP="00DD1443">
      <w:pPr>
        <w:pStyle w:val="Box1Text"/>
        <w:pBdr>
          <w:top w:val="single" w:sz="4" w:space="14" w:color="4BB3B5"/>
          <w:left w:val="single" w:sz="4" w:space="14" w:color="4BB3B5"/>
          <w:bottom w:val="single" w:sz="4" w:space="14" w:color="4BB3B5"/>
          <w:right w:val="single" w:sz="4" w:space="14" w:color="4BB3B5"/>
        </w:pBdr>
        <w:spacing w:before="0"/>
        <w:jc w:val="center"/>
      </w:pPr>
      <w:r>
        <w:rPr>
          <w:b/>
          <w:noProof/>
          <w:lang w:val="en-AU"/>
        </w:rPr>
        <w:drawing>
          <wp:inline distT="0" distB="0" distL="0" distR="0" wp14:anchorId="42BA5E6B" wp14:editId="1B90D634">
            <wp:extent cx="5346700" cy="3797935"/>
            <wp:effectExtent l="0" t="0" r="6350" b="0"/>
            <wp:docPr id="59" name="Picture 59" descr="A bar graph shows the percentage change in indicative employment in each of the cultural and creative domains between 2021 and 2023.">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46700" cy="3797935"/>
                    </a:xfrm>
                    <a:prstGeom prst="rect">
                      <a:avLst/>
                    </a:prstGeom>
                    <a:noFill/>
                  </pic:spPr>
                </pic:pic>
              </a:graphicData>
            </a:graphic>
          </wp:inline>
        </w:drawing>
      </w:r>
    </w:p>
    <w:p w14:paraId="411B657D" w14:textId="77777777" w:rsidR="003D3443" w:rsidRPr="00281520" w:rsidRDefault="003D3443" w:rsidP="006829E2">
      <w:pPr>
        <w:pStyle w:val="Box1Text"/>
        <w:pBdr>
          <w:top w:val="single" w:sz="4" w:space="14" w:color="4BB3B5"/>
          <w:left w:val="single" w:sz="4" w:space="14" w:color="4BB3B5"/>
          <w:bottom w:val="single" w:sz="4" w:space="14" w:color="4BB3B5"/>
          <w:right w:val="single" w:sz="4" w:space="14" w:color="4BB3B5"/>
        </w:pBdr>
        <w:spacing w:before="120"/>
        <w:rPr>
          <w:sz w:val="20"/>
          <w:szCs w:val="20"/>
        </w:rPr>
      </w:pPr>
      <w:r w:rsidRPr="00281520">
        <w:rPr>
          <w:sz w:val="20"/>
          <w:szCs w:val="20"/>
        </w:rPr>
        <w:t>Source: Australian Bureau of Statistics – Labour Force, Australia, Detailed, August 2024.</w:t>
      </w:r>
    </w:p>
    <w:p w14:paraId="53113DDB" w14:textId="77777777" w:rsidR="003D3443" w:rsidRDefault="003D3443" w:rsidP="00281520">
      <w:pPr>
        <w:pStyle w:val="Heading2"/>
      </w:pPr>
      <w:bookmarkStart w:id="26" w:name="_Toc182914577"/>
      <w:bookmarkStart w:id="27" w:name="_Toc184650656"/>
      <w:r w:rsidRPr="00484838">
        <w:t>Diverging trends are evident across the cultural and creative domains</w:t>
      </w:r>
      <w:bookmarkEnd w:id="26"/>
      <w:bookmarkEnd w:id="27"/>
    </w:p>
    <w:p w14:paraId="577EE568" w14:textId="77777777" w:rsidR="003D3443" w:rsidRDefault="003D3443" w:rsidP="00281520">
      <w:pPr>
        <w:pStyle w:val="Box2Text"/>
        <w:shd w:val="clear" w:color="auto" w:fill="F2F6E8"/>
      </w:pPr>
      <w:r w:rsidRPr="00484838">
        <w:t>The following section compares each of the domains across the three metrics of Gross Domestic Product, business counts and indicative employment. These trends should be interpreted with caution, as employment trends referenced reflect broader industries than just those defined as cultural and creative industries. These figures should be considered as indicative only.</w:t>
      </w:r>
    </w:p>
    <w:p w14:paraId="3A33A15F" w14:textId="77777777" w:rsidR="003D3443" w:rsidRDefault="003D3443" w:rsidP="002706FF">
      <w:pPr>
        <w:keepNext/>
        <w:keepLines/>
      </w:pPr>
      <w:r>
        <w:lastRenderedPageBreak/>
        <w:t>Cultural and creative activities are broad, and encapsulate a wide variety of activities (referred to as ‘domains’). These activities include:</w:t>
      </w:r>
    </w:p>
    <w:p w14:paraId="69C28423" w14:textId="77777777" w:rsidR="003D3443" w:rsidRDefault="003D3443" w:rsidP="00445D52">
      <w:pPr>
        <w:pStyle w:val="Listparagraphbullets"/>
        <w:ind w:left="567" w:hanging="567"/>
      </w:pPr>
      <w:r>
        <w:t>Traditional arts activities such as film and television activities, music production and distribution and literature, creative and performing arts and visual arts.</w:t>
      </w:r>
    </w:p>
    <w:p w14:paraId="66542F9E" w14:textId="77777777" w:rsidR="003D3443" w:rsidRDefault="003D3443" w:rsidP="00445D52">
      <w:pPr>
        <w:pStyle w:val="Listparagraphbullets"/>
        <w:ind w:left="567" w:hanging="567"/>
      </w:pPr>
      <w:r>
        <w:t xml:space="preserve">Cultural services, including libraries and archives, and museums and galleries. </w:t>
      </w:r>
    </w:p>
    <w:p w14:paraId="46B3B8BC" w14:textId="77777777" w:rsidR="003D3443" w:rsidRDefault="003D3443" w:rsidP="00445D52">
      <w:pPr>
        <w:pStyle w:val="Listparagraphbullets"/>
        <w:ind w:left="567" w:hanging="567"/>
      </w:pPr>
      <w:r>
        <w:t xml:space="preserve">Media activities, such as print media and publishing (excl. internet), radio broadcasting and internet publishing and broadcasting. </w:t>
      </w:r>
    </w:p>
    <w:p w14:paraId="77C2D331" w14:textId="77777777" w:rsidR="003D3443" w:rsidRDefault="003D3443" w:rsidP="00445D52">
      <w:pPr>
        <w:pStyle w:val="Listparagraphbullets"/>
        <w:ind w:left="567" w:hanging="567"/>
      </w:pPr>
      <w:r>
        <w:t>Professional services, such as architecture services and design and fashion, and advertising and promotion.</w:t>
      </w:r>
    </w:p>
    <w:p w14:paraId="082D0946" w14:textId="77777777" w:rsidR="003D3443" w:rsidRDefault="003D3443" w:rsidP="00445D52">
      <w:pPr>
        <w:pStyle w:val="Listparagraphbullets"/>
        <w:ind w:left="567" w:hanging="567"/>
      </w:pPr>
      <w:r>
        <w:t xml:space="preserve">Provision of arts education. </w:t>
      </w:r>
    </w:p>
    <w:p w14:paraId="42C96951" w14:textId="1D15B8CC" w:rsidR="003D3443" w:rsidRDefault="003D3443" w:rsidP="003D3443">
      <w:r>
        <w:t>Economic outcomes varied across the cultural and creative domains between 2021 and 2023.</w:t>
      </w:r>
      <w:r>
        <w:rPr>
          <w:rStyle w:val="FootnoteReference"/>
        </w:rPr>
        <w:footnoteReference w:id="14"/>
      </w:r>
      <w:r>
        <w:t xml:space="preserve"> Professional services and education activities tended to perform well on all measures, while outcomes were more mixed for domains relating to traditional arts, cultural services and media activities. Two of the most divergent trends are analysed in more detail below</w:t>
      </w:r>
      <w:r w:rsidR="007B6646">
        <w:t xml:space="preserve"> (</w:t>
      </w:r>
      <w:r w:rsidR="007B6646">
        <w:fldChar w:fldCharType="begin"/>
      </w:r>
      <w:r w:rsidR="007B6646">
        <w:instrText xml:space="preserve"> REF _Ref182476032 \h </w:instrText>
      </w:r>
      <w:r w:rsidR="007B6646">
        <w:fldChar w:fldCharType="separate"/>
      </w:r>
      <w:r w:rsidR="00C65220">
        <w:t xml:space="preserve">Figure </w:t>
      </w:r>
      <w:r w:rsidR="00C65220">
        <w:rPr>
          <w:noProof/>
        </w:rPr>
        <w:t>7</w:t>
      </w:r>
      <w:r w:rsidR="007B6646">
        <w:fldChar w:fldCharType="end"/>
      </w:r>
      <w:r w:rsidR="007B6646">
        <w:t>)</w:t>
      </w:r>
      <w:r>
        <w:t>.</w:t>
      </w:r>
    </w:p>
    <w:p w14:paraId="43DA2CAE" w14:textId="1D0C06E6" w:rsidR="003D3443" w:rsidRDefault="003D3443" w:rsidP="00281520">
      <w:pPr>
        <w:pStyle w:val="Tablefigureheading"/>
      </w:pPr>
      <w:bookmarkStart w:id="28" w:name="_Ref182476032"/>
      <w:bookmarkStart w:id="29" w:name="_Toc182484662"/>
      <w:bookmarkStart w:id="30" w:name="_Toc182914589"/>
      <w:bookmarkStart w:id="31" w:name="_Toc184641647"/>
      <w:r>
        <w:t xml:space="preserve">Figure </w:t>
      </w:r>
      <w:r w:rsidR="003C2F6D">
        <w:fldChar w:fldCharType="begin"/>
      </w:r>
      <w:r w:rsidR="003C2F6D">
        <w:instrText xml:space="preserve"> SEQ Figure \* ARABIC </w:instrText>
      </w:r>
      <w:r w:rsidR="003C2F6D">
        <w:fldChar w:fldCharType="separate"/>
      </w:r>
      <w:r w:rsidR="00C65220">
        <w:rPr>
          <w:noProof/>
        </w:rPr>
        <w:t>7</w:t>
      </w:r>
      <w:r w:rsidR="003C2F6D">
        <w:rPr>
          <w:noProof/>
        </w:rPr>
        <w:fldChar w:fldCharType="end"/>
      </w:r>
      <w:bookmarkEnd w:id="28"/>
      <w:r>
        <w:t xml:space="preserve">. </w:t>
      </w:r>
      <w:r w:rsidRPr="004B27AE">
        <w:t>Gross Domestic Product, indicative employment and business counts, by domain, percentage change 2021 to 2023</w:t>
      </w:r>
      <w:bookmarkEnd w:id="29"/>
      <w:bookmarkEnd w:id="30"/>
      <w:bookmarkEnd w:id="31"/>
    </w:p>
    <w:p w14:paraId="23F0EA67" w14:textId="77777777" w:rsidR="003D3443" w:rsidRDefault="003D3443" w:rsidP="003D3443">
      <w:r>
        <w:rPr>
          <w:b/>
          <w:noProof/>
        </w:rPr>
        <w:drawing>
          <wp:inline distT="0" distB="0" distL="0" distR="0" wp14:anchorId="5A53D227" wp14:editId="5CB2054D">
            <wp:extent cx="5840730" cy="4115435"/>
            <wp:effectExtent l="0" t="0" r="7620" b="0"/>
            <wp:docPr id="23" name="Picture 23" descr="A bar graph shows the percentage change in GDP, businesses and employment for the cultural and creative domains over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40730" cy="4115435"/>
                    </a:xfrm>
                    <a:prstGeom prst="rect">
                      <a:avLst/>
                    </a:prstGeom>
                    <a:noFill/>
                  </pic:spPr>
                </pic:pic>
              </a:graphicData>
            </a:graphic>
          </wp:inline>
        </w:drawing>
      </w:r>
    </w:p>
    <w:p w14:paraId="6C5D2710" w14:textId="0B8821EC" w:rsidR="003D3443" w:rsidRDefault="003D3443" w:rsidP="003D3443">
      <w:pPr>
        <w:pStyle w:val="Sourcenotes"/>
      </w:pPr>
      <w:r w:rsidRPr="00484838">
        <w:t xml:space="preserve">Source: Bureau of Communications, Arts and Regional Research, Australian Bureau of Statistics </w:t>
      </w:r>
      <w:r w:rsidR="00676EF8">
        <w:t>–</w:t>
      </w:r>
      <w:r w:rsidRPr="00484838">
        <w:t xml:space="preserve"> Counts of Australian Businesses, including Entries and Exits, June 2019 to June 2023, Australian Bureau of Statistics – Labour Force, Australia, Detailed, August 2024.</w:t>
      </w:r>
    </w:p>
    <w:p w14:paraId="4CB0931D" w14:textId="77777777" w:rsidR="003D3443" w:rsidRDefault="003D3443" w:rsidP="003D3443">
      <w:pPr>
        <w:pStyle w:val="Heading2"/>
      </w:pPr>
      <w:bookmarkStart w:id="32" w:name="_Toc182914578"/>
      <w:bookmarkStart w:id="33" w:name="_Toc184650657"/>
      <w:r w:rsidRPr="00484838">
        <w:lastRenderedPageBreak/>
        <w:t>Employment in traditional arts domains underperforms against national employment growth</w:t>
      </w:r>
      <w:bookmarkEnd w:id="32"/>
      <w:bookmarkEnd w:id="33"/>
    </w:p>
    <w:p w14:paraId="2D089495" w14:textId="77777777" w:rsidR="003D3443" w:rsidRDefault="003D3443" w:rsidP="003D3443">
      <w:pPr>
        <w:keepNext/>
        <w:keepLines/>
      </w:pPr>
      <w:r>
        <w:t>The traditional arts domains together supported approximately 20% of cultural and creative activity in 2022–23, 43% of businesses in June 2023 and 32% of employment in cultural and creative industries in 2021. Whilst most other domains recorded increased employment over the 2021 to 2023 period, there are indications traditional arts domains tended to record reductions in employment over this time period</w:t>
      </w:r>
      <w:r>
        <w:rPr>
          <w:rStyle w:val="FootnoteReference"/>
        </w:rPr>
        <w:footnoteReference w:id="15"/>
      </w:r>
      <w:r>
        <w:t xml:space="preserve"> (with the exception of film and television activities). </w:t>
      </w:r>
    </w:p>
    <w:p w14:paraId="3D38D1D3" w14:textId="77777777" w:rsidR="003D3443" w:rsidRDefault="003D3443" w:rsidP="003D3443">
      <w:r>
        <w:t>This decline is not evident in payroll jobs data</w:t>
      </w:r>
      <w:r>
        <w:rPr>
          <w:rStyle w:val="FootnoteReference"/>
        </w:rPr>
        <w:footnoteReference w:id="16"/>
      </w:r>
      <w:r>
        <w:t xml:space="preserve"> (Australian Bureau of Statistics, 2024c), in which payroll holders in the creative and performing arts activities industry subdivision (which can be used to approximate some traditional arts domains) increased by 25.7% between May 2021 and May 2023. This data typically reflects employees who are on an organisation’s payroll and would exclude persons who are self-employed. Approximately 75% of businesses in these domains (in total) are non-employing businesses, suggesting this data may capture only a small share of businesses (and their employees) in the domain. </w:t>
      </w:r>
    </w:p>
    <w:p w14:paraId="47D6603F" w14:textId="6BB978DF" w:rsidR="003D3443" w:rsidRDefault="003D3443" w:rsidP="003D3443">
      <w:r>
        <w:t>Based on data for the arts and recreation services industry division (which is a broader and different definition to the traditional arts domains, but may approximate trends in the literature, creative and performing arts, and visual arts domain), the traditional arts domains may have experienced increased outward job mobility in recent years, impacting on total employment. On average, between February 2021 and February 2024,</w:t>
      </w:r>
      <w:r>
        <w:rPr>
          <w:rStyle w:val="FootnoteReference"/>
        </w:rPr>
        <w:footnoteReference w:id="17"/>
      </w:r>
      <w:r>
        <w:t xml:space="preserve"> workers in the arts and recreation services industry division were more likely than workers across all industries to have changed jobs in the last year, and they were more likely to have changed industries in the last year than other workers (</w:t>
      </w:r>
      <w:r>
        <w:fldChar w:fldCharType="begin"/>
      </w:r>
      <w:r>
        <w:instrText xml:space="preserve"> REF _Ref182476047 \h </w:instrText>
      </w:r>
      <w:r>
        <w:fldChar w:fldCharType="separate"/>
      </w:r>
      <w:r w:rsidR="00C65220">
        <w:t xml:space="preserve">Figure </w:t>
      </w:r>
      <w:r w:rsidR="00C65220">
        <w:rPr>
          <w:noProof/>
        </w:rPr>
        <w:t>8</w:t>
      </w:r>
      <w:r>
        <w:fldChar w:fldCharType="end"/>
      </w:r>
      <w:r>
        <w:t>) (Australian Bureau of Statistics, 2024d). This may reflect rates of underemployment in the sector, which has reduced since 2020, but was still twice the national level, at 14.8%, in May 2024 (Australian Bureau of Statistics, 2024e).</w:t>
      </w:r>
    </w:p>
    <w:p w14:paraId="06372D80" w14:textId="61D2CB15" w:rsidR="003D3443" w:rsidRDefault="003D3443" w:rsidP="00281520">
      <w:pPr>
        <w:pStyle w:val="Tablefigureheading"/>
      </w:pPr>
      <w:bookmarkStart w:id="34" w:name="_Ref182476047"/>
      <w:bookmarkStart w:id="35" w:name="_Toc182484663"/>
      <w:bookmarkStart w:id="36" w:name="_Toc182914590"/>
      <w:bookmarkStart w:id="37" w:name="_Toc184641648"/>
      <w:r>
        <w:t xml:space="preserve">Figure </w:t>
      </w:r>
      <w:r w:rsidR="003C2F6D">
        <w:fldChar w:fldCharType="begin"/>
      </w:r>
      <w:r w:rsidR="003C2F6D">
        <w:instrText xml:space="preserve"> SEQ Figure \* ARABIC </w:instrText>
      </w:r>
      <w:r w:rsidR="003C2F6D">
        <w:fldChar w:fldCharType="separate"/>
      </w:r>
      <w:r w:rsidR="00C65220">
        <w:rPr>
          <w:noProof/>
        </w:rPr>
        <w:t>8</w:t>
      </w:r>
      <w:r w:rsidR="003C2F6D">
        <w:rPr>
          <w:noProof/>
        </w:rPr>
        <w:fldChar w:fldCharType="end"/>
      </w:r>
      <w:bookmarkEnd w:id="34"/>
      <w:r>
        <w:t xml:space="preserve">. </w:t>
      </w:r>
      <w:r w:rsidRPr="00F16B97">
        <w:t>Job mobility, arts and recreation services industry</w:t>
      </w:r>
      <w:r>
        <w:t xml:space="preserve"> division</w:t>
      </w:r>
      <w:r w:rsidRPr="00F16B97">
        <w:t xml:space="preserve">, average February 2021 to </w:t>
      </w:r>
      <w:r>
        <w:t>February</w:t>
      </w:r>
      <w:r w:rsidR="00087F94">
        <w:t> </w:t>
      </w:r>
      <w:r w:rsidRPr="00F16B97">
        <w:t>2024</w:t>
      </w:r>
      <w:bookmarkEnd w:id="35"/>
      <w:bookmarkEnd w:id="36"/>
      <w:bookmarkEnd w:id="37"/>
    </w:p>
    <w:p w14:paraId="0DD94E76" w14:textId="77777777" w:rsidR="003D3443" w:rsidRDefault="003D3443" w:rsidP="00281520">
      <w:pPr>
        <w:keepNext/>
        <w:jc w:val="center"/>
      </w:pPr>
      <w:r>
        <w:rPr>
          <w:noProof/>
        </w:rPr>
        <w:drawing>
          <wp:inline distT="0" distB="0" distL="0" distR="0" wp14:anchorId="3482315E" wp14:editId="6E461655">
            <wp:extent cx="4273550" cy="2557027"/>
            <wp:effectExtent l="0" t="0" r="0" b="0"/>
            <wp:docPr id="24" name="Picture 24" descr="A column graph compares job mobility in the arts and recreation services industry over time, to the Australian industry average.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279653" cy="2560679"/>
                    </a:xfrm>
                    <a:prstGeom prst="rect">
                      <a:avLst/>
                    </a:prstGeom>
                    <a:noFill/>
                  </pic:spPr>
                </pic:pic>
              </a:graphicData>
            </a:graphic>
          </wp:inline>
        </w:drawing>
      </w:r>
    </w:p>
    <w:p w14:paraId="64A3B8DE" w14:textId="648B7434" w:rsidR="003D3443" w:rsidRDefault="003D3443" w:rsidP="003D3443">
      <w:pPr>
        <w:pStyle w:val="Sourcenotes"/>
      </w:pPr>
      <w:r w:rsidRPr="00484838">
        <w:t xml:space="preserve">Source: Australian Bureau of Statistics </w:t>
      </w:r>
      <w:r w:rsidR="00676EF8">
        <w:t>–</w:t>
      </w:r>
      <w:r w:rsidRPr="00484838">
        <w:t xml:space="preserve"> </w:t>
      </w:r>
      <w:r>
        <w:rPr>
          <w:lang w:val="en-AU"/>
        </w:rPr>
        <w:t>J</w:t>
      </w:r>
      <w:proofErr w:type="spellStart"/>
      <w:r w:rsidRPr="00484838">
        <w:t>ob</w:t>
      </w:r>
      <w:proofErr w:type="spellEnd"/>
      <w:r w:rsidRPr="00484838">
        <w:t xml:space="preserve"> mobility, February 2024.</w:t>
      </w:r>
    </w:p>
    <w:p w14:paraId="77F7F8BB" w14:textId="77777777" w:rsidR="003D3443" w:rsidRDefault="003D3443" w:rsidP="003D3443">
      <w:pPr>
        <w:pStyle w:val="Heading2"/>
      </w:pPr>
      <w:bookmarkStart w:id="38" w:name="_Toc182914579"/>
      <w:bookmarkStart w:id="39" w:name="_Toc184650658"/>
      <w:r w:rsidRPr="00484838">
        <w:lastRenderedPageBreak/>
        <w:t>Digital disruption continues to impact on business activity in media domains</w:t>
      </w:r>
      <w:bookmarkEnd w:id="38"/>
      <w:bookmarkEnd w:id="39"/>
    </w:p>
    <w:p w14:paraId="7F0E2733" w14:textId="77777777" w:rsidR="003D3443" w:rsidRDefault="003D3443" w:rsidP="003D3443">
      <w:r>
        <w:t xml:space="preserve">The media domains provide a strong contribution to cultural and creative activity, representing over a quarter of cultural and creative Gross Domestic Product. In contrast, these domains represented over 6% of businesses (in 2022–23) and approximately 12% of employment within the cultural and creative industries (in 2021). This divergence between Gross Domestic Product and employment reflects the high value add nature of the media domains’ work. </w:t>
      </w:r>
    </w:p>
    <w:p w14:paraId="5D02C6BD" w14:textId="77777777" w:rsidR="003D3443" w:rsidRDefault="003D3443" w:rsidP="003D3443">
      <w:r>
        <w:t xml:space="preserve">Whilst Gross Domestic Product expanded for media-related domains in the period from 2020–21 to 2022–23, these domains generally reported declines in the number of businesses over the period (with the exception of internet publishing and broadcasting). Several macroeconomic factors are impacting the sector and have contracted economic activity for these domains in the years from 2015–16 to 2019–20. </w:t>
      </w:r>
    </w:p>
    <w:p w14:paraId="4E8F1A33" w14:textId="38FB7F36" w:rsidR="003D3443" w:rsidRDefault="003D3443" w:rsidP="003D3443">
      <w:r>
        <w:t xml:space="preserve">The media domains include activities such as newspaper, magazine and book publishing which have all faced challenges, such as reduced circulation numbers and advertising revenue, amidst increased digitalisation of their sectors (Australian Competition and Consumer Commission, 2019). Increased competition from international retailers has further impacted on the book publishing sector. As a result of these revenue impacts, several Australian businesses have closed (see </w:t>
      </w:r>
      <w:r>
        <w:rPr>
          <w:highlight w:val="yellow"/>
        </w:rPr>
        <w:fldChar w:fldCharType="begin"/>
      </w:r>
      <w:r>
        <w:instrText xml:space="preserve"> REF _Ref182476200 \h </w:instrText>
      </w:r>
      <w:r>
        <w:rPr>
          <w:highlight w:val="yellow"/>
        </w:rPr>
      </w:r>
      <w:r>
        <w:rPr>
          <w:highlight w:val="yellow"/>
        </w:rPr>
        <w:fldChar w:fldCharType="separate"/>
      </w:r>
      <w:r w:rsidR="00C65220">
        <w:t xml:space="preserve">Figure </w:t>
      </w:r>
      <w:r w:rsidR="00C65220">
        <w:rPr>
          <w:noProof/>
        </w:rPr>
        <w:t>9</w:t>
      </w:r>
      <w:r>
        <w:rPr>
          <w:highlight w:val="yellow"/>
        </w:rPr>
        <w:fldChar w:fldCharType="end"/>
      </w:r>
      <w:r>
        <w:t>). Overall, these industries have recorded net reductions in the number of businesses operating over the period analysed, and record lower entry rates than the Australian industry average. Media business closures have been more prominent from high turnover businesses (compared to the national all industry average). The loss of high turnover and high employing businesses can have significant ramifications for workers and economic activity within these domains.</w:t>
      </w:r>
    </w:p>
    <w:p w14:paraId="62ECF2B0" w14:textId="7BEC6460" w:rsidR="003D3443" w:rsidRDefault="003D3443" w:rsidP="00281520">
      <w:pPr>
        <w:pStyle w:val="Tablefigureheading"/>
      </w:pPr>
      <w:bookmarkStart w:id="40" w:name="_Ref182476200"/>
      <w:bookmarkStart w:id="41" w:name="_Toc182484664"/>
      <w:bookmarkStart w:id="42" w:name="_Toc182914591"/>
      <w:bookmarkStart w:id="43" w:name="_Toc184641649"/>
      <w:r>
        <w:t xml:space="preserve">Figure </w:t>
      </w:r>
      <w:r w:rsidR="003C2F6D">
        <w:fldChar w:fldCharType="begin"/>
      </w:r>
      <w:r w:rsidR="003C2F6D">
        <w:instrText xml:space="preserve"> SEQ Figure \* ARABIC </w:instrText>
      </w:r>
      <w:r w:rsidR="003C2F6D">
        <w:fldChar w:fldCharType="separate"/>
      </w:r>
      <w:r w:rsidR="00C65220">
        <w:rPr>
          <w:noProof/>
        </w:rPr>
        <w:t>9</w:t>
      </w:r>
      <w:r w:rsidR="003C2F6D">
        <w:rPr>
          <w:noProof/>
        </w:rPr>
        <w:fldChar w:fldCharType="end"/>
      </w:r>
      <w:bookmarkEnd w:id="40"/>
      <w:r>
        <w:t xml:space="preserve">. </w:t>
      </w:r>
      <w:r w:rsidRPr="00065F1F">
        <w:t xml:space="preserve">Change in number of businesses, June 2021 to </w:t>
      </w:r>
      <w:r>
        <w:t xml:space="preserve">June </w:t>
      </w:r>
      <w:r w:rsidRPr="00065F1F">
        <w:t>2023</w:t>
      </w:r>
      <w:bookmarkEnd w:id="41"/>
      <w:bookmarkEnd w:id="42"/>
      <w:bookmarkEnd w:id="43"/>
    </w:p>
    <w:p w14:paraId="372733D0" w14:textId="77777777" w:rsidR="003D3443" w:rsidRDefault="003D3443" w:rsidP="003D3443">
      <w:pPr>
        <w:pStyle w:val="Sourcenotes"/>
        <w:jc w:val="center"/>
      </w:pPr>
      <w:r>
        <w:rPr>
          <w:noProof/>
        </w:rPr>
        <w:drawing>
          <wp:inline distT="0" distB="0" distL="0" distR="0" wp14:anchorId="57968D37" wp14:editId="54F9E3C2">
            <wp:extent cx="4572635" cy="2743200"/>
            <wp:effectExtent l="0" t="0" r="0" b="0"/>
            <wp:docPr id="36" name="Picture 36" descr="A column graph compares the change in business counts for print media businesses, total businesses within cultural and creative industries and total Australian businesses.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72635" cy="2743200"/>
                    </a:xfrm>
                    <a:prstGeom prst="rect">
                      <a:avLst/>
                    </a:prstGeom>
                    <a:noFill/>
                  </pic:spPr>
                </pic:pic>
              </a:graphicData>
            </a:graphic>
          </wp:inline>
        </w:drawing>
      </w:r>
    </w:p>
    <w:p w14:paraId="75FB7F49" w14:textId="06546482" w:rsidR="003D3443" w:rsidRDefault="003D3443" w:rsidP="003D3443">
      <w:pPr>
        <w:pStyle w:val="Sourcenotes"/>
      </w:pPr>
      <w:r w:rsidRPr="00484838">
        <w:t xml:space="preserve">Source: Australian Bureau of Statistics </w:t>
      </w:r>
      <w:r w:rsidR="00676EF8">
        <w:t>–</w:t>
      </w:r>
      <w:r w:rsidRPr="00484838">
        <w:t xml:space="preserve"> Counts of Australian Businesses, including Entries and Exits, June 2019 to June</w:t>
      </w:r>
      <w:r w:rsidR="00775D5D">
        <w:rPr>
          <w:lang w:val="en-AU"/>
        </w:rPr>
        <w:t> </w:t>
      </w:r>
      <w:r w:rsidRPr="00484838">
        <w:t>2023.</w:t>
      </w:r>
    </w:p>
    <w:p w14:paraId="4C4F13B9" w14:textId="77777777" w:rsidR="003D3443" w:rsidRDefault="003D3443" w:rsidP="003D3443">
      <w:r>
        <w:br w:type="page"/>
      </w:r>
    </w:p>
    <w:p w14:paraId="10B471F5" w14:textId="36A8D79D" w:rsidR="003D3443" w:rsidRDefault="00281520" w:rsidP="00DB2F8A">
      <w:pPr>
        <w:pStyle w:val="Heading2"/>
      </w:pPr>
      <w:bookmarkStart w:id="44" w:name="_Appendix_A—Detailed_analysis"/>
      <w:bookmarkStart w:id="45" w:name="_Ref182484769"/>
      <w:bookmarkStart w:id="46" w:name="_Ref182484776"/>
      <w:bookmarkStart w:id="47" w:name="_Ref182484794"/>
      <w:bookmarkStart w:id="48" w:name="_Ref182484813"/>
      <w:bookmarkStart w:id="49" w:name="_Toc182914580"/>
      <w:bookmarkStart w:id="50" w:name="_Toc184650659"/>
      <w:bookmarkEnd w:id="44"/>
      <w:r>
        <w:lastRenderedPageBreak/>
        <w:t>Appendix A—</w:t>
      </w:r>
      <w:r w:rsidR="003D3443">
        <w:t>Detailed analysis</w:t>
      </w:r>
      <w:bookmarkEnd w:id="45"/>
      <w:bookmarkEnd w:id="46"/>
      <w:bookmarkEnd w:id="47"/>
      <w:bookmarkEnd w:id="48"/>
      <w:bookmarkEnd w:id="49"/>
      <w:bookmarkEnd w:id="50"/>
    </w:p>
    <w:p w14:paraId="75847DFF" w14:textId="4127A0CF" w:rsidR="003D3443" w:rsidRDefault="00281520" w:rsidP="00281520">
      <w:pPr>
        <w:pStyle w:val="Heading3"/>
      </w:pPr>
      <w:bookmarkStart w:id="51" w:name="_Toc184650660"/>
      <w:r>
        <w:t>A.1</w:t>
      </w:r>
      <w:r>
        <w:tab/>
      </w:r>
      <w:r w:rsidR="003D3443" w:rsidRPr="00484838">
        <w:t>Businesses in cultural and creative industries</w:t>
      </w:r>
      <w:bookmarkEnd w:id="51"/>
    </w:p>
    <w:p w14:paraId="76E2901A" w14:textId="77777777" w:rsidR="003D3443" w:rsidRDefault="003D3443" w:rsidP="003D3443">
      <w:pPr>
        <w:pStyle w:val="Introduction"/>
      </w:pPr>
      <w:r w:rsidRPr="00484838">
        <w:t>In June 2023, there were approximately 95,753 businesses operating within the cultural and creative industries. Growth in the number of businesses operating within these industries has exceeded that of total businesses across Australia since June 2021.</w:t>
      </w:r>
    </w:p>
    <w:p w14:paraId="6CBF2802" w14:textId="77777777" w:rsidR="003D3443" w:rsidRDefault="003D3443" w:rsidP="00281520">
      <w:pPr>
        <w:pStyle w:val="Box2Heading"/>
        <w:shd w:val="clear" w:color="auto" w:fill="F2F6E8"/>
      </w:pPr>
      <w:r>
        <w:t>A note on definitions used in this section</w:t>
      </w:r>
    </w:p>
    <w:p w14:paraId="7C6ECA96" w14:textId="77777777" w:rsidR="003D3443" w:rsidRDefault="003D3443" w:rsidP="00281520">
      <w:pPr>
        <w:pStyle w:val="Box2Text"/>
        <w:shd w:val="clear" w:color="auto" w:fill="F2F6E8"/>
      </w:pPr>
      <w:r>
        <w:t>This section applies business counts by detailed (class/4-digit) Australian and New Zealand Standard Industrial Classification industries from the Australian Bureau of Statistics (Australian Bureau of Statistics, 2023a). This data captures information only on businesses within the cultural and creative industries, and excludes businesses associated with cultural and creative products. As such, the businesses profiled in this section are referred to as businesses within cultural and creative industries, and are not considered an exact match of cultural and creative activities.</w:t>
      </w:r>
    </w:p>
    <w:p w14:paraId="415ED20E" w14:textId="77777777" w:rsidR="003D3443" w:rsidRPr="008E25AA" w:rsidRDefault="003D3443" w:rsidP="009B33BE">
      <w:pPr>
        <w:pStyle w:val="Heading4"/>
        <w:ind w:left="567" w:hanging="567"/>
      </w:pPr>
      <w:bookmarkStart w:id="52" w:name="_Toc184650661"/>
      <w:r w:rsidRPr="008E25AA">
        <w:t>Total businesses in cultural and creative industries</w:t>
      </w:r>
      <w:bookmarkEnd w:id="52"/>
    </w:p>
    <w:p w14:paraId="6DAD3CC6" w14:textId="7C65836C" w:rsidR="003D3443" w:rsidRDefault="003D3443" w:rsidP="003D3443">
      <w:r w:rsidRPr="008E25AA">
        <w:t>The number of businesses operating within cultural and creative industries increased 8.9% (or 7,835 businesses) between June 2021 and June 2023, to a total of 95,753 businesses</w:t>
      </w:r>
      <w:r w:rsidR="00FE68ED">
        <w:t xml:space="preserve"> (</w:t>
      </w:r>
      <w:r w:rsidR="00FE68ED">
        <w:fldChar w:fldCharType="begin"/>
      </w:r>
      <w:r w:rsidR="00FE68ED">
        <w:instrText xml:space="preserve"> REF _Ref184639933 \h </w:instrText>
      </w:r>
      <w:r w:rsidR="00FE68ED">
        <w:fldChar w:fldCharType="separate"/>
      </w:r>
      <w:r w:rsidR="00C65220">
        <w:t xml:space="preserve">Figure </w:t>
      </w:r>
      <w:r w:rsidR="00C65220">
        <w:rPr>
          <w:noProof/>
        </w:rPr>
        <w:t>10</w:t>
      </w:r>
      <w:r w:rsidR="00FE68ED">
        <w:fldChar w:fldCharType="end"/>
      </w:r>
      <w:r w:rsidR="00FE68ED">
        <w:t>)</w:t>
      </w:r>
      <w:r w:rsidRPr="008E25AA">
        <w:t xml:space="preserve">. Consistent with the </w:t>
      </w:r>
      <w:r>
        <w:t xml:space="preserve">strong </w:t>
      </w:r>
      <w:r w:rsidRPr="008E25AA">
        <w:t>rate of growth in the cultural and creative economy in 2021–22</w:t>
      </w:r>
      <w:r>
        <w:t xml:space="preserve">, </w:t>
      </w:r>
      <w:r w:rsidRPr="008E25AA">
        <w:t>the number of businesses operating in the cultural and creative industries posted strong growth in 2021–22 (7.3%) outpacing the growth in the total number of Australian businesses (5.7%) in this year. As a result, the share of Australian businesses operating within these industries lifted very modestly, between June 2021 and June 2023. In 2022–23, the number of businesses within the cultural and creative sectors posted more modest growth, of 1.5%.</w:t>
      </w:r>
    </w:p>
    <w:p w14:paraId="2A016208" w14:textId="19623DD0" w:rsidR="003D3443" w:rsidRDefault="003D3443" w:rsidP="00281520">
      <w:pPr>
        <w:pStyle w:val="Tablefigureheading"/>
      </w:pPr>
      <w:bookmarkStart w:id="53" w:name="_Ref184639933"/>
      <w:bookmarkStart w:id="54" w:name="_Toc182484665"/>
      <w:bookmarkStart w:id="55" w:name="_Toc182914592"/>
      <w:bookmarkStart w:id="56" w:name="_Toc184641650"/>
      <w:r>
        <w:t xml:space="preserve">Figure </w:t>
      </w:r>
      <w:r w:rsidR="003C2F6D">
        <w:fldChar w:fldCharType="begin"/>
      </w:r>
      <w:r w:rsidR="003C2F6D">
        <w:instrText xml:space="preserve"> SEQ Figure \* ARABIC </w:instrText>
      </w:r>
      <w:r w:rsidR="003C2F6D">
        <w:fldChar w:fldCharType="separate"/>
      </w:r>
      <w:r w:rsidR="00C65220">
        <w:rPr>
          <w:noProof/>
        </w:rPr>
        <w:t>10</w:t>
      </w:r>
      <w:r w:rsidR="003C2F6D">
        <w:rPr>
          <w:noProof/>
        </w:rPr>
        <w:fldChar w:fldCharType="end"/>
      </w:r>
      <w:bookmarkEnd w:id="53"/>
      <w:r>
        <w:t xml:space="preserve">. </w:t>
      </w:r>
      <w:r w:rsidRPr="00AF57C5">
        <w:t xml:space="preserve">Businesses within cultural and creative industries, June 2021 to </w:t>
      </w:r>
      <w:r>
        <w:t xml:space="preserve">June </w:t>
      </w:r>
      <w:r w:rsidRPr="00AF57C5">
        <w:t>2023</w:t>
      </w:r>
      <w:bookmarkEnd w:id="54"/>
      <w:bookmarkEnd w:id="55"/>
      <w:bookmarkEnd w:id="56"/>
    </w:p>
    <w:p w14:paraId="121A882D" w14:textId="77777777" w:rsidR="003D3443" w:rsidRDefault="003D3443" w:rsidP="003D3443">
      <w:pPr>
        <w:jc w:val="center"/>
      </w:pPr>
      <w:r>
        <w:rPr>
          <w:noProof/>
        </w:rPr>
        <w:drawing>
          <wp:inline distT="0" distB="0" distL="0" distR="0" wp14:anchorId="32FA808A" wp14:editId="272029AB">
            <wp:extent cx="4547870" cy="2743200"/>
            <wp:effectExtent l="0" t="0" r="5080" b="0"/>
            <wp:docPr id="26" name="Picture 26" descr="A bar and line chart displays the change in the number, and share, of businesses in cultural and creative industries over tim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47870" cy="2743200"/>
                    </a:xfrm>
                    <a:prstGeom prst="rect">
                      <a:avLst/>
                    </a:prstGeom>
                    <a:noFill/>
                  </pic:spPr>
                </pic:pic>
              </a:graphicData>
            </a:graphic>
          </wp:inline>
        </w:drawing>
      </w:r>
    </w:p>
    <w:p w14:paraId="1EE6F3D3" w14:textId="5DCBC2CD" w:rsidR="003D3443" w:rsidRDefault="003D3443" w:rsidP="003D3443">
      <w:pPr>
        <w:pStyle w:val="Sourcenotes"/>
      </w:pPr>
      <w:r w:rsidRPr="008E25AA">
        <w:t xml:space="preserve">Source: Australian Bureau of Statistics </w:t>
      </w:r>
      <w:r w:rsidR="00676EF8">
        <w:t>–</w:t>
      </w:r>
      <w:r w:rsidRPr="008E25AA">
        <w:t xml:space="preserve"> Counts of Australian Businesses, including Entries and Exits, June 2019 to June</w:t>
      </w:r>
      <w:r w:rsidR="00775D5D">
        <w:rPr>
          <w:lang w:val="en-AU"/>
        </w:rPr>
        <w:t> </w:t>
      </w:r>
      <w:r w:rsidRPr="008E25AA">
        <w:t>2023.</w:t>
      </w:r>
    </w:p>
    <w:p w14:paraId="1D24B873" w14:textId="1B4C2606" w:rsidR="003D3443" w:rsidRDefault="003D3443" w:rsidP="00281520">
      <w:pPr>
        <w:keepLines/>
        <w:spacing w:after="120"/>
      </w:pPr>
      <w:r w:rsidRPr="008E25AA">
        <w:lastRenderedPageBreak/>
        <w:t>Businesses within the cultural and creative industries tend to record lower levels of turnover than those of Australian businesses overall. Approximately 69% of businesses within the cultural and creative industries recorded annual turnover of less than $200,000 in June 2023, compared to 57% of all Australian businesses. Conversely, businesses in the cultural and creative industries were much less likely than Australian businesses overall to record turnover of between $200,000 and $2 million, but were modestly less likely to record higher turnover</w:t>
      </w:r>
      <w:r w:rsidR="00EA22C7">
        <w:t xml:space="preserve"> (</w:t>
      </w:r>
      <w:r w:rsidR="00EA22C7">
        <w:fldChar w:fldCharType="begin"/>
      </w:r>
      <w:r w:rsidR="00EA22C7">
        <w:instrText xml:space="preserve"> REF _Ref182476732 \h </w:instrText>
      </w:r>
      <w:r w:rsidR="00EA22C7">
        <w:fldChar w:fldCharType="separate"/>
      </w:r>
      <w:r w:rsidR="00C65220">
        <w:t xml:space="preserve">Figure </w:t>
      </w:r>
      <w:r w:rsidR="00C65220">
        <w:rPr>
          <w:noProof/>
        </w:rPr>
        <w:t>11</w:t>
      </w:r>
      <w:r w:rsidR="00EA22C7">
        <w:fldChar w:fldCharType="end"/>
      </w:r>
      <w:r w:rsidR="00EA22C7">
        <w:t>)</w:t>
      </w:r>
      <w:r>
        <w:t>.</w:t>
      </w:r>
    </w:p>
    <w:p w14:paraId="24C4E29B" w14:textId="53029070" w:rsidR="003D3443" w:rsidRDefault="003D3443" w:rsidP="00281520">
      <w:pPr>
        <w:pStyle w:val="Tablefigureheading"/>
      </w:pPr>
      <w:bookmarkStart w:id="57" w:name="_Ref182476732"/>
      <w:bookmarkStart w:id="58" w:name="_Toc182484666"/>
      <w:bookmarkStart w:id="59" w:name="_Toc182914593"/>
      <w:bookmarkStart w:id="60" w:name="_Toc184641651"/>
      <w:r>
        <w:t xml:space="preserve">Figure </w:t>
      </w:r>
      <w:r w:rsidR="003C2F6D">
        <w:fldChar w:fldCharType="begin"/>
      </w:r>
      <w:r w:rsidR="003C2F6D">
        <w:instrText xml:space="preserve"> SEQ Figure \* ARABIC </w:instrText>
      </w:r>
      <w:r w:rsidR="003C2F6D">
        <w:fldChar w:fldCharType="separate"/>
      </w:r>
      <w:r w:rsidR="00C65220">
        <w:rPr>
          <w:noProof/>
        </w:rPr>
        <w:t>11</w:t>
      </w:r>
      <w:r w:rsidR="003C2F6D">
        <w:rPr>
          <w:noProof/>
        </w:rPr>
        <w:fldChar w:fldCharType="end"/>
      </w:r>
      <w:bookmarkEnd w:id="57"/>
      <w:r>
        <w:t xml:space="preserve">. </w:t>
      </w:r>
      <w:r w:rsidRPr="00C5645E">
        <w:t>Businesses within cultural and creative industries, by annual turnover, June 2023</w:t>
      </w:r>
      <w:bookmarkEnd w:id="58"/>
      <w:bookmarkEnd w:id="59"/>
      <w:bookmarkEnd w:id="60"/>
    </w:p>
    <w:p w14:paraId="30360B15" w14:textId="77777777" w:rsidR="003D3443" w:rsidRDefault="003D3443" w:rsidP="00281520">
      <w:pPr>
        <w:keepNext/>
        <w:spacing w:after="0"/>
        <w:jc w:val="center"/>
      </w:pPr>
      <w:r>
        <w:rPr>
          <w:noProof/>
        </w:rPr>
        <w:drawing>
          <wp:inline distT="0" distB="0" distL="0" distR="0" wp14:anchorId="6839A5E2" wp14:editId="2DA283B0">
            <wp:extent cx="4273550" cy="2688041"/>
            <wp:effectExtent l="0" t="0" r="0" b="0"/>
            <wp:docPr id="50" name="Picture 50" descr="A column graph compares the share of total businesses, and businesses within cultural and creative industries by turnover.">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276332" cy="2689791"/>
                    </a:xfrm>
                    <a:prstGeom prst="rect">
                      <a:avLst/>
                    </a:prstGeom>
                    <a:noFill/>
                  </pic:spPr>
                </pic:pic>
              </a:graphicData>
            </a:graphic>
          </wp:inline>
        </w:drawing>
      </w:r>
    </w:p>
    <w:p w14:paraId="2453F601" w14:textId="03263F78" w:rsidR="003D3443" w:rsidRDefault="003D3443" w:rsidP="00281520">
      <w:pPr>
        <w:pStyle w:val="Sourcenotes"/>
        <w:spacing w:after="120"/>
      </w:pPr>
      <w:r w:rsidRPr="008E25AA">
        <w:t xml:space="preserve">Source: Australian Bureau of Statistics </w:t>
      </w:r>
      <w:r w:rsidR="00676EF8">
        <w:t>–</w:t>
      </w:r>
      <w:r w:rsidRPr="008E25AA">
        <w:t xml:space="preserve"> Counts of Australian Businesses, including Entries and Exits, June 2019 to June</w:t>
      </w:r>
      <w:r w:rsidR="00775D5D">
        <w:rPr>
          <w:lang w:val="en-AU"/>
        </w:rPr>
        <w:t> </w:t>
      </w:r>
      <w:r w:rsidRPr="008E25AA">
        <w:t>2023.</w:t>
      </w:r>
    </w:p>
    <w:p w14:paraId="441141E1" w14:textId="3FAE1280" w:rsidR="003D3443" w:rsidRDefault="003D3443" w:rsidP="00281520">
      <w:pPr>
        <w:spacing w:after="120"/>
      </w:pPr>
      <w:r w:rsidRPr="008E25AA">
        <w:t>Consistent with the generally lower annual turnover of businesses within cultural and creative industries by comparison to Australian businesses overall, businesses within these industries also tended to record lower levels of employment than other businesses (</w:t>
      </w:r>
      <w:r>
        <w:t xml:space="preserve">see </w:t>
      </w:r>
      <w:r>
        <w:rPr>
          <w:highlight w:val="yellow"/>
        </w:rPr>
        <w:fldChar w:fldCharType="begin"/>
      </w:r>
      <w:r>
        <w:instrText xml:space="preserve"> REF _Ref182476777 \h </w:instrText>
      </w:r>
      <w:r>
        <w:rPr>
          <w:highlight w:val="yellow"/>
        </w:rPr>
      </w:r>
      <w:r>
        <w:rPr>
          <w:highlight w:val="yellow"/>
        </w:rPr>
        <w:fldChar w:fldCharType="separate"/>
      </w:r>
      <w:r w:rsidR="00C65220">
        <w:t xml:space="preserve">Figure </w:t>
      </w:r>
      <w:r w:rsidR="00C65220">
        <w:rPr>
          <w:noProof/>
        </w:rPr>
        <w:t>12</w:t>
      </w:r>
      <w:r>
        <w:rPr>
          <w:highlight w:val="yellow"/>
        </w:rPr>
        <w:fldChar w:fldCharType="end"/>
      </w:r>
      <w:r w:rsidRPr="008E25AA">
        <w:t>). Almost two-thirds of businesses within cultural and creative industries are non-employing businesses (which includes sole traders and partnerships), which is 4 percentage points higher than the share of non-employing businesses within the total business population. Businesses within these industries represented 4% of national non-employing businesses, higher than the overall representation of businesses within cultural and creative industries within the total business population. Businesses in these industries were particularly less likely to employ between 5 and 19 employees than Australian businesses overall.</w:t>
      </w:r>
    </w:p>
    <w:p w14:paraId="65193372" w14:textId="1B785E8C" w:rsidR="003D3443" w:rsidRDefault="003D3443" w:rsidP="00281520">
      <w:pPr>
        <w:pStyle w:val="Tablefigureheading"/>
      </w:pPr>
      <w:bookmarkStart w:id="61" w:name="_Ref182476777"/>
      <w:bookmarkStart w:id="62" w:name="_Toc182484667"/>
      <w:bookmarkStart w:id="63" w:name="_Toc182914594"/>
      <w:bookmarkStart w:id="64" w:name="_Toc184641652"/>
      <w:r>
        <w:t xml:space="preserve">Figure </w:t>
      </w:r>
      <w:r w:rsidR="003C2F6D">
        <w:fldChar w:fldCharType="begin"/>
      </w:r>
      <w:r w:rsidR="003C2F6D">
        <w:instrText xml:space="preserve"> SEQ Figure \* ARABIC </w:instrText>
      </w:r>
      <w:r w:rsidR="003C2F6D">
        <w:fldChar w:fldCharType="separate"/>
      </w:r>
      <w:r w:rsidR="00C65220">
        <w:rPr>
          <w:noProof/>
        </w:rPr>
        <w:t>12</w:t>
      </w:r>
      <w:r w:rsidR="003C2F6D">
        <w:rPr>
          <w:noProof/>
        </w:rPr>
        <w:fldChar w:fldCharType="end"/>
      </w:r>
      <w:bookmarkEnd w:id="61"/>
      <w:r>
        <w:t xml:space="preserve">. </w:t>
      </w:r>
      <w:r w:rsidRPr="00A87D8A">
        <w:t>Businesses within cultural and creative industries, by employment size, June 2023</w:t>
      </w:r>
      <w:bookmarkEnd w:id="62"/>
      <w:bookmarkEnd w:id="63"/>
      <w:bookmarkEnd w:id="64"/>
    </w:p>
    <w:p w14:paraId="12D78D09" w14:textId="77777777" w:rsidR="003D3443" w:rsidRDefault="003D3443" w:rsidP="00281520">
      <w:pPr>
        <w:keepNext/>
        <w:spacing w:after="0"/>
        <w:jc w:val="center"/>
      </w:pPr>
      <w:r>
        <w:rPr>
          <w:noProof/>
        </w:rPr>
        <w:drawing>
          <wp:inline distT="0" distB="0" distL="0" distR="0" wp14:anchorId="6EFE76D1" wp14:editId="0D43D603">
            <wp:extent cx="4216400" cy="2584662"/>
            <wp:effectExtent l="0" t="0" r="0" b="6350"/>
            <wp:docPr id="52" name="Picture 52" descr="A column graph compares the share of total businesses, and businesses within cultural and creative industries by turnover.">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222544" cy="2588428"/>
                    </a:xfrm>
                    <a:prstGeom prst="rect">
                      <a:avLst/>
                    </a:prstGeom>
                    <a:noFill/>
                  </pic:spPr>
                </pic:pic>
              </a:graphicData>
            </a:graphic>
          </wp:inline>
        </w:drawing>
      </w:r>
    </w:p>
    <w:p w14:paraId="724A45F8" w14:textId="73723561" w:rsidR="003D3443" w:rsidRDefault="003D3443" w:rsidP="003D3443">
      <w:pPr>
        <w:pStyle w:val="Sourcenotes"/>
      </w:pPr>
      <w:r w:rsidRPr="008E25AA">
        <w:t xml:space="preserve">Source: Australian Bureau of Statistics </w:t>
      </w:r>
      <w:r w:rsidR="00676EF8">
        <w:t>–</w:t>
      </w:r>
      <w:r w:rsidRPr="008E25AA">
        <w:t xml:space="preserve"> Counts of Australian Businesses, including Entries and Exits, June 2019 to June</w:t>
      </w:r>
      <w:r w:rsidR="00775D5D">
        <w:rPr>
          <w:lang w:val="en-AU"/>
        </w:rPr>
        <w:t> </w:t>
      </w:r>
      <w:r w:rsidRPr="008E25AA">
        <w:t>2023.</w:t>
      </w:r>
    </w:p>
    <w:p w14:paraId="266B21AC" w14:textId="09536105" w:rsidR="003D3443" w:rsidRDefault="003D3443" w:rsidP="003D3443">
      <w:r w:rsidRPr="008E25AA">
        <w:lastRenderedPageBreak/>
        <w:t>In line with the population distribution across Australia, over 61% of Australia’s businesses were located in New South Wales and Victoria in June 2023. This trend was more prominent for businesses within cultural and creative industries, with over 67% of these businesses located across these two states</w:t>
      </w:r>
      <w:r w:rsidR="00EA22C7">
        <w:t xml:space="preserve"> (</w:t>
      </w:r>
      <w:r w:rsidR="00EA22C7">
        <w:fldChar w:fldCharType="begin"/>
      </w:r>
      <w:r w:rsidR="00EA22C7">
        <w:instrText xml:space="preserve"> REF _Ref184640629 \h </w:instrText>
      </w:r>
      <w:r w:rsidR="00EA22C7">
        <w:fldChar w:fldCharType="separate"/>
      </w:r>
      <w:r w:rsidR="00C65220">
        <w:t xml:space="preserve">Figure </w:t>
      </w:r>
      <w:r w:rsidR="00C65220">
        <w:rPr>
          <w:noProof/>
        </w:rPr>
        <w:t>13</w:t>
      </w:r>
      <w:r w:rsidR="00EA22C7">
        <w:fldChar w:fldCharType="end"/>
      </w:r>
      <w:r w:rsidR="00EA22C7">
        <w:t>)</w:t>
      </w:r>
      <w:r w:rsidRPr="008E25AA">
        <w:t>.</w:t>
      </w:r>
    </w:p>
    <w:p w14:paraId="76F79095" w14:textId="4C4FD6FD" w:rsidR="003D3443" w:rsidRDefault="003D3443" w:rsidP="00281520">
      <w:pPr>
        <w:pStyle w:val="Tablefigureheading"/>
      </w:pPr>
      <w:bookmarkStart w:id="65" w:name="_Ref184640629"/>
      <w:bookmarkStart w:id="66" w:name="_Toc182484668"/>
      <w:bookmarkStart w:id="67" w:name="_Toc182914595"/>
      <w:bookmarkStart w:id="68" w:name="_Toc184641653"/>
      <w:r>
        <w:t xml:space="preserve">Figure </w:t>
      </w:r>
      <w:r w:rsidR="003C2F6D">
        <w:fldChar w:fldCharType="begin"/>
      </w:r>
      <w:r w:rsidR="003C2F6D">
        <w:instrText xml:space="preserve"> SEQ Figure \* ARABIC </w:instrText>
      </w:r>
      <w:r w:rsidR="003C2F6D">
        <w:fldChar w:fldCharType="separate"/>
      </w:r>
      <w:r w:rsidR="00C65220">
        <w:rPr>
          <w:noProof/>
        </w:rPr>
        <w:t>13</w:t>
      </w:r>
      <w:r w:rsidR="003C2F6D">
        <w:rPr>
          <w:noProof/>
        </w:rPr>
        <w:fldChar w:fldCharType="end"/>
      </w:r>
      <w:bookmarkEnd w:id="65"/>
      <w:r>
        <w:t xml:space="preserve">. </w:t>
      </w:r>
      <w:r w:rsidRPr="007800FC">
        <w:t xml:space="preserve">Businesses within cultural and creative industries, by </w:t>
      </w:r>
      <w:r w:rsidR="00E27095">
        <w:t>s</w:t>
      </w:r>
      <w:r w:rsidRPr="007800FC">
        <w:t xml:space="preserve">tate and </w:t>
      </w:r>
      <w:r w:rsidR="00E27095">
        <w:t>t</w:t>
      </w:r>
      <w:r w:rsidRPr="007800FC">
        <w:t>erritory, June 2023</w:t>
      </w:r>
      <w:bookmarkEnd w:id="66"/>
      <w:bookmarkEnd w:id="67"/>
      <w:bookmarkEnd w:id="68"/>
    </w:p>
    <w:p w14:paraId="1272A0D0" w14:textId="77777777" w:rsidR="003D3443" w:rsidRDefault="003D3443" w:rsidP="003D3443">
      <w:pPr>
        <w:jc w:val="center"/>
      </w:pPr>
      <w:r>
        <w:rPr>
          <w:noProof/>
        </w:rPr>
        <w:drawing>
          <wp:inline distT="0" distB="0" distL="0" distR="0" wp14:anchorId="1854D55D" wp14:editId="7C0D7019">
            <wp:extent cx="4572635" cy="2749550"/>
            <wp:effectExtent l="0" t="0" r="0" b="0"/>
            <wp:docPr id="54" name="Picture 54" descr="A column graph compares the share of total businesses, and businesses within cultural and creative industries by state and territory.">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72635" cy="2749550"/>
                    </a:xfrm>
                    <a:prstGeom prst="rect">
                      <a:avLst/>
                    </a:prstGeom>
                    <a:noFill/>
                  </pic:spPr>
                </pic:pic>
              </a:graphicData>
            </a:graphic>
          </wp:inline>
        </w:drawing>
      </w:r>
    </w:p>
    <w:p w14:paraId="529008A1" w14:textId="7AF9DBFE" w:rsidR="003D3443" w:rsidRPr="000B328B" w:rsidRDefault="003D3443" w:rsidP="003D3443">
      <w:pPr>
        <w:pStyle w:val="Sourcenotes"/>
        <w:rPr>
          <w:lang w:val="en-AU"/>
        </w:rPr>
      </w:pPr>
      <w:r>
        <w:t>Note: Other</w:t>
      </w:r>
      <w:r w:rsidR="006D6513">
        <w:rPr>
          <w:lang w:val="en-AU"/>
        </w:rPr>
        <w:t xml:space="preserve"> refers to</w:t>
      </w:r>
      <w:r>
        <w:t xml:space="preserve"> other territories</w:t>
      </w:r>
      <w:r w:rsidR="006D6513">
        <w:rPr>
          <w:lang w:val="en-AU"/>
        </w:rPr>
        <w:t xml:space="preserve">, </w:t>
      </w:r>
      <w:r>
        <w:t>including Christmas Island, Cocos (Keeling) Islands, Jervis Bay and Norfolk Island</w:t>
      </w:r>
      <w:r w:rsidR="00953B97">
        <w:rPr>
          <w:lang w:val="en-AU"/>
        </w:rPr>
        <w:t>.</w:t>
      </w:r>
    </w:p>
    <w:p w14:paraId="7AA7E3BF" w14:textId="00237EAE" w:rsidR="003D3443" w:rsidRDefault="003D3443" w:rsidP="003D3443">
      <w:pPr>
        <w:pStyle w:val="Sourcenotes"/>
      </w:pPr>
      <w:r>
        <w:t xml:space="preserve">Source: Australian Bureau of Statistics </w:t>
      </w:r>
      <w:r w:rsidR="00676EF8">
        <w:t>–</w:t>
      </w:r>
      <w:r>
        <w:t xml:space="preserve"> Counts of Australian Businesses, including Entries and Exits, June 2019 to June</w:t>
      </w:r>
      <w:r w:rsidR="00775D5D">
        <w:rPr>
          <w:lang w:val="en-AU"/>
        </w:rPr>
        <w:t> </w:t>
      </w:r>
      <w:r>
        <w:t>2023.</w:t>
      </w:r>
    </w:p>
    <w:p w14:paraId="15D91FBC" w14:textId="77777777" w:rsidR="003D3443" w:rsidRPr="008E25AA" w:rsidRDefault="003D3443" w:rsidP="00281520">
      <w:pPr>
        <w:pStyle w:val="Heading4"/>
      </w:pPr>
      <w:bookmarkStart w:id="69" w:name="_Toc184650662"/>
      <w:r w:rsidRPr="008E25AA">
        <w:t>Businesses within cultural and creative domains</w:t>
      </w:r>
      <w:bookmarkEnd w:id="69"/>
    </w:p>
    <w:p w14:paraId="45A320D3" w14:textId="0F9477FB" w:rsidR="003D3443" w:rsidRDefault="003D3443" w:rsidP="00281520">
      <w:pPr>
        <w:pStyle w:val="Box2Text"/>
        <w:shd w:val="clear" w:color="auto" w:fill="F2F6E8"/>
      </w:pPr>
      <w:r w:rsidRPr="008E25AA">
        <w:t>Business counts within cultural and creative industries were aggregated to cultural and creative domains to provide an indication of the composition of businesses within the sector. Not all domains can be replicated by industry-level data. A correspondence between the detailed cultural and creative industries and the pertinent domains is provided in</w:t>
      </w:r>
      <w:r>
        <w:t xml:space="preserve"> </w:t>
      </w:r>
      <w:hyperlink w:anchor="_Appendix_B—Glossary" w:history="1">
        <w:r w:rsidR="00D27951" w:rsidRPr="00D27951">
          <w:rPr>
            <w:rStyle w:val="Hyperlink"/>
            <w:i/>
          </w:rPr>
          <w:t>Appendix B—Glossary</w:t>
        </w:r>
      </w:hyperlink>
      <w:r>
        <w:t>.</w:t>
      </w:r>
    </w:p>
    <w:p w14:paraId="1E2F1AF7" w14:textId="6ED6E528" w:rsidR="003D3443" w:rsidRDefault="003D3443" w:rsidP="003D3443">
      <w:r w:rsidRPr="008E25AA">
        <w:t>Businesses within the cultural and creative industries are relatively concentrated within a few key cultural and creative domains (</w:t>
      </w:r>
      <w:r>
        <w:t xml:space="preserve">see </w:t>
      </w:r>
      <w:r>
        <w:rPr>
          <w:highlight w:val="yellow"/>
        </w:rPr>
        <w:fldChar w:fldCharType="begin"/>
      </w:r>
      <w:r>
        <w:instrText xml:space="preserve"> REF _Ref182476988 \h </w:instrText>
      </w:r>
      <w:r>
        <w:rPr>
          <w:highlight w:val="yellow"/>
        </w:rPr>
      </w:r>
      <w:r>
        <w:rPr>
          <w:highlight w:val="yellow"/>
        </w:rPr>
        <w:fldChar w:fldCharType="separate"/>
      </w:r>
      <w:r w:rsidR="00C65220">
        <w:t xml:space="preserve">Figure </w:t>
      </w:r>
      <w:r w:rsidR="00C65220">
        <w:rPr>
          <w:noProof/>
        </w:rPr>
        <w:t>14</w:t>
      </w:r>
      <w:r>
        <w:rPr>
          <w:highlight w:val="yellow"/>
        </w:rPr>
        <w:fldChar w:fldCharType="end"/>
      </w:r>
      <w:r w:rsidRPr="008E25AA">
        <w:t>). In 2023, more than 60% of all businesses within the cultural and creative industries were within the most prominent 3 cultural and creative domains of literature, creative and performing arts, and visual arts and crafts, design and fashion, and architecture services. Further, the most prominent 6 domains represented over 90% of all businesses within the cultural and creative industries.</w:t>
      </w:r>
    </w:p>
    <w:p w14:paraId="102A472E" w14:textId="07A87835" w:rsidR="003D3443" w:rsidRDefault="003D3443" w:rsidP="00281520">
      <w:pPr>
        <w:pStyle w:val="Tablefigureheading"/>
      </w:pPr>
      <w:bookmarkStart w:id="70" w:name="_Ref182476988"/>
      <w:bookmarkStart w:id="71" w:name="_Toc182484669"/>
      <w:bookmarkStart w:id="72" w:name="_Toc182914596"/>
      <w:bookmarkStart w:id="73" w:name="_Toc184641654"/>
      <w:r>
        <w:lastRenderedPageBreak/>
        <w:t xml:space="preserve">Figure </w:t>
      </w:r>
      <w:r w:rsidR="003C2F6D">
        <w:fldChar w:fldCharType="begin"/>
      </w:r>
      <w:r w:rsidR="003C2F6D">
        <w:instrText xml:space="preserve"> SEQ Figure \* ARABIC </w:instrText>
      </w:r>
      <w:r w:rsidR="003C2F6D">
        <w:fldChar w:fldCharType="separate"/>
      </w:r>
      <w:r w:rsidR="00C65220">
        <w:rPr>
          <w:noProof/>
        </w:rPr>
        <w:t>14</w:t>
      </w:r>
      <w:r w:rsidR="003C2F6D">
        <w:rPr>
          <w:noProof/>
        </w:rPr>
        <w:fldChar w:fldCharType="end"/>
      </w:r>
      <w:bookmarkEnd w:id="70"/>
      <w:r>
        <w:t xml:space="preserve">. </w:t>
      </w:r>
      <w:r w:rsidRPr="00A559C4">
        <w:t>Share of businesses within cultural and creative industries, by domain, June 2023</w:t>
      </w:r>
      <w:bookmarkEnd w:id="71"/>
      <w:bookmarkEnd w:id="72"/>
      <w:bookmarkEnd w:id="73"/>
    </w:p>
    <w:p w14:paraId="40F97432" w14:textId="77777777" w:rsidR="003D3443" w:rsidRDefault="003D3443" w:rsidP="00837848">
      <w:pPr>
        <w:spacing w:after="0"/>
        <w:jc w:val="center"/>
      </w:pPr>
      <w:r>
        <w:rPr>
          <w:noProof/>
        </w:rPr>
        <w:drawing>
          <wp:inline distT="0" distB="0" distL="0" distR="0" wp14:anchorId="0F64E96B" wp14:editId="2FEDF210">
            <wp:extent cx="4340272" cy="3676650"/>
            <wp:effectExtent l="0" t="0" r="3175" b="0"/>
            <wp:docPr id="40" name="Picture 40" descr="A bar chart shows the share of businesses within the cultural and creative industries, broken down by domai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358761" cy="3692312"/>
                    </a:xfrm>
                    <a:prstGeom prst="rect">
                      <a:avLst/>
                    </a:prstGeom>
                    <a:noFill/>
                  </pic:spPr>
                </pic:pic>
              </a:graphicData>
            </a:graphic>
          </wp:inline>
        </w:drawing>
      </w:r>
    </w:p>
    <w:p w14:paraId="3CEB7CC1" w14:textId="16964C7B" w:rsidR="003D3443" w:rsidRDefault="003D3443" w:rsidP="00837848">
      <w:pPr>
        <w:pStyle w:val="Sourcenotes"/>
        <w:spacing w:after="120"/>
      </w:pPr>
      <w:r w:rsidRPr="008E25AA">
        <w:t xml:space="preserve">Source: Australian Bureau of Statistics </w:t>
      </w:r>
      <w:r w:rsidR="00676EF8">
        <w:t>–</w:t>
      </w:r>
      <w:r w:rsidRPr="008E25AA">
        <w:t xml:space="preserve"> Counts of Australian Businesses, including Entries and Exits, June 2019 to June</w:t>
      </w:r>
      <w:r w:rsidR="00775D5D">
        <w:rPr>
          <w:lang w:val="en-AU"/>
        </w:rPr>
        <w:t> </w:t>
      </w:r>
      <w:r w:rsidRPr="008E25AA">
        <w:t>2023.</w:t>
      </w:r>
    </w:p>
    <w:p w14:paraId="252ED9C7" w14:textId="77777777" w:rsidR="00331889" w:rsidRDefault="003D3443" w:rsidP="00837848">
      <w:pPr>
        <w:spacing w:after="120"/>
      </w:pPr>
      <w:r w:rsidRPr="00EA48B6">
        <w:t xml:space="preserve">Of the 7,835 net additional businesses within the cultural and creative industries between 2021 and 2023, over 80% were based within 3 of the cultural and creative domains of literature, creative and performing arts and visual arts and crafts, design and fashion, and film and television activities. </w:t>
      </w:r>
    </w:p>
    <w:p w14:paraId="311DC2BE" w14:textId="199C277C" w:rsidR="003D3443" w:rsidRDefault="003D3443" w:rsidP="00837848">
      <w:pPr>
        <w:spacing w:after="120"/>
      </w:pPr>
      <w:r w:rsidRPr="00EA48B6">
        <w:t>Over the same timeframe, 3 domains experienced a net reduction in businesses – print media and publishing (excl. internet), libraries and archives and radio broadcasting. Most of these reductions reflect a small number of business exits, with the exception of print media and publishing (excl. internet) which includes newspaper and magazine publishing and recorded a net reduction of more than 140 businesses (equating to a 3.4% decline in the number of businesses in this domain)</w:t>
      </w:r>
      <w:r w:rsidR="00EA22C7">
        <w:t xml:space="preserve"> (</w:t>
      </w:r>
      <w:r w:rsidR="00EA22C7">
        <w:fldChar w:fldCharType="begin"/>
      </w:r>
      <w:r w:rsidR="00EA22C7">
        <w:instrText xml:space="preserve"> REF _Ref182477016 \h </w:instrText>
      </w:r>
      <w:r w:rsidR="00EA22C7">
        <w:fldChar w:fldCharType="separate"/>
      </w:r>
      <w:r w:rsidR="00C65220" w:rsidRPr="00EE498A">
        <w:t xml:space="preserve">Figure </w:t>
      </w:r>
      <w:r w:rsidR="00C65220">
        <w:rPr>
          <w:noProof/>
        </w:rPr>
        <w:t>15</w:t>
      </w:r>
      <w:r w:rsidR="00EA22C7">
        <w:fldChar w:fldCharType="end"/>
      </w:r>
      <w:r w:rsidR="00EA22C7">
        <w:t>)</w:t>
      </w:r>
      <w:r w:rsidRPr="00EA48B6">
        <w:t xml:space="preserve">. </w:t>
      </w:r>
      <w:r>
        <w:t>N</w:t>
      </w:r>
      <w:r w:rsidRPr="00EA48B6">
        <w:t xml:space="preserve">ewspaper and magazine publishing </w:t>
      </w:r>
      <w:proofErr w:type="gramStart"/>
      <w:r w:rsidRPr="00EA48B6">
        <w:t>has</w:t>
      </w:r>
      <w:proofErr w:type="gramEnd"/>
      <w:r w:rsidRPr="00EA48B6">
        <w:t xml:space="preserve"> been </w:t>
      </w:r>
      <w:r>
        <w:t>impacted</w:t>
      </w:r>
      <w:r w:rsidRPr="00EA48B6">
        <w:t xml:space="preserve"> by digital disruption, </w:t>
      </w:r>
      <w:r>
        <w:t>resulting in lower</w:t>
      </w:r>
      <w:r w:rsidRPr="00EA48B6">
        <w:t xml:space="preserve"> revenue generation. The sector is more likely to have large turnover businesses</w:t>
      </w:r>
      <w:r>
        <w:t xml:space="preserve">, </w:t>
      </w:r>
      <w:r w:rsidRPr="00EA48B6">
        <w:t>suggesting a potentially large impact could result from individual business closures.</w:t>
      </w:r>
    </w:p>
    <w:p w14:paraId="5DC4C990" w14:textId="701E5695" w:rsidR="003D3443" w:rsidRDefault="003D3443" w:rsidP="00281520">
      <w:pPr>
        <w:pStyle w:val="Tablefigureheading"/>
      </w:pPr>
      <w:bookmarkStart w:id="74" w:name="_Ref182477016"/>
      <w:bookmarkStart w:id="75" w:name="_Toc182484670"/>
      <w:bookmarkStart w:id="76" w:name="_Toc182914597"/>
      <w:bookmarkStart w:id="77" w:name="_Toc184641655"/>
      <w:r w:rsidRPr="00EE498A">
        <w:lastRenderedPageBreak/>
        <w:t xml:space="preserve">Figure </w:t>
      </w:r>
      <w:r w:rsidR="003C2F6D">
        <w:fldChar w:fldCharType="begin"/>
      </w:r>
      <w:r w:rsidR="003C2F6D">
        <w:instrText xml:space="preserve"> SEQ Figure</w:instrText>
      </w:r>
      <w:r w:rsidR="003C2F6D">
        <w:instrText xml:space="preserve"> \* ARABIC </w:instrText>
      </w:r>
      <w:r w:rsidR="003C2F6D">
        <w:fldChar w:fldCharType="separate"/>
      </w:r>
      <w:r w:rsidR="00C65220">
        <w:rPr>
          <w:noProof/>
        </w:rPr>
        <w:t>15</w:t>
      </w:r>
      <w:r w:rsidR="003C2F6D">
        <w:rPr>
          <w:noProof/>
        </w:rPr>
        <w:fldChar w:fldCharType="end"/>
      </w:r>
      <w:bookmarkEnd w:id="74"/>
      <w:r w:rsidRPr="00EE498A">
        <w:t>. Net change in businesses within cultural and creative industries, by domain, June 2021 to June 2023</w:t>
      </w:r>
      <w:bookmarkEnd w:id="75"/>
      <w:bookmarkEnd w:id="76"/>
      <w:bookmarkEnd w:id="77"/>
    </w:p>
    <w:p w14:paraId="617591A5" w14:textId="77777777" w:rsidR="003D3443" w:rsidRDefault="003D3443" w:rsidP="00837848">
      <w:pPr>
        <w:keepNext/>
        <w:spacing w:after="0"/>
        <w:jc w:val="center"/>
      </w:pPr>
      <w:r>
        <w:rPr>
          <w:noProof/>
        </w:rPr>
        <w:drawing>
          <wp:inline distT="0" distB="0" distL="0" distR="0" wp14:anchorId="28A0A340" wp14:editId="31A8B052">
            <wp:extent cx="5591175" cy="2995930"/>
            <wp:effectExtent l="0" t="0" r="9525" b="0"/>
            <wp:docPr id="60" name="Picture 60" descr="A bar graph shows the net change in the number of businesses within cultural and creative industries from June 2021 to June 2023, broken down by domai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04688" cy="3056754"/>
                    </a:xfrm>
                    <a:prstGeom prst="rect">
                      <a:avLst/>
                    </a:prstGeom>
                    <a:noFill/>
                  </pic:spPr>
                </pic:pic>
              </a:graphicData>
            </a:graphic>
          </wp:inline>
        </w:drawing>
      </w:r>
    </w:p>
    <w:p w14:paraId="76615C34" w14:textId="02B69E6D" w:rsidR="003D3443" w:rsidRPr="00EE498A" w:rsidRDefault="003D3443" w:rsidP="00EE498A">
      <w:pPr>
        <w:pStyle w:val="Sourcenotes"/>
        <w:spacing w:after="120"/>
      </w:pPr>
      <w:r w:rsidRPr="00EE498A">
        <w:t xml:space="preserve">Source: Australian Bureau of Statistics </w:t>
      </w:r>
      <w:r w:rsidR="00676EF8">
        <w:t>–</w:t>
      </w:r>
      <w:r w:rsidRPr="00EE498A">
        <w:t xml:space="preserve"> Counts of Australian Businesses, including Entries and Exits, June 2019 to June</w:t>
      </w:r>
      <w:r w:rsidR="00775D5D">
        <w:rPr>
          <w:lang w:val="en-AU"/>
        </w:rPr>
        <w:t> </w:t>
      </w:r>
      <w:r w:rsidRPr="00EE498A">
        <w:t>2023.</w:t>
      </w:r>
    </w:p>
    <w:p w14:paraId="101B1B00" w14:textId="664B69F2" w:rsidR="003D3443" w:rsidRPr="00357C49" w:rsidRDefault="003D3443" w:rsidP="003D3443">
      <w:r w:rsidRPr="00357C49">
        <w:t xml:space="preserve">All domains recorded high shares (above the share of total Australian businesses) of businesses with turnover of less than $200,000 per annum (see </w:t>
      </w:r>
      <w:r w:rsidRPr="00357C49">
        <w:fldChar w:fldCharType="begin"/>
      </w:r>
      <w:r w:rsidRPr="00357C49">
        <w:instrText xml:space="preserve"> REF _Ref182477355 \h </w:instrText>
      </w:r>
      <w:r w:rsidR="003508E1" w:rsidRPr="00357C49">
        <w:instrText xml:space="preserve"> \* MERGEFORMAT </w:instrText>
      </w:r>
      <w:r w:rsidRPr="00357C49">
        <w:fldChar w:fldCharType="separate"/>
      </w:r>
      <w:r w:rsidR="00C65220">
        <w:t>Table 1</w:t>
      </w:r>
      <w:r w:rsidRPr="00357C49">
        <w:fldChar w:fldCharType="end"/>
      </w:r>
      <w:r w:rsidRPr="00357C49">
        <w:t>). The domains of literature, creative and performing arts and visual arts and crafts and music production and distribution, were particularly likely to record low levels of turnover, with over 70% of businesses within these domains recording turnover below this level. At the other end of the spectrum, businesses within the domains of print media and publishing (excl. internet), radio broadcasting, internet publishing and broadcasting, museums and galleries and advertising and promotion domains were more likely than other businesses to record higher shares (above the share of total Australian businesses) of businesses with turnover of over $5 million per annum.</w:t>
      </w:r>
    </w:p>
    <w:p w14:paraId="7AE775E2" w14:textId="0330508C" w:rsidR="003D3443" w:rsidRDefault="003D3443" w:rsidP="00D307A0">
      <w:pPr>
        <w:pStyle w:val="Tablefigureheading"/>
      </w:pPr>
      <w:bookmarkStart w:id="78" w:name="_Ref182477355"/>
      <w:bookmarkStart w:id="79" w:name="_Toc182484671"/>
      <w:bookmarkStart w:id="80" w:name="_Toc182914598"/>
      <w:bookmarkStart w:id="81" w:name="_Toc184641656"/>
      <w:r>
        <w:t xml:space="preserve">Table </w:t>
      </w:r>
      <w:r w:rsidR="003C2F6D">
        <w:fldChar w:fldCharType="begin"/>
      </w:r>
      <w:r w:rsidR="003C2F6D">
        <w:instrText xml:space="preserve"> SEQ Table \* ARABIC </w:instrText>
      </w:r>
      <w:r w:rsidR="003C2F6D">
        <w:fldChar w:fldCharType="separate"/>
      </w:r>
      <w:r w:rsidR="00C65220">
        <w:rPr>
          <w:noProof/>
        </w:rPr>
        <w:t>1</w:t>
      </w:r>
      <w:r w:rsidR="003C2F6D">
        <w:rPr>
          <w:noProof/>
        </w:rPr>
        <w:fldChar w:fldCharType="end"/>
      </w:r>
      <w:bookmarkEnd w:id="78"/>
      <w:r>
        <w:t xml:space="preserve">. </w:t>
      </w:r>
      <w:r w:rsidRPr="00302BD8">
        <w:t>Share of businesses within cultural and creative industries, by domain and aggregated turnover categories, June 2023</w:t>
      </w:r>
      <w:bookmarkEnd w:id="79"/>
      <w:bookmarkEnd w:id="80"/>
      <w:bookmarkEnd w:id="81"/>
    </w:p>
    <w:tbl>
      <w:tblPr>
        <w:tblStyle w:val="DefaultTable11"/>
        <w:tblW w:w="5000" w:type="pct"/>
        <w:tblCellMar>
          <w:top w:w="28" w:type="dxa"/>
          <w:bottom w:w="28" w:type="dxa"/>
        </w:tblCellMar>
        <w:tblLook w:val="0420" w:firstRow="1" w:lastRow="0" w:firstColumn="0" w:lastColumn="0" w:noHBand="0" w:noVBand="1"/>
        <w:tblDescription w:val="Share of businesses within cultural and creative industries, by domain and aggregated turnover categories, June 2023"/>
      </w:tblPr>
      <w:tblGrid>
        <w:gridCol w:w="5123"/>
        <w:gridCol w:w="1454"/>
        <w:gridCol w:w="1992"/>
        <w:gridCol w:w="1295"/>
      </w:tblGrid>
      <w:tr w:rsidR="003508E1" w:rsidRPr="00654F9E" w14:paraId="5642331E" w14:textId="77777777" w:rsidTr="0044290C">
        <w:trPr>
          <w:cnfStyle w:val="100000000000" w:firstRow="1" w:lastRow="0" w:firstColumn="0" w:lastColumn="0" w:oddVBand="0" w:evenVBand="0" w:oddHBand="0" w:evenHBand="0" w:firstRowFirstColumn="0" w:firstRowLastColumn="0" w:lastRowFirstColumn="0" w:lastRowLastColumn="0"/>
          <w:cantSplit/>
        </w:trPr>
        <w:tc>
          <w:tcPr>
            <w:tcW w:w="0" w:type="auto"/>
            <w:vAlign w:val="center"/>
          </w:tcPr>
          <w:p w14:paraId="2F0664AF" w14:textId="295770AA" w:rsidR="00D307A0" w:rsidRPr="00F35217" w:rsidRDefault="00D307A0" w:rsidP="00D307A0">
            <w:pPr>
              <w:pStyle w:val="Tablerowcolumnheading"/>
              <w:rPr>
                <w:b/>
              </w:rPr>
            </w:pPr>
            <w:r w:rsidRPr="00F35217">
              <w:rPr>
                <w:b/>
              </w:rPr>
              <w:t>Domain</w:t>
            </w:r>
          </w:p>
        </w:tc>
        <w:tc>
          <w:tcPr>
            <w:tcW w:w="0" w:type="auto"/>
            <w:vAlign w:val="center"/>
          </w:tcPr>
          <w:p w14:paraId="04DBA221" w14:textId="1A89F058" w:rsidR="00D307A0" w:rsidRPr="00D307A0" w:rsidRDefault="00D307A0" w:rsidP="00D307A0">
            <w:pPr>
              <w:pStyle w:val="Tablerowcolumnheadingcentred"/>
              <w:rPr>
                <w:b/>
              </w:rPr>
            </w:pPr>
            <w:r w:rsidRPr="00D307A0">
              <w:rPr>
                <w:b/>
              </w:rPr>
              <w:t>Less than $200k</w:t>
            </w:r>
          </w:p>
        </w:tc>
        <w:tc>
          <w:tcPr>
            <w:tcW w:w="0" w:type="auto"/>
            <w:vAlign w:val="center"/>
          </w:tcPr>
          <w:p w14:paraId="23516CE3" w14:textId="38D6177E" w:rsidR="00D307A0" w:rsidRPr="00D307A0" w:rsidRDefault="00D307A0" w:rsidP="00D307A0">
            <w:pPr>
              <w:pStyle w:val="Tablerowcolumnheadingcentred"/>
              <w:rPr>
                <w:b/>
              </w:rPr>
            </w:pPr>
            <w:r w:rsidRPr="00D307A0">
              <w:rPr>
                <w:b/>
              </w:rPr>
              <w:t>$200k to less than $5m</w:t>
            </w:r>
          </w:p>
        </w:tc>
        <w:tc>
          <w:tcPr>
            <w:tcW w:w="0" w:type="auto"/>
            <w:vAlign w:val="center"/>
          </w:tcPr>
          <w:p w14:paraId="05CAF5BE" w14:textId="0850071B" w:rsidR="00D307A0" w:rsidRPr="00D307A0" w:rsidRDefault="00D307A0" w:rsidP="00D307A0">
            <w:pPr>
              <w:pStyle w:val="Tablerowcolumnheadingcentred"/>
              <w:rPr>
                <w:b/>
              </w:rPr>
            </w:pPr>
            <w:r w:rsidRPr="00D307A0">
              <w:rPr>
                <w:b/>
              </w:rPr>
              <w:t>$5m and over</w:t>
            </w:r>
          </w:p>
        </w:tc>
      </w:tr>
      <w:tr w:rsidR="003508E1" w:rsidRPr="00654F9E" w14:paraId="0DC90CE0" w14:textId="77777777" w:rsidTr="0044290C">
        <w:trPr>
          <w:cantSplit/>
        </w:trPr>
        <w:tc>
          <w:tcPr>
            <w:tcW w:w="0" w:type="auto"/>
            <w:vAlign w:val="center"/>
          </w:tcPr>
          <w:p w14:paraId="44AFEF79" w14:textId="43B2B243" w:rsidR="00D307A0" w:rsidRPr="00837848" w:rsidRDefault="00D307A0" w:rsidP="00D307A0">
            <w:pPr>
              <w:pStyle w:val="Tabletext"/>
            </w:pPr>
            <w:r w:rsidRPr="00837848">
              <w:t>Print media and publishing (excl. internet)</w:t>
            </w:r>
          </w:p>
        </w:tc>
        <w:tc>
          <w:tcPr>
            <w:tcW w:w="0" w:type="auto"/>
            <w:vAlign w:val="center"/>
          </w:tcPr>
          <w:p w14:paraId="61AD8572" w14:textId="396D7BAC" w:rsidR="00D307A0" w:rsidRDefault="00D307A0" w:rsidP="00D307A0">
            <w:pPr>
              <w:pStyle w:val="Tabletextcentred"/>
            </w:pPr>
            <w:r w:rsidRPr="006C694C">
              <w:t>63.1%</w:t>
            </w:r>
          </w:p>
        </w:tc>
        <w:tc>
          <w:tcPr>
            <w:tcW w:w="0" w:type="auto"/>
            <w:vAlign w:val="center"/>
          </w:tcPr>
          <w:p w14:paraId="2C82CC2D" w14:textId="382E4C54" w:rsidR="00D307A0" w:rsidRPr="004729CA" w:rsidRDefault="00D307A0" w:rsidP="00D307A0">
            <w:pPr>
              <w:pStyle w:val="Tabletextcentred"/>
            </w:pPr>
            <w:r w:rsidRPr="006C694C">
              <w:t>32.3%</w:t>
            </w:r>
          </w:p>
        </w:tc>
        <w:tc>
          <w:tcPr>
            <w:tcW w:w="0" w:type="auto"/>
            <w:vAlign w:val="center"/>
          </w:tcPr>
          <w:p w14:paraId="30DF9E4F" w14:textId="6332F9FF" w:rsidR="00D307A0" w:rsidRPr="004729CA" w:rsidRDefault="00D307A0" w:rsidP="00D307A0">
            <w:pPr>
              <w:pStyle w:val="Tabletextcentred"/>
            </w:pPr>
            <w:r w:rsidRPr="006C694C">
              <w:t>4.6%</w:t>
            </w:r>
          </w:p>
        </w:tc>
      </w:tr>
      <w:tr w:rsidR="003508E1" w:rsidRPr="00654F9E" w14:paraId="78C4B4C2" w14:textId="77777777" w:rsidTr="0044290C">
        <w:trPr>
          <w:cnfStyle w:val="000000010000" w:firstRow="0" w:lastRow="0" w:firstColumn="0" w:lastColumn="0" w:oddVBand="0" w:evenVBand="0" w:oddHBand="0" w:evenHBand="1" w:firstRowFirstColumn="0" w:firstRowLastColumn="0" w:lastRowFirstColumn="0" w:lastRowLastColumn="0"/>
          <w:cantSplit/>
        </w:trPr>
        <w:tc>
          <w:tcPr>
            <w:tcW w:w="0" w:type="auto"/>
            <w:vAlign w:val="center"/>
          </w:tcPr>
          <w:p w14:paraId="74FFAE7C" w14:textId="35AD906B" w:rsidR="00D307A0" w:rsidRPr="00837848" w:rsidRDefault="00D307A0" w:rsidP="00D307A0">
            <w:pPr>
              <w:pStyle w:val="Tabletext"/>
            </w:pPr>
            <w:r w:rsidRPr="00837848">
              <w:t>Film and television activities</w:t>
            </w:r>
          </w:p>
        </w:tc>
        <w:tc>
          <w:tcPr>
            <w:tcW w:w="0" w:type="auto"/>
            <w:vAlign w:val="center"/>
          </w:tcPr>
          <w:p w14:paraId="72E0D59A" w14:textId="5E8A181C" w:rsidR="00D307A0" w:rsidRDefault="00D307A0" w:rsidP="00D307A0">
            <w:pPr>
              <w:pStyle w:val="Tabletextcentred"/>
            </w:pPr>
            <w:r w:rsidRPr="006C694C">
              <w:t>68.4%</w:t>
            </w:r>
          </w:p>
        </w:tc>
        <w:tc>
          <w:tcPr>
            <w:tcW w:w="0" w:type="auto"/>
            <w:vAlign w:val="center"/>
          </w:tcPr>
          <w:p w14:paraId="0FD5C555" w14:textId="72CBCFB2" w:rsidR="00D307A0" w:rsidRPr="004729CA" w:rsidRDefault="00D307A0" w:rsidP="00D307A0">
            <w:pPr>
              <w:pStyle w:val="Tabletextcentred"/>
            </w:pPr>
            <w:r w:rsidRPr="006C694C">
              <w:t>28.9%</w:t>
            </w:r>
          </w:p>
        </w:tc>
        <w:tc>
          <w:tcPr>
            <w:tcW w:w="0" w:type="auto"/>
            <w:vAlign w:val="center"/>
          </w:tcPr>
          <w:p w14:paraId="17001224" w14:textId="0FEBE497" w:rsidR="00D307A0" w:rsidRPr="004729CA" w:rsidRDefault="00D307A0" w:rsidP="00D307A0">
            <w:pPr>
              <w:pStyle w:val="Tabletextcentred"/>
            </w:pPr>
            <w:r w:rsidRPr="006C694C">
              <w:t>2.6%</w:t>
            </w:r>
          </w:p>
        </w:tc>
      </w:tr>
      <w:tr w:rsidR="003508E1" w:rsidRPr="00654F9E" w14:paraId="77F6FF2E" w14:textId="77777777" w:rsidTr="0044290C">
        <w:trPr>
          <w:cantSplit/>
        </w:trPr>
        <w:tc>
          <w:tcPr>
            <w:tcW w:w="0" w:type="auto"/>
            <w:vAlign w:val="center"/>
          </w:tcPr>
          <w:p w14:paraId="2D5773D5" w14:textId="67AD3152" w:rsidR="00D307A0" w:rsidRPr="00837848" w:rsidRDefault="00D307A0" w:rsidP="00D307A0">
            <w:pPr>
              <w:pStyle w:val="Tabletext"/>
            </w:pPr>
            <w:r w:rsidRPr="00837848">
              <w:t>Music production and distribution</w:t>
            </w:r>
          </w:p>
        </w:tc>
        <w:tc>
          <w:tcPr>
            <w:tcW w:w="0" w:type="auto"/>
            <w:vAlign w:val="center"/>
          </w:tcPr>
          <w:p w14:paraId="6D60FF60" w14:textId="7A4A0707" w:rsidR="00D307A0" w:rsidRDefault="00D307A0" w:rsidP="00D307A0">
            <w:pPr>
              <w:pStyle w:val="Tabletextcentred"/>
            </w:pPr>
            <w:r w:rsidRPr="006C694C">
              <w:t>71.5%</w:t>
            </w:r>
          </w:p>
        </w:tc>
        <w:tc>
          <w:tcPr>
            <w:tcW w:w="0" w:type="auto"/>
            <w:vAlign w:val="center"/>
          </w:tcPr>
          <w:p w14:paraId="0F0387E0" w14:textId="04FC9B7F" w:rsidR="00D307A0" w:rsidRPr="008E534F" w:rsidRDefault="00D307A0" w:rsidP="00D307A0">
            <w:pPr>
              <w:pStyle w:val="Tabletextcentred"/>
            </w:pPr>
            <w:r w:rsidRPr="006C694C">
              <w:t>27.1%</w:t>
            </w:r>
          </w:p>
        </w:tc>
        <w:tc>
          <w:tcPr>
            <w:tcW w:w="0" w:type="auto"/>
            <w:vAlign w:val="center"/>
          </w:tcPr>
          <w:p w14:paraId="15805985" w14:textId="69E605AA" w:rsidR="00D307A0" w:rsidRPr="004729CA" w:rsidRDefault="00D307A0" w:rsidP="00D307A0">
            <w:pPr>
              <w:pStyle w:val="Tabletextcentred"/>
            </w:pPr>
            <w:r w:rsidRPr="006C694C">
              <w:t>1.4%</w:t>
            </w:r>
          </w:p>
        </w:tc>
      </w:tr>
      <w:tr w:rsidR="003508E1" w:rsidRPr="00654F9E" w14:paraId="780A8489" w14:textId="77777777" w:rsidTr="0044290C">
        <w:trPr>
          <w:cnfStyle w:val="000000010000" w:firstRow="0" w:lastRow="0" w:firstColumn="0" w:lastColumn="0" w:oddVBand="0" w:evenVBand="0" w:oddHBand="0" w:evenHBand="1" w:firstRowFirstColumn="0" w:firstRowLastColumn="0" w:lastRowFirstColumn="0" w:lastRowLastColumn="0"/>
          <w:cantSplit/>
        </w:trPr>
        <w:tc>
          <w:tcPr>
            <w:tcW w:w="0" w:type="auto"/>
            <w:vAlign w:val="center"/>
          </w:tcPr>
          <w:p w14:paraId="59A88CEF" w14:textId="3874433E" w:rsidR="00D307A0" w:rsidRPr="00837848" w:rsidRDefault="00D307A0" w:rsidP="00D307A0">
            <w:pPr>
              <w:pStyle w:val="Tabletext"/>
            </w:pPr>
            <w:r w:rsidRPr="00837848">
              <w:t>Radio broadcasting</w:t>
            </w:r>
          </w:p>
        </w:tc>
        <w:tc>
          <w:tcPr>
            <w:tcW w:w="0" w:type="auto"/>
            <w:vAlign w:val="center"/>
          </w:tcPr>
          <w:p w14:paraId="4265277E" w14:textId="5F447E5C" w:rsidR="00D307A0" w:rsidRDefault="00D307A0" w:rsidP="00D307A0">
            <w:pPr>
              <w:pStyle w:val="Tabletextcentred"/>
            </w:pPr>
            <w:r w:rsidRPr="006C694C">
              <w:t>48.5%</w:t>
            </w:r>
          </w:p>
        </w:tc>
        <w:tc>
          <w:tcPr>
            <w:tcW w:w="0" w:type="auto"/>
            <w:vAlign w:val="center"/>
          </w:tcPr>
          <w:p w14:paraId="3233852A" w14:textId="61B06B48" w:rsidR="00D307A0" w:rsidRPr="008E534F" w:rsidRDefault="00D307A0" w:rsidP="00D307A0">
            <w:pPr>
              <w:pStyle w:val="Tabletextcentred"/>
            </w:pPr>
            <w:r w:rsidRPr="006C694C">
              <w:t>41.2%</w:t>
            </w:r>
          </w:p>
        </w:tc>
        <w:tc>
          <w:tcPr>
            <w:tcW w:w="0" w:type="auto"/>
            <w:vAlign w:val="center"/>
          </w:tcPr>
          <w:p w14:paraId="7D887C03" w14:textId="48109D85" w:rsidR="00D307A0" w:rsidRPr="004729CA" w:rsidRDefault="00D307A0" w:rsidP="00D307A0">
            <w:pPr>
              <w:pStyle w:val="Tabletextcentred"/>
            </w:pPr>
            <w:r w:rsidRPr="006C694C">
              <w:t>10.3%</w:t>
            </w:r>
          </w:p>
        </w:tc>
      </w:tr>
      <w:tr w:rsidR="003508E1" w:rsidRPr="00654F9E" w14:paraId="1A6C5477" w14:textId="77777777" w:rsidTr="0044290C">
        <w:trPr>
          <w:cantSplit/>
        </w:trPr>
        <w:tc>
          <w:tcPr>
            <w:tcW w:w="0" w:type="auto"/>
            <w:vAlign w:val="center"/>
          </w:tcPr>
          <w:p w14:paraId="468B68F1" w14:textId="4077D487" w:rsidR="00D307A0" w:rsidRPr="00837848" w:rsidRDefault="00D307A0" w:rsidP="00D307A0">
            <w:pPr>
              <w:pStyle w:val="Tabletext"/>
            </w:pPr>
            <w:r w:rsidRPr="00837848">
              <w:t>Internet publishing and broadcasting</w:t>
            </w:r>
          </w:p>
        </w:tc>
        <w:tc>
          <w:tcPr>
            <w:tcW w:w="0" w:type="auto"/>
            <w:vAlign w:val="center"/>
          </w:tcPr>
          <w:p w14:paraId="158F7098" w14:textId="50211762" w:rsidR="00D307A0" w:rsidRDefault="00D307A0" w:rsidP="00D307A0">
            <w:pPr>
              <w:pStyle w:val="Tabletextcentred"/>
            </w:pPr>
            <w:r w:rsidRPr="006C694C">
              <w:t>68.8%</w:t>
            </w:r>
          </w:p>
        </w:tc>
        <w:tc>
          <w:tcPr>
            <w:tcW w:w="0" w:type="auto"/>
            <w:vAlign w:val="center"/>
          </w:tcPr>
          <w:p w14:paraId="25CC8806" w14:textId="208AEA5D" w:rsidR="00D307A0" w:rsidRPr="008E534F" w:rsidRDefault="00D307A0" w:rsidP="00D307A0">
            <w:pPr>
              <w:pStyle w:val="Tabletextcentred"/>
            </w:pPr>
            <w:r w:rsidRPr="006C694C">
              <w:t>27.6%</w:t>
            </w:r>
          </w:p>
        </w:tc>
        <w:tc>
          <w:tcPr>
            <w:tcW w:w="0" w:type="auto"/>
            <w:vAlign w:val="center"/>
          </w:tcPr>
          <w:p w14:paraId="328B05DA" w14:textId="0C4DAA82" w:rsidR="00D307A0" w:rsidRPr="004729CA" w:rsidRDefault="00D307A0" w:rsidP="00D307A0">
            <w:pPr>
              <w:pStyle w:val="Tabletextcentred"/>
            </w:pPr>
            <w:r w:rsidRPr="006C694C">
              <w:t>3.6%</w:t>
            </w:r>
          </w:p>
        </w:tc>
      </w:tr>
      <w:tr w:rsidR="003508E1" w:rsidRPr="00654F9E" w14:paraId="16038F0B" w14:textId="77777777" w:rsidTr="0044290C">
        <w:trPr>
          <w:cnfStyle w:val="000000010000" w:firstRow="0" w:lastRow="0" w:firstColumn="0" w:lastColumn="0" w:oddVBand="0" w:evenVBand="0" w:oddHBand="0" w:evenHBand="1" w:firstRowFirstColumn="0" w:firstRowLastColumn="0" w:lastRowFirstColumn="0" w:lastRowLastColumn="0"/>
          <w:cantSplit/>
        </w:trPr>
        <w:tc>
          <w:tcPr>
            <w:tcW w:w="0" w:type="auto"/>
            <w:vAlign w:val="center"/>
          </w:tcPr>
          <w:p w14:paraId="691B738E" w14:textId="219345BB" w:rsidR="00D307A0" w:rsidRPr="00837848" w:rsidRDefault="00D307A0" w:rsidP="00D307A0">
            <w:pPr>
              <w:pStyle w:val="Tabletext"/>
            </w:pPr>
            <w:r w:rsidRPr="00837848">
              <w:t>Libraries and archives</w:t>
            </w:r>
          </w:p>
        </w:tc>
        <w:tc>
          <w:tcPr>
            <w:tcW w:w="0" w:type="auto"/>
            <w:vAlign w:val="center"/>
          </w:tcPr>
          <w:p w14:paraId="5D2D0678" w14:textId="29E6DB45" w:rsidR="00D307A0" w:rsidRPr="006C694C" w:rsidRDefault="00D307A0" w:rsidP="00D307A0">
            <w:pPr>
              <w:pStyle w:val="Tabletextcentred"/>
            </w:pPr>
            <w:r w:rsidRPr="006C694C">
              <w:t>67.7%</w:t>
            </w:r>
          </w:p>
        </w:tc>
        <w:tc>
          <w:tcPr>
            <w:tcW w:w="0" w:type="auto"/>
            <w:vAlign w:val="center"/>
          </w:tcPr>
          <w:p w14:paraId="235E1B69" w14:textId="1876B2B9" w:rsidR="00D307A0" w:rsidRPr="006C694C" w:rsidRDefault="00D307A0" w:rsidP="00D307A0">
            <w:pPr>
              <w:pStyle w:val="Tabletextcentred"/>
            </w:pPr>
            <w:r w:rsidRPr="006C694C">
              <w:t>28.3%</w:t>
            </w:r>
          </w:p>
        </w:tc>
        <w:tc>
          <w:tcPr>
            <w:tcW w:w="0" w:type="auto"/>
            <w:vAlign w:val="center"/>
          </w:tcPr>
          <w:p w14:paraId="6C4E619C" w14:textId="1CB30FB8" w:rsidR="00D307A0" w:rsidRPr="006C694C" w:rsidRDefault="00D307A0" w:rsidP="00D307A0">
            <w:pPr>
              <w:pStyle w:val="Tabletextcentred"/>
            </w:pPr>
            <w:r w:rsidRPr="006C694C">
              <w:t>3.0%</w:t>
            </w:r>
          </w:p>
        </w:tc>
      </w:tr>
      <w:tr w:rsidR="00837848" w:rsidRPr="00654F9E" w14:paraId="6A315B4E" w14:textId="77777777" w:rsidTr="0044290C">
        <w:trPr>
          <w:cantSplit/>
        </w:trPr>
        <w:tc>
          <w:tcPr>
            <w:tcW w:w="0" w:type="auto"/>
            <w:vAlign w:val="center"/>
          </w:tcPr>
          <w:p w14:paraId="009C2AB9" w14:textId="0288AC40" w:rsidR="00D307A0" w:rsidRPr="00837848" w:rsidRDefault="00D307A0" w:rsidP="00D307A0">
            <w:pPr>
              <w:pStyle w:val="Tabletext"/>
            </w:pPr>
            <w:r w:rsidRPr="00837848">
              <w:t>Architecture services</w:t>
            </w:r>
          </w:p>
        </w:tc>
        <w:tc>
          <w:tcPr>
            <w:tcW w:w="0" w:type="auto"/>
            <w:vAlign w:val="center"/>
          </w:tcPr>
          <w:p w14:paraId="021FB7FA" w14:textId="5044B411" w:rsidR="00D307A0" w:rsidRPr="006C694C" w:rsidRDefault="00D307A0" w:rsidP="00D307A0">
            <w:pPr>
              <w:pStyle w:val="Tabletextcentred"/>
            </w:pPr>
            <w:r w:rsidRPr="006C694C">
              <w:t>59.2%</w:t>
            </w:r>
          </w:p>
        </w:tc>
        <w:tc>
          <w:tcPr>
            <w:tcW w:w="0" w:type="auto"/>
            <w:vAlign w:val="center"/>
          </w:tcPr>
          <w:p w14:paraId="15E1B137" w14:textId="76BCDF72" w:rsidR="00D307A0" w:rsidRPr="006C694C" w:rsidRDefault="00D307A0" w:rsidP="00D307A0">
            <w:pPr>
              <w:pStyle w:val="Tabletextcentred"/>
            </w:pPr>
            <w:r w:rsidRPr="006C694C">
              <w:t>38.8%</w:t>
            </w:r>
          </w:p>
        </w:tc>
        <w:tc>
          <w:tcPr>
            <w:tcW w:w="0" w:type="auto"/>
            <w:vAlign w:val="center"/>
          </w:tcPr>
          <w:p w14:paraId="0E583D39" w14:textId="46D4FF24" w:rsidR="00D307A0" w:rsidRPr="006C694C" w:rsidRDefault="00D307A0" w:rsidP="00D307A0">
            <w:pPr>
              <w:pStyle w:val="Tabletextcentred"/>
            </w:pPr>
            <w:r w:rsidRPr="006C694C">
              <w:t>2.1%</w:t>
            </w:r>
          </w:p>
        </w:tc>
      </w:tr>
      <w:tr w:rsidR="003508E1" w:rsidRPr="00654F9E" w14:paraId="79EFAD07" w14:textId="77777777" w:rsidTr="0044290C">
        <w:trPr>
          <w:cnfStyle w:val="000000010000" w:firstRow="0" w:lastRow="0" w:firstColumn="0" w:lastColumn="0" w:oddVBand="0" w:evenVBand="0" w:oddHBand="0" w:evenHBand="1" w:firstRowFirstColumn="0" w:firstRowLastColumn="0" w:lastRowFirstColumn="0" w:lastRowLastColumn="0"/>
          <w:cantSplit/>
        </w:trPr>
        <w:tc>
          <w:tcPr>
            <w:tcW w:w="0" w:type="auto"/>
            <w:vAlign w:val="center"/>
          </w:tcPr>
          <w:p w14:paraId="03789664" w14:textId="7ACDD3C2" w:rsidR="00D307A0" w:rsidRPr="00837848" w:rsidRDefault="00D307A0" w:rsidP="00D307A0">
            <w:pPr>
              <w:pStyle w:val="Tabletext"/>
            </w:pPr>
            <w:r w:rsidRPr="00837848">
              <w:t>Design and fashion</w:t>
            </w:r>
          </w:p>
        </w:tc>
        <w:tc>
          <w:tcPr>
            <w:tcW w:w="0" w:type="auto"/>
            <w:vAlign w:val="center"/>
          </w:tcPr>
          <w:p w14:paraId="442E3E37" w14:textId="4541C12C" w:rsidR="00D307A0" w:rsidRPr="006C694C" w:rsidRDefault="00D307A0" w:rsidP="00D307A0">
            <w:pPr>
              <w:pStyle w:val="Tabletextcentred"/>
            </w:pPr>
            <w:r w:rsidRPr="006C694C">
              <w:t>68.5%</w:t>
            </w:r>
          </w:p>
        </w:tc>
        <w:tc>
          <w:tcPr>
            <w:tcW w:w="0" w:type="auto"/>
            <w:vAlign w:val="center"/>
          </w:tcPr>
          <w:p w14:paraId="3D158D30" w14:textId="069C8D07" w:rsidR="00D307A0" w:rsidRPr="006C694C" w:rsidRDefault="00D307A0" w:rsidP="00D307A0">
            <w:pPr>
              <w:pStyle w:val="Tabletextcentred"/>
            </w:pPr>
            <w:r w:rsidRPr="006C694C">
              <w:t>30.5%</w:t>
            </w:r>
          </w:p>
        </w:tc>
        <w:tc>
          <w:tcPr>
            <w:tcW w:w="0" w:type="auto"/>
            <w:vAlign w:val="center"/>
          </w:tcPr>
          <w:p w14:paraId="7ED62FAB" w14:textId="3EDB096E" w:rsidR="00D307A0" w:rsidRPr="006C694C" w:rsidRDefault="00D307A0" w:rsidP="00D307A0">
            <w:pPr>
              <w:pStyle w:val="Tabletextcentred"/>
            </w:pPr>
            <w:r w:rsidRPr="006C694C">
              <w:t>1.0%</w:t>
            </w:r>
          </w:p>
        </w:tc>
      </w:tr>
      <w:tr w:rsidR="00837848" w:rsidRPr="00654F9E" w14:paraId="31257EF9" w14:textId="77777777" w:rsidTr="0044290C">
        <w:trPr>
          <w:cantSplit/>
        </w:trPr>
        <w:tc>
          <w:tcPr>
            <w:tcW w:w="0" w:type="auto"/>
            <w:vAlign w:val="center"/>
          </w:tcPr>
          <w:p w14:paraId="52D5674B" w14:textId="0684D70D" w:rsidR="00D307A0" w:rsidRPr="00837848" w:rsidRDefault="00D307A0" w:rsidP="00D307A0">
            <w:pPr>
              <w:pStyle w:val="Tabletext"/>
            </w:pPr>
            <w:r w:rsidRPr="00837848">
              <w:t>Advertising and promotion</w:t>
            </w:r>
          </w:p>
        </w:tc>
        <w:tc>
          <w:tcPr>
            <w:tcW w:w="0" w:type="auto"/>
            <w:vAlign w:val="center"/>
          </w:tcPr>
          <w:p w14:paraId="5FE88B4D" w14:textId="313AB0DE" w:rsidR="00D307A0" w:rsidRPr="006C694C" w:rsidRDefault="00D307A0" w:rsidP="00D307A0">
            <w:pPr>
              <w:pStyle w:val="Tabletextcentred"/>
            </w:pPr>
            <w:r w:rsidRPr="006C694C">
              <w:t>61.0%</w:t>
            </w:r>
          </w:p>
        </w:tc>
        <w:tc>
          <w:tcPr>
            <w:tcW w:w="0" w:type="auto"/>
            <w:vAlign w:val="center"/>
          </w:tcPr>
          <w:p w14:paraId="7734E7C1" w14:textId="339FEF65" w:rsidR="00D307A0" w:rsidRPr="006C694C" w:rsidRDefault="00D307A0" w:rsidP="00D307A0">
            <w:pPr>
              <w:pStyle w:val="Tabletextcentred"/>
            </w:pPr>
            <w:r w:rsidRPr="006C694C">
              <w:t>34.7%</w:t>
            </w:r>
          </w:p>
        </w:tc>
        <w:tc>
          <w:tcPr>
            <w:tcW w:w="0" w:type="auto"/>
            <w:vAlign w:val="center"/>
          </w:tcPr>
          <w:p w14:paraId="43ABCEB3" w14:textId="19AFB8C1" w:rsidR="00D307A0" w:rsidRPr="006C694C" w:rsidRDefault="00D307A0" w:rsidP="00D307A0">
            <w:pPr>
              <w:pStyle w:val="Tabletextcentred"/>
            </w:pPr>
            <w:r w:rsidRPr="006C694C">
              <w:t>4.3%</w:t>
            </w:r>
          </w:p>
        </w:tc>
      </w:tr>
      <w:tr w:rsidR="003508E1" w:rsidRPr="00654F9E" w14:paraId="669D39F6" w14:textId="77777777" w:rsidTr="0044290C">
        <w:trPr>
          <w:cnfStyle w:val="000000010000" w:firstRow="0" w:lastRow="0" w:firstColumn="0" w:lastColumn="0" w:oddVBand="0" w:evenVBand="0" w:oddHBand="0" w:evenHBand="1" w:firstRowFirstColumn="0" w:firstRowLastColumn="0" w:lastRowFirstColumn="0" w:lastRowLastColumn="0"/>
          <w:cantSplit/>
        </w:trPr>
        <w:tc>
          <w:tcPr>
            <w:tcW w:w="0" w:type="auto"/>
            <w:vAlign w:val="center"/>
          </w:tcPr>
          <w:p w14:paraId="5E87825A" w14:textId="38C57E7D" w:rsidR="00D307A0" w:rsidRPr="00837848" w:rsidRDefault="00D307A0" w:rsidP="00D307A0">
            <w:pPr>
              <w:pStyle w:val="Tabletext"/>
            </w:pPr>
            <w:r w:rsidRPr="00837848">
              <w:t>Literature, creative and performing arts, and visual arts and crafts</w:t>
            </w:r>
          </w:p>
        </w:tc>
        <w:tc>
          <w:tcPr>
            <w:tcW w:w="0" w:type="auto"/>
            <w:vAlign w:val="center"/>
          </w:tcPr>
          <w:p w14:paraId="0FA09DBA" w14:textId="0B925F60" w:rsidR="00D307A0" w:rsidRPr="006C694C" w:rsidRDefault="00D307A0" w:rsidP="00D307A0">
            <w:pPr>
              <w:pStyle w:val="Tabletextcentred"/>
            </w:pPr>
            <w:r w:rsidRPr="006C694C">
              <w:t>77.6%</w:t>
            </w:r>
          </w:p>
        </w:tc>
        <w:tc>
          <w:tcPr>
            <w:tcW w:w="0" w:type="auto"/>
            <w:vAlign w:val="center"/>
          </w:tcPr>
          <w:p w14:paraId="1FCF92AF" w14:textId="096190D0" w:rsidR="00D307A0" w:rsidRPr="006C694C" w:rsidRDefault="00D307A0" w:rsidP="00D307A0">
            <w:pPr>
              <w:pStyle w:val="Tabletextcentred"/>
            </w:pPr>
            <w:r w:rsidRPr="006C694C">
              <w:t>21.8%</w:t>
            </w:r>
          </w:p>
        </w:tc>
        <w:tc>
          <w:tcPr>
            <w:tcW w:w="0" w:type="auto"/>
            <w:vAlign w:val="center"/>
          </w:tcPr>
          <w:p w14:paraId="793AFA32" w14:textId="7EFD321B" w:rsidR="00D307A0" w:rsidRPr="006C694C" w:rsidRDefault="00D307A0" w:rsidP="00D307A0">
            <w:pPr>
              <w:pStyle w:val="Tabletextcentred"/>
            </w:pPr>
            <w:r w:rsidRPr="006C694C">
              <w:t>0.5%</w:t>
            </w:r>
          </w:p>
        </w:tc>
      </w:tr>
      <w:tr w:rsidR="00837848" w:rsidRPr="00654F9E" w14:paraId="0226F2BD" w14:textId="77777777" w:rsidTr="0044290C">
        <w:trPr>
          <w:cantSplit/>
        </w:trPr>
        <w:tc>
          <w:tcPr>
            <w:tcW w:w="0" w:type="auto"/>
            <w:vAlign w:val="center"/>
          </w:tcPr>
          <w:p w14:paraId="7AC4E0A0" w14:textId="2B3AF515" w:rsidR="00D307A0" w:rsidRPr="00837848" w:rsidRDefault="00D307A0" w:rsidP="00D307A0">
            <w:pPr>
              <w:pStyle w:val="Tabletext"/>
            </w:pPr>
            <w:r w:rsidRPr="00837848">
              <w:t>Arts education</w:t>
            </w:r>
          </w:p>
        </w:tc>
        <w:tc>
          <w:tcPr>
            <w:tcW w:w="0" w:type="auto"/>
            <w:vAlign w:val="center"/>
          </w:tcPr>
          <w:p w14:paraId="6DEA5DEC" w14:textId="0FD8F7DB" w:rsidR="00D307A0" w:rsidRPr="006C694C" w:rsidRDefault="00D307A0" w:rsidP="00D307A0">
            <w:pPr>
              <w:pStyle w:val="Tabletextcentred"/>
            </w:pPr>
            <w:r w:rsidRPr="006C694C">
              <w:t>65.2%</w:t>
            </w:r>
          </w:p>
        </w:tc>
        <w:tc>
          <w:tcPr>
            <w:tcW w:w="0" w:type="auto"/>
            <w:vAlign w:val="center"/>
          </w:tcPr>
          <w:p w14:paraId="5322140E" w14:textId="11A95325" w:rsidR="00D307A0" w:rsidRPr="006C694C" w:rsidRDefault="00D307A0" w:rsidP="00D307A0">
            <w:pPr>
              <w:pStyle w:val="Tabletextcentred"/>
            </w:pPr>
            <w:r w:rsidRPr="006C694C">
              <w:t>34.7%</w:t>
            </w:r>
          </w:p>
        </w:tc>
        <w:tc>
          <w:tcPr>
            <w:tcW w:w="0" w:type="auto"/>
            <w:vAlign w:val="center"/>
          </w:tcPr>
          <w:p w14:paraId="5D683786" w14:textId="27E769F7" w:rsidR="00D307A0" w:rsidRPr="006C694C" w:rsidRDefault="00D307A0" w:rsidP="00D307A0">
            <w:pPr>
              <w:pStyle w:val="Tabletextcentred"/>
            </w:pPr>
            <w:r w:rsidRPr="006C694C">
              <w:t>0.1%</w:t>
            </w:r>
          </w:p>
        </w:tc>
      </w:tr>
      <w:tr w:rsidR="003508E1" w:rsidRPr="00654F9E" w14:paraId="41B5D287" w14:textId="77777777" w:rsidTr="0044290C">
        <w:trPr>
          <w:cnfStyle w:val="000000010000" w:firstRow="0" w:lastRow="0" w:firstColumn="0" w:lastColumn="0" w:oddVBand="0" w:evenVBand="0" w:oddHBand="0" w:evenHBand="1" w:firstRowFirstColumn="0" w:firstRowLastColumn="0" w:lastRowFirstColumn="0" w:lastRowLastColumn="0"/>
          <w:cantSplit/>
        </w:trPr>
        <w:tc>
          <w:tcPr>
            <w:tcW w:w="0" w:type="auto"/>
            <w:vAlign w:val="center"/>
          </w:tcPr>
          <w:p w14:paraId="62006A66" w14:textId="775A53B8" w:rsidR="00D307A0" w:rsidRPr="00837848" w:rsidRDefault="00D307A0" w:rsidP="00D307A0">
            <w:pPr>
              <w:pStyle w:val="Tabletext"/>
            </w:pPr>
            <w:r w:rsidRPr="00837848">
              <w:t>Museums and galleries</w:t>
            </w:r>
          </w:p>
        </w:tc>
        <w:tc>
          <w:tcPr>
            <w:tcW w:w="0" w:type="auto"/>
            <w:vAlign w:val="center"/>
          </w:tcPr>
          <w:p w14:paraId="44FEC4D0" w14:textId="5F4AA00B" w:rsidR="00D307A0" w:rsidRPr="006C694C" w:rsidRDefault="00D307A0" w:rsidP="00D307A0">
            <w:pPr>
              <w:pStyle w:val="Tabletextcentred"/>
            </w:pPr>
            <w:r w:rsidRPr="006C694C">
              <w:t>63.2%</w:t>
            </w:r>
          </w:p>
        </w:tc>
        <w:tc>
          <w:tcPr>
            <w:tcW w:w="0" w:type="auto"/>
            <w:vAlign w:val="center"/>
          </w:tcPr>
          <w:p w14:paraId="7CD13FC4" w14:textId="4CEABCE8" w:rsidR="00D307A0" w:rsidRPr="006C694C" w:rsidRDefault="00D307A0" w:rsidP="00D307A0">
            <w:pPr>
              <w:pStyle w:val="Tabletextcentred"/>
            </w:pPr>
            <w:r w:rsidRPr="006C694C">
              <w:t>31.4%</w:t>
            </w:r>
          </w:p>
        </w:tc>
        <w:tc>
          <w:tcPr>
            <w:tcW w:w="0" w:type="auto"/>
            <w:vAlign w:val="center"/>
          </w:tcPr>
          <w:p w14:paraId="02884B1A" w14:textId="645DF43C" w:rsidR="00D307A0" w:rsidRPr="006C694C" w:rsidRDefault="00D307A0" w:rsidP="00D307A0">
            <w:pPr>
              <w:pStyle w:val="Tabletextcentred"/>
            </w:pPr>
            <w:r w:rsidRPr="006C694C">
              <w:t>5.4%</w:t>
            </w:r>
          </w:p>
        </w:tc>
      </w:tr>
      <w:tr w:rsidR="003508E1" w:rsidRPr="00654F9E" w14:paraId="6979E1FE" w14:textId="77777777" w:rsidTr="0044290C">
        <w:trPr>
          <w:cantSplit/>
        </w:trPr>
        <w:tc>
          <w:tcPr>
            <w:tcW w:w="0" w:type="auto"/>
            <w:shd w:val="clear" w:color="auto" w:fill="F2F6E8"/>
            <w:vAlign w:val="center"/>
          </w:tcPr>
          <w:p w14:paraId="6E3BC012" w14:textId="03DFAE62" w:rsidR="00D307A0" w:rsidRPr="00F35217" w:rsidRDefault="00D307A0" w:rsidP="00D307A0">
            <w:pPr>
              <w:pStyle w:val="Tabletext"/>
              <w:rPr>
                <w:b/>
              </w:rPr>
            </w:pPr>
            <w:r w:rsidRPr="00F35217">
              <w:rPr>
                <w:b/>
              </w:rPr>
              <w:t>Share of businesses within cultural and creative industries</w:t>
            </w:r>
          </w:p>
        </w:tc>
        <w:tc>
          <w:tcPr>
            <w:tcW w:w="0" w:type="auto"/>
            <w:shd w:val="clear" w:color="auto" w:fill="F2F6E8"/>
            <w:vAlign w:val="center"/>
          </w:tcPr>
          <w:p w14:paraId="05446A21" w14:textId="3731A8AA" w:rsidR="00D307A0" w:rsidRPr="006C694C" w:rsidRDefault="00D307A0" w:rsidP="00D307A0">
            <w:pPr>
              <w:pStyle w:val="Tabletextcentred"/>
            </w:pPr>
            <w:r w:rsidRPr="00EA48B6">
              <w:rPr>
                <w:b/>
              </w:rPr>
              <w:t>68.6%</w:t>
            </w:r>
          </w:p>
        </w:tc>
        <w:tc>
          <w:tcPr>
            <w:tcW w:w="0" w:type="auto"/>
            <w:shd w:val="clear" w:color="auto" w:fill="F2F6E8"/>
            <w:vAlign w:val="center"/>
          </w:tcPr>
          <w:p w14:paraId="2CA82392" w14:textId="07204B0B" w:rsidR="00D307A0" w:rsidRPr="006C694C" w:rsidRDefault="00D307A0" w:rsidP="00D307A0">
            <w:pPr>
              <w:pStyle w:val="Tabletextcentred"/>
            </w:pPr>
            <w:r w:rsidRPr="00EA48B6">
              <w:rPr>
                <w:b/>
              </w:rPr>
              <w:t>29.5%</w:t>
            </w:r>
          </w:p>
        </w:tc>
        <w:tc>
          <w:tcPr>
            <w:tcW w:w="0" w:type="auto"/>
            <w:shd w:val="clear" w:color="auto" w:fill="F2F6E8"/>
            <w:vAlign w:val="center"/>
          </w:tcPr>
          <w:p w14:paraId="496958A1" w14:textId="7CEB8AD5" w:rsidR="00D307A0" w:rsidRPr="006C694C" w:rsidRDefault="00D307A0" w:rsidP="00D307A0">
            <w:pPr>
              <w:pStyle w:val="Tabletextcentred"/>
            </w:pPr>
            <w:r w:rsidRPr="00EA48B6">
              <w:rPr>
                <w:b/>
              </w:rPr>
              <w:t>1.8%</w:t>
            </w:r>
          </w:p>
        </w:tc>
      </w:tr>
      <w:tr w:rsidR="003508E1" w:rsidRPr="00654F9E" w14:paraId="6576E142" w14:textId="77777777" w:rsidTr="0044290C">
        <w:trPr>
          <w:cnfStyle w:val="000000010000" w:firstRow="0" w:lastRow="0" w:firstColumn="0" w:lastColumn="0" w:oddVBand="0" w:evenVBand="0" w:oddHBand="0" w:evenHBand="1" w:firstRowFirstColumn="0" w:firstRowLastColumn="0" w:lastRowFirstColumn="0" w:lastRowLastColumn="0"/>
          <w:cantSplit/>
        </w:trPr>
        <w:tc>
          <w:tcPr>
            <w:tcW w:w="0" w:type="auto"/>
            <w:shd w:val="clear" w:color="auto" w:fill="F2F6E8"/>
            <w:vAlign w:val="center"/>
          </w:tcPr>
          <w:p w14:paraId="5841D1F1" w14:textId="1CAC7F2A" w:rsidR="00D307A0" w:rsidRPr="00F35217" w:rsidRDefault="00D307A0" w:rsidP="00D307A0">
            <w:pPr>
              <w:pStyle w:val="Tabletext"/>
              <w:rPr>
                <w:b/>
              </w:rPr>
            </w:pPr>
            <w:r w:rsidRPr="00F35217">
              <w:rPr>
                <w:b/>
              </w:rPr>
              <w:lastRenderedPageBreak/>
              <w:t>Share of total Australian businesses</w:t>
            </w:r>
          </w:p>
        </w:tc>
        <w:tc>
          <w:tcPr>
            <w:tcW w:w="0" w:type="auto"/>
            <w:shd w:val="clear" w:color="auto" w:fill="F2F6E8"/>
            <w:vAlign w:val="center"/>
          </w:tcPr>
          <w:p w14:paraId="701FF027" w14:textId="20972E19" w:rsidR="00D307A0" w:rsidRPr="00EA48B6" w:rsidRDefault="00D307A0" w:rsidP="00D307A0">
            <w:pPr>
              <w:pStyle w:val="Tabletextcentred"/>
              <w:rPr>
                <w:b/>
              </w:rPr>
            </w:pPr>
            <w:r w:rsidRPr="00EA48B6">
              <w:rPr>
                <w:b/>
              </w:rPr>
              <w:t>57.3%</w:t>
            </w:r>
          </w:p>
        </w:tc>
        <w:tc>
          <w:tcPr>
            <w:tcW w:w="0" w:type="auto"/>
            <w:shd w:val="clear" w:color="auto" w:fill="F2F6E8"/>
            <w:vAlign w:val="center"/>
          </w:tcPr>
          <w:p w14:paraId="144CEDB3" w14:textId="62D045A1" w:rsidR="00D307A0" w:rsidRPr="00EA48B6" w:rsidRDefault="00D307A0" w:rsidP="00D307A0">
            <w:pPr>
              <w:pStyle w:val="Tabletextcentred"/>
              <w:rPr>
                <w:b/>
              </w:rPr>
            </w:pPr>
            <w:r w:rsidRPr="00EA48B6">
              <w:rPr>
                <w:b/>
              </w:rPr>
              <w:t>39.1%</w:t>
            </w:r>
          </w:p>
        </w:tc>
        <w:tc>
          <w:tcPr>
            <w:tcW w:w="0" w:type="auto"/>
            <w:shd w:val="clear" w:color="auto" w:fill="F2F6E8"/>
            <w:vAlign w:val="center"/>
          </w:tcPr>
          <w:p w14:paraId="6647A44C" w14:textId="6B0C1571" w:rsidR="00D307A0" w:rsidRPr="00EA48B6" w:rsidRDefault="00D307A0" w:rsidP="00D307A0">
            <w:pPr>
              <w:pStyle w:val="Tabletextcentred"/>
              <w:rPr>
                <w:b/>
              </w:rPr>
            </w:pPr>
            <w:r w:rsidRPr="00EA48B6">
              <w:rPr>
                <w:b/>
              </w:rPr>
              <w:t>3.5%</w:t>
            </w:r>
          </w:p>
        </w:tc>
      </w:tr>
    </w:tbl>
    <w:p w14:paraId="705AB8A1" w14:textId="77777777" w:rsidR="003D3443" w:rsidRDefault="003D3443" w:rsidP="003D3443">
      <w:pPr>
        <w:pStyle w:val="Sourcenotes"/>
        <w:rPr>
          <w:lang w:val="en-AU"/>
        </w:rPr>
      </w:pPr>
      <w:r>
        <w:rPr>
          <w:lang w:val="en-AU"/>
        </w:rPr>
        <w:t xml:space="preserve">Note: Rows may not sum to 100% due to rounding. </w:t>
      </w:r>
    </w:p>
    <w:p w14:paraId="6369DF83" w14:textId="339EF6B3" w:rsidR="003D3443" w:rsidRDefault="003D3443" w:rsidP="003D3443">
      <w:pPr>
        <w:pStyle w:val="Sourcenotes"/>
      </w:pPr>
      <w:r w:rsidRPr="00EA48B6">
        <w:t xml:space="preserve">Source: Australian Bureau of Statistics </w:t>
      </w:r>
      <w:r w:rsidR="00676EF8">
        <w:t>–</w:t>
      </w:r>
      <w:r w:rsidRPr="00EA48B6">
        <w:t xml:space="preserve"> Counts of Australian Businesses, including Entries and Exits, June 2019 to June 2023.</w:t>
      </w:r>
    </w:p>
    <w:p w14:paraId="6FB09B80" w14:textId="5B3FCE3B" w:rsidR="003D3443" w:rsidRPr="00EE498A" w:rsidRDefault="003D3443" w:rsidP="003D3443">
      <w:r w:rsidRPr="00EA48B6">
        <w:t>All domains were highly concentrated in New South Wales and Victoria</w:t>
      </w:r>
      <w:r>
        <w:t xml:space="preserve">. </w:t>
      </w:r>
      <w:r w:rsidRPr="00B53FAC">
        <w:t>The</w:t>
      </w:r>
      <w:r w:rsidRPr="00EA48B6">
        <w:t xml:space="preserve"> domains of radio broadcasting, libraries and archives, film and television activities, and music production and distribution all </w:t>
      </w:r>
      <w:r w:rsidRPr="00EE498A">
        <w:t>recorded much higher shares of businesses located in these states, of above 70%</w:t>
      </w:r>
      <w:r w:rsidR="00A01D2C">
        <w:t xml:space="preserve"> (</w:t>
      </w:r>
      <w:r w:rsidR="00A01D2C">
        <w:fldChar w:fldCharType="begin"/>
      </w:r>
      <w:r w:rsidR="00A01D2C">
        <w:instrText xml:space="preserve"> REF _Ref182477646 \h </w:instrText>
      </w:r>
      <w:r w:rsidR="00A01D2C">
        <w:fldChar w:fldCharType="separate"/>
      </w:r>
      <w:r w:rsidR="00C65220" w:rsidRPr="00EE498A">
        <w:t xml:space="preserve">Table </w:t>
      </w:r>
      <w:r w:rsidR="00C65220">
        <w:rPr>
          <w:noProof/>
        </w:rPr>
        <w:t>2</w:t>
      </w:r>
      <w:r w:rsidR="00A01D2C">
        <w:fldChar w:fldCharType="end"/>
      </w:r>
      <w:r w:rsidR="00A01D2C">
        <w:t>)</w:t>
      </w:r>
      <w:r w:rsidRPr="00EE498A">
        <w:t>.</w:t>
      </w:r>
    </w:p>
    <w:p w14:paraId="654A6174" w14:textId="51CF61A8" w:rsidR="003D3443" w:rsidRDefault="003D3443" w:rsidP="00C31031">
      <w:pPr>
        <w:pStyle w:val="Tablefigureheading"/>
      </w:pPr>
      <w:bookmarkStart w:id="82" w:name="_Ref182477646"/>
      <w:bookmarkStart w:id="83" w:name="_Toc182484672"/>
      <w:bookmarkStart w:id="84" w:name="_Toc182914599"/>
      <w:bookmarkStart w:id="85" w:name="_Toc184641657"/>
      <w:r w:rsidRPr="00EE498A">
        <w:t xml:space="preserve">Table </w:t>
      </w:r>
      <w:r w:rsidR="003C2F6D">
        <w:fldChar w:fldCharType="begin"/>
      </w:r>
      <w:r w:rsidR="003C2F6D">
        <w:instrText xml:space="preserve"> SEQ Table \* ARABIC </w:instrText>
      </w:r>
      <w:r w:rsidR="003C2F6D">
        <w:fldChar w:fldCharType="separate"/>
      </w:r>
      <w:r w:rsidR="00C65220">
        <w:rPr>
          <w:noProof/>
        </w:rPr>
        <w:t>2</w:t>
      </w:r>
      <w:r w:rsidR="003C2F6D">
        <w:rPr>
          <w:noProof/>
        </w:rPr>
        <w:fldChar w:fldCharType="end"/>
      </w:r>
      <w:bookmarkEnd w:id="82"/>
      <w:r w:rsidRPr="00EE498A">
        <w:t>. Share of businesses within cultural and creative industries, by domain and state, June 2023</w:t>
      </w:r>
      <w:bookmarkEnd w:id="83"/>
      <w:bookmarkEnd w:id="84"/>
      <w:bookmarkEnd w:id="85"/>
    </w:p>
    <w:tbl>
      <w:tblPr>
        <w:tblStyle w:val="DefaultTable11"/>
        <w:tblW w:w="5012" w:type="pct"/>
        <w:tblCellMar>
          <w:top w:w="28" w:type="dxa"/>
          <w:bottom w:w="28" w:type="dxa"/>
        </w:tblCellMar>
        <w:tblLook w:val="0420" w:firstRow="1" w:lastRow="0" w:firstColumn="0" w:lastColumn="0" w:noHBand="0" w:noVBand="1"/>
        <w:tblDescription w:val="Table 2. Share of businesses within cultural and creative industries, by domain and state, June 2023"/>
      </w:tblPr>
      <w:tblGrid>
        <w:gridCol w:w="4019"/>
        <w:gridCol w:w="720"/>
        <w:gridCol w:w="720"/>
        <w:gridCol w:w="720"/>
        <w:gridCol w:w="618"/>
        <w:gridCol w:w="618"/>
        <w:gridCol w:w="618"/>
        <w:gridCol w:w="618"/>
        <w:gridCol w:w="618"/>
        <w:gridCol w:w="619"/>
      </w:tblGrid>
      <w:tr w:rsidR="00C31031" w:rsidRPr="00654F9E" w14:paraId="4BE90844" w14:textId="77777777" w:rsidTr="005D3849">
        <w:trPr>
          <w:cnfStyle w:val="100000000000" w:firstRow="1" w:lastRow="0" w:firstColumn="0" w:lastColumn="0" w:oddVBand="0" w:evenVBand="0" w:oddHBand="0" w:evenHBand="0" w:firstRowFirstColumn="0" w:firstRowLastColumn="0" w:lastRowFirstColumn="0" w:lastRowLastColumn="0"/>
          <w:cantSplit/>
          <w:trHeight w:hRule="exact" w:val="1701"/>
        </w:trPr>
        <w:tc>
          <w:tcPr>
            <w:tcW w:w="0" w:type="auto"/>
            <w:vAlign w:val="center"/>
          </w:tcPr>
          <w:p w14:paraId="6E866CAA" w14:textId="78539577" w:rsidR="00C31031" w:rsidRPr="00D307A0" w:rsidRDefault="00C31031" w:rsidP="00496C5A">
            <w:pPr>
              <w:pStyle w:val="Tablerowcolumnheading"/>
              <w:keepNext/>
              <w:rPr>
                <w:b/>
                <w:sz w:val="22"/>
                <w:szCs w:val="22"/>
              </w:rPr>
            </w:pPr>
            <w:r w:rsidRPr="00B93944">
              <w:rPr>
                <w:b/>
              </w:rPr>
              <w:t>Domain</w:t>
            </w:r>
          </w:p>
        </w:tc>
        <w:tc>
          <w:tcPr>
            <w:tcW w:w="0" w:type="auto"/>
            <w:textDirection w:val="btLr"/>
            <w:vAlign w:val="center"/>
          </w:tcPr>
          <w:p w14:paraId="2F281A26" w14:textId="3999F84F" w:rsidR="00C31031" w:rsidRPr="00B93944" w:rsidRDefault="00C31031" w:rsidP="00496C5A">
            <w:pPr>
              <w:pStyle w:val="Tablerowcolumnheadingcentred"/>
              <w:keepNext/>
              <w:rPr>
                <w:b/>
              </w:rPr>
            </w:pPr>
            <w:r w:rsidRPr="00B93944">
              <w:rPr>
                <w:b/>
              </w:rPr>
              <w:t>New South Wales</w:t>
            </w:r>
          </w:p>
        </w:tc>
        <w:tc>
          <w:tcPr>
            <w:tcW w:w="0" w:type="auto"/>
            <w:textDirection w:val="btLr"/>
            <w:vAlign w:val="center"/>
          </w:tcPr>
          <w:p w14:paraId="0F82E480" w14:textId="62D7AEC3" w:rsidR="00C31031" w:rsidRPr="00B93944" w:rsidRDefault="00C31031" w:rsidP="00496C5A">
            <w:pPr>
              <w:pStyle w:val="Tablerowcolumnheadingcentred"/>
              <w:keepNext/>
              <w:rPr>
                <w:b/>
              </w:rPr>
            </w:pPr>
            <w:r w:rsidRPr="00B93944">
              <w:rPr>
                <w:b/>
              </w:rPr>
              <w:t>Victoria</w:t>
            </w:r>
          </w:p>
        </w:tc>
        <w:tc>
          <w:tcPr>
            <w:tcW w:w="0" w:type="auto"/>
            <w:textDirection w:val="btLr"/>
            <w:vAlign w:val="center"/>
          </w:tcPr>
          <w:p w14:paraId="44BFE665" w14:textId="0758544C" w:rsidR="00C31031" w:rsidRPr="00B93944" w:rsidRDefault="00C31031" w:rsidP="00496C5A">
            <w:pPr>
              <w:pStyle w:val="Tablerowcolumnheadingcentred"/>
              <w:keepNext/>
              <w:rPr>
                <w:b/>
              </w:rPr>
            </w:pPr>
            <w:r w:rsidRPr="00B93944">
              <w:rPr>
                <w:b/>
              </w:rPr>
              <w:t>Queensland</w:t>
            </w:r>
          </w:p>
        </w:tc>
        <w:tc>
          <w:tcPr>
            <w:tcW w:w="0" w:type="auto"/>
            <w:textDirection w:val="btLr"/>
            <w:vAlign w:val="center"/>
          </w:tcPr>
          <w:p w14:paraId="076CD152" w14:textId="62A698D6" w:rsidR="00C31031" w:rsidRPr="00B93944" w:rsidRDefault="00C31031" w:rsidP="00496C5A">
            <w:pPr>
              <w:pStyle w:val="Tablerowcolumnheadingcentred"/>
              <w:keepNext/>
              <w:rPr>
                <w:b/>
              </w:rPr>
            </w:pPr>
            <w:r w:rsidRPr="00B93944">
              <w:rPr>
                <w:b/>
              </w:rPr>
              <w:t>South Australia</w:t>
            </w:r>
          </w:p>
        </w:tc>
        <w:tc>
          <w:tcPr>
            <w:tcW w:w="0" w:type="auto"/>
            <w:textDirection w:val="btLr"/>
            <w:vAlign w:val="center"/>
          </w:tcPr>
          <w:p w14:paraId="347E23DA" w14:textId="2C42308C" w:rsidR="00C31031" w:rsidRPr="00B93944" w:rsidRDefault="00C31031" w:rsidP="00496C5A">
            <w:pPr>
              <w:pStyle w:val="Tablerowcolumnheadingcentred"/>
              <w:keepNext/>
              <w:rPr>
                <w:b/>
              </w:rPr>
            </w:pPr>
            <w:r w:rsidRPr="00B93944">
              <w:rPr>
                <w:b/>
              </w:rPr>
              <w:t>Western Australia</w:t>
            </w:r>
          </w:p>
        </w:tc>
        <w:tc>
          <w:tcPr>
            <w:tcW w:w="0" w:type="auto"/>
            <w:textDirection w:val="btLr"/>
            <w:vAlign w:val="center"/>
          </w:tcPr>
          <w:p w14:paraId="1E4F8C9F" w14:textId="024D266E" w:rsidR="00C31031" w:rsidRPr="00B93944" w:rsidRDefault="00C31031" w:rsidP="00496C5A">
            <w:pPr>
              <w:pStyle w:val="Tablerowcolumnheadingcentred"/>
              <w:keepNext/>
              <w:rPr>
                <w:b/>
              </w:rPr>
            </w:pPr>
            <w:r w:rsidRPr="00B93944">
              <w:rPr>
                <w:b/>
              </w:rPr>
              <w:t>Tasmania</w:t>
            </w:r>
          </w:p>
        </w:tc>
        <w:tc>
          <w:tcPr>
            <w:tcW w:w="0" w:type="auto"/>
            <w:textDirection w:val="btLr"/>
            <w:vAlign w:val="center"/>
          </w:tcPr>
          <w:p w14:paraId="3603A268" w14:textId="64C80CF2" w:rsidR="00C31031" w:rsidRPr="00D307A0" w:rsidRDefault="00C31031" w:rsidP="00496C5A">
            <w:pPr>
              <w:pStyle w:val="Tablerowcolumnheadingcentred"/>
              <w:keepNext/>
              <w:rPr>
                <w:b/>
              </w:rPr>
            </w:pPr>
            <w:r w:rsidRPr="00B93944">
              <w:rPr>
                <w:b/>
              </w:rPr>
              <w:t>Northern Territory</w:t>
            </w:r>
          </w:p>
        </w:tc>
        <w:tc>
          <w:tcPr>
            <w:tcW w:w="0" w:type="auto"/>
            <w:textDirection w:val="btLr"/>
            <w:vAlign w:val="center"/>
          </w:tcPr>
          <w:p w14:paraId="447A31F1" w14:textId="69A58897" w:rsidR="00C31031" w:rsidRPr="00D307A0" w:rsidRDefault="00C31031" w:rsidP="00496C5A">
            <w:pPr>
              <w:pStyle w:val="Tablerowcolumnheadingcentred"/>
              <w:keepNext/>
              <w:rPr>
                <w:b/>
              </w:rPr>
            </w:pPr>
            <w:r w:rsidRPr="00B93944">
              <w:rPr>
                <w:b/>
              </w:rPr>
              <w:t xml:space="preserve">Australian Capital Territory </w:t>
            </w:r>
          </w:p>
        </w:tc>
        <w:tc>
          <w:tcPr>
            <w:tcW w:w="156" w:type="pct"/>
            <w:textDirection w:val="btLr"/>
            <w:vAlign w:val="center"/>
          </w:tcPr>
          <w:p w14:paraId="1EDAD34E" w14:textId="0E75F02F" w:rsidR="00C31031" w:rsidRPr="00D307A0" w:rsidRDefault="00C31031" w:rsidP="00496C5A">
            <w:pPr>
              <w:pStyle w:val="Tablerowcolumnheadingcentred"/>
              <w:keepNext/>
              <w:rPr>
                <w:b/>
              </w:rPr>
            </w:pPr>
            <w:r w:rsidRPr="00B93944">
              <w:rPr>
                <w:b/>
              </w:rPr>
              <w:t>Other</w:t>
            </w:r>
          </w:p>
        </w:tc>
      </w:tr>
      <w:tr w:rsidR="00C31031" w:rsidRPr="00654F9E" w14:paraId="53DC947D" w14:textId="77777777" w:rsidTr="005D3849">
        <w:trPr>
          <w:cantSplit/>
        </w:trPr>
        <w:tc>
          <w:tcPr>
            <w:tcW w:w="0" w:type="auto"/>
            <w:vAlign w:val="center"/>
          </w:tcPr>
          <w:p w14:paraId="45EEE3A2" w14:textId="055B9ECC" w:rsidR="00C31031" w:rsidRPr="008E534F" w:rsidRDefault="00C31031" w:rsidP="00496C5A">
            <w:pPr>
              <w:pStyle w:val="Tabletext"/>
              <w:keepNext/>
              <w:spacing w:before="60" w:after="60"/>
            </w:pPr>
            <w:r w:rsidRPr="000A4304">
              <w:rPr>
                <w:rFonts w:cstheme="minorHAnsi"/>
              </w:rPr>
              <w:t>Print media and publishing (excl. internet)</w:t>
            </w:r>
          </w:p>
        </w:tc>
        <w:tc>
          <w:tcPr>
            <w:tcW w:w="0" w:type="auto"/>
            <w:vAlign w:val="center"/>
          </w:tcPr>
          <w:p w14:paraId="37440ADC" w14:textId="26E7B960" w:rsidR="00C31031" w:rsidRDefault="00C31031" w:rsidP="00496C5A">
            <w:pPr>
              <w:pStyle w:val="Tabletextcentred"/>
              <w:keepNext/>
              <w:spacing w:before="60" w:after="60"/>
            </w:pPr>
            <w:r w:rsidRPr="006C694C">
              <w:rPr>
                <w:rFonts w:cstheme="minorHAnsi"/>
              </w:rPr>
              <w:t>37.4%</w:t>
            </w:r>
          </w:p>
        </w:tc>
        <w:tc>
          <w:tcPr>
            <w:tcW w:w="0" w:type="auto"/>
            <w:vAlign w:val="center"/>
          </w:tcPr>
          <w:p w14:paraId="20C9C104" w14:textId="22BF535F" w:rsidR="00C31031" w:rsidRDefault="00C31031" w:rsidP="00496C5A">
            <w:pPr>
              <w:pStyle w:val="Tabletextcentred"/>
              <w:keepNext/>
              <w:spacing w:before="60" w:after="60"/>
            </w:pPr>
            <w:r w:rsidRPr="006C694C">
              <w:rPr>
                <w:rFonts w:cstheme="minorHAnsi"/>
              </w:rPr>
              <w:t>28.4%</w:t>
            </w:r>
          </w:p>
        </w:tc>
        <w:tc>
          <w:tcPr>
            <w:tcW w:w="0" w:type="auto"/>
            <w:vAlign w:val="center"/>
          </w:tcPr>
          <w:p w14:paraId="5E35C92E" w14:textId="20EE1F88" w:rsidR="00C31031" w:rsidRDefault="00C31031" w:rsidP="00496C5A">
            <w:pPr>
              <w:pStyle w:val="Tabletextcentred"/>
              <w:keepNext/>
              <w:spacing w:before="60" w:after="60"/>
            </w:pPr>
            <w:r w:rsidRPr="006C694C">
              <w:rPr>
                <w:rFonts w:cstheme="minorHAnsi"/>
              </w:rPr>
              <w:t>17.7%</w:t>
            </w:r>
          </w:p>
        </w:tc>
        <w:tc>
          <w:tcPr>
            <w:tcW w:w="0" w:type="auto"/>
            <w:vAlign w:val="center"/>
          </w:tcPr>
          <w:p w14:paraId="41CF4BE0" w14:textId="6A3C6AD6" w:rsidR="00C31031" w:rsidRDefault="00C31031" w:rsidP="00496C5A">
            <w:pPr>
              <w:pStyle w:val="Tabletextcentred"/>
              <w:keepNext/>
              <w:spacing w:before="60" w:after="60"/>
            </w:pPr>
            <w:r w:rsidRPr="006C694C">
              <w:rPr>
                <w:rFonts w:cstheme="minorHAnsi"/>
              </w:rPr>
              <w:t>4.7%</w:t>
            </w:r>
          </w:p>
        </w:tc>
        <w:tc>
          <w:tcPr>
            <w:tcW w:w="0" w:type="auto"/>
            <w:vAlign w:val="center"/>
          </w:tcPr>
          <w:p w14:paraId="2ED466DA" w14:textId="2ADB8A0E" w:rsidR="00C31031" w:rsidRDefault="00C31031" w:rsidP="00496C5A">
            <w:pPr>
              <w:pStyle w:val="Tabletextcentred"/>
              <w:keepNext/>
              <w:spacing w:before="60" w:after="60"/>
            </w:pPr>
            <w:r w:rsidRPr="006C694C">
              <w:rPr>
                <w:rFonts w:cstheme="minorHAnsi"/>
              </w:rPr>
              <w:t>7.8%</w:t>
            </w:r>
          </w:p>
        </w:tc>
        <w:tc>
          <w:tcPr>
            <w:tcW w:w="0" w:type="auto"/>
            <w:vAlign w:val="center"/>
          </w:tcPr>
          <w:p w14:paraId="5F555FE6" w14:textId="434C0DA8" w:rsidR="00C31031" w:rsidRDefault="00C31031" w:rsidP="00496C5A">
            <w:pPr>
              <w:pStyle w:val="Tabletextcentred"/>
              <w:keepNext/>
              <w:spacing w:before="60" w:after="60"/>
            </w:pPr>
            <w:r w:rsidRPr="006C694C">
              <w:rPr>
                <w:rFonts w:cstheme="minorHAnsi"/>
              </w:rPr>
              <w:t>1.7%</w:t>
            </w:r>
          </w:p>
        </w:tc>
        <w:tc>
          <w:tcPr>
            <w:tcW w:w="0" w:type="auto"/>
            <w:vAlign w:val="center"/>
          </w:tcPr>
          <w:p w14:paraId="789F89E7" w14:textId="57B4C650" w:rsidR="00C31031" w:rsidRDefault="00C31031" w:rsidP="00496C5A">
            <w:pPr>
              <w:pStyle w:val="Tabletextcentred"/>
              <w:keepNext/>
              <w:spacing w:before="60" w:after="60"/>
            </w:pPr>
            <w:r w:rsidRPr="006C694C">
              <w:rPr>
                <w:rFonts w:cstheme="minorHAnsi"/>
              </w:rPr>
              <w:t>0.3%</w:t>
            </w:r>
          </w:p>
        </w:tc>
        <w:tc>
          <w:tcPr>
            <w:tcW w:w="0" w:type="auto"/>
            <w:vAlign w:val="center"/>
          </w:tcPr>
          <w:p w14:paraId="1B7A4AC5" w14:textId="4D28D490" w:rsidR="00C31031" w:rsidRPr="004729CA" w:rsidRDefault="00C31031" w:rsidP="00496C5A">
            <w:pPr>
              <w:pStyle w:val="Tabletextcentred"/>
              <w:keepNext/>
              <w:spacing w:before="60" w:after="60"/>
            </w:pPr>
            <w:r w:rsidRPr="006C694C">
              <w:rPr>
                <w:rFonts w:cstheme="minorHAnsi"/>
              </w:rPr>
              <w:t>1.5%</w:t>
            </w:r>
          </w:p>
        </w:tc>
        <w:tc>
          <w:tcPr>
            <w:tcW w:w="156" w:type="pct"/>
            <w:vAlign w:val="center"/>
          </w:tcPr>
          <w:p w14:paraId="3D93381D" w14:textId="326F6890" w:rsidR="00C31031" w:rsidRPr="004729CA" w:rsidRDefault="00C31031" w:rsidP="00496C5A">
            <w:pPr>
              <w:pStyle w:val="Tabletextcentred"/>
              <w:keepNext/>
              <w:spacing w:before="60" w:after="60"/>
            </w:pPr>
            <w:r w:rsidRPr="006C694C">
              <w:rPr>
                <w:rFonts w:cstheme="minorHAnsi"/>
              </w:rPr>
              <w:t>0.5%</w:t>
            </w:r>
          </w:p>
        </w:tc>
      </w:tr>
      <w:tr w:rsidR="00C31031" w:rsidRPr="00654F9E" w14:paraId="1153D841" w14:textId="77777777" w:rsidTr="005D3849">
        <w:trPr>
          <w:cnfStyle w:val="000000010000" w:firstRow="0" w:lastRow="0" w:firstColumn="0" w:lastColumn="0" w:oddVBand="0" w:evenVBand="0" w:oddHBand="0" w:evenHBand="1" w:firstRowFirstColumn="0" w:firstRowLastColumn="0" w:lastRowFirstColumn="0" w:lastRowLastColumn="0"/>
          <w:cantSplit/>
        </w:trPr>
        <w:tc>
          <w:tcPr>
            <w:tcW w:w="0" w:type="auto"/>
            <w:vAlign w:val="center"/>
          </w:tcPr>
          <w:p w14:paraId="50396516" w14:textId="770B2464" w:rsidR="00C31031" w:rsidRPr="008E534F" w:rsidRDefault="00C31031" w:rsidP="00496C5A">
            <w:pPr>
              <w:pStyle w:val="Tabletext"/>
              <w:keepNext/>
              <w:spacing w:before="60" w:after="60"/>
            </w:pPr>
            <w:r w:rsidRPr="000A4304">
              <w:rPr>
                <w:rFonts w:cstheme="minorHAnsi"/>
              </w:rPr>
              <w:t>Film and television activities</w:t>
            </w:r>
            <w:r w:rsidRPr="00BA2B4A" w:rsidDel="00F80747">
              <w:t xml:space="preserve"> </w:t>
            </w:r>
          </w:p>
        </w:tc>
        <w:tc>
          <w:tcPr>
            <w:tcW w:w="0" w:type="auto"/>
            <w:vAlign w:val="center"/>
          </w:tcPr>
          <w:p w14:paraId="5A8F34F2" w14:textId="0180067F" w:rsidR="00C31031" w:rsidRDefault="00C31031" w:rsidP="00496C5A">
            <w:pPr>
              <w:pStyle w:val="Tabletextcentred"/>
              <w:keepNext/>
              <w:spacing w:before="60" w:after="60"/>
            </w:pPr>
            <w:r w:rsidRPr="006C694C">
              <w:rPr>
                <w:rFonts w:cstheme="minorHAnsi"/>
              </w:rPr>
              <w:t>43.2%</w:t>
            </w:r>
          </w:p>
        </w:tc>
        <w:tc>
          <w:tcPr>
            <w:tcW w:w="0" w:type="auto"/>
            <w:vAlign w:val="center"/>
          </w:tcPr>
          <w:p w14:paraId="1B4C28F4" w14:textId="2785D47C" w:rsidR="00C31031" w:rsidRDefault="00C31031" w:rsidP="00496C5A">
            <w:pPr>
              <w:pStyle w:val="Tabletextcentred"/>
              <w:keepNext/>
              <w:spacing w:before="60" w:after="60"/>
            </w:pPr>
            <w:r w:rsidRPr="006C694C">
              <w:rPr>
                <w:rFonts w:cstheme="minorHAnsi"/>
              </w:rPr>
              <w:t>28.7%</w:t>
            </w:r>
          </w:p>
        </w:tc>
        <w:tc>
          <w:tcPr>
            <w:tcW w:w="0" w:type="auto"/>
            <w:vAlign w:val="center"/>
          </w:tcPr>
          <w:p w14:paraId="04BD02EA" w14:textId="5435622D" w:rsidR="00C31031" w:rsidRDefault="00C31031" w:rsidP="00496C5A">
            <w:pPr>
              <w:pStyle w:val="Tabletextcentred"/>
              <w:keepNext/>
              <w:spacing w:before="60" w:after="60"/>
            </w:pPr>
            <w:r w:rsidRPr="006C694C">
              <w:rPr>
                <w:rFonts w:cstheme="minorHAnsi"/>
              </w:rPr>
              <w:t>14.1%</w:t>
            </w:r>
          </w:p>
        </w:tc>
        <w:tc>
          <w:tcPr>
            <w:tcW w:w="0" w:type="auto"/>
            <w:vAlign w:val="center"/>
          </w:tcPr>
          <w:p w14:paraId="0B36C32C" w14:textId="1F04487B" w:rsidR="00C31031" w:rsidRDefault="00C31031" w:rsidP="00496C5A">
            <w:pPr>
              <w:pStyle w:val="Tabletextcentred"/>
              <w:keepNext/>
              <w:spacing w:before="60" w:after="60"/>
            </w:pPr>
            <w:r w:rsidRPr="006C694C">
              <w:rPr>
                <w:rFonts w:cstheme="minorHAnsi"/>
              </w:rPr>
              <w:t>4.6%</w:t>
            </w:r>
          </w:p>
        </w:tc>
        <w:tc>
          <w:tcPr>
            <w:tcW w:w="0" w:type="auto"/>
            <w:vAlign w:val="center"/>
          </w:tcPr>
          <w:p w14:paraId="65CFE6D5" w14:textId="025D56AD" w:rsidR="00C31031" w:rsidRDefault="00C31031" w:rsidP="00496C5A">
            <w:pPr>
              <w:pStyle w:val="Tabletextcentred"/>
              <w:keepNext/>
              <w:spacing w:before="60" w:after="60"/>
            </w:pPr>
            <w:r w:rsidRPr="006C694C">
              <w:rPr>
                <w:rFonts w:cstheme="minorHAnsi"/>
              </w:rPr>
              <w:t>5.7%</w:t>
            </w:r>
          </w:p>
        </w:tc>
        <w:tc>
          <w:tcPr>
            <w:tcW w:w="0" w:type="auto"/>
            <w:vAlign w:val="center"/>
          </w:tcPr>
          <w:p w14:paraId="44ECE7CF" w14:textId="51D2E2F8" w:rsidR="00C31031" w:rsidRDefault="00C31031" w:rsidP="00496C5A">
            <w:pPr>
              <w:pStyle w:val="Tabletextcentred"/>
              <w:keepNext/>
              <w:spacing w:before="60" w:after="60"/>
            </w:pPr>
            <w:r w:rsidRPr="006C694C">
              <w:rPr>
                <w:rFonts w:cstheme="minorHAnsi"/>
              </w:rPr>
              <w:t>1.0%</w:t>
            </w:r>
          </w:p>
        </w:tc>
        <w:tc>
          <w:tcPr>
            <w:tcW w:w="0" w:type="auto"/>
            <w:vAlign w:val="center"/>
          </w:tcPr>
          <w:p w14:paraId="44E7E97D" w14:textId="225A1FCF" w:rsidR="00C31031" w:rsidRDefault="00C31031" w:rsidP="00496C5A">
            <w:pPr>
              <w:pStyle w:val="Tabletextcentred"/>
              <w:keepNext/>
              <w:spacing w:before="60" w:after="60"/>
            </w:pPr>
            <w:r w:rsidRPr="006C694C">
              <w:rPr>
                <w:rFonts w:cstheme="minorHAnsi"/>
              </w:rPr>
              <w:t>0.6%</w:t>
            </w:r>
          </w:p>
        </w:tc>
        <w:tc>
          <w:tcPr>
            <w:tcW w:w="0" w:type="auto"/>
            <w:vAlign w:val="center"/>
          </w:tcPr>
          <w:p w14:paraId="0FF53ADA" w14:textId="76831F43" w:rsidR="00C31031" w:rsidRPr="004729CA" w:rsidRDefault="00C31031" w:rsidP="00496C5A">
            <w:pPr>
              <w:pStyle w:val="Tabletextcentred"/>
              <w:keepNext/>
              <w:spacing w:before="60" w:after="60"/>
            </w:pPr>
            <w:r w:rsidRPr="006C694C">
              <w:rPr>
                <w:rFonts w:cstheme="minorHAnsi"/>
              </w:rPr>
              <w:t>1.9%</w:t>
            </w:r>
          </w:p>
        </w:tc>
        <w:tc>
          <w:tcPr>
            <w:tcW w:w="156" w:type="pct"/>
            <w:vAlign w:val="center"/>
          </w:tcPr>
          <w:p w14:paraId="4DDF79E3" w14:textId="1F535018" w:rsidR="00C31031" w:rsidRPr="004729CA" w:rsidRDefault="00C31031" w:rsidP="00496C5A">
            <w:pPr>
              <w:pStyle w:val="Tabletextcentred"/>
              <w:keepNext/>
              <w:spacing w:before="60" w:after="60"/>
            </w:pPr>
            <w:r w:rsidRPr="006C694C">
              <w:rPr>
                <w:rFonts w:cstheme="minorHAnsi"/>
              </w:rPr>
              <w:t>0.1%</w:t>
            </w:r>
          </w:p>
        </w:tc>
      </w:tr>
      <w:tr w:rsidR="00C31031" w:rsidRPr="00654F9E" w14:paraId="2D339DDD" w14:textId="77777777" w:rsidTr="005D3849">
        <w:trPr>
          <w:cantSplit/>
        </w:trPr>
        <w:tc>
          <w:tcPr>
            <w:tcW w:w="0" w:type="auto"/>
            <w:vAlign w:val="center"/>
          </w:tcPr>
          <w:p w14:paraId="49B44F3C" w14:textId="303BF297" w:rsidR="00C31031" w:rsidRPr="000A4304" w:rsidRDefault="00C31031" w:rsidP="00496C5A">
            <w:pPr>
              <w:pStyle w:val="Tabletext"/>
              <w:keepNext/>
              <w:spacing w:before="60" w:after="60"/>
              <w:rPr>
                <w:rFonts w:cstheme="minorHAnsi"/>
              </w:rPr>
            </w:pPr>
            <w:r w:rsidRPr="000A4304">
              <w:rPr>
                <w:rFonts w:cstheme="minorHAnsi"/>
              </w:rPr>
              <w:t>Music production and distribution</w:t>
            </w:r>
          </w:p>
        </w:tc>
        <w:tc>
          <w:tcPr>
            <w:tcW w:w="0" w:type="auto"/>
            <w:vAlign w:val="center"/>
          </w:tcPr>
          <w:p w14:paraId="255084DE" w14:textId="06D65364" w:rsidR="00C31031" w:rsidRPr="006C694C" w:rsidRDefault="00C31031" w:rsidP="00496C5A">
            <w:pPr>
              <w:pStyle w:val="Tabletextcentred"/>
              <w:keepNext/>
              <w:spacing w:before="60" w:after="60"/>
              <w:rPr>
                <w:rFonts w:cstheme="minorHAnsi"/>
              </w:rPr>
            </w:pPr>
            <w:r w:rsidRPr="006C694C">
              <w:rPr>
                <w:rFonts w:cstheme="minorHAnsi"/>
              </w:rPr>
              <w:t>39.8%</w:t>
            </w:r>
          </w:p>
        </w:tc>
        <w:tc>
          <w:tcPr>
            <w:tcW w:w="0" w:type="auto"/>
            <w:vAlign w:val="center"/>
          </w:tcPr>
          <w:p w14:paraId="1D060AD9" w14:textId="6749D035" w:rsidR="00C31031" w:rsidRPr="006C694C" w:rsidRDefault="00C31031" w:rsidP="00496C5A">
            <w:pPr>
              <w:pStyle w:val="Tabletextcentred"/>
              <w:keepNext/>
              <w:spacing w:before="60" w:after="60"/>
              <w:rPr>
                <w:rFonts w:cstheme="minorHAnsi"/>
              </w:rPr>
            </w:pPr>
            <w:r w:rsidRPr="006C694C">
              <w:rPr>
                <w:rFonts w:cstheme="minorHAnsi"/>
              </w:rPr>
              <w:t>31.5%</w:t>
            </w:r>
          </w:p>
        </w:tc>
        <w:tc>
          <w:tcPr>
            <w:tcW w:w="0" w:type="auto"/>
            <w:vAlign w:val="center"/>
          </w:tcPr>
          <w:p w14:paraId="0BDAE447" w14:textId="15C579E4" w:rsidR="00C31031" w:rsidRPr="006C694C" w:rsidRDefault="00C31031" w:rsidP="00496C5A">
            <w:pPr>
              <w:pStyle w:val="Tabletextcentred"/>
              <w:keepNext/>
              <w:spacing w:before="60" w:after="60"/>
              <w:rPr>
                <w:rFonts w:cstheme="minorHAnsi"/>
              </w:rPr>
            </w:pPr>
            <w:r w:rsidRPr="006C694C">
              <w:rPr>
                <w:rFonts w:cstheme="minorHAnsi"/>
              </w:rPr>
              <w:t>15.8%</w:t>
            </w:r>
          </w:p>
        </w:tc>
        <w:tc>
          <w:tcPr>
            <w:tcW w:w="0" w:type="auto"/>
            <w:vAlign w:val="center"/>
          </w:tcPr>
          <w:p w14:paraId="6774292B" w14:textId="53E1E43D" w:rsidR="00C31031" w:rsidRPr="006C694C" w:rsidRDefault="00C31031" w:rsidP="00496C5A">
            <w:pPr>
              <w:pStyle w:val="Tabletextcentred"/>
              <w:keepNext/>
              <w:spacing w:before="60" w:after="60"/>
              <w:rPr>
                <w:rFonts w:cstheme="minorHAnsi"/>
              </w:rPr>
            </w:pPr>
            <w:r w:rsidRPr="006C694C">
              <w:rPr>
                <w:rFonts w:cstheme="minorHAnsi"/>
              </w:rPr>
              <w:t>3.4%</w:t>
            </w:r>
          </w:p>
        </w:tc>
        <w:tc>
          <w:tcPr>
            <w:tcW w:w="0" w:type="auto"/>
            <w:vAlign w:val="center"/>
          </w:tcPr>
          <w:p w14:paraId="6E5C4B5B" w14:textId="1BFDCBC8" w:rsidR="00C31031" w:rsidRPr="006C694C" w:rsidRDefault="00C31031" w:rsidP="00496C5A">
            <w:pPr>
              <w:pStyle w:val="Tabletextcentred"/>
              <w:keepNext/>
              <w:spacing w:before="60" w:after="60"/>
              <w:rPr>
                <w:rFonts w:cstheme="minorHAnsi"/>
              </w:rPr>
            </w:pPr>
            <w:r w:rsidRPr="006C694C">
              <w:rPr>
                <w:rFonts w:cstheme="minorHAnsi"/>
              </w:rPr>
              <w:t>6.6%</w:t>
            </w:r>
          </w:p>
        </w:tc>
        <w:tc>
          <w:tcPr>
            <w:tcW w:w="0" w:type="auto"/>
            <w:vAlign w:val="center"/>
          </w:tcPr>
          <w:p w14:paraId="65C3E21C" w14:textId="727F8667" w:rsidR="00C31031" w:rsidRPr="006C694C" w:rsidRDefault="00C31031" w:rsidP="00496C5A">
            <w:pPr>
              <w:pStyle w:val="Tabletextcentred"/>
              <w:keepNext/>
              <w:spacing w:before="60" w:after="60"/>
              <w:rPr>
                <w:rFonts w:cstheme="minorHAnsi"/>
              </w:rPr>
            </w:pPr>
            <w:r w:rsidRPr="006C694C">
              <w:rPr>
                <w:rFonts w:cstheme="minorHAnsi"/>
              </w:rPr>
              <w:t>1.9%</w:t>
            </w:r>
          </w:p>
        </w:tc>
        <w:tc>
          <w:tcPr>
            <w:tcW w:w="0" w:type="auto"/>
            <w:vAlign w:val="center"/>
          </w:tcPr>
          <w:p w14:paraId="26C63659" w14:textId="215419F3" w:rsidR="00C31031" w:rsidRPr="006C694C" w:rsidRDefault="00C31031" w:rsidP="00496C5A">
            <w:pPr>
              <w:pStyle w:val="Tabletextcentred"/>
              <w:keepNext/>
              <w:spacing w:before="60" w:after="60"/>
              <w:rPr>
                <w:rFonts w:cstheme="minorHAnsi"/>
              </w:rPr>
            </w:pPr>
            <w:r w:rsidRPr="006C694C">
              <w:rPr>
                <w:rFonts w:cstheme="minorHAnsi"/>
              </w:rPr>
              <w:t>0.3%</w:t>
            </w:r>
          </w:p>
        </w:tc>
        <w:tc>
          <w:tcPr>
            <w:tcW w:w="0" w:type="auto"/>
            <w:vAlign w:val="center"/>
          </w:tcPr>
          <w:p w14:paraId="1D1FB692" w14:textId="327454EC" w:rsidR="00C31031" w:rsidRPr="006C694C" w:rsidRDefault="00C31031" w:rsidP="00496C5A">
            <w:pPr>
              <w:pStyle w:val="Tabletextcentred"/>
              <w:keepNext/>
              <w:spacing w:before="60" w:after="60"/>
              <w:rPr>
                <w:rFonts w:cstheme="minorHAnsi"/>
              </w:rPr>
            </w:pPr>
            <w:r w:rsidRPr="006C694C">
              <w:rPr>
                <w:rFonts w:cstheme="minorHAnsi"/>
              </w:rPr>
              <w:t>0.6%</w:t>
            </w:r>
          </w:p>
        </w:tc>
        <w:tc>
          <w:tcPr>
            <w:tcW w:w="156" w:type="pct"/>
            <w:vAlign w:val="center"/>
          </w:tcPr>
          <w:p w14:paraId="64ABC864" w14:textId="33EAACD0" w:rsidR="00C31031" w:rsidRPr="006C694C" w:rsidRDefault="00C31031" w:rsidP="00496C5A">
            <w:pPr>
              <w:pStyle w:val="Tabletextcentred"/>
              <w:keepNext/>
              <w:spacing w:before="60" w:after="60"/>
              <w:rPr>
                <w:rFonts w:cstheme="minorHAnsi"/>
              </w:rPr>
            </w:pPr>
            <w:r w:rsidRPr="006C694C">
              <w:rPr>
                <w:rFonts w:cstheme="minorHAnsi"/>
              </w:rPr>
              <w:t>0.0%</w:t>
            </w:r>
          </w:p>
        </w:tc>
      </w:tr>
      <w:tr w:rsidR="00C31031" w:rsidRPr="00654F9E" w14:paraId="6623256F" w14:textId="77777777" w:rsidTr="005D3849">
        <w:trPr>
          <w:cnfStyle w:val="000000010000" w:firstRow="0" w:lastRow="0" w:firstColumn="0" w:lastColumn="0" w:oddVBand="0" w:evenVBand="0" w:oddHBand="0" w:evenHBand="1" w:firstRowFirstColumn="0" w:firstRowLastColumn="0" w:lastRowFirstColumn="0" w:lastRowLastColumn="0"/>
          <w:cantSplit/>
        </w:trPr>
        <w:tc>
          <w:tcPr>
            <w:tcW w:w="0" w:type="auto"/>
            <w:vAlign w:val="center"/>
          </w:tcPr>
          <w:p w14:paraId="484FD518" w14:textId="6D600D3B" w:rsidR="00C31031" w:rsidRPr="000A4304" w:rsidRDefault="00C31031" w:rsidP="00496C5A">
            <w:pPr>
              <w:pStyle w:val="Tabletext"/>
              <w:spacing w:before="60" w:after="60"/>
              <w:rPr>
                <w:rFonts w:cstheme="minorHAnsi"/>
              </w:rPr>
            </w:pPr>
            <w:r w:rsidRPr="000A4304">
              <w:rPr>
                <w:rFonts w:cstheme="minorHAnsi"/>
              </w:rPr>
              <w:t>Radio Broadcasting</w:t>
            </w:r>
          </w:p>
        </w:tc>
        <w:tc>
          <w:tcPr>
            <w:tcW w:w="0" w:type="auto"/>
            <w:vAlign w:val="center"/>
          </w:tcPr>
          <w:p w14:paraId="39AEDEDF" w14:textId="18E87E95" w:rsidR="00C31031" w:rsidRPr="006C694C" w:rsidRDefault="00C31031" w:rsidP="00496C5A">
            <w:pPr>
              <w:pStyle w:val="Tabletextcentred"/>
              <w:spacing w:before="60" w:after="60"/>
              <w:rPr>
                <w:rFonts w:cstheme="minorHAnsi"/>
              </w:rPr>
            </w:pPr>
            <w:r w:rsidRPr="006C694C">
              <w:rPr>
                <w:rFonts w:cstheme="minorHAnsi"/>
              </w:rPr>
              <w:t>55.7%</w:t>
            </w:r>
          </w:p>
        </w:tc>
        <w:tc>
          <w:tcPr>
            <w:tcW w:w="0" w:type="auto"/>
            <w:vAlign w:val="center"/>
          </w:tcPr>
          <w:p w14:paraId="04A8F319" w14:textId="2A4CCE35" w:rsidR="00C31031" w:rsidRPr="006C694C" w:rsidRDefault="00C31031" w:rsidP="00496C5A">
            <w:pPr>
              <w:pStyle w:val="Tabletextcentred"/>
              <w:spacing w:before="60" w:after="60"/>
              <w:rPr>
                <w:rFonts w:cstheme="minorHAnsi"/>
              </w:rPr>
            </w:pPr>
            <w:r w:rsidRPr="006C694C">
              <w:rPr>
                <w:rFonts w:cstheme="minorHAnsi"/>
              </w:rPr>
              <w:t>17.5%</w:t>
            </w:r>
          </w:p>
        </w:tc>
        <w:tc>
          <w:tcPr>
            <w:tcW w:w="0" w:type="auto"/>
            <w:vAlign w:val="center"/>
          </w:tcPr>
          <w:p w14:paraId="6082B0A4" w14:textId="5F8F83F2" w:rsidR="00C31031" w:rsidRPr="006C694C" w:rsidRDefault="00C31031" w:rsidP="00496C5A">
            <w:pPr>
              <w:pStyle w:val="Tabletextcentred"/>
              <w:spacing w:before="60" w:after="60"/>
              <w:rPr>
                <w:rFonts w:cstheme="minorHAnsi"/>
              </w:rPr>
            </w:pPr>
            <w:r w:rsidRPr="006C694C">
              <w:rPr>
                <w:rFonts w:cstheme="minorHAnsi"/>
              </w:rPr>
              <w:t>12.4%</w:t>
            </w:r>
          </w:p>
        </w:tc>
        <w:tc>
          <w:tcPr>
            <w:tcW w:w="0" w:type="auto"/>
            <w:vAlign w:val="center"/>
          </w:tcPr>
          <w:p w14:paraId="10BF6404" w14:textId="1FC5B9B3" w:rsidR="00C31031" w:rsidRPr="006C694C" w:rsidRDefault="00C31031" w:rsidP="00496C5A">
            <w:pPr>
              <w:pStyle w:val="Tabletextcentred"/>
              <w:spacing w:before="60" w:after="60"/>
              <w:rPr>
                <w:rFonts w:cstheme="minorHAnsi"/>
              </w:rPr>
            </w:pPr>
            <w:r w:rsidRPr="006C694C">
              <w:rPr>
                <w:rFonts w:cstheme="minorHAnsi"/>
              </w:rPr>
              <w:t>2.6%</w:t>
            </w:r>
          </w:p>
        </w:tc>
        <w:tc>
          <w:tcPr>
            <w:tcW w:w="0" w:type="auto"/>
            <w:vAlign w:val="center"/>
          </w:tcPr>
          <w:p w14:paraId="196C982A" w14:textId="7F71D93F" w:rsidR="00C31031" w:rsidRPr="006C694C" w:rsidRDefault="00C31031" w:rsidP="00496C5A">
            <w:pPr>
              <w:pStyle w:val="Tabletextcentred"/>
              <w:spacing w:before="60" w:after="60"/>
              <w:rPr>
                <w:rFonts w:cstheme="minorHAnsi"/>
              </w:rPr>
            </w:pPr>
            <w:r w:rsidRPr="006C694C">
              <w:rPr>
                <w:rFonts w:cstheme="minorHAnsi"/>
              </w:rPr>
              <w:t>8.8%</w:t>
            </w:r>
          </w:p>
        </w:tc>
        <w:tc>
          <w:tcPr>
            <w:tcW w:w="0" w:type="auto"/>
            <w:vAlign w:val="center"/>
          </w:tcPr>
          <w:p w14:paraId="76164B43" w14:textId="4DA84231" w:rsidR="00C31031" w:rsidRPr="006C694C" w:rsidRDefault="00C31031" w:rsidP="00496C5A">
            <w:pPr>
              <w:pStyle w:val="Tabletextcentred"/>
              <w:spacing w:before="60" w:after="60"/>
              <w:rPr>
                <w:rFonts w:cstheme="minorHAnsi"/>
              </w:rPr>
            </w:pPr>
            <w:r w:rsidRPr="006C694C">
              <w:rPr>
                <w:rFonts w:cstheme="minorHAnsi"/>
              </w:rPr>
              <w:t>0.0%</w:t>
            </w:r>
          </w:p>
        </w:tc>
        <w:tc>
          <w:tcPr>
            <w:tcW w:w="0" w:type="auto"/>
            <w:vAlign w:val="center"/>
          </w:tcPr>
          <w:p w14:paraId="50523888" w14:textId="4B0038D4" w:rsidR="00C31031" w:rsidRPr="006C694C" w:rsidRDefault="00C31031" w:rsidP="00496C5A">
            <w:pPr>
              <w:pStyle w:val="Tabletextcentred"/>
              <w:spacing w:before="60" w:after="60"/>
              <w:rPr>
                <w:rFonts w:cstheme="minorHAnsi"/>
              </w:rPr>
            </w:pPr>
            <w:r w:rsidRPr="006C694C">
              <w:rPr>
                <w:rFonts w:cstheme="minorHAnsi"/>
              </w:rPr>
              <w:t>1.5%</w:t>
            </w:r>
          </w:p>
        </w:tc>
        <w:tc>
          <w:tcPr>
            <w:tcW w:w="0" w:type="auto"/>
            <w:vAlign w:val="center"/>
          </w:tcPr>
          <w:p w14:paraId="7D4FA886" w14:textId="6290ED7D" w:rsidR="00C31031" w:rsidRPr="006C694C" w:rsidRDefault="00C31031" w:rsidP="00496C5A">
            <w:pPr>
              <w:pStyle w:val="Tabletextcentred"/>
              <w:spacing w:before="60" w:after="60"/>
              <w:rPr>
                <w:rFonts w:cstheme="minorHAnsi"/>
              </w:rPr>
            </w:pPr>
            <w:r w:rsidRPr="006C694C">
              <w:rPr>
                <w:rFonts w:cstheme="minorHAnsi"/>
              </w:rPr>
              <w:t>0.0%</w:t>
            </w:r>
          </w:p>
        </w:tc>
        <w:tc>
          <w:tcPr>
            <w:tcW w:w="156" w:type="pct"/>
            <w:vAlign w:val="center"/>
          </w:tcPr>
          <w:p w14:paraId="740104D4" w14:textId="6CF3B165" w:rsidR="00C31031" w:rsidRPr="006C694C" w:rsidRDefault="00C31031" w:rsidP="00496C5A">
            <w:pPr>
              <w:pStyle w:val="Tabletextcentred"/>
              <w:spacing w:before="60" w:after="60"/>
              <w:rPr>
                <w:rFonts w:cstheme="minorHAnsi"/>
              </w:rPr>
            </w:pPr>
            <w:r w:rsidRPr="006C694C">
              <w:rPr>
                <w:rFonts w:cstheme="minorHAnsi"/>
              </w:rPr>
              <w:t>1.5%</w:t>
            </w:r>
          </w:p>
        </w:tc>
      </w:tr>
      <w:tr w:rsidR="00C31031" w:rsidRPr="00654F9E" w14:paraId="5F030993" w14:textId="77777777" w:rsidTr="005D3849">
        <w:trPr>
          <w:cantSplit/>
        </w:trPr>
        <w:tc>
          <w:tcPr>
            <w:tcW w:w="0" w:type="auto"/>
            <w:vAlign w:val="center"/>
          </w:tcPr>
          <w:p w14:paraId="4B49C7F6" w14:textId="12934304" w:rsidR="00C31031" w:rsidRPr="000A4304" w:rsidRDefault="00C31031" w:rsidP="00496C5A">
            <w:pPr>
              <w:pStyle w:val="Tabletext"/>
              <w:spacing w:before="60" w:after="60"/>
              <w:rPr>
                <w:rFonts w:cstheme="minorHAnsi"/>
              </w:rPr>
            </w:pPr>
            <w:r w:rsidRPr="000A4304">
              <w:rPr>
                <w:rFonts w:cstheme="minorHAnsi"/>
              </w:rPr>
              <w:t>Internet publishing and broadcasting</w:t>
            </w:r>
          </w:p>
        </w:tc>
        <w:tc>
          <w:tcPr>
            <w:tcW w:w="0" w:type="auto"/>
            <w:vAlign w:val="center"/>
          </w:tcPr>
          <w:p w14:paraId="68891263" w14:textId="367EB889" w:rsidR="00C31031" w:rsidRPr="006C694C" w:rsidRDefault="00C31031" w:rsidP="00496C5A">
            <w:pPr>
              <w:pStyle w:val="Tabletextcentred"/>
              <w:spacing w:before="60" w:after="60"/>
              <w:rPr>
                <w:rFonts w:cstheme="minorHAnsi"/>
              </w:rPr>
            </w:pPr>
            <w:r w:rsidRPr="006C694C">
              <w:rPr>
                <w:rFonts w:cstheme="minorHAnsi"/>
              </w:rPr>
              <w:t>38.8%</w:t>
            </w:r>
          </w:p>
        </w:tc>
        <w:tc>
          <w:tcPr>
            <w:tcW w:w="0" w:type="auto"/>
            <w:vAlign w:val="center"/>
          </w:tcPr>
          <w:p w14:paraId="6D9360FD" w14:textId="367A2F92" w:rsidR="00C31031" w:rsidRPr="006C694C" w:rsidRDefault="00C31031" w:rsidP="00496C5A">
            <w:pPr>
              <w:pStyle w:val="Tabletextcentred"/>
              <w:spacing w:before="60" w:after="60"/>
              <w:rPr>
                <w:rFonts w:cstheme="minorHAnsi"/>
              </w:rPr>
            </w:pPr>
            <w:r w:rsidRPr="006C694C">
              <w:rPr>
                <w:rFonts w:cstheme="minorHAnsi"/>
              </w:rPr>
              <w:t>25.2%</w:t>
            </w:r>
          </w:p>
        </w:tc>
        <w:tc>
          <w:tcPr>
            <w:tcW w:w="0" w:type="auto"/>
            <w:vAlign w:val="center"/>
          </w:tcPr>
          <w:p w14:paraId="49FCC1DF" w14:textId="087FB8AD" w:rsidR="00C31031" w:rsidRPr="006C694C" w:rsidRDefault="00C31031" w:rsidP="00496C5A">
            <w:pPr>
              <w:pStyle w:val="Tabletextcentred"/>
              <w:spacing w:before="60" w:after="60"/>
              <w:rPr>
                <w:rFonts w:cstheme="minorHAnsi"/>
              </w:rPr>
            </w:pPr>
            <w:r w:rsidRPr="006C694C">
              <w:rPr>
                <w:rFonts w:cstheme="minorHAnsi"/>
              </w:rPr>
              <w:t>19.6%</w:t>
            </w:r>
          </w:p>
        </w:tc>
        <w:tc>
          <w:tcPr>
            <w:tcW w:w="0" w:type="auto"/>
            <w:vAlign w:val="center"/>
          </w:tcPr>
          <w:p w14:paraId="00A65A83" w14:textId="26DC8703" w:rsidR="00C31031" w:rsidRPr="006C694C" w:rsidRDefault="00C31031" w:rsidP="00496C5A">
            <w:pPr>
              <w:pStyle w:val="Tabletextcentred"/>
              <w:spacing w:before="60" w:after="60"/>
              <w:rPr>
                <w:rFonts w:cstheme="minorHAnsi"/>
              </w:rPr>
            </w:pPr>
            <w:r w:rsidRPr="006C694C">
              <w:rPr>
                <w:rFonts w:cstheme="minorHAnsi"/>
              </w:rPr>
              <w:t>4.5%</w:t>
            </w:r>
          </w:p>
        </w:tc>
        <w:tc>
          <w:tcPr>
            <w:tcW w:w="0" w:type="auto"/>
            <w:vAlign w:val="center"/>
          </w:tcPr>
          <w:p w14:paraId="08EB068B" w14:textId="75344079" w:rsidR="00C31031" w:rsidRPr="006C694C" w:rsidRDefault="00C31031" w:rsidP="00496C5A">
            <w:pPr>
              <w:pStyle w:val="Tabletextcentred"/>
              <w:spacing w:before="60" w:after="60"/>
              <w:rPr>
                <w:rFonts w:cstheme="minorHAnsi"/>
              </w:rPr>
            </w:pPr>
            <w:r w:rsidRPr="006C694C">
              <w:rPr>
                <w:rFonts w:cstheme="minorHAnsi"/>
              </w:rPr>
              <w:t>7.6%</w:t>
            </w:r>
          </w:p>
        </w:tc>
        <w:tc>
          <w:tcPr>
            <w:tcW w:w="0" w:type="auto"/>
            <w:vAlign w:val="center"/>
          </w:tcPr>
          <w:p w14:paraId="3B66C9C1" w14:textId="709A5F9C" w:rsidR="00C31031" w:rsidRPr="006C694C" w:rsidRDefault="00C31031" w:rsidP="00496C5A">
            <w:pPr>
              <w:pStyle w:val="Tabletextcentred"/>
              <w:spacing w:before="60" w:after="60"/>
              <w:rPr>
                <w:rFonts w:cstheme="minorHAnsi"/>
              </w:rPr>
            </w:pPr>
            <w:r w:rsidRPr="006C694C">
              <w:rPr>
                <w:rFonts w:cstheme="minorHAnsi"/>
              </w:rPr>
              <w:t>1.7%</w:t>
            </w:r>
          </w:p>
        </w:tc>
        <w:tc>
          <w:tcPr>
            <w:tcW w:w="0" w:type="auto"/>
            <w:vAlign w:val="center"/>
          </w:tcPr>
          <w:p w14:paraId="7156CC7C" w14:textId="6D52D509" w:rsidR="00C31031" w:rsidRPr="006C694C" w:rsidRDefault="00C31031" w:rsidP="00496C5A">
            <w:pPr>
              <w:pStyle w:val="Tabletextcentred"/>
              <w:spacing w:before="60" w:after="60"/>
              <w:rPr>
                <w:rFonts w:cstheme="minorHAnsi"/>
              </w:rPr>
            </w:pPr>
            <w:r w:rsidRPr="006C694C">
              <w:rPr>
                <w:rFonts w:cstheme="minorHAnsi"/>
              </w:rPr>
              <w:t>0.3%</w:t>
            </w:r>
          </w:p>
        </w:tc>
        <w:tc>
          <w:tcPr>
            <w:tcW w:w="0" w:type="auto"/>
            <w:vAlign w:val="center"/>
          </w:tcPr>
          <w:p w14:paraId="29EFB1A0" w14:textId="1DC3B3BB" w:rsidR="00C31031" w:rsidRPr="006C694C" w:rsidRDefault="00C31031" w:rsidP="00496C5A">
            <w:pPr>
              <w:pStyle w:val="Tabletextcentred"/>
              <w:spacing w:before="60" w:after="60"/>
              <w:rPr>
                <w:rFonts w:cstheme="minorHAnsi"/>
              </w:rPr>
            </w:pPr>
            <w:r w:rsidRPr="006C694C">
              <w:rPr>
                <w:rFonts w:cstheme="minorHAnsi"/>
              </w:rPr>
              <w:t>1.7%</w:t>
            </w:r>
          </w:p>
        </w:tc>
        <w:tc>
          <w:tcPr>
            <w:tcW w:w="156" w:type="pct"/>
            <w:vAlign w:val="center"/>
          </w:tcPr>
          <w:p w14:paraId="6B7E1546" w14:textId="77D2D157" w:rsidR="00C31031" w:rsidRPr="006C694C" w:rsidRDefault="00C31031" w:rsidP="00496C5A">
            <w:pPr>
              <w:pStyle w:val="Tabletextcentred"/>
              <w:spacing w:before="60" w:after="60"/>
              <w:rPr>
                <w:rFonts w:cstheme="minorHAnsi"/>
              </w:rPr>
            </w:pPr>
            <w:r w:rsidRPr="006C694C">
              <w:rPr>
                <w:rFonts w:cstheme="minorHAnsi"/>
              </w:rPr>
              <w:t>0.6%</w:t>
            </w:r>
          </w:p>
        </w:tc>
      </w:tr>
      <w:tr w:rsidR="00C31031" w:rsidRPr="00654F9E" w14:paraId="4319F58F" w14:textId="77777777" w:rsidTr="005D3849">
        <w:trPr>
          <w:cnfStyle w:val="000000010000" w:firstRow="0" w:lastRow="0" w:firstColumn="0" w:lastColumn="0" w:oddVBand="0" w:evenVBand="0" w:oddHBand="0" w:evenHBand="1" w:firstRowFirstColumn="0" w:firstRowLastColumn="0" w:lastRowFirstColumn="0" w:lastRowLastColumn="0"/>
          <w:cantSplit/>
        </w:trPr>
        <w:tc>
          <w:tcPr>
            <w:tcW w:w="0" w:type="auto"/>
            <w:vAlign w:val="center"/>
          </w:tcPr>
          <w:p w14:paraId="473AB9F3" w14:textId="55EE4F02" w:rsidR="00C31031" w:rsidRPr="000A4304" w:rsidRDefault="00C31031" w:rsidP="00496C5A">
            <w:pPr>
              <w:pStyle w:val="Tabletext"/>
              <w:spacing w:before="60" w:after="60"/>
              <w:rPr>
                <w:rFonts w:cstheme="minorHAnsi"/>
              </w:rPr>
            </w:pPr>
            <w:r w:rsidRPr="000A4304">
              <w:rPr>
                <w:rFonts w:cs="Calibri"/>
              </w:rPr>
              <w:t>Libraries and archives</w:t>
            </w:r>
          </w:p>
        </w:tc>
        <w:tc>
          <w:tcPr>
            <w:tcW w:w="0" w:type="auto"/>
            <w:vAlign w:val="center"/>
          </w:tcPr>
          <w:p w14:paraId="32FC8136" w14:textId="3259D452" w:rsidR="00C31031" w:rsidRPr="006C694C" w:rsidRDefault="00C31031" w:rsidP="00496C5A">
            <w:pPr>
              <w:pStyle w:val="Tabletextcentred"/>
              <w:spacing w:before="60" w:after="60"/>
              <w:rPr>
                <w:rFonts w:cstheme="minorHAnsi"/>
              </w:rPr>
            </w:pPr>
            <w:r w:rsidRPr="006C694C">
              <w:rPr>
                <w:rFonts w:cstheme="minorHAnsi"/>
              </w:rPr>
              <w:t>43.9%</w:t>
            </w:r>
          </w:p>
        </w:tc>
        <w:tc>
          <w:tcPr>
            <w:tcW w:w="0" w:type="auto"/>
            <w:vAlign w:val="center"/>
          </w:tcPr>
          <w:p w14:paraId="1BF5B79B" w14:textId="3B332A67" w:rsidR="00C31031" w:rsidRPr="006C694C" w:rsidRDefault="00C31031" w:rsidP="00496C5A">
            <w:pPr>
              <w:pStyle w:val="Tabletextcentred"/>
              <w:spacing w:before="60" w:after="60"/>
              <w:rPr>
                <w:rFonts w:cstheme="minorHAnsi"/>
              </w:rPr>
            </w:pPr>
            <w:r w:rsidRPr="006C694C">
              <w:rPr>
                <w:rFonts w:cstheme="minorHAnsi"/>
              </w:rPr>
              <w:t>28.6%</w:t>
            </w:r>
          </w:p>
        </w:tc>
        <w:tc>
          <w:tcPr>
            <w:tcW w:w="0" w:type="auto"/>
            <w:vAlign w:val="center"/>
          </w:tcPr>
          <w:p w14:paraId="3C91779F" w14:textId="34EE7860" w:rsidR="00C31031" w:rsidRPr="006C694C" w:rsidRDefault="00C31031" w:rsidP="00496C5A">
            <w:pPr>
              <w:pStyle w:val="Tabletextcentred"/>
              <w:spacing w:before="60" w:after="60"/>
              <w:rPr>
                <w:rFonts w:cstheme="minorHAnsi"/>
              </w:rPr>
            </w:pPr>
            <w:r w:rsidRPr="006C694C">
              <w:rPr>
                <w:rFonts w:cstheme="minorHAnsi"/>
              </w:rPr>
              <w:t>13.3%</w:t>
            </w:r>
          </w:p>
        </w:tc>
        <w:tc>
          <w:tcPr>
            <w:tcW w:w="0" w:type="auto"/>
            <w:vAlign w:val="center"/>
          </w:tcPr>
          <w:p w14:paraId="33A6DF16" w14:textId="3B8CD53D" w:rsidR="00C31031" w:rsidRPr="006C694C" w:rsidRDefault="00C31031" w:rsidP="00496C5A">
            <w:pPr>
              <w:pStyle w:val="Tabletextcentred"/>
              <w:spacing w:before="60" w:after="60"/>
              <w:rPr>
                <w:rFonts w:cstheme="minorHAnsi"/>
              </w:rPr>
            </w:pPr>
            <w:r w:rsidRPr="006C694C">
              <w:rPr>
                <w:rFonts w:cstheme="minorHAnsi"/>
              </w:rPr>
              <w:t>5.1%</w:t>
            </w:r>
          </w:p>
        </w:tc>
        <w:tc>
          <w:tcPr>
            <w:tcW w:w="0" w:type="auto"/>
            <w:vAlign w:val="center"/>
          </w:tcPr>
          <w:p w14:paraId="23C91E0B" w14:textId="24DD6140" w:rsidR="00C31031" w:rsidRPr="006C694C" w:rsidRDefault="00C31031" w:rsidP="00496C5A">
            <w:pPr>
              <w:pStyle w:val="Tabletextcentred"/>
              <w:spacing w:before="60" w:after="60"/>
              <w:rPr>
                <w:rFonts w:cstheme="minorHAnsi"/>
              </w:rPr>
            </w:pPr>
            <w:r w:rsidRPr="006C694C">
              <w:rPr>
                <w:rFonts w:cstheme="minorHAnsi"/>
              </w:rPr>
              <w:t>6.1%</w:t>
            </w:r>
          </w:p>
        </w:tc>
        <w:tc>
          <w:tcPr>
            <w:tcW w:w="0" w:type="auto"/>
            <w:vAlign w:val="center"/>
          </w:tcPr>
          <w:p w14:paraId="759257AC" w14:textId="5BE890CA" w:rsidR="00C31031" w:rsidRPr="006C694C" w:rsidRDefault="00C31031" w:rsidP="00496C5A">
            <w:pPr>
              <w:pStyle w:val="Tabletextcentred"/>
              <w:spacing w:before="60" w:after="60"/>
              <w:rPr>
                <w:rFonts w:cstheme="minorHAnsi"/>
              </w:rPr>
            </w:pPr>
            <w:r w:rsidRPr="006C694C">
              <w:rPr>
                <w:rFonts w:cstheme="minorHAnsi"/>
              </w:rPr>
              <w:t>0.0%</w:t>
            </w:r>
          </w:p>
        </w:tc>
        <w:tc>
          <w:tcPr>
            <w:tcW w:w="0" w:type="auto"/>
            <w:vAlign w:val="center"/>
          </w:tcPr>
          <w:p w14:paraId="0A3A4CDC" w14:textId="04078C99" w:rsidR="00C31031" w:rsidRPr="006C694C" w:rsidRDefault="00C31031" w:rsidP="00496C5A">
            <w:pPr>
              <w:pStyle w:val="Tabletextcentred"/>
              <w:spacing w:before="60" w:after="60"/>
              <w:rPr>
                <w:rFonts w:cstheme="minorHAnsi"/>
              </w:rPr>
            </w:pPr>
            <w:r w:rsidRPr="006C694C">
              <w:rPr>
                <w:rFonts w:cstheme="minorHAnsi"/>
              </w:rPr>
              <w:t>0.0%</w:t>
            </w:r>
          </w:p>
        </w:tc>
        <w:tc>
          <w:tcPr>
            <w:tcW w:w="0" w:type="auto"/>
            <w:vAlign w:val="center"/>
          </w:tcPr>
          <w:p w14:paraId="79A352A2" w14:textId="30A97CAF" w:rsidR="00C31031" w:rsidRPr="006C694C" w:rsidRDefault="00C31031" w:rsidP="00496C5A">
            <w:pPr>
              <w:pStyle w:val="Tabletextcentred"/>
              <w:spacing w:before="60" w:after="60"/>
              <w:rPr>
                <w:rFonts w:cstheme="minorHAnsi"/>
              </w:rPr>
            </w:pPr>
            <w:r w:rsidRPr="006C694C">
              <w:rPr>
                <w:rFonts w:cstheme="minorHAnsi"/>
              </w:rPr>
              <w:t>3.1%</w:t>
            </w:r>
          </w:p>
        </w:tc>
        <w:tc>
          <w:tcPr>
            <w:tcW w:w="156" w:type="pct"/>
            <w:vAlign w:val="center"/>
          </w:tcPr>
          <w:p w14:paraId="09A61255" w14:textId="71211AC4" w:rsidR="00C31031" w:rsidRPr="006C694C" w:rsidRDefault="00C31031" w:rsidP="00496C5A">
            <w:pPr>
              <w:pStyle w:val="Tabletextcentred"/>
              <w:spacing w:before="60" w:after="60"/>
              <w:rPr>
                <w:rFonts w:cstheme="minorHAnsi"/>
              </w:rPr>
            </w:pPr>
            <w:r w:rsidRPr="006C694C">
              <w:rPr>
                <w:rFonts w:cstheme="minorHAnsi"/>
              </w:rPr>
              <w:t>0.0%</w:t>
            </w:r>
          </w:p>
        </w:tc>
      </w:tr>
      <w:tr w:rsidR="00C31031" w:rsidRPr="00654F9E" w14:paraId="194B33D8" w14:textId="77777777" w:rsidTr="005D3849">
        <w:trPr>
          <w:cantSplit/>
        </w:trPr>
        <w:tc>
          <w:tcPr>
            <w:tcW w:w="0" w:type="auto"/>
            <w:vAlign w:val="center"/>
          </w:tcPr>
          <w:p w14:paraId="4DC22A28" w14:textId="75109891" w:rsidR="00C31031" w:rsidRPr="000A4304" w:rsidRDefault="00C31031" w:rsidP="00496C5A">
            <w:pPr>
              <w:pStyle w:val="Tabletext"/>
              <w:spacing w:before="60" w:after="60"/>
              <w:rPr>
                <w:rFonts w:cs="Calibri"/>
              </w:rPr>
            </w:pPr>
            <w:r w:rsidRPr="000A4304">
              <w:rPr>
                <w:rFonts w:cs="Calibri"/>
              </w:rPr>
              <w:t>Architecture services</w:t>
            </w:r>
          </w:p>
        </w:tc>
        <w:tc>
          <w:tcPr>
            <w:tcW w:w="0" w:type="auto"/>
            <w:vAlign w:val="center"/>
          </w:tcPr>
          <w:p w14:paraId="2CD80C49" w14:textId="18B9EE3C" w:rsidR="00C31031" w:rsidRPr="006C694C" w:rsidRDefault="00C31031" w:rsidP="00496C5A">
            <w:pPr>
              <w:pStyle w:val="Tabletextcentred"/>
              <w:spacing w:before="60" w:after="60"/>
              <w:rPr>
                <w:rFonts w:cstheme="minorHAnsi"/>
              </w:rPr>
            </w:pPr>
            <w:r w:rsidRPr="006C694C">
              <w:rPr>
                <w:rFonts w:cstheme="minorHAnsi"/>
              </w:rPr>
              <w:t>34.5%</w:t>
            </w:r>
          </w:p>
        </w:tc>
        <w:tc>
          <w:tcPr>
            <w:tcW w:w="0" w:type="auto"/>
            <w:vAlign w:val="center"/>
          </w:tcPr>
          <w:p w14:paraId="775C187E" w14:textId="2FF53B81" w:rsidR="00C31031" w:rsidRPr="006C694C" w:rsidRDefault="00C31031" w:rsidP="00496C5A">
            <w:pPr>
              <w:pStyle w:val="Tabletextcentred"/>
              <w:spacing w:before="60" w:after="60"/>
              <w:rPr>
                <w:rFonts w:cstheme="minorHAnsi"/>
              </w:rPr>
            </w:pPr>
            <w:r w:rsidRPr="006C694C">
              <w:rPr>
                <w:rFonts w:cstheme="minorHAnsi"/>
              </w:rPr>
              <w:t>30.9%</w:t>
            </w:r>
          </w:p>
        </w:tc>
        <w:tc>
          <w:tcPr>
            <w:tcW w:w="0" w:type="auto"/>
            <w:vAlign w:val="center"/>
          </w:tcPr>
          <w:p w14:paraId="2324A105" w14:textId="6DF8972E" w:rsidR="00C31031" w:rsidRPr="006C694C" w:rsidRDefault="00C31031" w:rsidP="00496C5A">
            <w:pPr>
              <w:pStyle w:val="Tabletextcentred"/>
              <w:spacing w:before="60" w:after="60"/>
              <w:rPr>
                <w:rFonts w:cstheme="minorHAnsi"/>
              </w:rPr>
            </w:pPr>
            <w:r w:rsidRPr="006C694C">
              <w:rPr>
                <w:rFonts w:cstheme="minorHAnsi"/>
              </w:rPr>
              <w:t>16.1%</w:t>
            </w:r>
          </w:p>
        </w:tc>
        <w:tc>
          <w:tcPr>
            <w:tcW w:w="0" w:type="auto"/>
            <w:vAlign w:val="center"/>
          </w:tcPr>
          <w:p w14:paraId="4F421169" w14:textId="74CCBF50" w:rsidR="00C31031" w:rsidRPr="006C694C" w:rsidRDefault="00C31031" w:rsidP="00496C5A">
            <w:pPr>
              <w:pStyle w:val="Tabletextcentred"/>
              <w:spacing w:before="60" w:after="60"/>
              <w:rPr>
                <w:rFonts w:cstheme="minorHAnsi"/>
              </w:rPr>
            </w:pPr>
            <w:r w:rsidRPr="006C694C">
              <w:rPr>
                <w:rFonts w:cstheme="minorHAnsi"/>
              </w:rPr>
              <w:t>4.9%</w:t>
            </w:r>
          </w:p>
        </w:tc>
        <w:tc>
          <w:tcPr>
            <w:tcW w:w="0" w:type="auto"/>
            <w:vAlign w:val="center"/>
          </w:tcPr>
          <w:p w14:paraId="34A2C5C2" w14:textId="6DD446C9" w:rsidR="00C31031" w:rsidRPr="006C694C" w:rsidRDefault="00C31031" w:rsidP="00496C5A">
            <w:pPr>
              <w:pStyle w:val="Tabletextcentred"/>
              <w:spacing w:before="60" w:after="60"/>
              <w:rPr>
                <w:rFonts w:cstheme="minorHAnsi"/>
              </w:rPr>
            </w:pPr>
            <w:r w:rsidRPr="006C694C">
              <w:rPr>
                <w:rFonts w:cstheme="minorHAnsi"/>
              </w:rPr>
              <w:t>9.4%</w:t>
            </w:r>
          </w:p>
        </w:tc>
        <w:tc>
          <w:tcPr>
            <w:tcW w:w="0" w:type="auto"/>
            <w:vAlign w:val="center"/>
          </w:tcPr>
          <w:p w14:paraId="63896A6F" w14:textId="03AC8E6D" w:rsidR="00C31031" w:rsidRPr="006C694C" w:rsidRDefault="00C31031" w:rsidP="00496C5A">
            <w:pPr>
              <w:pStyle w:val="Tabletextcentred"/>
              <w:spacing w:before="60" w:after="60"/>
              <w:rPr>
                <w:rFonts w:cstheme="minorHAnsi"/>
              </w:rPr>
            </w:pPr>
            <w:r w:rsidRPr="006C694C">
              <w:rPr>
                <w:rFonts w:cstheme="minorHAnsi"/>
              </w:rPr>
              <w:t>2.0%</w:t>
            </w:r>
          </w:p>
        </w:tc>
        <w:tc>
          <w:tcPr>
            <w:tcW w:w="0" w:type="auto"/>
            <w:vAlign w:val="center"/>
          </w:tcPr>
          <w:p w14:paraId="29C4FEB0" w14:textId="0DE09363" w:rsidR="00C31031" w:rsidRPr="006C694C" w:rsidRDefault="00C31031" w:rsidP="00496C5A">
            <w:pPr>
              <w:pStyle w:val="Tabletextcentred"/>
              <w:spacing w:before="60" w:after="60"/>
              <w:rPr>
                <w:rFonts w:cstheme="minorHAnsi"/>
              </w:rPr>
            </w:pPr>
            <w:r w:rsidRPr="006C694C">
              <w:rPr>
                <w:rFonts w:cstheme="minorHAnsi"/>
              </w:rPr>
              <w:t>0.4%</w:t>
            </w:r>
          </w:p>
        </w:tc>
        <w:tc>
          <w:tcPr>
            <w:tcW w:w="0" w:type="auto"/>
            <w:vAlign w:val="center"/>
          </w:tcPr>
          <w:p w14:paraId="056B8207" w14:textId="7B8301BF" w:rsidR="00C31031" w:rsidRPr="006C694C" w:rsidRDefault="00C31031" w:rsidP="00496C5A">
            <w:pPr>
              <w:pStyle w:val="Tabletextcentred"/>
              <w:spacing w:before="60" w:after="60"/>
              <w:rPr>
                <w:rFonts w:cstheme="minorHAnsi"/>
              </w:rPr>
            </w:pPr>
            <w:r w:rsidRPr="006C694C">
              <w:rPr>
                <w:rFonts w:cstheme="minorHAnsi"/>
              </w:rPr>
              <w:t>1.7%</w:t>
            </w:r>
          </w:p>
        </w:tc>
        <w:tc>
          <w:tcPr>
            <w:tcW w:w="156" w:type="pct"/>
            <w:vAlign w:val="center"/>
          </w:tcPr>
          <w:p w14:paraId="08680317" w14:textId="6BE6F2D9" w:rsidR="00C31031" w:rsidRPr="006C694C" w:rsidRDefault="00C31031" w:rsidP="00496C5A">
            <w:pPr>
              <w:pStyle w:val="Tabletextcentred"/>
              <w:spacing w:before="60" w:after="60"/>
              <w:rPr>
                <w:rFonts w:cstheme="minorHAnsi"/>
              </w:rPr>
            </w:pPr>
            <w:r w:rsidRPr="006C694C">
              <w:rPr>
                <w:rFonts w:cstheme="minorHAnsi"/>
              </w:rPr>
              <w:t>0.1%</w:t>
            </w:r>
          </w:p>
        </w:tc>
      </w:tr>
      <w:tr w:rsidR="00C31031" w:rsidRPr="00654F9E" w14:paraId="5B993F3F" w14:textId="77777777" w:rsidTr="005D3849">
        <w:trPr>
          <w:cnfStyle w:val="000000010000" w:firstRow="0" w:lastRow="0" w:firstColumn="0" w:lastColumn="0" w:oddVBand="0" w:evenVBand="0" w:oddHBand="0" w:evenHBand="1" w:firstRowFirstColumn="0" w:firstRowLastColumn="0" w:lastRowFirstColumn="0" w:lastRowLastColumn="0"/>
          <w:cantSplit/>
        </w:trPr>
        <w:tc>
          <w:tcPr>
            <w:tcW w:w="0" w:type="auto"/>
            <w:vAlign w:val="center"/>
          </w:tcPr>
          <w:p w14:paraId="35713491" w14:textId="211C46FB" w:rsidR="00C31031" w:rsidRPr="000A4304" w:rsidRDefault="00C31031" w:rsidP="00496C5A">
            <w:pPr>
              <w:pStyle w:val="Tabletext"/>
              <w:spacing w:before="60" w:after="60"/>
              <w:rPr>
                <w:rFonts w:cs="Calibri"/>
              </w:rPr>
            </w:pPr>
            <w:r w:rsidRPr="000A4304">
              <w:rPr>
                <w:rFonts w:cstheme="minorHAnsi"/>
              </w:rPr>
              <w:t>Design and fashion</w:t>
            </w:r>
          </w:p>
        </w:tc>
        <w:tc>
          <w:tcPr>
            <w:tcW w:w="0" w:type="auto"/>
            <w:vAlign w:val="center"/>
          </w:tcPr>
          <w:p w14:paraId="52FA74B1" w14:textId="54DBBEA9" w:rsidR="00C31031" w:rsidRPr="006C694C" w:rsidRDefault="00C31031" w:rsidP="00496C5A">
            <w:pPr>
              <w:pStyle w:val="Tabletextcentred"/>
              <w:spacing w:before="60" w:after="60"/>
              <w:rPr>
                <w:rFonts w:cstheme="minorHAnsi"/>
              </w:rPr>
            </w:pPr>
            <w:r w:rsidRPr="006C694C">
              <w:rPr>
                <w:rFonts w:cstheme="minorHAnsi"/>
              </w:rPr>
              <w:t>38.5%</w:t>
            </w:r>
          </w:p>
        </w:tc>
        <w:tc>
          <w:tcPr>
            <w:tcW w:w="0" w:type="auto"/>
            <w:vAlign w:val="center"/>
          </w:tcPr>
          <w:p w14:paraId="6D5B9838" w14:textId="0D2E2B12" w:rsidR="00C31031" w:rsidRPr="006C694C" w:rsidRDefault="00C31031" w:rsidP="00496C5A">
            <w:pPr>
              <w:pStyle w:val="Tabletextcentred"/>
              <w:spacing w:before="60" w:after="60"/>
              <w:rPr>
                <w:rFonts w:cstheme="minorHAnsi"/>
              </w:rPr>
            </w:pPr>
            <w:r w:rsidRPr="006C694C">
              <w:rPr>
                <w:rFonts w:cstheme="minorHAnsi"/>
              </w:rPr>
              <w:t>28.8%</w:t>
            </w:r>
          </w:p>
        </w:tc>
        <w:tc>
          <w:tcPr>
            <w:tcW w:w="0" w:type="auto"/>
            <w:vAlign w:val="center"/>
          </w:tcPr>
          <w:p w14:paraId="6DEB8817" w14:textId="3F370491" w:rsidR="00C31031" w:rsidRPr="006C694C" w:rsidRDefault="00C31031" w:rsidP="00496C5A">
            <w:pPr>
              <w:pStyle w:val="Tabletextcentred"/>
              <w:spacing w:before="60" w:after="60"/>
              <w:rPr>
                <w:rFonts w:cstheme="minorHAnsi"/>
              </w:rPr>
            </w:pPr>
            <w:r w:rsidRPr="006C694C">
              <w:rPr>
                <w:rFonts w:cstheme="minorHAnsi"/>
              </w:rPr>
              <w:t>17.0%</w:t>
            </w:r>
          </w:p>
        </w:tc>
        <w:tc>
          <w:tcPr>
            <w:tcW w:w="0" w:type="auto"/>
            <w:vAlign w:val="center"/>
          </w:tcPr>
          <w:p w14:paraId="7FD0BBFC" w14:textId="3CB6FCE7" w:rsidR="00C31031" w:rsidRPr="006C694C" w:rsidRDefault="00C31031" w:rsidP="00496C5A">
            <w:pPr>
              <w:pStyle w:val="Tabletextcentred"/>
              <w:spacing w:before="60" w:after="60"/>
              <w:rPr>
                <w:rFonts w:cstheme="minorHAnsi"/>
              </w:rPr>
            </w:pPr>
            <w:r w:rsidRPr="006C694C">
              <w:rPr>
                <w:rFonts w:cstheme="minorHAnsi"/>
              </w:rPr>
              <w:t>5.2%</w:t>
            </w:r>
          </w:p>
        </w:tc>
        <w:tc>
          <w:tcPr>
            <w:tcW w:w="0" w:type="auto"/>
            <w:vAlign w:val="center"/>
          </w:tcPr>
          <w:p w14:paraId="05C8A677" w14:textId="5310F5AB" w:rsidR="00C31031" w:rsidRPr="006C694C" w:rsidRDefault="00C31031" w:rsidP="00496C5A">
            <w:pPr>
              <w:pStyle w:val="Tabletextcentred"/>
              <w:spacing w:before="60" w:after="60"/>
              <w:rPr>
                <w:rFonts w:cstheme="minorHAnsi"/>
              </w:rPr>
            </w:pPr>
            <w:r w:rsidRPr="006C694C">
              <w:rPr>
                <w:rFonts w:cstheme="minorHAnsi"/>
              </w:rPr>
              <w:t>7.4%</w:t>
            </w:r>
          </w:p>
        </w:tc>
        <w:tc>
          <w:tcPr>
            <w:tcW w:w="0" w:type="auto"/>
            <w:vAlign w:val="center"/>
          </w:tcPr>
          <w:p w14:paraId="7DA6D6B4" w14:textId="4CAD9376" w:rsidR="00C31031" w:rsidRPr="006C694C" w:rsidRDefault="00C31031" w:rsidP="00496C5A">
            <w:pPr>
              <w:pStyle w:val="Tabletextcentred"/>
              <w:spacing w:before="60" w:after="60"/>
              <w:rPr>
                <w:rFonts w:cstheme="minorHAnsi"/>
              </w:rPr>
            </w:pPr>
            <w:r w:rsidRPr="006C694C">
              <w:rPr>
                <w:rFonts w:cstheme="minorHAnsi"/>
              </w:rPr>
              <w:t>1.4%</w:t>
            </w:r>
          </w:p>
        </w:tc>
        <w:tc>
          <w:tcPr>
            <w:tcW w:w="0" w:type="auto"/>
            <w:vAlign w:val="center"/>
          </w:tcPr>
          <w:p w14:paraId="0487AF6E" w14:textId="39FEF6C0" w:rsidR="00C31031" w:rsidRPr="006C694C" w:rsidRDefault="00C31031" w:rsidP="00496C5A">
            <w:pPr>
              <w:pStyle w:val="Tabletextcentred"/>
              <w:spacing w:before="60" w:after="60"/>
              <w:rPr>
                <w:rFonts w:cstheme="minorHAnsi"/>
              </w:rPr>
            </w:pPr>
            <w:r w:rsidRPr="006C694C">
              <w:rPr>
                <w:rFonts w:cstheme="minorHAnsi"/>
              </w:rPr>
              <w:t>0.4%</w:t>
            </w:r>
          </w:p>
        </w:tc>
        <w:tc>
          <w:tcPr>
            <w:tcW w:w="0" w:type="auto"/>
            <w:vAlign w:val="center"/>
          </w:tcPr>
          <w:p w14:paraId="6461C223" w14:textId="054CF846" w:rsidR="00C31031" w:rsidRPr="006C694C" w:rsidRDefault="00C31031" w:rsidP="00496C5A">
            <w:pPr>
              <w:pStyle w:val="Tabletextcentred"/>
              <w:spacing w:before="60" w:after="60"/>
              <w:rPr>
                <w:rFonts w:cstheme="minorHAnsi"/>
              </w:rPr>
            </w:pPr>
            <w:r w:rsidRPr="006C694C">
              <w:rPr>
                <w:rFonts w:cstheme="minorHAnsi"/>
              </w:rPr>
              <w:t>1.2%</w:t>
            </w:r>
          </w:p>
        </w:tc>
        <w:tc>
          <w:tcPr>
            <w:tcW w:w="156" w:type="pct"/>
            <w:vAlign w:val="center"/>
          </w:tcPr>
          <w:p w14:paraId="156194E1" w14:textId="74DD44B5" w:rsidR="00C31031" w:rsidRPr="006C694C" w:rsidRDefault="00C31031" w:rsidP="00496C5A">
            <w:pPr>
              <w:pStyle w:val="Tabletextcentred"/>
              <w:spacing w:before="60" w:after="60"/>
              <w:rPr>
                <w:rFonts w:cstheme="minorHAnsi"/>
              </w:rPr>
            </w:pPr>
            <w:r w:rsidRPr="006C694C">
              <w:rPr>
                <w:rFonts w:cstheme="minorHAnsi"/>
              </w:rPr>
              <w:t>0.0%</w:t>
            </w:r>
          </w:p>
        </w:tc>
      </w:tr>
      <w:tr w:rsidR="00C31031" w:rsidRPr="00654F9E" w14:paraId="55B61E48" w14:textId="77777777" w:rsidTr="005D3849">
        <w:trPr>
          <w:cantSplit/>
        </w:trPr>
        <w:tc>
          <w:tcPr>
            <w:tcW w:w="0" w:type="auto"/>
            <w:vAlign w:val="center"/>
          </w:tcPr>
          <w:p w14:paraId="02274DF6" w14:textId="46B48FC4" w:rsidR="00C31031" w:rsidRPr="000A4304" w:rsidRDefault="00C31031" w:rsidP="00496C5A">
            <w:pPr>
              <w:pStyle w:val="Tabletext"/>
              <w:spacing w:before="60" w:after="60"/>
              <w:rPr>
                <w:rFonts w:cstheme="minorHAnsi"/>
              </w:rPr>
            </w:pPr>
            <w:r w:rsidRPr="000A4304">
              <w:rPr>
                <w:rFonts w:cstheme="minorHAnsi"/>
              </w:rPr>
              <w:t>Advertising and promotion</w:t>
            </w:r>
          </w:p>
        </w:tc>
        <w:tc>
          <w:tcPr>
            <w:tcW w:w="0" w:type="auto"/>
            <w:vAlign w:val="center"/>
          </w:tcPr>
          <w:p w14:paraId="38E6837A" w14:textId="17FC235A" w:rsidR="00C31031" w:rsidRPr="006C694C" w:rsidRDefault="00C31031" w:rsidP="00496C5A">
            <w:pPr>
              <w:pStyle w:val="Tabletextcentred"/>
              <w:spacing w:before="60" w:after="60"/>
              <w:rPr>
                <w:rFonts w:cstheme="minorHAnsi"/>
              </w:rPr>
            </w:pPr>
            <w:r w:rsidRPr="006C694C">
              <w:rPr>
                <w:rFonts w:cstheme="minorHAnsi"/>
              </w:rPr>
              <w:t>38.6%</w:t>
            </w:r>
          </w:p>
        </w:tc>
        <w:tc>
          <w:tcPr>
            <w:tcW w:w="0" w:type="auto"/>
            <w:vAlign w:val="center"/>
          </w:tcPr>
          <w:p w14:paraId="7E4EA022" w14:textId="3EE502AC" w:rsidR="00C31031" w:rsidRPr="006C694C" w:rsidRDefault="00C31031" w:rsidP="00496C5A">
            <w:pPr>
              <w:pStyle w:val="Tabletextcentred"/>
              <w:spacing w:before="60" w:after="60"/>
              <w:rPr>
                <w:rFonts w:cstheme="minorHAnsi"/>
              </w:rPr>
            </w:pPr>
            <w:r w:rsidRPr="006C694C">
              <w:rPr>
                <w:rFonts w:cstheme="minorHAnsi"/>
              </w:rPr>
              <w:t>26.4%</w:t>
            </w:r>
          </w:p>
        </w:tc>
        <w:tc>
          <w:tcPr>
            <w:tcW w:w="0" w:type="auto"/>
            <w:vAlign w:val="center"/>
          </w:tcPr>
          <w:p w14:paraId="29622DC4" w14:textId="72A44531" w:rsidR="00C31031" w:rsidRPr="006C694C" w:rsidRDefault="00C31031" w:rsidP="00496C5A">
            <w:pPr>
              <w:pStyle w:val="Tabletextcentred"/>
              <w:spacing w:before="60" w:after="60"/>
              <w:rPr>
                <w:rFonts w:cstheme="minorHAnsi"/>
              </w:rPr>
            </w:pPr>
            <w:r w:rsidRPr="006C694C">
              <w:rPr>
                <w:rFonts w:cstheme="minorHAnsi"/>
              </w:rPr>
              <w:t>20.5%</w:t>
            </w:r>
          </w:p>
        </w:tc>
        <w:tc>
          <w:tcPr>
            <w:tcW w:w="0" w:type="auto"/>
            <w:vAlign w:val="center"/>
          </w:tcPr>
          <w:p w14:paraId="368283F5" w14:textId="22FF584C" w:rsidR="00C31031" w:rsidRPr="006C694C" w:rsidRDefault="00C31031" w:rsidP="00496C5A">
            <w:pPr>
              <w:pStyle w:val="Tabletextcentred"/>
              <w:spacing w:before="60" w:after="60"/>
              <w:rPr>
                <w:rFonts w:cstheme="minorHAnsi"/>
              </w:rPr>
            </w:pPr>
            <w:r w:rsidRPr="006C694C">
              <w:rPr>
                <w:rFonts w:cstheme="minorHAnsi"/>
              </w:rPr>
              <w:t>4.8%</w:t>
            </w:r>
          </w:p>
        </w:tc>
        <w:tc>
          <w:tcPr>
            <w:tcW w:w="0" w:type="auto"/>
            <w:vAlign w:val="center"/>
          </w:tcPr>
          <w:p w14:paraId="480D19FB" w14:textId="38EB19E0" w:rsidR="00C31031" w:rsidRPr="006C694C" w:rsidRDefault="00C31031" w:rsidP="00496C5A">
            <w:pPr>
              <w:pStyle w:val="Tabletextcentred"/>
              <w:spacing w:before="60" w:after="60"/>
              <w:rPr>
                <w:rFonts w:cstheme="minorHAnsi"/>
              </w:rPr>
            </w:pPr>
            <w:r w:rsidRPr="006C694C">
              <w:rPr>
                <w:rFonts w:cstheme="minorHAnsi"/>
              </w:rPr>
              <w:t>7.3%</w:t>
            </w:r>
          </w:p>
        </w:tc>
        <w:tc>
          <w:tcPr>
            <w:tcW w:w="0" w:type="auto"/>
            <w:vAlign w:val="center"/>
          </w:tcPr>
          <w:p w14:paraId="39AA9311" w14:textId="2E4C7E0B" w:rsidR="00C31031" w:rsidRPr="006C694C" w:rsidRDefault="00C31031" w:rsidP="00496C5A">
            <w:pPr>
              <w:pStyle w:val="Tabletextcentred"/>
              <w:spacing w:before="60" w:after="60"/>
              <w:rPr>
                <w:rFonts w:cstheme="minorHAnsi"/>
              </w:rPr>
            </w:pPr>
            <w:r w:rsidRPr="006C694C">
              <w:rPr>
                <w:rFonts w:cstheme="minorHAnsi"/>
              </w:rPr>
              <w:t>1.0%</w:t>
            </w:r>
          </w:p>
        </w:tc>
        <w:tc>
          <w:tcPr>
            <w:tcW w:w="0" w:type="auto"/>
            <w:vAlign w:val="center"/>
          </w:tcPr>
          <w:p w14:paraId="5FD8C7B1" w14:textId="478C3367" w:rsidR="00C31031" w:rsidRPr="006C694C" w:rsidRDefault="00C31031" w:rsidP="00496C5A">
            <w:pPr>
              <w:pStyle w:val="Tabletextcentred"/>
              <w:spacing w:before="60" w:after="60"/>
              <w:rPr>
                <w:rFonts w:cstheme="minorHAnsi"/>
              </w:rPr>
            </w:pPr>
            <w:r w:rsidRPr="006C694C">
              <w:rPr>
                <w:rFonts w:cstheme="minorHAnsi"/>
              </w:rPr>
              <w:t>0.3%</w:t>
            </w:r>
          </w:p>
        </w:tc>
        <w:tc>
          <w:tcPr>
            <w:tcW w:w="0" w:type="auto"/>
            <w:vAlign w:val="center"/>
          </w:tcPr>
          <w:p w14:paraId="1A71CD4F" w14:textId="689CD43A" w:rsidR="00C31031" w:rsidRPr="006C694C" w:rsidRDefault="00C31031" w:rsidP="00496C5A">
            <w:pPr>
              <w:pStyle w:val="Tabletextcentred"/>
              <w:spacing w:before="60" w:after="60"/>
              <w:rPr>
                <w:rFonts w:cstheme="minorHAnsi"/>
              </w:rPr>
            </w:pPr>
            <w:r w:rsidRPr="006C694C">
              <w:rPr>
                <w:rFonts w:cstheme="minorHAnsi"/>
              </w:rPr>
              <w:t>0.9%</w:t>
            </w:r>
          </w:p>
        </w:tc>
        <w:tc>
          <w:tcPr>
            <w:tcW w:w="156" w:type="pct"/>
            <w:vAlign w:val="center"/>
          </w:tcPr>
          <w:p w14:paraId="1ADE1AC8" w14:textId="63869ECB" w:rsidR="00C31031" w:rsidRPr="006C694C" w:rsidRDefault="00C31031" w:rsidP="00496C5A">
            <w:pPr>
              <w:pStyle w:val="Tabletextcentred"/>
              <w:spacing w:before="60" w:after="60"/>
              <w:rPr>
                <w:rFonts w:cstheme="minorHAnsi"/>
              </w:rPr>
            </w:pPr>
            <w:r w:rsidRPr="006C694C">
              <w:rPr>
                <w:rFonts w:cstheme="minorHAnsi"/>
              </w:rPr>
              <w:t>0.2%</w:t>
            </w:r>
          </w:p>
        </w:tc>
      </w:tr>
      <w:tr w:rsidR="00C31031" w:rsidRPr="00654F9E" w14:paraId="47252755" w14:textId="77777777" w:rsidTr="005D3849">
        <w:trPr>
          <w:cnfStyle w:val="000000010000" w:firstRow="0" w:lastRow="0" w:firstColumn="0" w:lastColumn="0" w:oddVBand="0" w:evenVBand="0" w:oddHBand="0" w:evenHBand="1" w:firstRowFirstColumn="0" w:firstRowLastColumn="0" w:lastRowFirstColumn="0" w:lastRowLastColumn="0"/>
          <w:cantSplit/>
        </w:trPr>
        <w:tc>
          <w:tcPr>
            <w:tcW w:w="0" w:type="auto"/>
            <w:vAlign w:val="center"/>
          </w:tcPr>
          <w:p w14:paraId="7F5EF72D" w14:textId="7762BE1E" w:rsidR="00C31031" w:rsidRPr="000A4304" w:rsidRDefault="00C31031" w:rsidP="00496C5A">
            <w:pPr>
              <w:pStyle w:val="Tabletext"/>
              <w:spacing w:before="60" w:after="60"/>
              <w:rPr>
                <w:rFonts w:cstheme="minorHAnsi"/>
              </w:rPr>
            </w:pPr>
            <w:r w:rsidRPr="000A4304">
              <w:rPr>
                <w:rFonts w:cstheme="minorHAnsi"/>
              </w:rPr>
              <w:t>Literature, creative and performing arts</w:t>
            </w:r>
            <w:r>
              <w:rPr>
                <w:rFonts w:cstheme="minorHAnsi"/>
              </w:rPr>
              <w:t>, and</w:t>
            </w:r>
            <w:r w:rsidRPr="000A4304">
              <w:rPr>
                <w:rFonts w:cstheme="minorHAnsi"/>
              </w:rPr>
              <w:t xml:space="preserve"> </w:t>
            </w:r>
            <w:r>
              <w:rPr>
                <w:rFonts w:cstheme="minorHAnsi"/>
              </w:rPr>
              <w:t>v</w:t>
            </w:r>
            <w:r w:rsidRPr="000A4304">
              <w:rPr>
                <w:rFonts w:cstheme="minorHAnsi"/>
              </w:rPr>
              <w:t>isual arts and crafts</w:t>
            </w:r>
          </w:p>
        </w:tc>
        <w:tc>
          <w:tcPr>
            <w:tcW w:w="0" w:type="auto"/>
            <w:vAlign w:val="center"/>
          </w:tcPr>
          <w:p w14:paraId="793D6923" w14:textId="222487BA" w:rsidR="00C31031" w:rsidRPr="006C694C" w:rsidRDefault="00C31031" w:rsidP="00496C5A">
            <w:pPr>
              <w:pStyle w:val="Tabletextcentred"/>
              <w:spacing w:before="60" w:after="60"/>
              <w:rPr>
                <w:rFonts w:cstheme="minorHAnsi"/>
              </w:rPr>
            </w:pPr>
            <w:r w:rsidRPr="006C694C">
              <w:rPr>
                <w:rFonts w:cstheme="minorHAnsi"/>
              </w:rPr>
              <w:t>36.7%</w:t>
            </w:r>
          </w:p>
        </w:tc>
        <w:tc>
          <w:tcPr>
            <w:tcW w:w="0" w:type="auto"/>
            <w:vAlign w:val="center"/>
          </w:tcPr>
          <w:p w14:paraId="43F76438" w14:textId="6E77A3BD" w:rsidR="00C31031" w:rsidRPr="006C694C" w:rsidRDefault="00C31031" w:rsidP="00496C5A">
            <w:pPr>
              <w:pStyle w:val="Tabletextcentred"/>
              <w:spacing w:before="60" w:after="60"/>
              <w:rPr>
                <w:rFonts w:cstheme="minorHAnsi"/>
              </w:rPr>
            </w:pPr>
            <w:r w:rsidRPr="006C694C">
              <w:rPr>
                <w:rFonts w:cstheme="minorHAnsi"/>
              </w:rPr>
              <w:t>30.9%</w:t>
            </w:r>
          </w:p>
        </w:tc>
        <w:tc>
          <w:tcPr>
            <w:tcW w:w="0" w:type="auto"/>
            <w:vAlign w:val="center"/>
          </w:tcPr>
          <w:p w14:paraId="04CC7F9B" w14:textId="7ED17A33" w:rsidR="00C31031" w:rsidRPr="006C694C" w:rsidRDefault="00C31031" w:rsidP="00496C5A">
            <w:pPr>
              <w:pStyle w:val="Tabletextcentred"/>
              <w:spacing w:before="60" w:after="60"/>
              <w:rPr>
                <w:rFonts w:cstheme="minorHAnsi"/>
              </w:rPr>
            </w:pPr>
            <w:r w:rsidRPr="006C694C">
              <w:rPr>
                <w:rFonts w:cstheme="minorHAnsi"/>
              </w:rPr>
              <w:t>16.4%</w:t>
            </w:r>
          </w:p>
        </w:tc>
        <w:tc>
          <w:tcPr>
            <w:tcW w:w="0" w:type="auto"/>
            <w:vAlign w:val="center"/>
          </w:tcPr>
          <w:p w14:paraId="344806D2" w14:textId="4549F023" w:rsidR="00C31031" w:rsidRPr="006C694C" w:rsidRDefault="00C31031" w:rsidP="00496C5A">
            <w:pPr>
              <w:pStyle w:val="Tabletextcentred"/>
              <w:spacing w:before="60" w:after="60"/>
              <w:rPr>
                <w:rFonts w:cstheme="minorHAnsi"/>
              </w:rPr>
            </w:pPr>
            <w:r w:rsidRPr="006C694C">
              <w:rPr>
                <w:rFonts w:cstheme="minorHAnsi"/>
              </w:rPr>
              <w:t>5.0%</w:t>
            </w:r>
          </w:p>
        </w:tc>
        <w:tc>
          <w:tcPr>
            <w:tcW w:w="0" w:type="auto"/>
            <w:vAlign w:val="center"/>
          </w:tcPr>
          <w:p w14:paraId="4A3A71E4" w14:textId="408E4110" w:rsidR="00C31031" w:rsidRPr="006C694C" w:rsidRDefault="00C31031" w:rsidP="00496C5A">
            <w:pPr>
              <w:pStyle w:val="Tabletextcentred"/>
              <w:spacing w:before="60" w:after="60"/>
              <w:rPr>
                <w:rFonts w:cstheme="minorHAnsi"/>
              </w:rPr>
            </w:pPr>
            <w:r w:rsidRPr="006C694C">
              <w:rPr>
                <w:rFonts w:cstheme="minorHAnsi"/>
              </w:rPr>
              <w:t>7.4%</w:t>
            </w:r>
          </w:p>
        </w:tc>
        <w:tc>
          <w:tcPr>
            <w:tcW w:w="0" w:type="auto"/>
            <w:vAlign w:val="center"/>
          </w:tcPr>
          <w:p w14:paraId="3F301C3B" w14:textId="2C62CE31" w:rsidR="00C31031" w:rsidRPr="006C694C" w:rsidRDefault="00C31031" w:rsidP="00496C5A">
            <w:pPr>
              <w:pStyle w:val="Tabletextcentred"/>
              <w:spacing w:before="60" w:after="60"/>
              <w:rPr>
                <w:rFonts w:cstheme="minorHAnsi"/>
              </w:rPr>
            </w:pPr>
            <w:r w:rsidRPr="006C694C">
              <w:rPr>
                <w:rFonts w:cstheme="minorHAnsi"/>
              </w:rPr>
              <w:t>1.6%</w:t>
            </w:r>
          </w:p>
        </w:tc>
        <w:tc>
          <w:tcPr>
            <w:tcW w:w="0" w:type="auto"/>
            <w:vAlign w:val="center"/>
          </w:tcPr>
          <w:p w14:paraId="33B7EC8F" w14:textId="658CFD4C" w:rsidR="00C31031" w:rsidRPr="006C694C" w:rsidRDefault="00C31031" w:rsidP="00496C5A">
            <w:pPr>
              <w:pStyle w:val="Tabletextcentred"/>
              <w:spacing w:before="60" w:after="60"/>
              <w:rPr>
                <w:rFonts w:cstheme="minorHAnsi"/>
              </w:rPr>
            </w:pPr>
            <w:r w:rsidRPr="006C694C">
              <w:rPr>
                <w:rFonts w:cstheme="minorHAnsi"/>
              </w:rPr>
              <w:t>0.6%</w:t>
            </w:r>
          </w:p>
        </w:tc>
        <w:tc>
          <w:tcPr>
            <w:tcW w:w="0" w:type="auto"/>
            <w:vAlign w:val="center"/>
          </w:tcPr>
          <w:p w14:paraId="31FAFDB8" w14:textId="6CDE4218" w:rsidR="00C31031" w:rsidRPr="006C694C" w:rsidRDefault="00C31031" w:rsidP="00496C5A">
            <w:pPr>
              <w:pStyle w:val="Tabletextcentred"/>
              <w:spacing w:before="60" w:after="60"/>
              <w:rPr>
                <w:rFonts w:cstheme="minorHAnsi"/>
              </w:rPr>
            </w:pPr>
            <w:r w:rsidRPr="006C694C">
              <w:rPr>
                <w:rFonts w:cstheme="minorHAnsi"/>
              </w:rPr>
              <w:t>1.4%</w:t>
            </w:r>
          </w:p>
        </w:tc>
        <w:tc>
          <w:tcPr>
            <w:tcW w:w="156" w:type="pct"/>
            <w:vAlign w:val="center"/>
          </w:tcPr>
          <w:p w14:paraId="04E45889" w14:textId="259A8BBB" w:rsidR="00C31031" w:rsidRPr="006C694C" w:rsidRDefault="00C31031" w:rsidP="00496C5A">
            <w:pPr>
              <w:pStyle w:val="Tabletextcentred"/>
              <w:spacing w:before="60" w:after="60"/>
              <w:rPr>
                <w:rFonts w:cstheme="minorHAnsi"/>
              </w:rPr>
            </w:pPr>
            <w:r w:rsidRPr="006C694C">
              <w:rPr>
                <w:rFonts w:cstheme="minorHAnsi"/>
              </w:rPr>
              <w:t>0.1%</w:t>
            </w:r>
          </w:p>
        </w:tc>
      </w:tr>
      <w:tr w:rsidR="00C31031" w:rsidRPr="00654F9E" w14:paraId="5FB2715A" w14:textId="77777777" w:rsidTr="005D3849">
        <w:trPr>
          <w:cantSplit/>
        </w:trPr>
        <w:tc>
          <w:tcPr>
            <w:tcW w:w="0" w:type="auto"/>
            <w:vAlign w:val="center"/>
          </w:tcPr>
          <w:p w14:paraId="11BE9153" w14:textId="5BB3603C" w:rsidR="00C31031" w:rsidRPr="000A4304" w:rsidRDefault="00C31031" w:rsidP="00496C5A">
            <w:pPr>
              <w:pStyle w:val="Tabletext"/>
              <w:spacing w:before="60" w:after="60"/>
              <w:rPr>
                <w:rFonts w:cstheme="minorHAnsi"/>
              </w:rPr>
            </w:pPr>
            <w:r w:rsidRPr="000A4304">
              <w:rPr>
                <w:rFonts w:cstheme="minorHAnsi"/>
              </w:rPr>
              <w:t>Arts education</w:t>
            </w:r>
          </w:p>
        </w:tc>
        <w:tc>
          <w:tcPr>
            <w:tcW w:w="0" w:type="auto"/>
            <w:vAlign w:val="center"/>
          </w:tcPr>
          <w:p w14:paraId="56D9D187" w14:textId="0B7FD623" w:rsidR="00C31031" w:rsidRPr="006C694C" w:rsidRDefault="00C31031" w:rsidP="00496C5A">
            <w:pPr>
              <w:pStyle w:val="Tabletextcentred"/>
              <w:spacing w:before="60" w:after="60"/>
              <w:rPr>
                <w:rFonts w:cstheme="minorHAnsi"/>
              </w:rPr>
            </w:pPr>
            <w:r w:rsidRPr="006C694C">
              <w:rPr>
                <w:rFonts w:cstheme="minorHAnsi"/>
              </w:rPr>
              <w:t>37.8%</w:t>
            </w:r>
          </w:p>
        </w:tc>
        <w:tc>
          <w:tcPr>
            <w:tcW w:w="0" w:type="auto"/>
            <w:vAlign w:val="center"/>
          </w:tcPr>
          <w:p w14:paraId="7D48009B" w14:textId="4246A540" w:rsidR="00C31031" w:rsidRPr="006C694C" w:rsidRDefault="00C31031" w:rsidP="00496C5A">
            <w:pPr>
              <w:pStyle w:val="Tabletextcentred"/>
              <w:spacing w:before="60" w:after="60"/>
              <w:rPr>
                <w:rFonts w:cstheme="minorHAnsi"/>
              </w:rPr>
            </w:pPr>
            <w:r w:rsidRPr="006C694C">
              <w:rPr>
                <w:rFonts w:cstheme="minorHAnsi"/>
              </w:rPr>
              <w:t>26.3%</w:t>
            </w:r>
          </w:p>
        </w:tc>
        <w:tc>
          <w:tcPr>
            <w:tcW w:w="0" w:type="auto"/>
            <w:vAlign w:val="center"/>
          </w:tcPr>
          <w:p w14:paraId="4E4C2EF9" w14:textId="2B3E6C5B" w:rsidR="00C31031" w:rsidRPr="006C694C" w:rsidRDefault="00C31031" w:rsidP="00496C5A">
            <w:pPr>
              <w:pStyle w:val="Tabletextcentred"/>
              <w:spacing w:before="60" w:after="60"/>
              <w:rPr>
                <w:rFonts w:cstheme="minorHAnsi"/>
              </w:rPr>
            </w:pPr>
            <w:r w:rsidRPr="006C694C">
              <w:rPr>
                <w:rFonts w:cstheme="minorHAnsi"/>
              </w:rPr>
              <w:t>17.6%</w:t>
            </w:r>
          </w:p>
        </w:tc>
        <w:tc>
          <w:tcPr>
            <w:tcW w:w="0" w:type="auto"/>
            <w:vAlign w:val="center"/>
          </w:tcPr>
          <w:p w14:paraId="5BB2D940" w14:textId="14CFAC50" w:rsidR="00C31031" w:rsidRPr="006C694C" w:rsidRDefault="00C31031" w:rsidP="00496C5A">
            <w:pPr>
              <w:pStyle w:val="Tabletextcentred"/>
              <w:spacing w:before="60" w:after="60"/>
              <w:rPr>
                <w:rFonts w:cstheme="minorHAnsi"/>
              </w:rPr>
            </w:pPr>
            <w:r w:rsidRPr="006C694C">
              <w:rPr>
                <w:rFonts w:cstheme="minorHAnsi"/>
              </w:rPr>
              <w:t>5.5%</w:t>
            </w:r>
          </w:p>
        </w:tc>
        <w:tc>
          <w:tcPr>
            <w:tcW w:w="0" w:type="auto"/>
            <w:vAlign w:val="center"/>
          </w:tcPr>
          <w:p w14:paraId="7745616F" w14:textId="7E1236F3" w:rsidR="00C31031" w:rsidRPr="006C694C" w:rsidRDefault="00C31031" w:rsidP="00496C5A">
            <w:pPr>
              <w:pStyle w:val="Tabletextcentred"/>
              <w:spacing w:before="60" w:after="60"/>
              <w:rPr>
                <w:rFonts w:cstheme="minorHAnsi"/>
              </w:rPr>
            </w:pPr>
            <w:r w:rsidRPr="006C694C">
              <w:rPr>
                <w:rFonts w:cstheme="minorHAnsi"/>
              </w:rPr>
              <w:t>9.0%</w:t>
            </w:r>
          </w:p>
        </w:tc>
        <w:tc>
          <w:tcPr>
            <w:tcW w:w="0" w:type="auto"/>
            <w:vAlign w:val="center"/>
          </w:tcPr>
          <w:p w14:paraId="3BB7E2D3" w14:textId="1BD309D5" w:rsidR="00C31031" w:rsidRPr="006C694C" w:rsidRDefault="00C31031" w:rsidP="00496C5A">
            <w:pPr>
              <w:pStyle w:val="Tabletextcentred"/>
              <w:spacing w:before="60" w:after="60"/>
              <w:rPr>
                <w:rFonts w:cstheme="minorHAnsi"/>
              </w:rPr>
            </w:pPr>
            <w:r w:rsidRPr="006C694C">
              <w:rPr>
                <w:rFonts w:cstheme="minorHAnsi"/>
              </w:rPr>
              <w:t>1.3%</w:t>
            </w:r>
          </w:p>
        </w:tc>
        <w:tc>
          <w:tcPr>
            <w:tcW w:w="0" w:type="auto"/>
            <w:vAlign w:val="center"/>
          </w:tcPr>
          <w:p w14:paraId="18858A1A" w14:textId="0A2CE61B" w:rsidR="00C31031" w:rsidRPr="006C694C" w:rsidRDefault="00C31031" w:rsidP="00496C5A">
            <w:pPr>
              <w:pStyle w:val="Tabletextcentred"/>
              <w:spacing w:before="60" w:after="60"/>
              <w:rPr>
                <w:rFonts w:cstheme="minorHAnsi"/>
              </w:rPr>
            </w:pPr>
            <w:r w:rsidRPr="006C694C">
              <w:rPr>
                <w:rFonts w:cstheme="minorHAnsi"/>
              </w:rPr>
              <w:t>0.5%</w:t>
            </w:r>
          </w:p>
        </w:tc>
        <w:tc>
          <w:tcPr>
            <w:tcW w:w="0" w:type="auto"/>
            <w:vAlign w:val="center"/>
          </w:tcPr>
          <w:p w14:paraId="560FCBEE" w14:textId="77845659" w:rsidR="00C31031" w:rsidRPr="006C694C" w:rsidRDefault="00C31031" w:rsidP="00496C5A">
            <w:pPr>
              <w:pStyle w:val="Tabletextcentred"/>
              <w:spacing w:before="60" w:after="60"/>
              <w:rPr>
                <w:rFonts w:cstheme="minorHAnsi"/>
              </w:rPr>
            </w:pPr>
            <w:r w:rsidRPr="006C694C">
              <w:rPr>
                <w:rFonts w:cstheme="minorHAnsi"/>
              </w:rPr>
              <w:t>1.9%</w:t>
            </w:r>
          </w:p>
        </w:tc>
        <w:tc>
          <w:tcPr>
            <w:tcW w:w="156" w:type="pct"/>
            <w:vAlign w:val="center"/>
          </w:tcPr>
          <w:p w14:paraId="370F440D" w14:textId="2AF18B8B" w:rsidR="00C31031" w:rsidRPr="006C694C" w:rsidRDefault="00C31031" w:rsidP="00496C5A">
            <w:pPr>
              <w:pStyle w:val="Tabletextcentred"/>
              <w:spacing w:before="60" w:after="60"/>
              <w:rPr>
                <w:rFonts w:cstheme="minorHAnsi"/>
              </w:rPr>
            </w:pPr>
            <w:r w:rsidRPr="006C694C">
              <w:rPr>
                <w:rFonts w:cstheme="minorHAnsi"/>
              </w:rPr>
              <w:t>0.1%</w:t>
            </w:r>
          </w:p>
        </w:tc>
      </w:tr>
      <w:tr w:rsidR="00C31031" w:rsidRPr="00654F9E" w14:paraId="3D784E10" w14:textId="77777777" w:rsidTr="005D3849">
        <w:trPr>
          <w:cnfStyle w:val="000000010000" w:firstRow="0" w:lastRow="0" w:firstColumn="0" w:lastColumn="0" w:oddVBand="0" w:evenVBand="0" w:oddHBand="0" w:evenHBand="1" w:firstRowFirstColumn="0" w:firstRowLastColumn="0" w:lastRowFirstColumn="0" w:lastRowLastColumn="0"/>
          <w:cantSplit/>
        </w:trPr>
        <w:tc>
          <w:tcPr>
            <w:tcW w:w="0" w:type="auto"/>
            <w:vAlign w:val="center"/>
          </w:tcPr>
          <w:p w14:paraId="3C68CDE2" w14:textId="4B579C18" w:rsidR="00C31031" w:rsidRPr="000A4304" w:rsidRDefault="00C31031" w:rsidP="00496C5A">
            <w:pPr>
              <w:pStyle w:val="Tabletext"/>
              <w:spacing w:before="60" w:after="60"/>
              <w:rPr>
                <w:rFonts w:cstheme="minorHAnsi"/>
              </w:rPr>
            </w:pPr>
            <w:r w:rsidRPr="000A4304">
              <w:rPr>
                <w:rFonts w:cstheme="minorHAnsi"/>
              </w:rPr>
              <w:t>Museums and galleries</w:t>
            </w:r>
          </w:p>
        </w:tc>
        <w:tc>
          <w:tcPr>
            <w:tcW w:w="0" w:type="auto"/>
            <w:vAlign w:val="center"/>
          </w:tcPr>
          <w:p w14:paraId="1BAF2DDF" w14:textId="7B0C2E37" w:rsidR="00C31031" w:rsidRPr="006C694C" w:rsidRDefault="00C31031" w:rsidP="00496C5A">
            <w:pPr>
              <w:pStyle w:val="Tabletextcentred"/>
              <w:spacing w:before="60" w:after="60"/>
              <w:rPr>
                <w:rFonts w:cstheme="minorHAnsi"/>
              </w:rPr>
            </w:pPr>
            <w:r w:rsidRPr="006C694C">
              <w:rPr>
                <w:rFonts w:cstheme="minorHAnsi"/>
              </w:rPr>
              <w:t>26.2%</w:t>
            </w:r>
          </w:p>
        </w:tc>
        <w:tc>
          <w:tcPr>
            <w:tcW w:w="0" w:type="auto"/>
            <w:vAlign w:val="center"/>
          </w:tcPr>
          <w:p w14:paraId="2A7F8487" w14:textId="1D55EA98" w:rsidR="00C31031" w:rsidRPr="006C694C" w:rsidRDefault="00C31031" w:rsidP="00496C5A">
            <w:pPr>
              <w:pStyle w:val="Tabletextcentred"/>
              <w:spacing w:before="60" w:after="60"/>
              <w:rPr>
                <w:rFonts w:cstheme="minorHAnsi"/>
              </w:rPr>
            </w:pPr>
            <w:r w:rsidRPr="006C694C">
              <w:rPr>
                <w:rFonts w:cstheme="minorHAnsi"/>
              </w:rPr>
              <w:t>35.5%</w:t>
            </w:r>
          </w:p>
        </w:tc>
        <w:tc>
          <w:tcPr>
            <w:tcW w:w="0" w:type="auto"/>
            <w:vAlign w:val="center"/>
          </w:tcPr>
          <w:p w14:paraId="790BF193" w14:textId="04159161" w:rsidR="00C31031" w:rsidRPr="006C694C" w:rsidRDefault="00C31031" w:rsidP="00496C5A">
            <w:pPr>
              <w:pStyle w:val="Tabletextcentred"/>
              <w:spacing w:before="60" w:after="60"/>
              <w:rPr>
                <w:rFonts w:cstheme="minorHAnsi"/>
              </w:rPr>
            </w:pPr>
            <w:r w:rsidRPr="006C694C">
              <w:rPr>
                <w:rFonts w:cstheme="minorHAnsi"/>
              </w:rPr>
              <w:t>18.0%</w:t>
            </w:r>
          </w:p>
        </w:tc>
        <w:tc>
          <w:tcPr>
            <w:tcW w:w="0" w:type="auto"/>
            <w:vAlign w:val="center"/>
          </w:tcPr>
          <w:p w14:paraId="5A3F9FFE" w14:textId="4A76E6A4" w:rsidR="00C31031" w:rsidRPr="006C694C" w:rsidRDefault="00C31031" w:rsidP="00496C5A">
            <w:pPr>
              <w:pStyle w:val="Tabletextcentred"/>
              <w:spacing w:before="60" w:after="60"/>
              <w:rPr>
                <w:rFonts w:cstheme="minorHAnsi"/>
              </w:rPr>
            </w:pPr>
            <w:r w:rsidRPr="006C694C">
              <w:rPr>
                <w:rFonts w:cstheme="minorHAnsi"/>
              </w:rPr>
              <w:t>3.3%</w:t>
            </w:r>
          </w:p>
        </w:tc>
        <w:tc>
          <w:tcPr>
            <w:tcW w:w="0" w:type="auto"/>
            <w:vAlign w:val="center"/>
          </w:tcPr>
          <w:p w14:paraId="55E9BC66" w14:textId="4E7B0874" w:rsidR="00C31031" w:rsidRPr="006C694C" w:rsidRDefault="00C31031" w:rsidP="00496C5A">
            <w:pPr>
              <w:pStyle w:val="Tabletextcentred"/>
              <w:spacing w:before="60" w:after="60"/>
              <w:rPr>
                <w:rFonts w:cstheme="minorHAnsi"/>
              </w:rPr>
            </w:pPr>
            <w:r w:rsidRPr="006C694C">
              <w:rPr>
                <w:rFonts w:cstheme="minorHAnsi"/>
              </w:rPr>
              <w:t>9.8%</w:t>
            </w:r>
          </w:p>
        </w:tc>
        <w:tc>
          <w:tcPr>
            <w:tcW w:w="0" w:type="auto"/>
            <w:vAlign w:val="center"/>
          </w:tcPr>
          <w:p w14:paraId="02ED68D4" w14:textId="6100330A" w:rsidR="00C31031" w:rsidRPr="006C694C" w:rsidRDefault="00C31031" w:rsidP="00496C5A">
            <w:pPr>
              <w:pStyle w:val="Tabletextcentred"/>
              <w:spacing w:before="60" w:after="60"/>
              <w:rPr>
                <w:rFonts w:cstheme="minorHAnsi"/>
              </w:rPr>
            </w:pPr>
            <w:r w:rsidRPr="006C694C">
              <w:rPr>
                <w:rFonts w:cstheme="minorHAnsi"/>
              </w:rPr>
              <w:t>5.5%</w:t>
            </w:r>
          </w:p>
        </w:tc>
        <w:tc>
          <w:tcPr>
            <w:tcW w:w="0" w:type="auto"/>
            <w:vAlign w:val="center"/>
          </w:tcPr>
          <w:p w14:paraId="68DB4356" w14:textId="5FB2EBDC" w:rsidR="00C31031" w:rsidRPr="006C694C" w:rsidRDefault="00C31031" w:rsidP="00496C5A">
            <w:pPr>
              <w:pStyle w:val="Tabletextcentred"/>
              <w:spacing w:before="60" w:after="60"/>
              <w:rPr>
                <w:rFonts w:cstheme="minorHAnsi"/>
              </w:rPr>
            </w:pPr>
            <w:r w:rsidRPr="006C694C">
              <w:rPr>
                <w:rFonts w:cstheme="minorHAnsi"/>
              </w:rPr>
              <w:t>0.0%</w:t>
            </w:r>
          </w:p>
        </w:tc>
        <w:tc>
          <w:tcPr>
            <w:tcW w:w="0" w:type="auto"/>
            <w:vAlign w:val="center"/>
          </w:tcPr>
          <w:p w14:paraId="3EB32E89" w14:textId="6E0F3FF8" w:rsidR="00C31031" w:rsidRPr="006C694C" w:rsidRDefault="00C31031" w:rsidP="00496C5A">
            <w:pPr>
              <w:pStyle w:val="Tabletextcentred"/>
              <w:spacing w:before="60" w:after="60"/>
              <w:rPr>
                <w:rFonts w:cstheme="minorHAnsi"/>
              </w:rPr>
            </w:pPr>
            <w:r w:rsidRPr="006C694C">
              <w:rPr>
                <w:rFonts w:cstheme="minorHAnsi"/>
              </w:rPr>
              <w:t>1.6%</w:t>
            </w:r>
          </w:p>
        </w:tc>
        <w:tc>
          <w:tcPr>
            <w:tcW w:w="156" w:type="pct"/>
            <w:vAlign w:val="center"/>
          </w:tcPr>
          <w:p w14:paraId="7B0D04A6" w14:textId="5A160042" w:rsidR="00C31031" w:rsidRPr="006C694C" w:rsidRDefault="00C31031" w:rsidP="00496C5A">
            <w:pPr>
              <w:pStyle w:val="Tabletextcentred"/>
              <w:spacing w:before="60" w:after="60"/>
              <w:rPr>
                <w:rFonts w:cstheme="minorHAnsi"/>
              </w:rPr>
            </w:pPr>
            <w:r w:rsidRPr="006C694C">
              <w:rPr>
                <w:rFonts w:cstheme="minorHAnsi"/>
              </w:rPr>
              <w:t>0.0%</w:t>
            </w:r>
          </w:p>
        </w:tc>
      </w:tr>
      <w:tr w:rsidR="00C31031" w:rsidRPr="00654F9E" w14:paraId="098ECDC0" w14:textId="77777777" w:rsidTr="005D3849">
        <w:trPr>
          <w:cantSplit/>
        </w:trPr>
        <w:tc>
          <w:tcPr>
            <w:tcW w:w="0" w:type="auto"/>
            <w:shd w:val="clear" w:color="auto" w:fill="F2F6E8"/>
            <w:vAlign w:val="center"/>
          </w:tcPr>
          <w:p w14:paraId="1EAB7A1F" w14:textId="467803E9" w:rsidR="00C31031" w:rsidRPr="002C2C77" w:rsidRDefault="00C31031" w:rsidP="00496C5A">
            <w:pPr>
              <w:pStyle w:val="Tabletext"/>
              <w:spacing w:before="60" w:after="60"/>
              <w:rPr>
                <w:rFonts w:cstheme="minorHAnsi"/>
                <w:b/>
              </w:rPr>
            </w:pPr>
            <w:r w:rsidRPr="002C2C77">
              <w:rPr>
                <w:b/>
              </w:rPr>
              <w:t>Share of businesses within cultural and creative industries</w:t>
            </w:r>
          </w:p>
        </w:tc>
        <w:tc>
          <w:tcPr>
            <w:tcW w:w="0" w:type="auto"/>
            <w:shd w:val="clear" w:color="auto" w:fill="F2F6E8"/>
            <w:vAlign w:val="center"/>
          </w:tcPr>
          <w:p w14:paraId="3378B17B" w14:textId="053ACE3A" w:rsidR="00C31031" w:rsidRPr="006C694C" w:rsidRDefault="00C31031" w:rsidP="00496C5A">
            <w:pPr>
              <w:pStyle w:val="Tabletextcentred"/>
              <w:spacing w:before="60" w:after="60"/>
              <w:rPr>
                <w:rFonts w:cstheme="minorHAnsi"/>
              </w:rPr>
            </w:pPr>
            <w:r w:rsidRPr="000A4304">
              <w:rPr>
                <w:b/>
              </w:rPr>
              <w:t>37.9%</w:t>
            </w:r>
          </w:p>
        </w:tc>
        <w:tc>
          <w:tcPr>
            <w:tcW w:w="0" w:type="auto"/>
            <w:shd w:val="clear" w:color="auto" w:fill="F2F6E8"/>
            <w:vAlign w:val="center"/>
          </w:tcPr>
          <w:p w14:paraId="383D9AB2" w14:textId="3C062C9C" w:rsidR="00C31031" w:rsidRPr="006C694C" w:rsidRDefault="00C31031" w:rsidP="00496C5A">
            <w:pPr>
              <w:pStyle w:val="Tabletextcentred"/>
              <w:spacing w:before="60" w:after="60"/>
              <w:rPr>
                <w:rFonts w:cstheme="minorHAnsi"/>
              </w:rPr>
            </w:pPr>
            <w:r w:rsidRPr="000A4304">
              <w:rPr>
                <w:b/>
              </w:rPr>
              <w:t>29.2%</w:t>
            </w:r>
          </w:p>
        </w:tc>
        <w:tc>
          <w:tcPr>
            <w:tcW w:w="0" w:type="auto"/>
            <w:shd w:val="clear" w:color="auto" w:fill="F2F6E8"/>
            <w:vAlign w:val="center"/>
          </w:tcPr>
          <w:p w14:paraId="2E645E6E" w14:textId="53EA3696" w:rsidR="00C31031" w:rsidRPr="006C694C" w:rsidRDefault="00C31031" w:rsidP="00496C5A">
            <w:pPr>
              <w:pStyle w:val="Tabletextcentred"/>
              <w:spacing w:before="60" w:after="60"/>
              <w:rPr>
                <w:rFonts w:cstheme="minorHAnsi"/>
              </w:rPr>
            </w:pPr>
            <w:r w:rsidRPr="000A4304">
              <w:rPr>
                <w:b/>
              </w:rPr>
              <w:t>16.9%</w:t>
            </w:r>
          </w:p>
        </w:tc>
        <w:tc>
          <w:tcPr>
            <w:tcW w:w="0" w:type="auto"/>
            <w:shd w:val="clear" w:color="auto" w:fill="F2F6E8"/>
            <w:vAlign w:val="center"/>
          </w:tcPr>
          <w:p w14:paraId="5B876B8A" w14:textId="5B3CF122" w:rsidR="00C31031" w:rsidRPr="006C694C" w:rsidRDefault="00C31031" w:rsidP="00496C5A">
            <w:pPr>
              <w:pStyle w:val="Tabletextcentred"/>
              <w:spacing w:before="60" w:after="60"/>
              <w:rPr>
                <w:rFonts w:cstheme="minorHAnsi"/>
              </w:rPr>
            </w:pPr>
            <w:r w:rsidRPr="000A4304">
              <w:rPr>
                <w:b/>
              </w:rPr>
              <w:t>4.9%</w:t>
            </w:r>
          </w:p>
        </w:tc>
        <w:tc>
          <w:tcPr>
            <w:tcW w:w="0" w:type="auto"/>
            <w:shd w:val="clear" w:color="auto" w:fill="F2F6E8"/>
            <w:vAlign w:val="center"/>
          </w:tcPr>
          <w:p w14:paraId="75357535" w14:textId="4BFB7A9F" w:rsidR="00C31031" w:rsidRPr="006C694C" w:rsidRDefault="00C31031" w:rsidP="00496C5A">
            <w:pPr>
              <w:pStyle w:val="Tabletextcentred"/>
              <w:spacing w:before="60" w:after="60"/>
              <w:rPr>
                <w:rFonts w:cstheme="minorHAnsi"/>
              </w:rPr>
            </w:pPr>
            <w:r w:rsidRPr="000A4304">
              <w:rPr>
                <w:b/>
              </w:rPr>
              <w:t>7.6%</w:t>
            </w:r>
          </w:p>
        </w:tc>
        <w:tc>
          <w:tcPr>
            <w:tcW w:w="0" w:type="auto"/>
            <w:shd w:val="clear" w:color="auto" w:fill="F2F6E8"/>
            <w:vAlign w:val="center"/>
          </w:tcPr>
          <w:p w14:paraId="1EDE578F" w14:textId="099BF45D" w:rsidR="00C31031" w:rsidRPr="006C694C" w:rsidRDefault="00C31031" w:rsidP="00496C5A">
            <w:pPr>
              <w:pStyle w:val="Tabletextcentred"/>
              <w:spacing w:before="60" w:after="60"/>
              <w:rPr>
                <w:rFonts w:cstheme="minorHAnsi"/>
              </w:rPr>
            </w:pPr>
            <w:r w:rsidRPr="000A4304">
              <w:rPr>
                <w:b/>
              </w:rPr>
              <w:t>1.5%</w:t>
            </w:r>
          </w:p>
        </w:tc>
        <w:tc>
          <w:tcPr>
            <w:tcW w:w="0" w:type="auto"/>
            <w:shd w:val="clear" w:color="auto" w:fill="F2F6E8"/>
            <w:vAlign w:val="center"/>
          </w:tcPr>
          <w:p w14:paraId="52D1D29A" w14:textId="3EFA5C04" w:rsidR="00C31031" w:rsidRPr="006C694C" w:rsidRDefault="00C31031" w:rsidP="00496C5A">
            <w:pPr>
              <w:pStyle w:val="Tabletextcentred"/>
              <w:spacing w:before="60" w:after="60"/>
              <w:rPr>
                <w:rFonts w:cstheme="minorHAnsi"/>
              </w:rPr>
            </w:pPr>
            <w:r w:rsidRPr="000A4304">
              <w:rPr>
                <w:b/>
              </w:rPr>
              <w:t>0.5%</w:t>
            </w:r>
          </w:p>
        </w:tc>
        <w:tc>
          <w:tcPr>
            <w:tcW w:w="0" w:type="auto"/>
            <w:shd w:val="clear" w:color="auto" w:fill="F2F6E8"/>
            <w:vAlign w:val="center"/>
          </w:tcPr>
          <w:p w14:paraId="56894CFD" w14:textId="25A8E331" w:rsidR="00C31031" w:rsidRPr="006C694C" w:rsidRDefault="00C31031" w:rsidP="00496C5A">
            <w:pPr>
              <w:pStyle w:val="Tabletextcentred"/>
              <w:spacing w:before="60" w:after="60"/>
              <w:rPr>
                <w:rFonts w:cstheme="minorHAnsi"/>
              </w:rPr>
            </w:pPr>
            <w:r w:rsidRPr="000A4304">
              <w:rPr>
                <w:b/>
              </w:rPr>
              <w:t>1.4%</w:t>
            </w:r>
          </w:p>
        </w:tc>
        <w:tc>
          <w:tcPr>
            <w:tcW w:w="156" w:type="pct"/>
            <w:shd w:val="clear" w:color="auto" w:fill="F2F6E8"/>
            <w:vAlign w:val="center"/>
          </w:tcPr>
          <w:p w14:paraId="6C5B6717" w14:textId="5B208B31" w:rsidR="00C31031" w:rsidRPr="006C694C" w:rsidRDefault="00C31031" w:rsidP="00496C5A">
            <w:pPr>
              <w:pStyle w:val="Tabletextcentred"/>
              <w:spacing w:before="60" w:after="60"/>
              <w:rPr>
                <w:rFonts w:cstheme="minorHAnsi"/>
              </w:rPr>
            </w:pPr>
            <w:r w:rsidRPr="000A4304">
              <w:rPr>
                <w:b/>
              </w:rPr>
              <w:t>0.1%</w:t>
            </w:r>
          </w:p>
        </w:tc>
      </w:tr>
      <w:tr w:rsidR="00C31031" w:rsidRPr="00654F9E" w14:paraId="34D20778" w14:textId="77777777" w:rsidTr="005D3849">
        <w:trPr>
          <w:cnfStyle w:val="000000010000" w:firstRow="0" w:lastRow="0" w:firstColumn="0" w:lastColumn="0" w:oddVBand="0" w:evenVBand="0" w:oddHBand="0" w:evenHBand="1" w:firstRowFirstColumn="0" w:firstRowLastColumn="0" w:lastRowFirstColumn="0" w:lastRowLastColumn="0"/>
          <w:cantSplit/>
        </w:trPr>
        <w:tc>
          <w:tcPr>
            <w:tcW w:w="0" w:type="auto"/>
            <w:shd w:val="clear" w:color="auto" w:fill="F2F6E8"/>
            <w:vAlign w:val="center"/>
          </w:tcPr>
          <w:p w14:paraId="1A5D5993" w14:textId="787551BE" w:rsidR="00C31031" w:rsidRPr="002C2C77" w:rsidRDefault="00C31031" w:rsidP="00496C5A">
            <w:pPr>
              <w:pStyle w:val="Tabletext"/>
              <w:spacing w:before="60" w:after="60"/>
              <w:rPr>
                <w:b/>
              </w:rPr>
            </w:pPr>
            <w:r w:rsidRPr="002C2C77">
              <w:rPr>
                <w:b/>
              </w:rPr>
              <w:t>Share of total Australian businesses</w:t>
            </w:r>
          </w:p>
        </w:tc>
        <w:tc>
          <w:tcPr>
            <w:tcW w:w="0" w:type="auto"/>
            <w:shd w:val="clear" w:color="auto" w:fill="F2F6E8"/>
            <w:vAlign w:val="center"/>
          </w:tcPr>
          <w:p w14:paraId="0A420DC9" w14:textId="47CDED58" w:rsidR="00C31031" w:rsidRPr="000A4304" w:rsidRDefault="00C31031" w:rsidP="00496C5A">
            <w:pPr>
              <w:pStyle w:val="Tabletextcentred"/>
              <w:spacing w:before="60" w:after="60"/>
              <w:rPr>
                <w:b/>
              </w:rPr>
            </w:pPr>
            <w:r w:rsidRPr="00EA48B6">
              <w:rPr>
                <w:b/>
              </w:rPr>
              <w:t>33.6%</w:t>
            </w:r>
          </w:p>
        </w:tc>
        <w:tc>
          <w:tcPr>
            <w:tcW w:w="0" w:type="auto"/>
            <w:shd w:val="clear" w:color="auto" w:fill="F2F6E8"/>
            <w:vAlign w:val="center"/>
          </w:tcPr>
          <w:p w14:paraId="23178009" w14:textId="4217249B" w:rsidR="00C31031" w:rsidRPr="000A4304" w:rsidRDefault="00C31031" w:rsidP="00496C5A">
            <w:pPr>
              <w:pStyle w:val="Tabletextcentred"/>
              <w:spacing w:before="60" w:after="60"/>
              <w:rPr>
                <w:b/>
              </w:rPr>
            </w:pPr>
            <w:r w:rsidRPr="00EA48B6">
              <w:rPr>
                <w:b/>
              </w:rPr>
              <w:t>27.8%</w:t>
            </w:r>
          </w:p>
        </w:tc>
        <w:tc>
          <w:tcPr>
            <w:tcW w:w="0" w:type="auto"/>
            <w:shd w:val="clear" w:color="auto" w:fill="F2F6E8"/>
            <w:vAlign w:val="center"/>
          </w:tcPr>
          <w:p w14:paraId="57978C98" w14:textId="0CE42DC5" w:rsidR="00C31031" w:rsidRPr="000A4304" w:rsidRDefault="00C31031" w:rsidP="00496C5A">
            <w:pPr>
              <w:pStyle w:val="Tabletextcentred"/>
              <w:spacing w:before="60" w:after="60"/>
              <w:rPr>
                <w:b/>
              </w:rPr>
            </w:pPr>
            <w:r w:rsidRPr="00EA48B6">
              <w:rPr>
                <w:b/>
              </w:rPr>
              <w:t>19.2%</w:t>
            </w:r>
          </w:p>
        </w:tc>
        <w:tc>
          <w:tcPr>
            <w:tcW w:w="0" w:type="auto"/>
            <w:shd w:val="clear" w:color="auto" w:fill="F2F6E8"/>
            <w:vAlign w:val="center"/>
          </w:tcPr>
          <w:p w14:paraId="6BF98D51" w14:textId="28BCA1C7" w:rsidR="00C31031" w:rsidRPr="000A4304" w:rsidRDefault="00C31031" w:rsidP="00496C5A">
            <w:pPr>
              <w:pStyle w:val="Tabletextcentred"/>
              <w:spacing w:before="60" w:after="60"/>
              <w:rPr>
                <w:b/>
              </w:rPr>
            </w:pPr>
            <w:r w:rsidRPr="00EA48B6">
              <w:rPr>
                <w:b/>
              </w:rPr>
              <w:t>6.2%</w:t>
            </w:r>
          </w:p>
        </w:tc>
        <w:tc>
          <w:tcPr>
            <w:tcW w:w="0" w:type="auto"/>
            <w:shd w:val="clear" w:color="auto" w:fill="F2F6E8"/>
            <w:vAlign w:val="center"/>
          </w:tcPr>
          <w:p w14:paraId="5FAF3E0E" w14:textId="67972682" w:rsidR="00C31031" w:rsidRPr="000A4304" w:rsidRDefault="00C31031" w:rsidP="00496C5A">
            <w:pPr>
              <w:pStyle w:val="Tabletextcentred"/>
              <w:spacing w:before="60" w:after="60"/>
              <w:rPr>
                <w:b/>
              </w:rPr>
            </w:pPr>
            <w:r w:rsidRPr="00EA48B6">
              <w:rPr>
                <w:b/>
              </w:rPr>
              <w:t>9.5%</w:t>
            </w:r>
          </w:p>
        </w:tc>
        <w:tc>
          <w:tcPr>
            <w:tcW w:w="0" w:type="auto"/>
            <w:shd w:val="clear" w:color="auto" w:fill="F2F6E8"/>
            <w:vAlign w:val="center"/>
          </w:tcPr>
          <w:p w14:paraId="60EC9300" w14:textId="2CAD338D" w:rsidR="00C31031" w:rsidRPr="000A4304" w:rsidRDefault="00C31031" w:rsidP="00496C5A">
            <w:pPr>
              <w:pStyle w:val="Tabletextcentred"/>
              <w:spacing w:before="60" w:after="60"/>
              <w:rPr>
                <w:b/>
              </w:rPr>
            </w:pPr>
            <w:r w:rsidRPr="00EA48B6">
              <w:rPr>
                <w:b/>
              </w:rPr>
              <w:t>1.7%</w:t>
            </w:r>
          </w:p>
        </w:tc>
        <w:tc>
          <w:tcPr>
            <w:tcW w:w="0" w:type="auto"/>
            <w:shd w:val="clear" w:color="auto" w:fill="F2F6E8"/>
            <w:vAlign w:val="center"/>
          </w:tcPr>
          <w:p w14:paraId="6ED040C3" w14:textId="0B9F7866" w:rsidR="00C31031" w:rsidRPr="000A4304" w:rsidRDefault="00C31031" w:rsidP="00496C5A">
            <w:pPr>
              <w:pStyle w:val="Tabletextcentred"/>
              <w:spacing w:before="60" w:after="60"/>
              <w:rPr>
                <w:b/>
              </w:rPr>
            </w:pPr>
            <w:r w:rsidRPr="00EA48B6">
              <w:rPr>
                <w:b/>
              </w:rPr>
              <w:t>0.6%</w:t>
            </w:r>
          </w:p>
        </w:tc>
        <w:tc>
          <w:tcPr>
            <w:tcW w:w="0" w:type="auto"/>
            <w:shd w:val="clear" w:color="auto" w:fill="F2F6E8"/>
            <w:vAlign w:val="center"/>
          </w:tcPr>
          <w:p w14:paraId="465169E8" w14:textId="7FDAA22A" w:rsidR="00C31031" w:rsidRPr="000A4304" w:rsidRDefault="00C31031" w:rsidP="00496C5A">
            <w:pPr>
              <w:pStyle w:val="Tabletextcentred"/>
              <w:spacing w:before="60" w:after="60"/>
              <w:rPr>
                <w:b/>
              </w:rPr>
            </w:pPr>
            <w:r w:rsidRPr="00EA48B6">
              <w:rPr>
                <w:b/>
              </w:rPr>
              <w:t>1.4%</w:t>
            </w:r>
          </w:p>
        </w:tc>
        <w:tc>
          <w:tcPr>
            <w:tcW w:w="156" w:type="pct"/>
            <w:shd w:val="clear" w:color="auto" w:fill="F2F6E8"/>
            <w:vAlign w:val="center"/>
          </w:tcPr>
          <w:p w14:paraId="3C58C6DE" w14:textId="018C1F8B" w:rsidR="00C31031" w:rsidRPr="000A4304" w:rsidRDefault="00C31031" w:rsidP="00496C5A">
            <w:pPr>
              <w:pStyle w:val="Tabletextcentred"/>
              <w:spacing w:before="60" w:after="60"/>
              <w:rPr>
                <w:b/>
              </w:rPr>
            </w:pPr>
            <w:r w:rsidRPr="00EA48B6">
              <w:rPr>
                <w:b/>
              </w:rPr>
              <w:t>0.1%</w:t>
            </w:r>
          </w:p>
        </w:tc>
      </w:tr>
    </w:tbl>
    <w:p w14:paraId="093489D0" w14:textId="140D4E7F" w:rsidR="003D3443" w:rsidRPr="000B328B" w:rsidRDefault="003D3443" w:rsidP="003D3443">
      <w:pPr>
        <w:pStyle w:val="Sourcenotes"/>
        <w:rPr>
          <w:lang w:val="en-AU"/>
        </w:rPr>
      </w:pPr>
      <w:r>
        <w:rPr>
          <w:lang w:val="en-AU"/>
        </w:rPr>
        <w:t>Notes: Rows may not sum to 100% due to rounding.</w:t>
      </w:r>
      <w:r>
        <w:t xml:space="preserve"> Other </w:t>
      </w:r>
      <w:r w:rsidR="00F54268">
        <w:rPr>
          <w:lang w:val="en-AU"/>
        </w:rPr>
        <w:t>refers to</w:t>
      </w:r>
      <w:r>
        <w:t xml:space="preserve"> other territories</w:t>
      </w:r>
      <w:r w:rsidR="00F54268">
        <w:rPr>
          <w:lang w:val="en-AU"/>
        </w:rPr>
        <w:t xml:space="preserve">, </w:t>
      </w:r>
      <w:r>
        <w:t>including Christmas Island, Cocos (Keeling) Islands, Jervis Bay and Norfolk Island</w:t>
      </w:r>
      <w:r>
        <w:rPr>
          <w:lang w:val="en-AU"/>
        </w:rPr>
        <w:t>.</w:t>
      </w:r>
    </w:p>
    <w:p w14:paraId="3F979341" w14:textId="5D8394F0" w:rsidR="003D3443" w:rsidRDefault="003D3443" w:rsidP="003D3443">
      <w:pPr>
        <w:pStyle w:val="Sourcenotes"/>
      </w:pPr>
      <w:r>
        <w:t xml:space="preserve">Source: Australian Bureau of Statistics </w:t>
      </w:r>
      <w:r w:rsidR="00676EF8">
        <w:t>–</w:t>
      </w:r>
      <w:r>
        <w:t xml:space="preserve"> Counts of Australian Businesses, including Entries and Exits, June 2019 to June</w:t>
      </w:r>
      <w:r w:rsidR="00775D5D">
        <w:rPr>
          <w:lang w:val="en-AU"/>
        </w:rPr>
        <w:t> </w:t>
      </w:r>
      <w:r>
        <w:t>2023.</w:t>
      </w:r>
    </w:p>
    <w:p w14:paraId="34F90246" w14:textId="3E622A55" w:rsidR="003D3443" w:rsidRPr="00EE498A" w:rsidRDefault="003D3443" w:rsidP="003D3443">
      <w:r w:rsidRPr="00EE498A">
        <w:t xml:space="preserve">Consistent with the size distribution of Australian businesses overall, the vast majority of businesses within the cultural and creative domains were small businesses, employing up to 4 employees (see </w:t>
      </w:r>
      <w:r w:rsidRPr="00EE498A">
        <w:fldChar w:fldCharType="begin"/>
      </w:r>
      <w:r w:rsidRPr="00EE498A">
        <w:instrText xml:space="preserve"> REF _Ref182477833 \h </w:instrText>
      </w:r>
      <w:r w:rsidR="00EE498A">
        <w:instrText xml:space="preserve"> \* MERGEFORMAT </w:instrText>
      </w:r>
      <w:r w:rsidRPr="00EE498A">
        <w:fldChar w:fldCharType="separate"/>
      </w:r>
      <w:r w:rsidR="00C65220" w:rsidRPr="00EE498A">
        <w:t xml:space="preserve">Table </w:t>
      </w:r>
      <w:r w:rsidR="00C65220">
        <w:rPr>
          <w:noProof/>
        </w:rPr>
        <w:t>3</w:t>
      </w:r>
      <w:r w:rsidRPr="00EE498A">
        <w:fldChar w:fldCharType="end"/>
      </w:r>
      <w:r w:rsidRPr="00EE498A">
        <w:t>). Some domains were more likely</w:t>
      </w:r>
      <w:r w:rsidRPr="00026C73">
        <w:t xml:space="preserve"> to be small employers, particularly those in the literature, creative and performing arts and visual arts and crafts domain where 97% of businesses employed up to 4 employees (with the vast majority of these being non-employing). Conversely, businesses in the radio broadcasting, print media and publishing (excl. internet), and film and television activities domains were the most likely to employ 200 or </w:t>
      </w:r>
      <w:r w:rsidRPr="00026C73">
        <w:lastRenderedPageBreak/>
        <w:t xml:space="preserve">more employees, representing 2.6% (of a small number of businesses), </w:t>
      </w:r>
      <w:r w:rsidRPr="00EE498A">
        <w:t>0.7% and 0.5% of these businesses, respectively.</w:t>
      </w:r>
    </w:p>
    <w:p w14:paraId="4FD91337" w14:textId="15C8978B" w:rsidR="003D3443" w:rsidRDefault="003D3443" w:rsidP="003508E1">
      <w:pPr>
        <w:pStyle w:val="Tablefigureheading"/>
      </w:pPr>
      <w:bookmarkStart w:id="86" w:name="_Ref182477833"/>
      <w:bookmarkStart w:id="87" w:name="_Toc182484673"/>
      <w:bookmarkStart w:id="88" w:name="_Toc182914600"/>
      <w:bookmarkStart w:id="89" w:name="_Toc184641658"/>
      <w:r w:rsidRPr="00EE498A">
        <w:t xml:space="preserve">Table </w:t>
      </w:r>
      <w:r w:rsidR="003C2F6D">
        <w:fldChar w:fldCharType="begin"/>
      </w:r>
      <w:r w:rsidR="003C2F6D">
        <w:instrText xml:space="preserve"> SEQ Table \* ARABIC </w:instrText>
      </w:r>
      <w:r w:rsidR="003C2F6D">
        <w:fldChar w:fldCharType="separate"/>
      </w:r>
      <w:r w:rsidR="00C65220">
        <w:rPr>
          <w:noProof/>
        </w:rPr>
        <w:t>3</w:t>
      </w:r>
      <w:r w:rsidR="003C2F6D">
        <w:rPr>
          <w:noProof/>
        </w:rPr>
        <w:fldChar w:fldCharType="end"/>
      </w:r>
      <w:bookmarkEnd w:id="86"/>
      <w:r w:rsidRPr="00EE498A">
        <w:t>. Share of businesses within cultural and creative industries, by domain and employment size, June</w:t>
      </w:r>
      <w:r w:rsidR="00775D5D">
        <w:t> </w:t>
      </w:r>
      <w:r w:rsidRPr="00EE498A">
        <w:t>2023</w:t>
      </w:r>
      <w:bookmarkEnd w:id="87"/>
      <w:bookmarkEnd w:id="88"/>
      <w:bookmarkEnd w:id="89"/>
    </w:p>
    <w:tbl>
      <w:tblPr>
        <w:tblStyle w:val="DefaultTable11"/>
        <w:tblW w:w="5012" w:type="pct"/>
        <w:tblCellMar>
          <w:top w:w="28" w:type="dxa"/>
          <w:bottom w:w="28" w:type="dxa"/>
        </w:tblCellMar>
        <w:tblLook w:val="0420" w:firstRow="1" w:lastRow="0" w:firstColumn="0" w:lastColumn="0" w:noHBand="0" w:noVBand="1"/>
        <w:tblDescription w:val="Table 3. Share of businesses within cultural and creative industries, by domain and employment size, June 2023"/>
      </w:tblPr>
      <w:tblGrid>
        <w:gridCol w:w="3244"/>
        <w:gridCol w:w="1297"/>
        <w:gridCol w:w="1293"/>
        <w:gridCol w:w="1345"/>
        <w:gridCol w:w="1447"/>
        <w:gridCol w:w="1262"/>
      </w:tblGrid>
      <w:tr w:rsidR="00496C5A" w:rsidRPr="00654F9E" w14:paraId="71F1D0C8" w14:textId="77777777" w:rsidTr="005D3849">
        <w:trPr>
          <w:cnfStyle w:val="100000000000" w:firstRow="1" w:lastRow="0" w:firstColumn="0" w:lastColumn="0" w:oddVBand="0" w:evenVBand="0" w:oddHBand="0" w:evenHBand="0" w:firstRowFirstColumn="0" w:firstRowLastColumn="0" w:lastRowFirstColumn="0" w:lastRowLastColumn="0"/>
          <w:cantSplit/>
        </w:trPr>
        <w:tc>
          <w:tcPr>
            <w:tcW w:w="1641" w:type="pct"/>
            <w:vAlign w:val="center"/>
          </w:tcPr>
          <w:p w14:paraId="71528A22" w14:textId="2EA66CC6" w:rsidR="00496C5A" w:rsidRPr="00496C5A" w:rsidRDefault="00496C5A" w:rsidP="0086554C">
            <w:pPr>
              <w:pStyle w:val="Tablerowcolumnheading"/>
              <w:keepNext/>
              <w:spacing w:before="20" w:after="20"/>
              <w:rPr>
                <w:b/>
                <w:sz w:val="22"/>
                <w:szCs w:val="22"/>
              </w:rPr>
            </w:pPr>
            <w:r w:rsidRPr="00496C5A">
              <w:rPr>
                <w:b/>
              </w:rPr>
              <w:t>Domain</w:t>
            </w:r>
          </w:p>
        </w:tc>
        <w:tc>
          <w:tcPr>
            <w:tcW w:w="0" w:type="auto"/>
            <w:vAlign w:val="center"/>
          </w:tcPr>
          <w:p w14:paraId="1C84CDAF" w14:textId="41A7C331" w:rsidR="00496C5A" w:rsidRPr="00496C5A" w:rsidRDefault="00496C5A" w:rsidP="0086554C">
            <w:pPr>
              <w:pStyle w:val="Tablerowcolumnheadingcentred"/>
              <w:keepNext/>
              <w:spacing w:before="20" w:after="20"/>
              <w:rPr>
                <w:b/>
              </w:rPr>
            </w:pPr>
            <w:r w:rsidRPr="00496C5A">
              <w:rPr>
                <w:b/>
              </w:rPr>
              <w:t>Non-employing</w:t>
            </w:r>
          </w:p>
        </w:tc>
        <w:tc>
          <w:tcPr>
            <w:tcW w:w="0" w:type="auto"/>
            <w:vAlign w:val="center"/>
          </w:tcPr>
          <w:p w14:paraId="73D663DB" w14:textId="5BF811C8" w:rsidR="00496C5A" w:rsidRPr="00496C5A" w:rsidRDefault="00496C5A" w:rsidP="0086554C">
            <w:pPr>
              <w:pStyle w:val="Tablerowcolumnheadingcentred"/>
              <w:keepNext/>
              <w:spacing w:before="20" w:after="20"/>
              <w:rPr>
                <w:b/>
              </w:rPr>
            </w:pPr>
            <w:r w:rsidRPr="00496C5A">
              <w:rPr>
                <w:b/>
              </w:rPr>
              <w:t>1–4 Employees</w:t>
            </w:r>
          </w:p>
        </w:tc>
        <w:tc>
          <w:tcPr>
            <w:tcW w:w="0" w:type="auto"/>
            <w:vAlign w:val="center"/>
          </w:tcPr>
          <w:p w14:paraId="068A219B" w14:textId="56CEFD79" w:rsidR="00496C5A" w:rsidRPr="00496C5A" w:rsidRDefault="00496C5A" w:rsidP="0086554C">
            <w:pPr>
              <w:pStyle w:val="Tablerowcolumnheadingcentred"/>
              <w:keepNext/>
              <w:spacing w:before="20" w:after="20"/>
              <w:rPr>
                <w:b/>
              </w:rPr>
            </w:pPr>
            <w:r w:rsidRPr="00496C5A">
              <w:rPr>
                <w:b/>
              </w:rPr>
              <w:t>5–19 Employees</w:t>
            </w:r>
          </w:p>
        </w:tc>
        <w:tc>
          <w:tcPr>
            <w:tcW w:w="0" w:type="auto"/>
            <w:vAlign w:val="center"/>
          </w:tcPr>
          <w:p w14:paraId="7C37F678" w14:textId="5DDEE04D" w:rsidR="00496C5A" w:rsidRPr="00496C5A" w:rsidRDefault="00496C5A" w:rsidP="0086554C">
            <w:pPr>
              <w:pStyle w:val="Tablerowcolumnheadingcentred"/>
              <w:keepNext/>
              <w:spacing w:before="20" w:after="20"/>
              <w:rPr>
                <w:b/>
              </w:rPr>
            </w:pPr>
            <w:r w:rsidRPr="00496C5A">
              <w:rPr>
                <w:b/>
              </w:rPr>
              <w:t>20–199 Employees</w:t>
            </w:r>
          </w:p>
        </w:tc>
        <w:tc>
          <w:tcPr>
            <w:tcW w:w="638" w:type="pct"/>
            <w:vAlign w:val="center"/>
          </w:tcPr>
          <w:p w14:paraId="09F75E85" w14:textId="4A4FBF8A" w:rsidR="00496C5A" w:rsidRPr="00496C5A" w:rsidRDefault="00496C5A" w:rsidP="0086554C">
            <w:pPr>
              <w:pStyle w:val="Tablerowcolumnheadingcentred"/>
              <w:keepNext/>
              <w:spacing w:before="20" w:after="20"/>
              <w:rPr>
                <w:b/>
              </w:rPr>
            </w:pPr>
            <w:r w:rsidRPr="00496C5A">
              <w:rPr>
                <w:b/>
              </w:rPr>
              <w:t>200+ Employees</w:t>
            </w:r>
          </w:p>
        </w:tc>
      </w:tr>
      <w:tr w:rsidR="00496C5A" w:rsidRPr="00654F9E" w14:paraId="366CFD1E" w14:textId="77777777" w:rsidTr="005D3849">
        <w:trPr>
          <w:cantSplit/>
        </w:trPr>
        <w:tc>
          <w:tcPr>
            <w:tcW w:w="1641" w:type="pct"/>
            <w:vAlign w:val="center"/>
          </w:tcPr>
          <w:p w14:paraId="64E378E6" w14:textId="46A2240A" w:rsidR="00496C5A" w:rsidRPr="00837848" w:rsidRDefault="00496C5A" w:rsidP="0086554C">
            <w:pPr>
              <w:pStyle w:val="Tabletext"/>
              <w:keepNext/>
              <w:spacing w:before="20" w:after="20"/>
            </w:pPr>
            <w:r w:rsidRPr="00185B16">
              <w:t>Print media and publishing (excl. internet)</w:t>
            </w:r>
          </w:p>
        </w:tc>
        <w:tc>
          <w:tcPr>
            <w:tcW w:w="0" w:type="auto"/>
            <w:vAlign w:val="center"/>
          </w:tcPr>
          <w:p w14:paraId="227A6CD6" w14:textId="554D72F1" w:rsidR="00496C5A" w:rsidRPr="006C694C" w:rsidRDefault="00496C5A" w:rsidP="0086554C">
            <w:pPr>
              <w:pStyle w:val="Tabletextcentred"/>
              <w:keepNext/>
              <w:spacing w:before="20" w:after="20"/>
            </w:pPr>
            <w:r w:rsidRPr="00185B16">
              <w:t>58.0%</w:t>
            </w:r>
          </w:p>
        </w:tc>
        <w:tc>
          <w:tcPr>
            <w:tcW w:w="0" w:type="auto"/>
            <w:vAlign w:val="center"/>
          </w:tcPr>
          <w:p w14:paraId="5BA4FC2C" w14:textId="173F6331" w:rsidR="00496C5A" w:rsidRPr="006C694C" w:rsidRDefault="00496C5A" w:rsidP="0086554C">
            <w:pPr>
              <w:pStyle w:val="Tabletextcentred"/>
              <w:keepNext/>
              <w:spacing w:before="20" w:after="20"/>
            </w:pPr>
            <w:r w:rsidRPr="00185B16">
              <w:t>27.3%</w:t>
            </w:r>
          </w:p>
        </w:tc>
        <w:tc>
          <w:tcPr>
            <w:tcW w:w="0" w:type="auto"/>
            <w:vAlign w:val="center"/>
          </w:tcPr>
          <w:p w14:paraId="05A1ED4B" w14:textId="75CD07E5" w:rsidR="00496C5A" w:rsidRDefault="00496C5A" w:rsidP="0086554C">
            <w:pPr>
              <w:pStyle w:val="Tabletextcentred"/>
              <w:keepNext/>
              <w:spacing w:before="20" w:after="20"/>
            </w:pPr>
            <w:r w:rsidRPr="00185B16">
              <w:t>10.4%</w:t>
            </w:r>
          </w:p>
        </w:tc>
        <w:tc>
          <w:tcPr>
            <w:tcW w:w="0" w:type="auto"/>
            <w:vAlign w:val="center"/>
          </w:tcPr>
          <w:p w14:paraId="301912A4" w14:textId="55B4C5C4" w:rsidR="00496C5A" w:rsidRPr="004729CA" w:rsidRDefault="00496C5A" w:rsidP="0086554C">
            <w:pPr>
              <w:pStyle w:val="Tabletextcentred"/>
              <w:keepNext/>
              <w:spacing w:before="20" w:after="20"/>
            </w:pPr>
            <w:r w:rsidRPr="00185B16">
              <w:t>3.5%</w:t>
            </w:r>
          </w:p>
        </w:tc>
        <w:tc>
          <w:tcPr>
            <w:tcW w:w="638" w:type="pct"/>
            <w:vAlign w:val="center"/>
          </w:tcPr>
          <w:p w14:paraId="4CECE07D" w14:textId="1313C77F" w:rsidR="00496C5A" w:rsidRPr="004729CA" w:rsidRDefault="00496C5A" w:rsidP="0086554C">
            <w:pPr>
              <w:pStyle w:val="Tabletextcentred"/>
              <w:keepNext/>
              <w:spacing w:before="20" w:after="20"/>
            </w:pPr>
            <w:r w:rsidRPr="00185B16">
              <w:t>0.7%</w:t>
            </w:r>
          </w:p>
        </w:tc>
      </w:tr>
      <w:tr w:rsidR="00496C5A" w:rsidRPr="00654F9E" w14:paraId="67CA524D" w14:textId="77777777" w:rsidTr="005D3849">
        <w:trPr>
          <w:cnfStyle w:val="000000010000" w:firstRow="0" w:lastRow="0" w:firstColumn="0" w:lastColumn="0" w:oddVBand="0" w:evenVBand="0" w:oddHBand="0" w:evenHBand="1" w:firstRowFirstColumn="0" w:firstRowLastColumn="0" w:lastRowFirstColumn="0" w:lastRowLastColumn="0"/>
          <w:cantSplit/>
        </w:trPr>
        <w:tc>
          <w:tcPr>
            <w:tcW w:w="1641" w:type="pct"/>
            <w:vAlign w:val="center"/>
          </w:tcPr>
          <w:p w14:paraId="0E373C59" w14:textId="78D91E10" w:rsidR="00496C5A" w:rsidRPr="00837848" w:rsidRDefault="00496C5A" w:rsidP="0086554C">
            <w:pPr>
              <w:pStyle w:val="Tabletext"/>
              <w:keepNext/>
              <w:spacing w:before="20" w:after="20"/>
            </w:pPr>
            <w:r w:rsidRPr="00185B16">
              <w:t>Film and television activities</w:t>
            </w:r>
          </w:p>
        </w:tc>
        <w:tc>
          <w:tcPr>
            <w:tcW w:w="0" w:type="auto"/>
            <w:vAlign w:val="center"/>
          </w:tcPr>
          <w:p w14:paraId="2990DA93" w14:textId="3C633E3B" w:rsidR="00496C5A" w:rsidRPr="006C694C" w:rsidRDefault="00496C5A" w:rsidP="0086554C">
            <w:pPr>
              <w:pStyle w:val="Tabletextcentred"/>
              <w:spacing w:before="20" w:after="20"/>
            </w:pPr>
            <w:r w:rsidRPr="00185B16">
              <w:t>62.9%</w:t>
            </w:r>
          </w:p>
        </w:tc>
        <w:tc>
          <w:tcPr>
            <w:tcW w:w="0" w:type="auto"/>
            <w:vAlign w:val="center"/>
          </w:tcPr>
          <w:p w14:paraId="1F63D91B" w14:textId="46571EFF" w:rsidR="00496C5A" w:rsidRPr="006C694C" w:rsidRDefault="00496C5A" w:rsidP="0086554C">
            <w:pPr>
              <w:pStyle w:val="Tabletextcentred"/>
              <w:spacing w:before="20" w:after="20"/>
            </w:pPr>
            <w:r w:rsidRPr="00185B16">
              <w:t>27.6%</w:t>
            </w:r>
          </w:p>
        </w:tc>
        <w:tc>
          <w:tcPr>
            <w:tcW w:w="0" w:type="auto"/>
            <w:vAlign w:val="center"/>
          </w:tcPr>
          <w:p w14:paraId="7812CAA4" w14:textId="174CF402" w:rsidR="00496C5A" w:rsidRDefault="00496C5A" w:rsidP="0086554C">
            <w:pPr>
              <w:pStyle w:val="Tabletextcentred"/>
              <w:spacing w:before="20" w:after="20"/>
            </w:pPr>
            <w:r w:rsidRPr="00185B16">
              <w:t>6.1%</w:t>
            </w:r>
          </w:p>
        </w:tc>
        <w:tc>
          <w:tcPr>
            <w:tcW w:w="0" w:type="auto"/>
            <w:vAlign w:val="center"/>
          </w:tcPr>
          <w:p w14:paraId="03F4EB25" w14:textId="7E399C42" w:rsidR="00496C5A" w:rsidRPr="004729CA" w:rsidRDefault="00496C5A" w:rsidP="0086554C">
            <w:pPr>
              <w:pStyle w:val="Tabletextcentred"/>
              <w:spacing w:before="20" w:after="20"/>
            </w:pPr>
            <w:r w:rsidRPr="00185B16">
              <w:t>2.8%</w:t>
            </w:r>
          </w:p>
        </w:tc>
        <w:tc>
          <w:tcPr>
            <w:tcW w:w="638" w:type="pct"/>
            <w:vAlign w:val="center"/>
          </w:tcPr>
          <w:p w14:paraId="65ED9DC4" w14:textId="032C7E46" w:rsidR="00496C5A" w:rsidRPr="004729CA" w:rsidRDefault="00496C5A" w:rsidP="0086554C">
            <w:pPr>
              <w:pStyle w:val="Tabletextcentred"/>
              <w:spacing w:before="20" w:after="20"/>
            </w:pPr>
            <w:r w:rsidRPr="00185B16">
              <w:t>0.5%</w:t>
            </w:r>
          </w:p>
        </w:tc>
      </w:tr>
      <w:tr w:rsidR="00496C5A" w:rsidRPr="00654F9E" w14:paraId="03B12988" w14:textId="77777777" w:rsidTr="005D3849">
        <w:trPr>
          <w:cantSplit/>
        </w:trPr>
        <w:tc>
          <w:tcPr>
            <w:tcW w:w="1641" w:type="pct"/>
            <w:vAlign w:val="center"/>
          </w:tcPr>
          <w:p w14:paraId="315608D7" w14:textId="3E930486" w:rsidR="00496C5A" w:rsidRPr="00185B16" w:rsidRDefault="00496C5A" w:rsidP="0086554C">
            <w:pPr>
              <w:pStyle w:val="Tabletext"/>
              <w:spacing w:before="20" w:after="20"/>
            </w:pPr>
            <w:r w:rsidRPr="00185B16">
              <w:t>Music production and distribution</w:t>
            </w:r>
          </w:p>
        </w:tc>
        <w:tc>
          <w:tcPr>
            <w:tcW w:w="0" w:type="auto"/>
            <w:vAlign w:val="center"/>
          </w:tcPr>
          <w:p w14:paraId="4C9DF3F3" w14:textId="29215269" w:rsidR="00496C5A" w:rsidRPr="00185B16" w:rsidRDefault="00496C5A" w:rsidP="0086554C">
            <w:pPr>
              <w:pStyle w:val="Tabletextcentred"/>
              <w:spacing w:before="20" w:after="20"/>
            </w:pPr>
            <w:r w:rsidRPr="00185B16">
              <w:t>66.8%</w:t>
            </w:r>
          </w:p>
        </w:tc>
        <w:tc>
          <w:tcPr>
            <w:tcW w:w="0" w:type="auto"/>
            <w:vAlign w:val="center"/>
          </w:tcPr>
          <w:p w14:paraId="62A494EE" w14:textId="7E6355CA" w:rsidR="00496C5A" w:rsidRPr="00185B16" w:rsidRDefault="00496C5A" w:rsidP="0086554C">
            <w:pPr>
              <w:pStyle w:val="Tabletextcentred"/>
              <w:spacing w:before="20" w:after="20"/>
            </w:pPr>
            <w:r w:rsidRPr="00185B16">
              <w:t>27.3%</w:t>
            </w:r>
          </w:p>
        </w:tc>
        <w:tc>
          <w:tcPr>
            <w:tcW w:w="0" w:type="auto"/>
            <w:vAlign w:val="center"/>
          </w:tcPr>
          <w:p w14:paraId="5EF25EA1" w14:textId="43DF29CF" w:rsidR="00496C5A" w:rsidRPr="00185B16" w:rsidRDefault="00496C5A" w:rsidP="0086554C">
            <w:pPr>
              <w:pStyle w:val="Tabletextcentred"/>
              <w:spacing w:before="20" w:after="20"/>
            </w:pPr>
            <w:r w:rsidRPr="00185B16">
              <w:t>4.5%</w:t>
            </w:r>
          </w:p>
        </w:tc>
        <w:tc>
          <w:tcPr>
            <w:tcW w:w="0" w:type="auto"/>
            <w:vAlign w:val="center"/>
          </w:tcPr>
          <w:p w14:paraId="13251D1C" w14:textId="6353B4C0" w:rsidR="00496C5A" w:rsidRPr="00185B16" w:rsidRDefault="00496C5A" w:rsidP="0086554C">
            <w:pPr>
              <w:pStyle w:val="Tabletextcentred"/>
              <w:spacing w:before="20" w:after="20"/>
            </w:pPr>
            <w:r w:rsidRPr="00185B16">
              <w:t>1.3%</w:t>
            </w:r>
          </w:p>
        </w:tc>
        <w:tc>
          <w:tcPr>
            <w:tcW w:w="638" w:type="pct"/>
            <w:vAlign w:val="center"/>
          </w:tcPr>
          <w:p w14:paraId="11DA6DC0" w14:textId="1D4A1FB1" w:rsidR="00496C5A" w:rsidRPr="00185B16" w:rsidRDefault="00496C5A" w:rsidP="0086554C">
            <w:pPr>
              <w:pStyle w:val="Tabletextcentred"/>
              <w:spacing w:before="20" w:after="20"/>
            </w:pPr>
            <w:r w:rsidRPr="00185B16">
              <w:t>0.2%</w:t>
            </w:r>
          </w:p>
        </w:tc>
      </w:tr>
      <w:tr w:rsidR="00496C5A" w:rsidRPr="00654F9E" w14:paraId="194A5145" w14:textId="77777777" w:rsidTr="005D3849">
        <w:trPr>
          <w:cnfStyle w:val="000000010000" w:firstRow="0" w:lastRow="0" w:firstColumn="0" w:lastColumn="0" w:oddVBand="0" w:evenVBand="0" w:oddHBand="0" w:evenHBand="1" w:firstRowFirstColumn="0" w:firstRowLastColumn="0" w:lastRowFirstColumn="0" w:lastRowLastColumn="0"/>
          <w:cantSplit/>
        </w:trPr>
        <w:tc>
          <w:tcPr>
            <w:tcW w:w="1641" w:type="pct"/>
            <w:vAlign w:val="center"/>
          </w:tcPr>
          <w:p w14:paraId="06973FD5" w14:textId="531C8E2B" w:rsidR="00496C5A" w:rsidRPr="00185B16" w:rsidRDefault="00496C5A" w:rsidP="0086554C">
            <w:pPr>
              <w:pStyle w:val="Tabletext"/>
              <w:spacing w:before="20" w:after="20"/>
            </w:pPr>
            <w:r w:rsidRPr="00185B16">
              <w:t>Radio broadcasting</w:t>
            </w:r>
          </w:p>
        </w:tc>
        <w:tc>
          <w:tcPr>
            <w:tcW w:w="0" w:type="auto"/>
            <w:vAlign w:val="center"/>
          </w:tcPr>
          <w:p w14:paraId="73787676" w14:textId="0986FA1D" w:rsidR="00496C5A" w:rsidRPr="00185B16" w:rsidRDefault="00496C5A" w:rsidP="0086554C">
            <w:pPr>
              <w:pStyle w:val="Tabletextcentred"/>
              <w:spacing w:before="20" w:after="20"/>
            </w:pPr>
            <w:r w:rsidRPr="00185B16">
              <w:t>48.5%</w:t>
            </w:r>
          </w:p>
        </w:tc>
        <w:tc>
          <w:tcPr>
            <w:tcW w:w="0" w:type="auto"/>
            <w:vAlign w:val="center"/>
          </w:tcPr>
          <w:p w14:paraId="6F6593E3" w14:textId="1A35F2FE" w:rsidR="00496C5A" w:rsidRPr="00185B16" w:rsidRDefault="00496C5A" w:rsidP="0086554C">
            <w:pPr>
              <w:pStyle w:val="Tabletextcentred"/>
              <w:spacing w:before="20" w:after="20"/>
            </w:pPr>
            <w:r w:rsidRPr="00185B16">
              <w:t>18.6%</w:t>
            </w:r>
          </w:p>
        </w:tc>
        <w:tc>
          <w:tcPr>
            <w:tcW w:w="0" w:type="auto"/>
            <w:vAlign w:val="center"/>
          </w:tcPr>
          <w:p w14:paraId="26E75198" w14:textId="22B7C68D" w:rsidR="00496C5A" w:rsidRPr="00185B16" w:rsidRDefault="00496C5A" w:rsidP="0086554C">
            <w:pPr>
              <w:pStyle w:val="Tabletextcentred"/>
              <w:spacing w:before="20" w:after="20"/>
            </w:pPr>
            <w:r w:rsidRPr="00185B16">
              <w:t>23.7%</w:t>
            </w:r>
          </w:p>
        </w:tc>
        <w:tc>
          <w:tcPr>
            <w:tcW w:w="0" w:type="auto"/>
            <w:vAlign w:val="center"/>
          </w:tcPr>
          <w:p w14:paraId="1331FDE0" w14:textId="7F48E59D" w:rsidR="00496C5A" w:rsidRPr="00185B16" w:rsidRDefault="00496C5A" w:rsidP="0086554C">
            <w:pPr>
              <w:pStyle w:val="Tabletextcentred"/>
              <w:spacing w:before="20" w:after="20"/>
            </w:pPr>
            <w:r w:rsidRPr="00185B16">
              <w:t>6.7%</w:t>
            </w:r>
          </w:p>
        </w:tc>
        <w:tc>
          <w:tcPr>
            <w:tcW w:w="638" w:type="pct"/>
            <w:vAlign w:val="center"/>
          </w:tcPr>
          <w:p w14:paraId="7FE5430D" w14:textId="2A9DA26F" w:rsidR="00496C5A" w:rsidRPr="00185B16" w:rsidRDefault="00496C5A" w:rsidP="0086554C">
            <w:pPr>
              <w:pStyle w:val="Tabletextcentred"/>
              <w:spacing w:before="20" w:after="20"/>
            </w:pPr>
            <w:r w:rsidRPr="00185B16">
              <w:t>2.6%</w:t>
            </w:r>
          </w:p>
        </w:tc>
      </w:tr>
      <w:tr w:rsidR="00496C5A" w:rsidRPr="00654F9E" w14:paraId="7A6D44F8" w14:textId="77777777" w:rsidTr="005D3849">
        <w:trPr>
          <w:cantSplit/>
        </w:trPr>
        <w:tc>
          <w:tcPr>
            <w:tcW w:w="1641" w:type="pct"/>
            <w:vAlign w:val="center"/>
          </w:tcPr>
          <w:p w14:paraId="22AB3B87" w14:textId="4CFBDAA0" w:rsidR="00496C5A" w:rsidRPr="00185B16" w:rsidRDefault="00496C5A" w:rsidP="0086554C">
            <w:pPr>
              <w:pStyle w:val="Tabletext"/>
              <w:spacing w:before="20" w:after="20"/>
            </w:pPr>
            <w:r w:rsidRPr="00185B16">
              <w:t>Internet publishing and broadcasting</w:t>
            </w:r>
          </w:p>
        </w:tc>
        <w:tc>
          <w:tcPr>
            <w:tcW w:w="0" w:type="auto"/>
            <w:vAlign w:val="center"/>
          </w:tcPr>
          <w:p w14:paraId="1E176982" w14:textId="74FF01C4" w:rsidR="00496C5A" w:rsidRPr="00185B16" w:rsidRDefault="00496C5A" w:rsidP="0086554C">
            <w:pPr>
              <w:pStyle w:val="Tabletextcentred"/>
              <w:spacing w:before="20" w:after="20"/>
            </w:pPr>
            <w:r w:rsidRPr="00185B16">
              <w:t>65.6%</w:t>
            </w:r>
          </w:p>
        </w:tc>
        <w:tc>
          <w:tcPr>
            <w:tcW w:w="0" w:type="auto"/>
            <w:vAlign w:val="center"/>
          </w:tcPr>
          <w:p w14:paraId="0337744D" w14:textId="75F3ADA4" w:rsidR="00496C5A" w:rsidRPr="00185B16" w:rsidRDefault="00496C5A" w:rsidP="0086554C">
            <w:pPr>
              <w:pStyle w:val="Tabletextcentred"/>
              <w:spacing w:before="20" w:after="20"/>
            </w:pPr>
            <w:r w:rsidRPr="00185B16">
              <w:t>23.2%</w:t>
            </w:r>
          </w:p>
        </w:tc>
        <w:tc>
          <w:tcPr>
            <w:tcW w:w="0" w:type="auto"/>
            <w:vAlign w:val="center"/>
          </w:tcPr>
          <w:p w14:paraId="017559CF" w14:textId="20596D15" w:rsidR="00496C5A" w:rsidRPr="00185B16" w:rsidRDefault="00496C5A" w:rsidP="0086554C">
            <w:pPr>
              <w:pStyle w:val="Tabletextcentred"/>
              <w:spacing w:before="20" w:after="20"/>
            </w:pPr>
            <w:r w:rsidRPr="00185B16">
              <w:t>8.4%</w:t>
            </w:r>
          </w:p>
        </w:tc>
        <w:tc>
          <w:tcPr>
            <w:tcW w:w="0" w:type="auto"/>
            <w:vAlign w:val="center"/>
          </w:tcPr>
          <w:p w14:paraId="0E0317A5" w14:textId="21BA85E3" w:rsidR="00496C5A" w:rsidRPr="00185B16" w:rsidRDefault="00496C5A" w:rsidP="0086554C">
            <w:pPr>
              <w:pStyle w:val="Tabletextcentred"/>
              <w:spacing w:before="20" w:after="20"/>
            </w:pPr>
            <w:r w:rsidRPr="00185B16">
              <w:t>2.4%</w:t>
            </w:r>
          </w:p>
        </w:tc>
        <w:tc>
          <w:tcPr>
            <w:tcW w:w="638" w:type="pct"/>
            <w:vAlign w:val="center"/>
          </w:tcPr>
          <w:p w14:paraId="27AEDD51" w14:textId="0BAF2558" w:rsidR="00496C5A" w:rsidRPr="00185B16" w:rsidRDefault="00496C5A" w:rsidP="0086554C">
            <w:pPr>
              <w:pStyle w:val="Tabletextcentred"/>
              <w:spacing w:before="20" w:after="20"/>
            </w:pPr>
            <w:r w:rsidRPr="00185B16">
              <w:t>0.3%</w:t>
            </w:r>
          </w:p>
        </w:tc>
      </w:tr>
      <w:tr w:rsidR="00496C5A" w:rsidRPr="00654F9E" w14:paraId="271FA88A" w14:textId="77777777" w:rsidTr="005D3849">
        <w:trPr>
          <w:cnfStyle w:val="000000010000" w:firstRow="0" w:lastRow="0" w:firstColumn="0" w:lastColumn="0" w:oddVBand="0" w:evenVBand="0" w:oddHBand="0" w:evenHBand="1" w:firstRowFirstColumn="0" w:firstRowLastColumn="0" w:lastRowFirstColumn="0" w:lastRowLastColumn="0"/>
          <w:cantSplit/>
        </w:trPr>
        <w:tc>
          <w:tcPr>
            <w:tcW w:w="1641" w:type="pct"/>
            <w:vAlign w:val="center"/>
          </w:tcPr>
          <w:p w14:paraId="04C34A09" w14:textId="04916E55" w:rsidR="00496C5A" w:rsidRPr="00185B16" w:rsidRDefault="00496C5A" w:rsidP="0086554C">
            <w:pPr>
              <w:pStyle w:val="Tabletext"/>
              <w:spacing w:before="20" w:after="20"/>
            </w:pPr>
            <w:r w:rsidRPr="00185B16">
              <w:t>Libraries and archives</w:t>
            </w:r>
          </w:p>
        </w:tc>
        <w:tc>
          <w:tcPr>
            <w:tcW w:w="0" w:type="auto"/>
            <w:vAlign w:val="center"/>
          </w:tcPr>
          <w:p w14:paraId="52FBF171" w14:textId="5A426F32" w:rsidR="00496C5A" w:rsidRPr="00185B16" w:rsidRDefault="00496C5A" w:rsidP="0086554C">
            <w:pPr>
              <w:pStyle w:val="Tabletextcentred"/>
              <w:spacing w:before="20" w:after="20"/>
            </w:pPr>
            <w:r w:rsidRPr="00185B16">
              <w:t>62.6%</w:t>
            </w:r>
          </w:p>
        </w:tc>
        <w:tc>
          <w:tcPr>
            <w:tcW w:w="0" w:type="auto"/>
            <w:vAlign w:val="center"/>
          </w:tcPr>
          <w:p w14:paraId="266A6268" w14:textId="41B0B378" w:rsidR="00496C5A" w:rsidRPr="00185B16" w:rsidRDefault="00496C5A" w:rsidP="0086554C">
            <w:pPr>
              <w:pStyle w:val="Tabletextcentred"/>
              <w:spacing w:before="20" w:after="20"/>
            </w:pPr>
            <w:r w:rsidRPr="00185B16">
              <w:t>24.2%</w:t>
            </w:r>
          </w:p>
        </w:tc>
        <w:tc>
          <w:tcPr>
            <w:tcW w:w="0" w:type="auto"/>
            <w:vAlign w:val="center"/>
          </w:tcPr>
          <w:p w14:paraId="5A4DE7E7" w14:textId="32E1E86C" w:rsidR="00496C5A" w:rsidRPr="00185B16" w:rsidRDefault="00496C5A" w:rsidP="0086554C">
            <w:pPr>
              <w:pStyle w:val="Tabletextcentred"/>
              <w:spacing w:before="20" w:after="20"/>
            </w:pPr>
            <w:r w:rsidRPr="00185B16">
              <w:t>9.1%</w:t>
            </w:r>
          </w:p>
        </w:tc>
        <w:tc>
          <w:tcPr>
            <w:tcW w:w="0" w:type="auto"/>
            <w:vAlign w:val="center"/>
          </w:tcPr>
          <w:p w14:paraId="79C664A1" w14:textId="1F9E4B4E" w:rsidR="00496C5A" w:rsidRPr="00185B16" w:rsidRDefault="00496C5A" w:rsidP="0086554C">
            <w:pPr>
              <w:pStyle w:val="Tabletextcentred"/>
              <w:spacing w:before="20" w:after="20"/>
            </w:pPr>
            <w:r w:rsidRPr="00185B16">
              <w:t>4.0%</w:t>
            </w:r>
          </w:p>
        </w:tc>
        <w:tc>
          <w:tcPr>
            <w:tcW w:w="638" w:type="pct"/>
            <w:vAlign w:val="center"/>
          </w:tcPr>
          <w:p w14:paraId="4B0F5AEA" w14:textId="16BBC189" w:rsidR="00496C5A" w:rsidRPr="00185B16" w:rsidRDefault="00496C5A" w:rsidP="0086554C">
            <w:pPr>
              <w:pStyle w:val="Tabletextcentred"/>
              <w:spacing w:before="20" w:after="20"/>
            </w:pPr>
            <w:r w:rsidRPr="00185B16">
              <w:t>0.0%</w:t>
            </w:r>
          </w:p>
        </w:tc>
      </w:tr>
      <w:tr w:rsidR="00496C5A" w:rsidRPr="00654F9E" w14:paraId="35E5351F" w14:textId="77777777" w:rsidTr="005D3849">
        <w:trPr>
          <w:cantSplit/>
        </w:trPr>
        <w:tc>
          <w:tcPr>
            <w:tcW w:w="1641" w:type="pct"/>
            <w:vAlign w:val="center"/>
          </w:tcPr>
          <w:p w14:paraId="0DADAAF2" w14:textId="3533A846" w:rsidR="00496C5A" w:rsidRPr="00185B16" w:rsidRDefault="00496C5A" w:rsidP="0086554C">
            <w:pPr>
              <w:pStyle w:val="Tabletext"/>
              <w:spacing w:before="20" w:after="20"/>
            </w:pPr>
            <w:r w:rsidRPr="00185B16">
              <w:t>Architecture services</w:t>
            </w:r>
          </w:p>
        </w:tc>
        <w:tc>
          <w:tcPr>
            <w:tcW w:w="0" w:type="auto"/>
            <w:vAlign w:val="center"/>
          </w:tcPr>
          <w:p w14:paraId="5A83B258" w14:textId="19CB603F" w:rsidR="00496C5A" w:rsidRPr="00185B16" w:rsidRDefault="00496C5A" w:rsidP="0086554C">
            <w:pPr>
              <w:pStyle w:val="Tabletextcentred"/>
              <w:spacing w:before="20" w:after="20"/>
            </w:pPr>
            <w:r w:rsidRPr="00185B16">
              <w:t>50.2%</w:t>
            </w:r>
          </w:p>
        </w:tc>
        <w:tc>
          <w:tcPr>
            <w:tcW w:w="0" w:type="auto"/>
            <w:vAlign w:val="center"/>
          </w:tcPr>
          <w:p w14:paraId="095DCF29" w14:textId="2A380A0F" w:rsidR="00496C5A" w:rsidRPr="00185B16" w:rsidRDefault="00496C5A" w:rsidP="0086554C">
            <w:pPr>
              <w:pStyle w:val="Tabletextcentred"/>
              <w:spacing w:before="20" w:after="20"/>
            </w:pPr>
            <w:r w:rsidRPr="00185B16">
              <w:t>38.6%</w:t>
            </w:r>
          </w:p>
        </w:tc>
        <w:tc>
          <w:tcPr>
            <w:tcW w:w="0" w:type="auto"/>
            <w:vAlign w:val="center"/>
          </w:tcPr>
          <w:p w14:paraId="6EE10EAA" w14:textId="42E6ABA1" w:rsidR="00496C5A" w:rsidRPr="00185B16" w:rsidRDefault="00496C5A" w:rsidP="0086554C">
            <w:pPr>
              <w:pStyle w:val="Tabletextcentred"/>
              <w:spacing w:before="20" w:after="20"/>
            </w:pPr>
            <w:r w:rsidRPr="00185B16">
              <w:t>9.2%</w:t>
            </w:r>
          </w:p>
        </w:tc>
        <w:tc>
          <w:tcPr>
            <w:tcW w:w="0" w:type="auto"/>
            <w:vAlign w:val="center"/>
          </w:tcPr>
          <w:p w14:paraId="4AFC877E" w14:textId="26531296" w:rsidR="00496C5A" w:rsidRPr="00185B16" w:rsidRDefault="00496C5A" w:rsidP="0086554C">
            <w:pPr>
              <w:pStyle w:val="Tabletextcentred"/>
              <w:spacing w:before="20" w:after="20"/>
            </w:pPr>
            <w:r w:rsidRPr="00185B16">
              <w:t>2.0%</w:t>
            </w:r>
          </w:p>
        </w:tc>
        <w:tc>
          <w:tcPr>
            <w:tcW w:w="638" w:type="pct"/>
            <w:vAlign w:val="center"/>
          </w:tcPr>
          <w:p w14:paraId="54E6D0CD" w14:textId="5BFCC8D3" w:rsidR="00496C5A" w:rsidRPr="00185B16" w:rsidRDefault="00496C5A" w:rsidP="0086554C">
            <w:pPr>
              <w:pStyle w:val="Tabletextcentred"/>
              <w:spacing w:before="20" w:after="20"/>
            </w:pPr>
            <w:r w:rsidRPr="00185B16">
              <w:t>0.1%</w:t>
            </w:r>
          </w:p>
        </w:tc>
      </w:tr>
      <w:tr w:rsidR="00496C5A" w:rsidRPr="00654F9E" w14:paraId="20682111" w14:textId="77777777" w:rsidTr="005D3849">
        <w:trPr>
          <w:cnfStyle w:val="000000010000" w:firstRow="0" w:lastRow="0" w:firstColumn="0" w:lastColumn="0" w:oddVBand="0" w:evenVBand="0" w:oddHBand="0" w:evenHBand="1" w:firstRowFirstColumn="0" w:firstRowLastColumn="0" w:lastRowFirstColumn="0" w:lastRowLastColumn="0"/>
          <w:cantSplit/>
        </w:trPr>
        <w:tc>
          <w:tcPr>
            <w:tcW w:w="1641" w:type="pct"/>
            <w:vAlign w:val="center"/>
          </w:tcPr>
          <w:p w14:paraId="0F3AA852" w14:textId="55C94A23" w:rsidR="00496C5A" w:rsidRPr="00185B16" w:rsidRDefault="00496C5A" w:rsidP="0086554C">
            <w:pPr>
              <w:pStyle w:val="Tabletext"/>
              <w:spacing w:before="20" w:after="20"/>
            </w:pPr>
            <w:r w:rsidRPr="00185B16">
              <w:t>Design and fashion</w:t>
            </w:r>
          </w:p>
        </w:tc>
        <w:tc>
          <w:tcPr>
            <w:tcW w:w="0" w:type="auto"/>
            <w:vAlign w:val="center"/>
          </w:tcPr>
          <w:p w14:paraId="585819CB" w14:textId="262E0D10" w:rsidR="00496C5A" w:rsidRPr="00185B16" w:rsidRDefault="00496C5A" w:rsidP="0086554C">
            <w:pPr>
              <w:pStyle w:val="Tabletextcentred"/>
              <w:spacing w:before="20" w:after="20"/>
            </w:pPr>
            <w:r w:rsidRPr="00185B16">
              <w:t>66.8%</w:t>
            </w:r>
          </w:p>
        </w:tc>
        <w:tc>
          <w:tcPr>
            <w:tcW w:w="0" w:type="auto"/>
            <w:vAlign w:val="center"/>
          </w:tcPr>
          <w:p w14:paraId="46E26FF1" w14:textId="4FB7EB50" w:rsidR="00496C5A" w:rsidRPr="00185B16" w:rsidRDefault="00496C5A" w:rsidP="0086554C">
            <w:pPr>
              <w:pStyle w:val="Tabletextcentred"/>
              <w:spacing w:before="20" w:after="20"/>
            </w:pPr>
            <w:r w:rsidRPr="00185B16">
              <w:t>27.0%</w:t>
            </w:r>
          </w:p>
        </w:tc>
        <w:tc>
          <w:tcPr>
            <w:tcW w:w="0" w:type="auto"/>
            <w:vAlign w:val="center"/>
          </w:tcPr>
          <w:p w14:paraId="77ED394E" w14:textId="5DCB475C" w:rsidR="00496C5A" w:rsidRPr="00185B16" w:rsidRDefault="00496C5A" w:rsidP="0086554C">
            <w:pPr>
              <w:pStyle w:val="Tabletextcentred"/>
              <w:spacing w:before="20" w:after="20"/>
            </w:pPr>
            <w:r w:rsidRPr="00185B16">
              <w:t>5.4%</w:t>
            </w:r>
          </w:p>
        </w:tc>
        <w:tc>
          <w:tcPr>
            <w:tcW w:w="0" w:type="auto"/>
            <w:vAlign w:val="center"/>
          </w:tcPr>
          <w:p w14:paraId="62BC4D7C" w14:textId="5A7D7275" w:rsidR="00496C5A" w:rsidRPr="00185B16" w:rsidRDefault="00496C5A" w:rsidP="0086554C">
            <w:pPr>
              <w:pStyle w:val="Tabletextcentred"/>
              <w:spacing w:before="20" w:after="20"/>
            </w:pPr>
            <w:r w:rsidRPr="00185B16">
              <w:t>0.7%</w:t>
            </w:r>
          </w:p>
        </w:tc>
        <w:tc>
          <w:tcPr>
            <w:tcW w:w="638" w:type="pct"/>
            <w:vAlign w:val="center"/>
          </w:tcPr>
          <w:p w14:paraId="6CF57A77" w14:textId="199CCAC6" w:rsidR="00496C5A" w:rsidRPr="00185B16" w:rsidRDefault="00496C5A" w:rsidP="0086554C">
            <w:pPr>
              <w:pStyle w:val="Tabletextcentred"/>
              <w:spacing w:before="20" w:after="20"/>
            </w:pPr>
            <w:r w:rsidRPr="00185B16">
              <w:t>0.0%</w:t>
            </w:r>
          </w:p>
        </w:tc>
      </w:tr>
      <w:tr w:rsidR="00496C5A" w:rsidRPr="00654F9E" w14:paraId="526FC9EB" w14:textId="77777777" w:rsidTr="005D3849">
        <w:trPr>
          <w:cantSplit/>
        </w:trPr>
        <w:tc>
          <w:tcPr>
            <w:tcW w:w="1641" w:type="pct"/>
            <w:vAlign w:val="center"/>
          </w:tcPr>
          <w:p w14:paraId="7292E93D" w14:textId="25A22FFD" w:rsidR="00496C5A" w:rsidRPr="00185B16" w:rsidRDefault="00496C5A" w:rsidP="0086554C">
            <w:pPr>
              <w:pStyle w:val="Tabletext"/>
              <w:spacing w:before="20" w:after="20"/>
            </w:pPr>
            <w:r w:rsidRPr="00185B16">
              <w:t>Advertising and promotion</w:t>
            </w:r>
          </w:p>
        </w:tc>
        <w:tc>
          <w:tcPr>
            <w:tcW w:w="0" w:type="auto"/>
            <w:vAlign w:val="center"/>
          </w:tcPr>
          <w:p w14:paraId="090AAE04" w14:textId="5A17BACD" w:rsidR="00496C5A" w:rsidRPr="00185B16" w:rsidRDefault="00496C5A" w:rsidP="0086554C">
            <w:pPr>
              <w:pStyle w:val="Tabletextcentred"/>
              <w:spacing w:before="20" w:after="20"/>
            </w:pPr>
            <w:r w:rsidRPr="00185B16">
              <w:t>58.1%</w:t>
            </w:r>
          </w:p>
        </w:tc>
        <w:tc>
          <w:tcPr>
            <w:tcW w:w="0" w:type="auto"/>
            <w:vAlign w:val="center"/>
          </w:tcPr>
          <w:p w14:paraId="79C295CF" w14:textId="5B6625A9" w:rsidR="00496C5A" w:rsidRPr="00185B16" w:rsidRDefault="00496C5A" w:rsidP="0086554C">
            <w:pPr>
              <w:pStyle w:val="Tabletextcentred"/>
              <w:spacing w:before="20" w:after="20"/>
            </w:pPr>
            <w:r w:rsidRPr="00185B16">
              <w:t>31.1%</w:t>
            </w:r>
          </w:p>
        </w:tc>
        <w:tc>
          <w:tcPr>
            <w:tcW w:w="0" w:type="auto"/>
            <w:vAlign w:val="center"/>
          </w:tcPr>
          <w:p w14:paraId="38FA158B" w14:textId="78BFA067" w:rsidR="00496C5A" w:rsidRPr="00185B16" w:rsidRDefault="00496C5A" w:rsidP="0086554C">
            <w:pPr>
              <w:pStyle w:val="Tabletextcentred"/>
              <w:spacing w:before="20" w:after="20"/>
            </w:pPr>
            <w:r w:rsidRPr="00185B16">
              <w:t>7.8%</w:t>
            </w:r>
          </w:p>
        </w:tc>
        <w:tc>
          <w:tcPr>
            <w:tcW w:w="0" w:type="auto"/>
            <w:vAlign w:val="center"/>
          </w:tcPr>
          <w:p w14:paraId="6D194C56" w14:textId="6A7991B7" w:rsidR="00496C5A" w:rsidRPr="00185B16" w:rsidRDefault="00496C5A" w:rsidP="0086554C">
            <w:pPr>
              <w:pStyle w:val="Tabletextcentred"/>
              <w:spacing w:before="20" w:after="20"/>
            </w:pPr>
            <w:r w:rsidRPr="00185B16">
              <w:t>2.8%</w:t>
            </w:r>
          </w:p>
        </w:tc>
        <w:tc>
          <w:tcPr>
            <w:tcW w:w="638" w:type="pct"/>
            <w:vAlign w:val="center"/>
          </w:tcPr>
          <w:p w14:paraId="7E926D15" w14:textId="54D814E3" w:rsidR="00496C5A" w:rsidRPr="00185B16" w:rsidRDefault="00496C5A" w:rsidP="0086554C">
            <w:pPr>
              <w:pStyle w:val="Tabletextcentred"/>
              <w:spacing w:before="20" w:after="20"/>
            </w:pPr>
            <w:r w:rsidRPr="00185B16">
              <w:t>0.2%</w:t>
            </w:r>
          </w:p>
        </w:tc>
      </w:tr>
      <w:tr w:rsidR="00496C5A" w:rsidRPr="00654F9E" w14:paraId="16F8D141" w14:textId="77777777" w:rsidTr="005D3849">
        <w:trPr>
          <w:cnfStyle w:val="000000010000" w:firstRow="0" w:lastRow="0" w:firstColumn="0" w:lastColumn="0" w:oddVBand="0" w:evenVBand="0" w:oddHBand="0" w:evenHBand="1" w:firstRowFirstColumn="0" w:firstRowLastColumn="0" w:lastRowFirstColumn="0" w:lastRowLastColumn="0"/>
          <w:cantSplit/>
        </w:trPr>
        <w:tc>
          <w:tcPr>
            <w:tcW w:w="1641" w:type="pct"/>
            <w:vAlign w:val="center"/>
          </w:tcPr>
          <w:p w14:paraId="4D205E52" w14:textId="62805B17" w:rsidR="00496C5A" w:rsidRPr="00185B16" w:rsidRDefault="00496C5A" w:rsidP="0086554C">
            <w:pPr>
              <w:pStyle w:val="Tabletext"/>
              <w:spacing w:before="20" w:after="20"/>
            </w:pPr>
            <w:r w:rsidRPr="00185B16">
              <w:t>Literature, creative and performing arts, and Visual arts and crafts</w:t>
            </w:r>
          </w:p>
        </w:tc>
        <w:tc>
          <w:tcPr>
            <w:tcW w:w="0" w:type="auto"/>
            <w:vAlign w:val="center"/>
          </w:tcPr>
          <w:p w14:paraId="6DCF3D6A" w14:textId="71336F33" w:rsidR="00496C5A" w:rsidRPr="00185B16" w:rsidRDefault="00496C5A" w:rsidP="0086554C">
            <w:pPr>
              <w:pStyle w:val="Tabletextcentred"/>
              <w:spacing w:before="20" w:after="20"/>
            </w:pPr>
            <w:r w:rsidRPr="00185B16">
              <w:t>79.0%</w:t>
            </w:r>
          </w:p>
        </w:tc>
        <w:tc>
          <w:tcPr>
            <w:tcW w:w="0" w:type="auto"/>
            <w:vAlign w:val="center"/>
          </w:tcPr>
          <w:p w14:paraId="4273EC3E" w14:textId="5D3DDC4E" w:rsidR="00496C5A" w:rsidRPr="00185B16" w:rsidRDefault="00496C5A" w:rsidP="0086554C">
            <w:pPr>
              <w:pStyle w:val="Tabletextcentred"/>
              <w:spacing w:before="20" w:after="20"/>
            </w:pPr>
            <w:r w:rsidRPr="00185B16">
              <w:t>17.6%</w:t>
            </w:r>
          </w:p>
        </w:tc>
        <w:tc>
          <w:tcPr>
            <w:tcW w:w="0" w:type="auto"/>
            <w:vAlign w:val="center"/>
          </w:tcPr>
          <w:p w14:paraId="743ACD2E" w14:textId="29398204" w:rsidR="00496C5A" w:rsidRPr="00185B16" w:rsidRDefault="00496C5A" w:rsidP="0086554C">
            <w:pPr>
              <w:pStyle w:val="Tabletextcentred"/>
              <w:spacing w:before="20" w:after="20"/>
            </w:pPr>
            <w:r w:rsidRPr="00185B16">
              <w:t>2.6%</w:t>
            </w:r>
          </w:p>
        </w:tc>
        <w:tc>
          <w:tcPr>
            <w:tcW w:w="0" w:type="auto"/>
            <w:vAlign w:val="center"/>
          </w:tcPr>
          <w:p w14:paraId="0EDE4291" w14:textId="1E3D9997" w:rsidR="00496C5A" w:rsidRPr="00185B16" w:rsidRDefault="00496C5A" w:rsidP="0086554C">
            <w:pPr>
              <w:pStyle w:val="Tabletextcentred"/>
              <w:spacing w:before="20" w:after="20"/>
            </w:pPr>
            <w:r w:rsidRPr="00185B16">
              <w:t>0.8%</w:t>
            </w:r>
          </w:p>
        </w:tc>
        <w:tc>
          <w:tcPr>
            <w:tcW w:w="638" w:type="pct"/>
            <w:vAlign w:val="center"/>
          </w:tcPr>
          <w:p w14:paraId="7FAC7B08" w14:textId="3C39E9EE" w:rsidR="00496C5A" w:rsidRPr="00185B16" w:rsidRDefault="00496C5A" w:rsidP="0086554C">
            <w:pPr>
              <w:pStyle w:val="Tabletextcentred"/>
              <w:spacing w:before="20" w:after="20"/>
            </w:pPr>
            <w:r w:rsidRPr="00185B16">
              <w:t>0.0%</w:t>
            </w:r>
          </w:p>
        </w:tc>
      </w:tr>
      <w:tr w:rsidR="00496C5A" w:rsidRPr="00654F9E" w14:paraId="32E71FA2" w14:textId="77777777" w:rsidTr="005D3849">
        <w:trPr>
          <w:cantSplit/>
        </w:trPr>
        <w:tc>
          <w:tcPr>
            <w:tcW w:w="1641" w:type="pct"/>
            <w:vAlign w:val="center"/>
          </w:tcPr>
          <w:p w14:paraId="49AEF3C3" w14:textId="67B54A83" w:rsidR="00496C5A" w:rsidRPr="00185B16" w:rsidRDefault="00496C5A" w:rsidP="0086554C">
            <w:pPr>
              <w:pStyle w:val="Tabletext"/>
              <w:spacing w:before="20" w:after="20"/>
            </w:pPr>
            <w:r w:rsidRPr="00185B16">
              <w:t>Arts education</w:t>
            </w:r>
          </w:p>
        </w:tc>
        <w:tc>
          <w:tcPr>
            <w:tcW w:w="0" w:type="auto"/>
            <w:vAlign w:val="center"/>
          </w:tcPr>
          <w:p w14:paraId="57CA6943" w14:textId="30F87A6D" w:rsidR="00496C5A" w:rsidRPr="00185B16" w:rsidRDefault="00496C5A" w:rsidP="0086554C">
            <w:pPr>
              <w:pStyle w:val="Tabletextcentred"/>
              <w:spacing w:before="20" w:after="20"/>
            </w:pPr>
            <w:r w:rsidRPr="00185B16">
              <w:t>53.7%</w:t>
            </w:r>
          </w:p>
        </w:tc>
        <w:tc>
          <w:tcPr>
            <w:tcW w:w="0" w:type="auto"/>
            <w:vAlign w:val="center"/>
          </w:tcPr>
          <w:p w14:paraId="0B351EFD" w14:textId="477D8495" w:rsidR="00496C5A" w:rsidRPr="00185B16" w:rsidRDefault="00496C5A" w:rsidP="0086554C">
            <w:pPr>
              <w:pStyle w:val="Tabletextcentred"/>
              <w:spacing w:before="20" w:after="20"/>
            </w:pPr>
            <w:r w:rsidRPr="00185B16">
              <w:t>28.2%</w:t>
            </w:r>
          </w:p>
        </w:tc>
        <w:tc>
          <w:tcPr>
            <w:tcW w:w="0" w:type="auto"/>
            <w:vAlign w:val="center"/>
          </w:tcPr>
          <w:p w14:paraId="0FF275C1" w14:textId="355431EE" w:rsidR="00496C5A" w:rsidRPr="00185B16" w:rsidRDefault="00496C5A" w:rsidP="0086554C">
            <w:pPr>
              <w:pStyle w:val="Tabletextcentred"/>
              <w:spacing w:before="20" w:after="20"/>
            </w:pPr>
            <w:r w:rsidRPr="00185B16">
              <w:t>16.6%</w:t>
            </w:r>
          </w:p>
        </w:tc>
        <w:tc>
          <w:tcPr>
            <w:tcW w:w="0" w:type="auto"/>
            <w:vAlign w:val="center"/>
          </w:tcPr>
          <w:p w14:paraId="639C162C" w14:textId="7A0C3D37" w:rsidR="00496C5A" w:rsidRPr="00185B16" w:rsidRDefault="00496C5A" w:rsidP="0086554C">
            <w:pPr>
              <w:pStyle w:val="Tabletextcentred"/>
              <w:spacing w:before="20" w:after="20"/>
            </w:pPr>
            <w:r w:rsidRPr="00185B16">
              <w:t>1.6%</w:t>
            </w:r>
          </w:p>
        </w:tc>
        <w:tc>
          <w:tcPr>
            <w:tcW w:w="638" w:type="pct"/>
            <w:vAlign w:val="center"/>
          </w:tcPr>
          <w:p w14:paraId="760B8480" w14:textId="42956B4E" w:rsidR="00496C5A" w:rsidRPr="00185B16" w:rsidRDefault="00496C5A" w:rsidP="0086554C">
            <w:pPr>
              <w:pStyle w:val="Tabletextcentred"/>
              <w:spacing w:before="20" w:after="20"/>
            </w:pPr>
            <w:r w:rsidRPr="00185B16">
              <w:t>0.0%</w:t>
            </w:r>
          </w:p>
        </w:tc>
      </w:tr>
      <w:tr w:rsidR="00496C5A" w:rsidRPr="00654F9E" w14:paraId="0F66F4EA" w14:textId="77777777" w:rsidTr="005D3849">
        <w:trPr>
          <w:cnfStyle w:val="000000010000" w:firstRow="0" w:lastRow="0" w:firstColumn="0" w:lastColumn="0" w:oddVBand="0" w:evenVBand="0" w:oddHBand="0" w:evenHBand="1" w:firstRowFirstColumn="0" w:firstRowLastColumn="0" w:lastRowFirstColumn="0" w:lastRowLastColumn="0"/>
          <w:cantSplit/>
        </w:trPr>
        <w:tc>
          <w:tcPr>
            <w:tcW w:w="1641" w:type="pct"/>
            <w:vAlign w:val="center"/>
          </w:tcPr>
          <w:p w14:paraId="6BC37783" w14:textId="7BCE74EB" w:rsidR="00496C5A" w:rsidRPr="00185B16" w:rsidRDefault="00496C5A" w:rsidP="0086554C">
            <w:pPr>
              <w:pStyle w:val="Tabletext"/>
              <w:spacing w:before="20" w:after="20"/>
            </w:pPr>
            <w:r w:rsidRPr="00185B16">
              <w:t>Museums and galleries</w:t>
            </w:r>
          </w:p>
        </w:tc>
        <w:tc>
          <w:tcPr>
            <w:tcW w:w="0" w:type="auto"/>
            <w:vAlign w:val="center"/>
          </w:tcPr>
          <w:p w14:paraId="44CCBDC6" w14:textId="3A685940" w:rsidR="00496C5A" w:rsidRPr="00185B16" w:rsidRDefault="00496C5A" w:rsidP="0086554C">
            <w:pPr>
              <w:pStyle w:val="Tabletextcentred"/>
              <w:spacing w:before="20" w:after="20"/>
            </w:pPr>
            <w:r w:rsidRPr="00185B16">
              <w:t>64.1%</w:t>
            </w:r>
          </w:p>
        </w:tc>
        <w:tc>
          <w:tcPr>
            <w:tcW w:w="0" w:type="auto"/>
            <w:vAlign w:val="center"/>
          </w:tcPr>
          <w:p w14:paraId="7D991F08" w14:textId="5034CC15" w:rsidR="00496C5A" w:rsidRPr="00185B16" w:rsidRDefault="00496C5A" w:rsidP="0086554C">
            <w:pPr>
              <w:pStyle w:val="Tabletextcentred"/>
              <w:spacing w:before="20" w:after="20"/>
            </w:pPr>
            <w:r w:rsidRPr="00185B16">
              <w:t>22.8%</w:t>
            </w:r>
          </w:p>
        </w:tc>
        <w:tc>
          <w:tcPr>
            <w:tcW w:w="0" w:type="auto"/>
            <w:vAlign w:val="center"/>
          </w:tcPr>
          <w:p w14:paraId="76486865" w14:textId="148627AF" w:rsidR="00496C5A" w:rsidRPr="00185B16" w:rsidRDefault="00496C5A" w:rsidP="0086554C">
            <w:pPr>
              <w:pStyle w:val="Tabletextcentred"/>
              <w:spacing w:before="20" w:after="20"/>
            </w:pPr>
            <w:r w:rsidRPr="00185B16">
              <w:t>7.6%</w:t>
            </w:r>
          </w:p>
        </w:tc>
        <w:tc>
          <w:tcPr>
            <w:tcW w:w="0" w:type="auto"/>
            <w:vAlign w:val="center"/>
          </w:tcPr>
          <w:p w14:paraId="52D9D982" w14:textId="79AD272F" w:rsidR="00496C5A" w:rsidRPr="00185B16" w:rsidRDefault="00496C5A" w:rsidP="0086554C">
            <w:pPr>
              <w:pStyle w:val="Tabletextcentred"/>
              <w:spacing w:before="20" w:after="20"/>
            </w:pPr>
            <w:r w:rsidRPr="00185B16">
              <w:t>5.4%</w:t>
            </w:r>
          </w:p>
        </w:tc>
        <w:tc>
          <w:tcPr>
            <w:tcW w:w="638" w:type="pct"/>
            <w:vAlign w:val="center"/>
          </w:tcPr>
          <w:p w14:paraId="0A7A42F2" w14:textId="02C52246" w:rsidR="00496C5A" w:rsidRPr="00185B16" w:rsidRDefault="00496C5A" w:rsidP="0086554C">
            <w:pPr>
              <w:pStyle w:val="Tabletextcentred"/>
              <w:spacing w:before="20" w:after="20"/>
            </w:pPr>
            <w:r w:rsidRPr="00185B16">
              <w:t>0.0%</w:t>
            </w:r>
          </w:p>
        </w:tc>
      </w:tr>
      <w:tr w:rsidR="00496C5A" w:rsidRPr="00654F9E" w14:paraId="3F14D6A8" w14:textId="77777777" w:rsidTr="005D3849">
        <w:trPr>
          <w:cantSplit/>
        </w:trPr>
        <w:tc>
          <w:tcPr>
            <w:tcW w:w="1641" w:type="pct"/>
            <w:shd w:val="clear" w:color="auto" w:fill="F2F6E8"/>
            <w:vAlign w:val="center"/>
          </w:tcPr>
          <w:p w14:paraId="1BE6760C" w14:textId="1D7BC3F9" w:rsidR="00496C5A" w:rsidRPr="002C2C77" w:rsidRDefault="00496C5A" w:rsidP="0086554C">
            <w:pPr>
              <w:pStyle w:val="Tabletext"/>
              <w:spacing w:before="20" w:after="20"/>
              <w:rPr>
                <w:b/>
              </w:rPr>
            </w:pPr>
            <w:r w:rsidRPr="002C2C77">
              <w:rPr>
                <w:b/>
              </w:rPr>
              <w:t>Share of businesses within cultural and creative industries</w:t>
            </w:r>
          </w:p>
        </w:tc>
        <w:tc>
          <w:tcPr>
            <w:tcW w:w="0" w:type="auto"/>
            <w:shd w:val="clear" w:color="auto" w:fill="F2F6E8"/>
            <w:vAlign w:val="center"/>
          </w:tcPr>
          <w:p w14:paraId="734B5F55" w14:textId="3019F23D" w:rsidR="00496C5A" w:rsidRPr="00185B16" w:rsidRDefault="00496C5A" w:rsidP="0086554C">
            <w:pPr>
              <w:pStyle w:val="Tabletextcentred"/>
              <w:spacing w:before="20" w:after="20"/>
            </w:pPr>
            <w:r w:rsidRPr="00026C73">
              <w:rPr>
                <w:b/>
              </w:rPr>
              <w:t>65.6%</w:t>
            </w:r>
          </w:p>
        </w:tc>
        <w:tc>
          <w:tcPr>
            <w:tcW w:w="0" w:type="auto"/>
            <w:shd w:val="clear" w:color="auto" w:fill="F2F6E8"/>
            <w:vAlign w:val="center"/>
          </w:tcPr>
          <w:p w14:paraId="2D9529D4" w14:textId="6E6ECC46" w:rsidR="00496C5A" w:rsidRPr="00185B16" w:rsidRDefault="00496C5A" w:rsidP="0086554C">
            <w:pPr>
              <w:pStyle w:val="Tabletextcentred"/>
              <w:spacing w:before="20" w:after="20"/>
            </w:pPr>
            <w:r w:rsidRPr="00026C73">
              <w:rPr>
                <w:b/>
              </w:rPr>
              <w:t>26.3%</w:t>
            </w:r>
          </w:p>
        </w:tc>
        <w:tc>
          <w:tcPr>
            <w:tcW w:w="0" w:type="auto"/>
            <w:shd w:val="clear" w:color="auto" w:fill="F2F6E8"/>
            <w:vAlign w:val="center"/>
          </w:tcPr>
          <w:p w14:paraId="4E727DDC" w14:textId="2B9F8986" w:rsidR="00496C5A" w:rsidRPr="00185B16" w:rsidRDefault="00496C5A" w:rsidP="0086554C">
            <w:pPr>
              <w:pStyle w:val="Tabletextcentred"/>
              <w:spacing w:before="20" w:after="20"/>
            </w:pPr>
            <w:r w:rsidRPr="00026C73">
              <w:rPr>
                <w:b/>
              </w:rPr>
              <w:t>6.3%</w:t>
            </w:r>
          </w:p>
        </w:tc>
        <w:tc>
          <w:tcPr>
            <w:tcW w:w="0" w:type="auto"/>
            <w:shd w:val="clear" w:color="auto" w:fill="F2F6E8"/>
            <w:vAlign w:val="center"/>
          </w:tcPr>
          <w:p w14:paraId="19534494" w14:textId="226BA955" w:rsidR="00496C5A" w:rsidRPr="00185B16" w:rsidRDefault="00496C5A" w:rsidP="0086554C">
            <w:pPr>
              <w:pStyle w:val="Tabletextcentred"/>
              <w:spacing w:before="20" w:after="20"/>
            </w:pPr>
            <w:r w:rsidRPr="00026C73">
              <w:rPr>
                <w:b/>
              </w:rPr>
              <w:t>1.6%</w:t>
            </w:r>
          </w:p>
        </w:tc>
        <w:tc>
          <w:tcPr>
            <w:tcW w:w="638" w:type="pct"/>
            <w:shd w:val="clear" w:color="auto" w:fill="F2F6E8"/>
            <w:vAlign w:val="center"/>
          </w:tcPr>
          <w:p w14:paraId="2A7AAB92" w14:textId="174BD894" w:rsidR="00496C5A" w:rsidRPr="00185B16" w:rsidRDefault="00496C5A" w:rsidP="0086554C">
            <w:pPr>
              <w:pStyle w:val="Tabletextcentred"/>
              <w:spacing w:before="20" w:after="20"/>
            </w:pPr>
            <w:r w:rsidRPr="00026C73">
              <w:rPr>
                <w:b/>
              </w:rPr>
              <w:t>0.1%</w:t>
            </w:r>
          </w:p>
        </w:tc>
      </w:tr>
      <w:tr w:rsidR="00496C5A" w:rsidRPr="00654F9E" w14:paraId="4D98D685" w14:textId="77777777" w:rsidTr="005D3849">
        <w:trPr>
          <w:cnfStyle w:val="000000010000" w:firstRow="0" w:lastRow="0" w:firstColumn="0" w:lastColumn="0" w:oddVBand="0" w:evenVBand="0" w:oddHBand="0" w:evenHBand="1" w:firstRowFirstColumn="0" w:firstRowLastColumn="0" w:lastRowFirstColumn="0" w:lastRowLastColumn="0"/>
          <w:cantSplit/>
        </w:trPr>
        <w:tc>
          <w:tcPr>
            <w:tcW w:w="1641" w:type="pct"/>
            <w:shd w:val="clear" w:color="auto" w:fill="F2F6E8"/>
            <w:vAlign w:val="center"/>
          </w:tcPr>
          <w:p w14:paraId="0621CE91" w14:textId="7B6A8062" w:rsidR="00496C5A" w:rsidRPr="002C2C77" w:rsidRDefault="00496C5A" w:rsidP="0086554C">
            <w:pPr>
              <w:pStyle w:val="Tabletext"/>
              <w:spacing w:before="20" w:after="20"/>
              <w:rPr>
                <w:b/>
              </w:rPr>
            </w:pPr>
            <w:r w:rsidRPr="002C2C77">
              <w:rPr>
                <w:b/>
              </w:rPr>
              <w:t>Share of total Australian businesses</w:t>
            </w:r>
          </w:p>
        </w:tc>
        <w:tc>
          <w:tcPr>
            <w:tcW w:w="0" w:type="auto"/>
            <w:shd w:val="clear" w:color="auto" w:fill="F2F6E8"/>
            <w:vAlign w:val="center"/>
          </w:tcPr>
          <w:p w14:paraId="59FE53F6" w14:textId="3FCC2829" w:rsidR="00496C5A" w:rsidRPr="00026C73" w:rsidRDefault="00496C5A" w:rsidP="0086554C">
            <w:pPr>
              <w:pStyle w:val="Tabletextcentred"/>
              <w:spacing w:before="20" w:after="20"/>
              <w:rPr>
                <w:b/>
              </w:rPr>
            </w:pPr>
            <w:r w:rsidRPr="002C2C77">
              <w:rPr>
                <w:b/>
              </w:rPr>
              <w:t>61.2%</w:t>
            </w:r>
          </w:p>
        </w:tc>
        <w:tc>
          <w:tcPr>
            <w:tcW w:w="0" w:type="auto"/>
            <w:shd w:val="clear" w:color="auto" w:fill="F2F6E8"/>
            <w:vAlign w:val="center"/>
          </w:tcPr>
          <w:p w14:paraId="0CE7E28E" w14:textId="162D90C7" w:rsidR="00496C5A" w:rsidRPr="00026C73" w:rsidRDefault="00496C5A" w:rsidP="0086554C">
            <w:pPr>
              <w:pStyle w:val="Tabletextcentred"/>
              <w:spacing w:before="20" w:after="20"/>
              <w:rPr>
                <w:b/>
              </w:rPr>
            </w:pPr>
            <w:r w:rsidRPr="002C2C77">
              <w:rPr>
                <w:b/>
              </w:rPr>
              <w:t>27.2%</w:t>
            </w:r>
          </w:p>
        </w:tc>
        <w:tc>
          <w:tcPr>
            <w:tcW w:w="0" w:type="auto"/>
            <w:shd w:val="clear" w:color="auto" w:fill="F2F6E8"/>
            <w:vAlign w:val="center"/>
          </w:tcPr>
          <w:p w14:paraId="36EB216D" w14:textId="6D17DAA3" w:rsidR="00496C5A" w:rsidRPr="00026C73" w:rsidRDefault="00496C5A" w:rsidP="0086554C">
            <w:pPr>
              <w:pStyle w:val="Tabletextcentred"/>
              <w:spacing w:before="20" w:after="20"/>
              <w:rPr>
                <w:b/>
              </w:rPr>
            </w:pPr>
            <w:r w:rsidRPr="002C2C77">
              <w:rPr>
                <w:b/>
              </w:rPr>
              <w:t>8.9%</w:t>
            </w:r>
          </w:p>
        </w:tc>
        <w:tc>
          <w:tcPr>
            <w:tcW w:w="0" w:type="auto"/>
            <w:shd w:val="clear" w:color="auto" w:fill="F2F6E8"/>
            <w:vAlign w:val="center"/>
          </w:tcPr>
          <w:p w14:paraId="756E2325" w14:textId="472B8FD5" w:rsidR="00496C5A" w:rsidRPr="00026C73" w:rsidRDefault="00496C5A" w:rsidP="0086554C">
            <w:pPr>
              <w:pStyle w:val="Tabletextcentred"/>
              <w:spacing w:before="20" w:after="20"/>
              <w:rPr>
                <w:b/>
              </w:rPr>
            </w:pPr>
            <w:r w:rsidRPr="002C2C77">
              <w:rPr>
                <w:b/>
              </w:rPr>
              <w:t>2.5%</w:t>
            </w:r>
          </w:p>
        </w:tc>
        <w:tc>
          <w:tcPr>
            <w:tcW w:w="638" w:type="pct"/>
            <w:shd w:val="clear" w:color="auto" w:fill="F2F6E8"/>
            <w:vAlign w:val="center"/>
          </w:tcPr>
          <w:p w14:paraId="1D472666" w14:textId="6D39B884" w:rsidR="00496C5A" w:rsidRPr="00026C73" w:rsidRDefault="00496C5A" w:rsidP="0086554C">
            <w:pPr>
              <w:pStyle w:val="Tabletextcentred"/>
              <w:spacing w:before="20" w:after="20"/>
              <w:rPr>
                <w:b/>
              </w:rPr>
            </w:pPr>
            <w:r w:rsidRPr="002C2C77">
              <w:rPr>
                <w:b/>
              </w:rPr>
              <w:t>0.2%</w:t>
            </w:r>
          </w:p>
        </w:tc>
      </w:tr>
    </w:tbl>
    <w:p w14:paraId="13B96289" w14:textId="77777777" w:rsidR="003D3443" w:rsidRDefault="003D3443" w:rsidP="0086554C">
      <w:pPr>
        <w:pStyle w:val="Sourcenotes"/>
        <w:spacing w:after="120"/>
        <w:rPr>
          <w:lang w:val="en-AU"/>
        </w:rPr>
      </w:pPr>
      <w:r>
        <w:rPr>
          <w:lang w:val="en-AU"/>
        </w:rPr>
        <w:t xml:space="preserve">Notes: Rows may not sum to 100% due to rounding. </w:t>
      </w:r>
    </w:p>
    <w:p w14:paraId="4A05E86D" w14:textId="2B606634" w:rsidR="003D3443" w:rsidRDefault="003D3443" w:rsidP="003D3443">
      <w:pPr>
        <w:pStyle w:val="Sourcenotes"/>
      </w:pPr>
      <w:r w:rsidRPr="00026C73">
        <w:t xml:space="preserve">Source: Australian Bureau of Statistics </w:t>
      </w:r>
      <w:r w:rsidR="00676EF8">
        <w:t>–</w:t>
      </w:r>
      <w:r w:rsidRPr="00026C73">
        <w:t xml:space="preserve"> Counts of Australian Businesses, including Entries and Exits, June 2019 to June</w:t>
      </w:r>
      <w:r w:rsidR="00775D5D">
        <w:rPr>
          <w:lang w:val="en-AU"/>
        </w:rPr>
        <w:t> </w:t>
      </w:r>
      <w:r w:rsidRPr="00026C73">
        <w:t>2023.</w:t>
      </w:r>
    </w:p>
    <w:p w14:paraId="5FB28273" w14:textId="542E2949" w:rsidR="003D3443" w:rsidRDefault="00AA419F" w:rsidP="0086554C">
      <w:pPr>
        <w:pStyle w:val="Heading3"/>
        <w:spacing w:before="120" w:after="120"/>
      </w:pPr>
      <w:bookmarkStart w:id="90" w:name="_Toc184650663"/>
      <w:r>
        <w:t>A.2</w:t>
      </w:r>
      <w:r>
        <w:tab/>
      </w:r>
      <w:r w:rsidR="003D3443" w:rsidRPr="002E6A5B">
        <w:t>First Nations businesses in arts and heritage industries</w:t>
      </w:r>
      <w:bookmarkEnd w:id="90"/>
    </w:p>
    <w:p w14:paraId="5E436259" w14:textId="77777777" w:rsidR="003D3443" w:rsidRDefault="003D3443" w:rsidP="0086554C">
      <w:pPr>
        <w:pStyle w:val="Introduction"/>
        <w:keepNext/>
        <w:keepLines/>
        <w:spacing w:before="120" w:after="120"/>
      </w:pPr>
      <w:r w:rsidRPr="002E6A5B">
        <w:t>In June 2024, there were approximately 1,057 registered First Nations businesses operating within the arts and heritage industries.</w:t>
      </w:r>
    </w:p>
    <w:p w14:paraId="5A20D1BD" w14:textId="77777777" w:rsidR="003D3443" w:rsidRDefault="003D3443" w:rsidP="00AA419F">
      <w:pPr>
        <w:pStyle w:val="Box2Heading"/>
        <w:keepLines/>
        <w:shd w:val="clear" w:color="auto" w:fill="F2F6E8"/>
      </w:pPr>
      <w:r>
        <w:t>A note on definitions used in this section</w:t>
      </w:r>
    </w:p>
    <w:p w14:paraId="381B1E98" w14:textId="77777777" w:rsidR="003D3443" w:rsidRPr="000B328B" w:rsidRDefault="003D3443" w:rsidP="00AA419F">
      <w:pPr>
        <w:pStyle w:val="Box2Text"/>
        <w:shd w:val="clear" w:color="auto" w:fill="F2F6E8"/>
        <w:rPr>
          <w:lang w:val="en-AU"/>
        </w:rPr>
      </w:pPr>
      <w:r>
        <w:t>This section applies business counts by broad (non-Australian and New Zealand Standard Industrial Classification) industry from the Office of Registrar of Indigenous Corporations (Office of the Registrar of Indigenous Corporations, 2024). With regards to cultural and creative activities, this data captures information only on businesses within the arts and heritage and culture industries (referred to together as arts and heritage businesses).</w:t>
      </w:r>
      <w:r>
        <w:rPr>
          <w:lang w:val="en-AU"/>
        </w:rPr>
        <w:t xml:space="preserve"> </w:t>
      </w:r>
    </w:p>
    <w:p w14:paraId="03718C62" w14:textId="77777777" w:rsidR="003D3443" w:rsidRDefault="003D3443" w:rsidP="00AA419F">
      <w:pPr>
        <w:pStyle w:val="Box2Text"/>
        <w:shd w:val="clear" w:color="auto" w:fill="F2F6E8"/>
      </w:pPr>
      <w:r>
        <w:t xml:space="preserve">As such, the businesses profiled in this section are referred to as arts and heritage businesses, and do not capture the full scope of either the cultural and creative sector or the businesses in cultural and creative industries as outlined in the previous section. </w:t>
      </w:r>
    </w:p>
    <w:p w14:paraId="362332F1" w14:textId="77777777" w:rsidR="003D3443" w:rsidRDefault="003D3443" w:rsidP="00AA419F">
      <w:pPr>
        <w:pStyle w:val="Box2Text"/>
        <w:shd w:val="clear" w:color="auto" w:fill="F2F6E8"/>
      </w:pPr>
      <w:r>
        <w:t>The Office of the Registrar of Indigenous Corporations database allocates businesses to classifications of size (large, medium and small) based on each organisation’s income, assets and number of employees. This size classification differs from the employment and turnover analysis provided in the previous section.</w:t>
      </w:r>
    </w:p>
    <w:p w14:paraId="7F6608E2" w14:textId="392BC772" w:rsidR="003D3443" w:rsidRDefault="003D3443" w:rsidP="00586159">
      <w:pPr>
        <w:keepLines/>
      </w:pPr>
      <w:r w:rsidRPr="006119F3">
        <w:lastRenderedPageBreak/>
        <w:t>In June 2024, approximately 5,285 First Nations businesses were registered in the Office of the Registrar of Indigenous Corporations database. Of these, approximately 1,057 (or 20%) were arts and heritage businesses. Arts and heritage businesses were more likely to be considered large- or medium-sized than First Nations businesses</w:t>
      </w:r>
      <w:r w:rsidRPr="000B328B">
        <w:t xml:space="preserve"> </w:t>
      </w:r>
      <w:r w:rsidRPr="006119F3">
        <w:t>overall, with 35% of arts and heritage businesses in these classifications, compared to 30% of registered First Nations businesses</w:t>
      </w:r>
      <w:r w:rsidR="009C495F">
        <w:t xml:space="preserve"> (</w:t>
      </w:r>
      <w:r w:rsidR="009C495F">
        <w:fldChar w:fldCharType="begin"/>
      </w:r>
      <w:r w:rsidR="009C495F">
        <w:instrText xml:space="preserve"> REF _Ref182482230 \h </w:instrText>
      </w:r>
      <w:r w:rsidR="009C495F">
        <w:fldChar w:fldCharType="separate"/>
      </w:r>
      <w:r w:rsidR="00C65220">
        <w:t xml:space="preserve">Figure </w:t>
      </w:r>
      <w:r w:rsidR="00C65220">
        <w:rPr>
          <w:noProof/>
        </w:rPr>
        <w:t>16</w:t>
      </w:r>
      <w:r w:rsidR="009C495F">
        <w:fldChar w:fldCharType="end"/>
      </w:r>
      <w:r w:rsidR="009C495F">
        <w:t>)</w:t>
      </w:r>
      <w:r>
        <w:t>.</w:t>
      </w:r>
    </w:p>
    <w:p w14:paraId="086FD54B" w14:textId="09CAE5D2" w:rsidR="003D3443" w:rsidRDefault="003D3443" w:rsidP="00AA419F">
      <w:pPr>
        <w:pStyle w:val="Tablefigureheading"/>
      </w:pPr>
      <w:bookmarkStart w:id="91" w:name="_Ref182482230"/>
      <w:bookmarkStart w:id="92" w:name="_Toc182484674"/>
      <w:bookmarkStart w:id="93" w:name="_Toc182914601"/>
      <w:bookmarkStart w:id="94" w:name="_Toc184641659"/>
      <w:r>
        <w:t xml:space="preserve">Figure </w:t>
      </w:r>
      <w:r w:rsidR="003C2F6D">
        <w:fldChar w:fldCharType="begin"/>
      </w:r>
      <w:r w:rsidR="003C2F6D">
        <w:instrText xml:space="preserve"> SEQ Figure \* ARABIC </w:instrText>
      </w:r>
      <w:r w:rsidR="003C2F6D">
        <w:fldChar w:fldCharType="separate"/>
      </w:r>
      <w:r w:rsidR="00C65220">
        <w:rPr>
          <w:noProof/>
        </w:rPr>
        <w:t>16</w:t>
      </w:r>
      <w:r w:rsidR="003C2F6D">
        <w:rPr>
          <w:noProof/>
        </w:rPr>
        <w:fldChar w:fldCharType="end"/>
      </w:r>
      <w:bookmarkEnd w:id="91"/>
      <w:r>
        <w:t xml:space="preserve">. </w:t>
      </w:r>
      <w:r w:rsidRPr="00AB5036">
        <w:t>First Nations businesses, arts and heritage businesses, by size classification, June 2024</w:t>
      </w:r>
      <w:bookmarkEnd w:id="92"/>
      <w:bookmarkEnd w:id="93"/>
      <w:bookmarkEnd w:id="94"/>
    </w:p>
    <w:p w14:paraId="45565638" w14:textId="77777777" w:rsidR="003D3443" w:rsidRDefault="003D3443" w:rsidP="003D3443">
      <w:pPr>
        <w:jc w:val="center"/>
      </w:pPr>
      <w:r>
        <w:rPr>
          <w:noProof/>
        </w:rPr>
        <w:drawing>
          <wp:inline distT="0" distB="0" distL="0" distR="0" wp14:anchorId="622C6F42" wp14:editId="159A4EAD">
            <wp:extent cx="3904090" cy="2439703"/>
            <wp:effectExtent l="0" t="0" r="1270" b="0"/>
            <wp:docPr id="62" name="Picture 62" descr="A column graph compares the share of arts and heritage First Nations businesses by size classification to total First Nations business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922631" cy="2451289"/>
                    </a:xfrm>
                    <a:prstGeom prst="rect">
                      <a:avLst/>
                    </a:prstGeom>
                    <a:noFill/>
                  </pic:spPr>
                </pic:pic>
              </a:graphicData>
            </a:graphic>
          </wp:inline>
        </w:drawing>
      </w:r>
    </w:p>
    <w:p w14:paraId="1C36701F" w14:textId="77777777" w:rsidR="003D3443" w:rsidRDefault="003D3443" w:rsidP="003D3443">
      <w:pPr>
        <w:pStyle w:val="Sourcenotes"/>
      </w:pPr>
      <w:r w:rsidRPr="006119F3">
        <w:t>Source: Office of the Registrar of Indigenous Corporations – Aboriginal and Torres Strait Islander corporations.</w:t>
      </w:r>
    </w:p>
    <w:p w14:paraId="6F781D91" w14:textId="03BA95FF" w:rsidR="003D3443" w:rsidRDefault="003D3443" w:rsidP="003D3443">
      <w:r w:rsidRPr="006119F3">
        <w:t>In contrast to the geographical distribution of total Australian businesses, First Nations businesses were more likely to be based in Western Australia and Queensland than the other states and territories. Arts and heritage businesses were also more likely to be based in these states, particularly Queensland where these businesses comprised over a quarter of businesses in these industries</w:t>
      </w:r>
      <w:r w:rsidR="009C495F">
        <w:t xml:space="preserve"> (</w:t>
      </w:r>
      <w:r w:rsidR="009C495F">
        <w:fldChar w:fldCharType="begin"/>
      </w:r>
      <w:r w:rsidR="009C495F">
        <w:instrText xml:space="preserve"> REF _Ref182482853 \h </w:instrText>
      </w:r>
      <w:r w:rsidR="009C495F">
        <w:fldChar w:fldCharType="separate"/>
      </w:r>
      <w:r w:rsidR="00C65220">
        <w:t xml:space="preserve">Figure </w:t>
      </w:r>
      <w:r w:rsidR="00C65220">
        <w:rPr>
          <w:noProof/>
        </w:rPr>
        <w:t>17</w:t>
      </w:r>
      <w:r w:rsidR="009C495F">
        <w:fldChar w:fldCharType="end"/>
      </w:r>
      <w:r w:rsidR="009C495F">
        <w:t>)</w:t>
      </w:r>
      <w:r>
        <w:t>.</w:t>
      </w:r>
    </w:p>
    <w:p w14:paraId="6E132860" w14:textId="09E3161C" w:rsidR="003D3443" w:rsidRDefault="003D3443" w:rsidP="00AA419F">
      <w:pPr>
        <w:pStyle w:val="Tablefigureheading"/>
      </w:pPr>
      <w:bookmarkStart w:id="95" w:name="_Ref182482853"/>
      <w:bookmarkStart w:id="96" w:name="_Toc182484675"/>
      <w:bookmarkStart w:id="97" w:name="_Toc182914602"/>
      <w:bookmarkStart w:id="98" w:name="_Toc184641660"/>
      <w:r>
        <w:t xml:space="preserve">Figure </w:t>
      </w:r>
      <w:r w:rsidR="003C2F6D">
        <w:fldChar w:fldCharType="begin"/>
      </w:r>
      <w:r w:rsidR="003C2F6D">
        <w:instrText xml:space="preserve"> SEQ Figure \* ARABIC </w:instrText>
      </w:r>
      <w:r w:rsidR="003C2F6D">
        <w:fldChar w:fldCharType="separate"/>
      </w:r>
      <w:r w:rsidR="00C65220">
        <w:rPr>
          <w:noProof/>
        </w:rPr>
        <w:t>17</w:t>
      </w:r>
      <w:r w:rsidR="003C2F6D">
        <w:rPr>
          <w:noProof/>
        </w:rPr>
        <w:fldChar w:fldCharType="end"/>
      </w:r>
      <w:bookmarkEnd w:id="95"/>
      <w:r>
        <w:t xml:space="preserve">. </w:t>
      </w:r>
      <w:r w:rsidRPr="00A0188D">
        <w:t xml:space="preserve">First Nations businesses, arts and heritage businesses, by </w:t>
      </w:r>
      <w:r w:rsidR="00E27095">
        <w:t>s</w:t>
      </w:r>
      <w:r w:rsidRPr="00A0188D">
        <w:t xml:space="preserve">tate and </w:t>
      </w:r>
      <w:r w:rsidR="00E27095">
        <w:t>t</w:t>
      </w:r>
      <w:r w:rsidRPr="00A0188D">
        <w:t>erritory, June 2024</w:t>
      </w:r>
      <w:bookmarkEnd w:id="96"/>
      <w:bookmarkEnd w:id="97"/>
      <w:bookmarkEnd w:id="98"/>
    </w:p>
    <w:p w14:paraId="7000EFDF" w14:textId="77777777" w:rsidR="003D3443" w:rsidRDefault="003D3443" w:rsidP="003D3443">
      <w:pPr>
        <w:jc w:val="center"/>
      </w:pPr>
      <w:r>
        <w:rPr>
          <w:noProof/>
        </w:rPr>
        <w:drawing>
          <wp:inline distT="0" distB="0" distL="0" distR="0" wp14:anchorId="0A32A6FC" wp14:editId="5C3F19A7">
            <wp:extent cx="4389755" cy="2743200"/>
            <wp:effectExtent l="0" t="0" r="0" b="0"/>
            <wp:docPr id="65" name="Picture 65" descr="A column graph compares the share of arts and heritage first nations businesses by state/territory to total First Nations business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389755" cy="2743200"/>
                    </a:xfrm>
                    <a:prstGeom prst="rect">
                      <a:avLst/>
                    </a:prstGeom>
                    <a:noFill/>
                  </pic:spPr>
                </pic:pic>
              </a:graphicData>
            </a:graphic>
          </wp:inline>
        </w:drawing>
      </w:r>
    </w:p>
    <w:p w14:paraId="6EFF27BC" w14:textId="77777777" w:rsidR="003D3443" w:rsidRDefault="003D3443" w:rsidP="003D3443">
      <w:pPr>
        <w:pStyle w:val="Sourcenotes"/>
      </w:pPr>
      <w:r w:rsidRPr="006119F3">
        <w:t>Source: Office of the Registrar of Indigenous Corporations – Aboriginal and Torres Strait Islander corporations.</w:t>
      </w:r>
    </w:p>
    <w:p w14:paraId="4DA43C86" w14:textId="3CE4D9FA" w:rsidR="003D3443" w:rsidRDefault="00AA419F" w:rsidP="00AA419F">
      <w:pPr>
        <w:pStyle w:val="Heading3"/>
      </w:pPr>
      <w:bookmarkStart w:id="99" w:name="_Toc184650664"/>
      <w:r>
        <w:lastRenderedPageBreak/>
        <w:t>A</w:t>
      </w:r>
      <w:r w:rsidR="00890D62">
        <w:t>.</w:t>
      </w:r>
      <w:r>
        <w:t>3</w:t>
      </w:r>
      <w:r>
        <w:tab/>
      </w:r>
      <w:r w:rsidR="003D3443" w:rsidRPr="006119F3">
        <w:t>Demographics of workers in cultural and creative industries</w:t>
      </w:r>
      <w:bookmarkEnd w:id="99"/>
    </w:p>
    <w:p w14:paraId="30B2C9CE" w14:textId="77777777" w:rsidR="003D3443" w:rsidRPr="006119F3" w:rsidRDefault="003D3443" w:rsidP="00AA419F">
      <w:pPr>
        <w:pStyle w:val="Heading4"/>
      </w:pPr>
      <w:bookmarkStart w:id="100" w:name="_Toc184650665"/>
      <w:r w:rsidRPr="006119F3">
        <w:t>Employment in cultural and creative industries</w:t>
      </w:r>
      <w:bookmarkEnd w:id="100"/>
    </w:p>
    <w:p w14:paraId="55F4B79B" w14:textId="77777777" w:rsidR="003D3443" w:rsidRDefault="003D3443" w:rsidP="00AA419F">
      <w:pPr>
        <w:pStyle w:val="Box2Heading"/>
        <w:keepLines/>
        <w:shd w:val="clear" w:color="auto" w:fill="F2F6E8"/>
      </w:pPr>
      <w:r>
        <w:t>A note on definitions used in this section</w:t>
      </w:r>
    </w:p>
    <w:p w14:paraId="283491FF" w14:textId="77777777" w:rsidR="003D3443" w:rsidRDefault="003D3443" w:rsidP="00AA419F">
      <w:pPr>
        <w:pStyle w:val="Box2Text"/>
        <w:keepNext/>
        <w:keepLines/>
        <w:shd w:val="clear" w:color="auto" w:fill="F2F6E8"/>
      </w:pPr>
      <w:r>
        <w:t xml:space="preserve">This section applies employment information published by detailed level (class/4-digit) Australian and New Zealand Standard Industrial Classification industries from the Australian Bureau of Statistics (Australian Bureau of Statistics, 2022c). This data captures information only on employment within the cultural and creative industries, and excludes employment associated with cultural and creative products. </w:t>
      </w:r>
    </w:p>
    <w:p w14:paraId="03D1B191" w14:textId="3C303B8C" w:rsidR="003D3443" w:rsidRPr="00680A55" w:rsidRDefault="003D3443" w:rsidP="00AA419F">
      <w:pPr>
        <w:pStyle w:val="Box2Text"/>
        <w:keepNext/>
        <w:keepLines/>
        <w:shd w:val="clear" w:color="auto" w:fill="F2F6E8"/>
        <w:rPr>
          <w:lang w:val="en-AU"/>
        </w:rPr>
      </w:pPr>
      <w:r>
        <w:t>As such, the workers profiled in this section are referred to as employment within cultural and creative industries, and are not considered an exact match of cultural and creative activities.</w:t>
      </w:r>
      <w:r>
        <w:rPr>
          <w:lang w:val="en-AU"/>
        </w:rPr>
        <w:t xml:space="preserve"> </w:t>
      </w:r>
      <w:r w:rsidRPr="008E25AA">
        <w:t>A correspondence between the detailed cultural and creative industries and the pertinent domains is provided in</w:t>
      </w:r>
      <w:r>
        <w:t xml:space="preserve"> </w:t>
      </w:r>
      <w:hyperlink w:anchor="_Appendix_B—Glossary" w:history="1">
        <w:r w:rsidR="00D27951" w:rsidRPr="00D27951">
          <w:rPr>
            <w:rStyle w:val="Hyperlink"/>
            <w:i/>
          </w:rPr>
          <w:t>Appendix B—Glossary</w:t>
        </w:r>
      </w:hyperlink>
      <w:r>
        <w:t>.</w:t>
      </w:r>
    </w:p>
    <w:p w14:paraId="1E95B78F" w14:textId="77777777" w:rsidR="003D3443" w:rsidRDefault="003D3443" w:rsidP="003D3443">
      <w:r w:rsidRPr="006119F3">
        <w:t xml:space="preserve">In 2021, approximately 11.9 million Australians indicated on their Census form </w:t>
      </w:r>
      <w:r>
        <w:t xml:space="preserve">that </w:t>
      </w:r>
      <w:r w:rsidRPr="006119F3">
        <w:t>they were employed.</w:t>
      </w:r>
      <w:r>
        <w:rPr>
          <w:rStyle w:val="FootnoteReference"/>
        </w:rPr>
        <w:footnoteReference w:id="18"/>
      </w:r>
      <w:r>
        <w:t xml:space="preserve"> </w:t>
      </w:r>
      <w:r w:rsidRPr="006119F3">
        <w:t>Approximately 281,986 of these Australians indicated they worked in a cultural and creative industry (representing 2.4% of the total). In 2021, the most prominent employing domains within the cultural and creative industries included literature, creative and performing arts and visual arts and crafts, architecture services and advertising and promotion, which together comprised almost half of all employment in the sector.</w:t>
      </w:r>
    </w:p>
    <w:p w14:paraId="70AF9F0B" w14:textId="066AE3C7" w:rsidR="003D3443" w:rsidRDefault="003D3443" w:rsidP="003D3443">
      <w:r w:rsidRPr="006119F3">
        <w:t>Between 2016 and 2021, national employment increased by 12.7% and employment in cultural and creative industries increased by 10.7%. The domains which contributed most significantly to the expansion of employment over the timeframe included advertising and promotion, architecture services and literature, creative and performing arts and visual arts and crafts</w:t>
      </w:r>
      <w:r w:rsidR="00A01D2C">
        <w:t xml:space="preserve"> (</w:t>
      </w:r>
      <w:r w:rsidR="00A01D2C">
        <w:fldChar w:fldCharType="begin"/>
      </w:r>
      <w:r w:rsidR="00A01D2C">
        <w:instrText xml:space="preserve"> REF _Ref182482596 \h </w:instrText>
      </w:r>
      <w:r w:rsidR="00A01D2C">
        <w:fldChar w:fldCharType="separate"/>
      </w:r>
      <w:r w:rsidR="00C65220">
        <w:t xml:space="preserve">Figure </w:t>
      </w:r>
      <w:r w:rsidR="00C65220">
        <w:rPr>
          <w:noProof/>
        </w:rPr>
        <w:t>18</w:t>
      </w:r>
      <w:r w:rsidR="00A01D2C">
        <w:fldChar w:fldCharType="end"/>
      </w:r>
      <w:r w:rsidR="00A01D2C">
        <w:t>)</w:t>
      </w:r>
      <w:r>
        <w:t>.</w:t>
      </w:r>
    </w:p>
    <w:p w14:paraId="1C756EBF" w14:textId="545DA53F" w:rsidR="003D3443" w:rsidRDefault="003D3443" w:rsidP="00AA419F">
      <w:pPr>
        <w:pStyle w:val="Tablefigureheading"/>
      </w:pPr>
      <w:bookmarkStart w:id="101" w:name="_Ref182482596"/>
      <w:bookmarkStart w:id="102" w:name="_Toc182484676"/>
      <w:bookmarkStart w:id="103" w:name="_Toc182914603"/>
      <w:bookmarkStart w:id="104" w:name="_Toc184641661"/>
      <w:r>
        <w:lastRenderedPageBreak/>
        <w:t xml:space="preserve">Figure </w:t>
      </w:r>
      <w:r w:rsidR="003C2F6D">
        <w:fldChar w:fldCharType="begin"/>
      </w:r>
      <w:r w:rsidR="003C2F6D">
        <w:instrText xml:space="preserve"> SEQ Figure \* ARABIC </w:instrText>
      </w:r>
      <w:r w:rsidR="003C2F6D">
        <w:fldChar w:fldCharType="separate"/>
      </w:r>
      <w:r w:rsidR="00C65220">
        <w:rPr>
          <w:noProof/>
        </w:rPr>
        <w:t>18</w:t>
      </w:r>
      <w:r w:rsidR="003C2F6D">
        <w:rPr>
          <w:noProof/>
        </w:rPr>
        <w:fldChar w:fldCharType="end"/>
      </w:r>
      <w:bookmarkEnd w:id="101"/>
      <w:r>
        <w:t xml:space="preserve">. </w:t>
      </w:r>
      <w:r w:rsidRPr="00EB2F61">
        <w:t>Contribution to total growth in employment in cultural and creative industries, by domain, 2016 to 2021</w:t>
      </w:r>
      <w:bookmarkEnd w:id="102"/>
      <w:bookmarkEnd w:id="103"/>
      <w:bookmarkEnd w:id="104"/>
    </w:p>
    <w:p w14:paraId="602651B4" w14:textId="77777777" w:rsidR="003D3443" w:rsidRDefault="003D3443" w:rsidP="003D3443">
      <w:pPr>
        <w:jc w:val="center"/>
      </w:pPr>
      <w:r>
        <w:rPr>
          <w:noProof/>
        </w:rPr>
        <w:drawing>
          <wp:inline distT="0" distB="0" distL="0" distR="0" wp14:anchorId="39F4EDA3" wp14:editId="679DAFFA">
            <wp:extent cx="5328285" cy="3950335"/>
            <wp:effectExtent l="0" t="0" r="5715" b="0"/>
            <wp:docPr id="47" name="Picture 47" descr="A bar graph shows the contribution of each domain to the growth in employment in cultural and creative industri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328285" cy="3950335"/>
                    </a:xfrm>
                    <a:prstGeom prst="rect">
                      <a:avLst/>
                    </a:prstGeom>
                    <a:noFill/>
                  </pic:spPr>
                </pic:pic>
              </a:graphicData>
            </a:graphic>
          </wp:inline>
        </w:drawing>
      </w:r>
    </w:p>
    <w:p w14:paraId="391948B3" w14:textId="77777777" w:rsidR="003D3443" w:rsidRDefault="003D3443" w:rsidP="003D3443">
      <w:pPr>
        <w:pStyle w:val="Sourcenotes"/>
      </w:pPr>
      <w:r w:rsidRPr="006119F3">
        <w:t>Source: Australian Bureau of Statistics – Census of Population and Housing (2016 and 2021).</w:t>
      </w:r>
    </w:p>
    <w:p w14:paraId="1A06BA7F" w14:textId="77777777" w:rsidR="003D3443" w:rsidRPr="007E4DC7" w:rsidRDefault="003D3443" w:rsidP="00AA419F">
      <w:pPr>
        <w:pStyle w:val="Heading4"/>
      </w:pPr>
      <w:bookmarkStart w:id="105" w:name="_Toc184650666"/>
      <w:r w:rsidRPr="007E4DC7">
        <w:t>Indicative employment trends in cultural and creative industries</w:t>
      </w:r>
      <w:bookmarkEnd w:id="105"/>
    </w:p>
    <w:p w14:paraId="0F2D47D9" w14:textId="77777777" w:rsidR="003D3443" w:rsidRDefault="003D3443" w:rsidP="00AA419F">
      <w:pPr>
        <w:pStyle w:val="Box2Heading"/>
        <w:keepLines/>
        <w:shd w:val="clear" w:color="auto" w:fill="F2F6E8"/>
      </w:pPr>
      <w:r>
        <w:t>A note on definitions used in this section</w:t>
      </w:r>
    </w:p>
    <w:p w14:paraId="5729FBAA" w14:textId="77777777" w:rsidR="003D3443" w:rsidRDefault="003D3443" w:rsidP="00AA419F">
      <w:pPr>
        <w:pStyle w:val="Box2Text"/>
        <w:shd w:val="clear" w:color="auto" w:fill="F2F6E8"/>
      </w:pPr>
      <w:r>
        <w:t>This section applies employment information published by semi-detailed level (group/3-digit) Australian and New Zealand Standard Industrial Classification industries from the Australian Bureau of Statistics (Australian Bureau of Statistics, 2024a). Due to the nature of the data published, this section of the report considers employment in creative and cultural industries, rather than cultural and creative employment (and differs from the definition of businesses in cultural and creative industries).</w:t>
      </w:r>
    </w:p>
    <w:p w14:paraId="00A88C91" w14:textId="7319ACD6" w:rsidR="003D3443" w:rsidRPr="00680A55" w:rsidRDefault="003D3443" w:rsidP="00AA419F">
      <w:pPr>
        <w:pStyle w:val="Box2Text"/>
        <w:shd w:val="clear" w:color="auto" w:fill="F2F6E8"/>
        <w:rPr>
          <w:lang w:val="en-AU"/>
        </w:rPr>
      </w:pPr>
      <w:r>
        <w:t>In some instances, the proportion of the group/3-digit Australian and New Zealand Standard Industrial Classification industries included may be small, overestimating the size of some domains (and employment in cultural and creative industries overall), and influencing the trends analysed. These estimates should be considered as indicative only.</w:t>
      </w:r>
      <w:r>
        <w:rPr>
          <w:lang w:val="en-AU"/>
        </w:rPr>
        <w:t xml:space="preserve"> </w:t>
      </w:r>
      <w:r w:rsidRPr="008E25AA">
        <w:t xml:space="preserve">A correspondence between the </w:t>
      </w:r>
      <w:r>
        <w:rPr>
          <w:lang w:val="en-AU"/>
        </w:rPr>
        <w:t>semi-</w:t>
      </w:r>
      <w:r w:rsidRPr="008E25AA">
        <w:t>detailed cultural and creative industries and the pertinent domains is provided in</w:t>
      </w:r>
      <w:r>
        <w:t xml:space="preserve"> </w:t>
      </w:r>
      <w:hyperlink w:anchor="_Appendix_B—Glossary" w:history="1">
        <w:r w:rsidR="00D27951" w:rsidRPr="00D27951">
          <w:rPr>
            <w:rStyle w:val="Hyperlink"/>
            <w:i/>
          </w:rPr>
          <w:t>Appendix B—Glossary</w:t>
        </w:r>
      </w:hyperlink>
      <w:r>
        <w:t>.</w:t>
      </w:r>
    </w:p>
    <w:p w14:paraId="5D25480D" w14:textId="77777777" w:rsidR="003D3443" w:rsidRDefault="003D3443" w:rsidP="00AA419F">
      <w:pPr>
        <w:pStyle w:val="Box2Text"/>
        <w:shd w:val="clear" w:color="auto" w:fill="F2F6E8"/>
      </w:pPr>
      <w:r>
        <w:t>Employment data published by the Australian Bureau of Statistics is published on a quarterly basis. To reduce the volatility of the data, employment data in this section is presented for May of each year (the closest month to the end of the financial year).</w:t>
      </w:r>
    </w:p>
    <w:p w14:paraId="7A4A0F75" w14:textId="7D21E32E" w:rsidR="003D3443" w:rsidRDefault="003D3443" w:rsidP="00AA419F">
      <w:pPr>
        <w:keepLines/>
      </w:pPr>
      <w:r w:rsidRPr="007E4DC7">
        <w:lastRenderedPageBreak/>
        <w:t>Between May 2021 and May 2024, indicative employment in the broad cultural and creative industries increased by 6.6%, following a strong year of growth to May 2021. Of the 6.6% increase in indicative employment, the literature, creative and performance arts and visual arts domain contributed 2.6 percentage points, the architecture services and design and fashion domain contributed approximately 2.2 percentage points and, the film and television activities sector, contributed 0.9 percentage points (</w:t>
      </w:r>
      <w:r>
        <w:t xml:space="preserve">see </w:t>
      </w:r>
      <w:r>
        <w:rPr>
          <w:highlight w:val="yellow"/>
        </w:rPr>
        <w:fldChar w:fldCharType="begin"/>
      </w:r>
      <w:r>
        <w:instrText xml:space="preserve"> REF _Ref182482864 \h </w:instrText>
      </w:r>
      <w:r>
        <w:rPr>
          <w:highlight w:val="yellow"/>
        </w:rPr>
      </w:r>
      <w:r>
        <w:rPr>
          <w:highlight w:val="yellow"/>
        </w:rPr>
        <w:fldChar w:fldCharType="separate"/>
      </w:r>
      <w:r w:rsidR="00C65220">
        <w:t xml:space="preserve">Figure </w:t>
      </w:r>
      <w:r w:rsidR="00C65220">
        <w:rPr>
          <w:noProof/>
        </w:rPr>
        <w:t>19</w:t>
      </w:r>
      <w:r>
        <w:rPr>
          <w:highlight w:val="yellow"/>
        </w:rPr>
        <w:fldChar w:fldCharType="end"/>
      </w:r>
      <w:r w:rsidRPr="007E4DC7">
        <w:t>). While the literature, creative and performing arts and visual arts, and film and television activities domains were hit hardest by the COVID pandemic, there are indications that these domains have rebounded since 2021. Detracting from growth over the period between 2021 and 2024 were the music production and distribution, print media and publishing (excl. internet), and libraries and archives domains.</w:t>
      </w:r>
    </w:p>
    <w:p w14:paraId="06400706" w14:textId="432389B5" w:rsidR="003D3443" w:rsidRDefault="003D3443" w:rsidP="00AA419F">
      <w:pPr>
        <w:pStyle w:val="Tablefigureheading"/>
      </w:pPr>
      <w:bookmarkStart w:id="106" w:name="_Ref182482864"/>
      <w:bookmarkStart w:id="107" w:name="_Toc182484677"/>
      <w:bookmarkStart w:id="108" w:name="_Toc182914604"/>
      <w:bookmarkStart w:id="109" w:name="_Toc184641662"/>
      <w:r>
        <w:t xml:space="preserve">Figure </w:t>
      </w:r>
      <w:r w:rsidR="003C2F6D">
        <w:fldChar w:fldCharType="begin"/>
      </w:r>
      <w:r w:rsidR="003C2F6D">
        <w:instrText xml:space="preserve"> SEQ Figure \* ARABIC </w:instrText>
      </w:r>
      <w:r w:rsidR="003C2F6D">
        <w:fldChar w:fldCharType="separate"/>
      </w:r>
      <w:r w:rsidR="00C65220">
        <w:rPr>
          <w:noProof/>
        </w:rPr>
        <w:t>19</w:t>
      </w:r>
      <w:r w:rsidR="003C2F6D">
        <w:rPr>
          <w:noProof/>
        </w:rPr>
        <w:fldChar w:fldCharType="end"/>
      </w:r>
      <w:bookmarkEnd w:id="106"/>
      <w:r>
        <w:t xml:space="preserve">. </w:t>
      </w:r>
      <w:r w:rsidRPr="00654836">
        <w:t xml:space="preserve">Contribution to indicative growth in employment in cultural and creative industries, by domain, May 2021 to </w:t>
      </w:r>
      <w:r>
        <w:t xml:space="preserve">May </w:t>
      </w:r>
      <w:r w:rsidRPr="00654836">
        <w:t>2024</w:t>
      </w:r>
      <w:bookmarkEnd w:id="107"/>
      <w:bookmarkEnd w:id="108"/>
      <w:bookmarkEnd w:id="109"/>
    </w:p>
    <w:p w14:paraId="615A2D0C" w14:textId="77777777" w:rsidR="003D3443" w:rsidRDefault="003D3443" w:rsidP="003D3443">
      <w:pPr>
        <w:pStyle w:val="Sourcenotes"/>
        <w:jc w:val="center"/>
      </w:pPr>
      <w:r>
        <w:rPr>
          <w:noProof/>
        </w:rPr>
        <w:drawing>
          <wp:inline distT="0" distB="0" distL="0" distR="0" wp14:anchorId="27342D38" wp14:editId="57AF8871">
            <wp:extent cx="4340860" cy="3724910"/>
            <wp:effectExtent l="0" t="0" r="2540" b="8890"/>
            <wp:docPr id="29" name="Picture 29" descr="A bar graph shows the contribution of each domain to the indicative growth in employment in cultural and creative industri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340860" cy="3724910"/>
                    </a:xfrm>
                    <a:prstGeom prst="rect">
                      <a:avLst/>
                    </a:prstGeom>
                    <a:noFill/>
                  </pic:spPr>
                </pic:pic>
              </a:graphicData>
            </a:graphic>
          </wp:inline>
        </w:drawing>
      </w:r>
    </w:p>
    <w:p w14:paraId="5B7F0438" w14:textId="77777777" w:rsidR="003D3443" w:rsidRPr="007E4DC7" w:rsidRDefault="003D3443" w:rsidP="003D3443">
      <w:pPr>
        <w:pStyle w:val="Sourcenotes"/>
      </w:pPr>
      <w:r w:rsidRPr="007E4DC7">
        <w:t xml:space="preserve">Notes: Some industries include activities outside the scope of the cultural and creative sector. </w:t>
      </w:r>
    </w:p>
    <w:p w14:paraId="32D1B089" w14:textId="77777777" w:rsidR="003D3443" w:rsidRPr="007E4DC7" w:rsidRDefault="003D3443" w:rsidP="003D3443">
      <w:pPr>
        <w:pStyle w:val="Sourcenotes"/>
      </w:pPr>
      <w:r w:rsidRPr="007E4DC7">
        <w:t>Source: Australian Bureau of Statistics – Labour Force, Australia, Detailed, August 2024.</w:t>
      </w:r>
    </w:p>
    <w:p w14:paraId="316E4998" w14:textId="77777777" w:rsidR="003D3443" w:rsidRPr="007E4DC7" w:rsidRDefault="003D3443" w:rsidP="00AA419F">
      <w:pPr>
        <w:pStyle w:val="Heading4"/>
      </w:pPr>
      <w:bookmarkStart w:id="110" w:name="_Toc184650667"/>
      <w:r w:rsidRPr="007E4DC7">
        <w:t>Multiple job holders</w:t>
      </w:r>
      <w:bookmarkEnd w:id="110"/>
    </w:p>
    <w:p w14:paraId="6F0A0D2E" w14:textId="77777777" w:rsidR="003D3443" w:rsidRDefault="003D3443" w:rsidP="00AA419F">
      <w:pPr>
        <w:pStyle w:val="Box2Heading"/>
        <w:shd w:val="clear" w:color="auto" w:fill="F2F6E8"/>
      </w:pPr>
      <w:r>
        <w:t>A note on definitions used in this section</w:t>
      </w:r>
    </w:p>
    <w:p w14:paraId="6FA88A0E" w14:textId="77777777" w:rsidR="003D3443" w:rsidRDefault="003D3443" w:rsidP="00AA419F">
      <w:pPr>
        <w:pStyle w:val="Box2Text"/>
        <w:shd w:val="clear" w:color="auto" w:fill="F2F6E8"/>
      </w:pPr>
      <w:r>
        <w:t>This section applies job holder information published by high-level (division/1-digit) Australian and New Zealand Standard Industrial Classification industries from the Australian Bureau of Statistics (Australian Bureau of Statistics, 2024f). Due to the high-level nature of the data published, this section of the report considers the arts and recreation services industry division. This industry includes a range of economic activities which are not included in the cultural and creative sector, including sports and recreational activities (such as gambling), repairs and maintenance activities (such as car repairs), and personal and other services (such as religious services). As such, the information presented should be considered as indicative only.</w:t>
      </w:r>
    </w:p>
    <w:p w14:paraId="2FC52E1A" w14:textId="4B2F5272" w:rsidR="003D3443" w:rsidRDefault="003D3443" w:rsidP="003D3443">
      <w:r w:rsidRPr="007E4DC7">
        <w:t xml:space="preserve">In June 2024, approximately 961,400 Australians were multiple job holders and approximately 23,300 of these (or 2.4%) were employed in the arts and recreation services industry division. Sectors such as health care and social assistance services, administrative and support services, and education and training are key </w:t>
      </w:r>
      <w:r w:rsidRPr="007E4DC7">
        <w:lastRenderedPageBreak/>
        <w:t>contributors to the national total. The arts and recreation services industry division recorded a multiple job holding rate of 8.4% in June 2024. Between June 2021 and June 2024, the number of multiple job holders in the arts and recreation services industry division increased by 39%, faster than the growth in the total number of multiple job holders across all industries (17%) and the strongest growth of all industries presented in the period. This resulted in a 0.4 percentage point increase in the sector’s share of total multiple job holders. Whilst growth was recorded for both males and females in the sector, females continue to comprise more than 50% of multiple job holders</w:t>
      </w:r>
      <w:r w:rsidR="00C80929">
        <w:t xml:space="preserve"> (</w:t>
      </w:r>
      <w:r w:rsidR="00C80929">
        <w:fldChar w:fldCharType="begin"/>
      </w:r>
      <w:r w:rsidR="00C80929">
        <w:instrText xml:space="preserve"> REF _Ref182485346 \h </w:instrText>
      </w:r>
      <w:r w:rsidR="00C80929">
        <w:fldChar w:fldCharType="separate"/>
      </w:r>
      <w:r w:rsidR="00C65220">
        <w:t xml:space="preserve">Figure </w:t>
      </w:r>
      <w:r w:rsidR="00C65220">
        <w:rPr>
          <w:noProof/>
        </w:rPr>
        <w:t>20</w:t>
      </w:r>
      <w:r w:rsidR="00C80929">
        <w:fldChar w:fldCharType="end"/>
      </w:r>
      <w:r w:rsidR="00C80929">
        <w:t>)</w:t>
      </w:r>
      <w:r>
        <w:t>.</w:t>
      </w:r>
    </w:p>
    <w:p w14:paraId="3A866E64" w14:textId="1A653A34" w:rsidR="003D3443" w:rsidRDefault="003D3443" w:rsidP="00660BCD">
      <w:pPr>
        <w:pStyle w:val="Tablefigureheading"/>
      </w:pPr>
      <w:bookmarkStart w:id="111" w:name="_Ref182485346"/>
      <w:bookmarkStart w:id="112" w:name="_Toc182484678"/>
      <w:bookmarkStart w:id="113" w:name="_Toc182914605"/>
      <w:bookmarkStart w:id="114" w:name="_Toc184641663"/>
      <w:r>
        <w:t xml:space="preserve">Figure </w:t>
      </w:r>
      <w:r w:rsidR="003C2F6D">
        <w:fldChar w:fldCharType="begin"/>
      </w:r>
      <w:r w:rsidR="003C2F6D">
        <w:instrText xml:space="preserve"> SEQ Figure \* ARABIC </w:instrText>
      </w:r>
      <w:r w:rsidR="003C2F6D">
        <w:fldChar w:fldCharType="separate"/>
      </w:r>
      <w:r w:rsidR="00C65220">
        <w:rPr>
          <w:noProof/>
        </w:rPr>
        <w:t>20</w:t>
      </w:r>
      <w:r w:rsidR="003C2F6D">
        <w:rPr>
          <w:noProof/>
        </w:rPr>
        <w:fldChar w:fldCharType="end"/>
      </w:r>
      <w:bookmarkEnd w:id="111"/>
      <w:r>
        <w:t xml:space="preserve">. </w:t>
      </w:r>
      <w:r w:rsidRPr="00DF6BE4">
        <w:t>Multiple job holders in the arts and recreation services industry</w:t>
      </w:r>
      <w:r>
        <w:t xml:space="preserve"> division</w:t>
      </w:r>
      <w:r w:rsidRPr="00DF6BE4">
        <w:t>,</w:t>
      </w:r>
      <w:r w:rsidR="00720047">
        <w:t xml:space="preserve"> by sex,</w:t>
      </w:r>
      <w:r w:rsidRPr="00DF6BE4">
        <w:t xml:space="preserve"> 2019 to 2024</w:t>
      </w:r>
      <w:bookmarkEnd w:id="112"/>
      <w:bookmarkEnd w:id="113"/>
      <w:bookmarkEnd w:id="114"/>
    </w:p>
    <w:p w14:paraId="5245CF17" w14:textId="77777777" w:rsidR="003D3443" w:rsidRDefault="003D3443" w:rsidP="003D3443">
      <w:pPr>
        <w:pStyle w:val="Sourcenotes"/>
        <w:jc w:val="center"/>
      </w:pPr>
      <w:r>
        <w:rPr>
          <w:noProof/>
        </w:rPr>
        <w:drawing>
          <wp:inline distT="0" distB="0" distL="0" distR="0" wp14:anchorId="739B1805" wp14:editId="7DA1DF24">
            <wp:extent cx="4389755" cy="2743200"/>
            <wp:effectExtent l="0" t="0" r="0" b="0"/>
            <wp:docPr id="73" name="Picture 73" descr="A column graph breaks down by sex the number of multiple job holders in the arts and recreation services sector over tim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389755" cy="2743200"/>
                    </a:xfrm>
                    <a:prstGeom prst="rect">
                      <a:avLst/>
                    </a:prstGeom>
                    <a:noFill/>
                  </pic:spPr>
                </pic:pic>
              </a:graphicData>
            </a:graphic>
          </wp:inline>
        </w:drawing>
      </w:r>
    </w:p>
    <w:p w14:paraId="5B267A3F" w14:textId="77777777" w:rsidR="003D3443" w:rsidRDefault="003D3443" w:rsidP="003D3443">
      <w:pPr>
        <w:pStyle w:val="Sourcenotes"/>
      </w:pPr>
      <w:r w:rsidRPr="007E4DC7">
        <w:t>Source: Australian Bureau of Statistics – Multiple job-holders, June 2024.</w:t>
      </w:r>
    </w:p>
    <w:p w14:paraId="6E2CBB5E" w14:textId="77777777" w:rsidR="003D3443" w:rsidRPr="007E4DC7" w:rsidRDefault="003D3443" w:rsidP="00660BCD">
      <w:pPr>
        <w:pStyle w:val="Heading4"/>
      </w:pPr>
      <w:bookmarkStart w:id="115" w:name="_Toc184650668"/>
      <w:r w:rsidRPr="007E4DC7">
        <w:t>Persons with a disability</w:t>
      </w:r>
      <w:bookmarkEnd w:id="115"/>
    </w:p>
    <w:p w14:paraId="451D0859" w14:textId="77777777" w:rsidR="003D3443" w:rsidRDefault="003D3443" w:rsidP="00660BCD">
      <w:pPr>
        <w:pStyle w:val="Box2Heading"/>
        <w:shd w:val="clear" w:color="auto" w:fill="F2F6E8"/>
      </w:pPr>
      <w:r>
        <w:t>A note on definitions used in this section</w:t>
      </w:r>
    </w:p>
    <w:p w14:paraId="05D61A46" w14:textId="77777777" w:rsidR="003D3443" w:rsidRDefault="003D3443" w:rsidP="00660BCD">
      <w:pPr>
        <w:pStyle w:val="Box2Text"/>
        <w:shd w:val="clear" w:color="auto" w:fill="F2F6E8"/>
      </w:pPr>
      <w:r>
        <w:t>This section applies information published by high-level (division/1-digit) Australian and New Zealand Standard Industrial Classification industries from the A</w:t>
      </w:r>
      <w:r>
        <w:rPr>
          <w:lang w:val="en-AU"/>
        </w:rPr>
        <w:t xml:space="preserve">ustralian </w:t>
      </w:r>
      <w:r>
        <w:t>B</w:t>
      </w:r>
      <w:r>
        <w:rPr>
          <w:lang w:val="en-AU"/>
        </w:rPr>
        <w:t xml:space="preserve">ureau of </w:t>
      </w:r>
      <w:r>
        <w:t>S</w:t>
      </w:r>
      <w:r>
        <w:rPr>
          <w:lang w:val="en-AU"/>
        </w:rPr>
        <w:t>tatistics</w:t>
      </w:r>
      <w:r>
        <w:t xml:space="preserve"> relating to persons with a disability (Australian Bureau of Statistics, 2024g). Due to the high-level nature of the data published, this section of the report considers the arts and recreation services industry division. This sector includes a range of economic activities which are not included in the cultural and creative sector, including sports and recreational activities (such as gambling), repairs and maintenance activities (such as car repairs), and personal and other services (such as religious services). As such, the information presented should be considered as indicative only.</w:t>
      </w:r>
    </w:p>
    <w:p w14:paraId="01BA9E0A" w14:textId="5616C6FC" w:rsidR="003D3443" w:rsidRDefault="003D3443" w:rsidP="003D3443">
      <w:r>
        <w:t>The arts and recreational services industry division may be considered as a more inclusive employer than other sectors of the economy. Approximately 11.6% of Australia’s workforce in 2022 had a form of disability. In the same year, approximately 13.4% of workers in the arts and recreation services industry division had a form of disability. Workers in the arts and recreation services industry division were less likely than the overall workforce to have specific limitations or restrictions,</w:t>
      </w:r>
      <w:r>
        <w:rPr>
          <w:rStyle w:val="FootnoteReference"/>
        </w:rPr>
        <w:footnoteReference w:id="19"/>
      </w:r>
      <w:r>
        <w:t xml:space="preserve"> but were more likely to have a profound or severe core activity limitation</w:t>
      </w:r>
      <w:r w:rsidR="00C80929">
        <w:t xml:space="preserve"> (</w:t>
      </w:r>
      <w:r w:rsidR="00C80929">
        <w:fldChar w:fldCharType="begin"/>
      </w:r>
      <w:r w:rsidR="00C80929">
        <w:instrText xml:space="preserve"> REF _Ref184641105 \h </w:instrText>
      </w:r>
      <w:r w:rsidR="00C80929">
        <w:fldChar w:fldCharType="separate"/>
      </w:r>
      <w:r w:rsidR="00C65220">
        <w:t xml:space="preserve">Figure </w:t>
      </w:r>
      <w:r w:rsidR="00C65220">
        <w:rPr>
          <w:noProof/>
        </w:rPr>
        <w:t>21</w:t>
      </w:r>
      <w:r w:rsidR="00C80929">
        <w:fldChar w:fldCharType="end"/>
      </w:r>
      <w:r w:rsidR="00C80929">
        <w:t>)</w:t>
      </w:r>
      <w:r>
        <w:t>.</w:t>
      </w:r>
      <w:r>
        <w:rPr>
          <w:rStyle w:val="FootnoteReference"/>
        </w:rPr>
        <w:footnoteReference w:id="20"/>
      </w:r>
    </w:p>
    <w:p w14:paraId="6F4D985B" w14:textId="77777777" w:rsidR="003D3443" w:rsidRDefault="003D3443" w:rsidP="003D3443">
      <w:r>
        <w:lastRenderedPageBreak/>
        <w:t>Between 2018 and 2022, there was a significant increase in the prevalence of persons with a disability in Australia, from 17.7% of the population in 2018 to 21.4% in 2022. There are several factors which may have contributed to this increase, such as increased awareness of disability, increased prevalence of some long-term health conditions, the ageing of the Australian population and the use of an online self-completion questionnaire as part of the Survey of Disability, Ageing and Carers in 2022 (Australian Bureau of Statistics, 2024g).</w:t>
      </w:r>
    </w:p>
    <w:p w14:paraId="0EDADA25" w14:textId="77777777" w:rsidR="003D3443" w:rsidRDefault="003D3443" w:rsidP="003D3443">
      <w:r>
        <w:t>In addition to the increased prevalence of disability between 2018 and 2022, there was also an increase in the labour force participation rate of persons with a disability over this timeframe – from 53.4% in 2018 to 60.5%. This increase was much stronger than that recorded for persons without a disability (which increased from 84.1% in 2018 to 84.9% in 2022).</w:t>
      </w:r>
    </w:p>
    <w:p w14:paraId="7CEF6407" w14:textId="77777777" w:rsidR="003D3443" w:rsidRDefault="003D3443" w:rsidP="003D3443">
      <w:r>
        <w:t>The increased prevalence of disability coupled with the increased participation rate of persons with a disability contributed towards a strong 52% increase in the number of workers within the national workforce who had a disability between 2018 and 2022. By comparison, the arts and recreation services industry division (which was already employing a higher share of workers with a disability than the national average in 2018) recorded a 22.1% increase in employees with a form of disability.</w:t>
      </w:r>
    </w:p>
    <w:p w14:paraId="06DD4F4A" w14:textId="73457424" w:rsidR="003D3443" w:rsidRDefault="003D3443" w:rsidP="00660BCD">
      <w:pPr>
        <w:pStyle w:val="Tablefigureheading"/>
      </w:pPr>
      <w:bookmarkStart w:id="116" w:name="_Ref184641105"/>
      <w:bookmarkStart w:id="117" w:name="_Toc182484679"/>
      <w:bookmarkStart w:id="118" w:name="_Toc182914606"/>
      <w:bookmarkStart w:id="119" w:name="_Toc184641664"/>
      <w:r>
        <w:t xml:space="preserve">Figure </w:t>
      </w:r>
      <w:r w:rsidR="003C2F6D">
        <w:fldChar w:fldCharType="begin"/>
      </w:r>
      <w:r w:rsidR="003C2F6D">
        <w:instrText xml:space="preserve"> SEQ Figure \* ARABIC </w:instrText>
      </w:r>
      <w:r w:rsidR="003C2F6D">
        <w:fldChar w:fldCharType="separate"/>
      </w:r>
      <w:r w:rsidR="00C65220">
        <w:rPr>
          <w:noProof/>
        </w:rPr>
        <w:t>21</w:t>
      </w:r>
      <w:r w:rsidR="003C2F6D">
        <w:rPr>
          <w:noProof/>
        </w:rPr>
        <w:fldChar w:fldCharType="end"/>
      </w:r>
      <w:bookmarkEnd w:id="116"/>
      <w:r>
        <w:t xml:space="preserve">. </w:t>
      </w:r>
      <w:r w:rsidRPr="00964633">
        <w:t>Estimated share of workers,</w:t>
      </w:r>
      <w:r w:rsidR="00D9137E">
        <w:t xml:space="preserve"> by</w:t>
      </w:r>
      <w:r w:rsidRPr="00964633">
        <w:t xml:space="preserve"> level of reported disability, 2022</w:t>
      </w:r>
      <w:bookmarkEnd w:id="117"/>
      <w:bookmarkEnd w:id="118"/>
      <w:bookmarkEnd w:id="119"/>
    </w:p>
    <w:p w14:paraId="73378F57" w14:textId="77777777" w:rsidR="003D3443" w:rsidRDefault="003D3443" w:rsidP="003D3443">
      <w:pPr>
        <w:jc w:val="center"/>
      </w:pPr>
      <w:r>
        <w:rPr>
          <w:noProof/>
        </w:rPr>
        <w:drawing>
          <wp:inline distT="0" distB="0" distL="0" distR="0" wp14:anchorId="237532BF" wp14:editId="4676F070">
            <wp:extent cx="4340860" cy="2767965"/>
            <wp:effectExtent l="0" t="0" r="2540" b="0"/>
            <wp:docPr id="76" name="Picture 76" descr="A column graph compares the estimated share of workers in the total economy, and the arts and recreation services industry, by level of reported disability.">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340860" cy="2767965"/>
                    </a:xfrm>
                    <a:prstGeom prst="rect">
                      <a:avLst/>
                    </a:prstGeom>
                    <a:noFill/>
                  </pic:spPr>
                </pic:pic>
              </a:graphicData>
            </a:graphic>
          </wp:inline>
        </w:drawing>
      </w:r>
    </w:p>
    <w:p w14:paraId="3582E50E" w14:textId="77777777" w:rsidR="003D3443" w:rsidRDefault="003D3443" w:rsidP="003D3443">
      <w:pPr>
        <w:pStyle w:val="Sourcenotes"/>
      </w:pPr>
      <w:r w:rsidRPr="007E4DC7">
        <w:t>Source: Australian Bureau of Statistics – Disability, Ageing and Carers, Australia: Summary of Findings, 2022.</w:t>
      </w:r>
    </w:p>
    <w:p w14:paraId="799A2C04" w14:textId="3722CC56" w:rsidR="003D3443" w:rsidRDefault="00660BCD" w:rsidP="0086554C">
      <w:pPr>
        <w:pStyle w:val="Heading3"/>
        <w:spacing w:after="120"/>
      </w:pPr>
      <w:bookmarkStart w:id="120" w:name="_Toc184650669"/>
      <w:r>
        <w:t>A</w:t>
      </w:r>
      <w:r w:rsidR="00890D62">
        <w:t>.4</w:t>
      </w:r>
      <w:r>
        <w:tab/>
      </w:r>
      <w:r w:rsidR="003D3443" w:rsidRPr="007E4DC7">
        <w:t xml:space="preserve">Cultural and creative activities – </w:t>
      </w:r>
      <w:r w:rsidR="00C151C7">
        <w:t xml:space="preserve">attendance and </w:t>
      </w:r>
      <w:r w:rsidR="003D3443" w:rsidRPr="007E4DC7">
        <w:t>participation</w:t>
      </w:r>
      <w:bookmarkEnd w:id="120"/>
    </w:p>
    <w:p w14:paraId="2A977ECE" w14:textId="77777777" w:rsidR="003D3443" w:rsidRDefault="003D3443" w:rsidP="0086554C">
      <w:pPr>
        <w:pStyle w:val="Box2Heading"/>
        <w:shd w:val="clear" w:color="auto" w:fill="F2F6E8"/>
        <w:spacing w:before="0"/>
      </w:pPr>
      <w:r>
        <w:t>A note on definitions used in this section</w:t>
      </w:r>
    </w:p>
    <w:p w14:paraId="10E8674D" w14:textId="77777777" w:rsidR="003D3443" w:rsidRDefault="003D3443" w:rsidP="0086554C">
      <w:pPr>
        <w:pStyle w:val="Box2Text"/>
        <w:keepLines/>
        <w:shd w:val="clear" w:color="auto" w:fill="F2F6E8"/>
        <w:spacing w:before="0" w:after="0"/>
      </w:pPr>
      <w:r>
        <w:t>This section applies information on participation in selected cultural activities and attendance at selected cultural venues and events as published by the Australian Bureau of Statistics (Australian Bureau of Statistics, 2023c). The cultural and creative activities in scope are consistent with cultural and creative activities, in particular those under the domains of literature, creative and performing arts, and visual arts and crafts, libraries and archives, museums and galleries, and music production and distribution.</w:t>
      </w:r>
      <w:r>
        <w:rPr>
          <w:rStyle w:val="FootnoteReference"/>
        </w:rPr>
        <w:footnoteReference w:id="21"/>
      </w:r>
      <w:r>
        <w:t xml:space="preserve"> However, this information </w:t>
      </w:r>
      <w:r>
        <w:rPr>
          <w:lang w:val="en-AU"/>
        </w:rPr>
        <w:t>is unable to</w:t>
      </w:r>
      <w:r>
        <w:t xml:space="preserve"> be presented by cultural and creative domains.</w:t>
      </w:r>
    </w:p>
    <w:p w14:paraId="3ECFACDF" w14:textId="77777777" w:rsidR="003D3443" w:rsidRPr="002C50BF" w:rsidRDefault="003D3443" w:rsidP="0086554C">
      <w:pPr>
        <w:pStyle w:val="Heading4"/>
        <w:spacing w:before="120" w:after="120"/>
      </w:pPr>
      <w:bookmarkStart w:id="121" w:name="_Toc184650670"/>
      <w:r w:rsidRPr="002C50BF">
        <w:lastRenderedPageBreak/>
        <w:t>Attendance</w:t>
      </w:r>
      <w:bookmarkEnd w:id="121"/>
    </w:p>
    <w:p w14:paraId="4027ADD2" w14:textId="77777777" w:rsidR="003D3443" w:rsidRDefault="003D3443" w:rsidP="0086554C">
      <w:pPr>
        <w:spacing w:after="120"/>
      </w:pPr>
      <w:r>
        <w:t>Recent years have been marked by a decline in the share of Australians attending cultural and creative venues or events, including dance performances, musicals and operas, and theatre performances. In particular there has been a noticeable decline from pre- to post-COVID, across both adults and children.</w:t>
      </w:r>
    </w:p>
    <w:p w14:paraId="4D441DB7" w14:textId="65D3BC44" w:rsidR="003D3443" w:rsidRDefault="003D3443" w:rsidP="0086554C">
      <w:pPr>
        <w:spacing w:after="120"/>
      </w:pPr>
      <w:r>
        <w:t>In 2021–22, 64% of adults</w:t>
      </w:r>
      <w:r>
        <w:rPr>
          <w:rStyle w:val="FootnoteReference"/>
        </w:rPr>
        <w:footnoteReference w:id="22"/>
      </w:r>
      <w:r>
        <w:t xml:space="preserve"> and 80% of children</w:t>
      </w:r>
      <w:r>
        <w:rPr>
          <w:rStyle w:val="FootnoteReference"/>
        </w:rPr>
        <w:footnoteReference w:id="23"/>
      </w:r>
      <w:r>
        <w:t xml:space="preserve"> attended at least one cultural venue or even</w:t>
      </w:r>
      <w:r w:rsidRPr="002C50BF">
        <w:t>t (see</w:t>
      </w:r>
      <w:r>
        <w:t xml:space="preserve"> </w:t>
      </w:r>
      <w:r>
        <w:fldChar w:fldCharType="begin"/>
      </w:r>
      <w:r>
        <w:instrText xml:space="preserve"> REF _Ref182920893 \h </w:instrText>
      </w:r>
      <w:r>
        <w:fldChar w:fldCharType="separate"/>
      </w:r>
      <w:r w:rsidR="00C65220">
        <w:t xml:space="preserve">Table </w:t>
      </w:r>
      <w:r w:rsidR="00C65220">
        <w:rPr>
          <w:noProof/>
        </w:rPr>
        <w:t>4</w:t>
      </w:r>
      <w:r>
        <w:fldChar w:fldCharType="end"/>
      </w:r>
      <w:r>
        <w:t xml:space="preserve">). Both adults and children were more likely to attend either a cinema or performing arts event, by comparison to other venues or events in the year. Art galleries were the least attended cultural venue, of those provided, for both cohorts. </w:t>
      </w:r>
    </w:p>
    <w:p w14:paraId="4934D9CF" w14:textId="77777777" w:rsidR="003D3443" w:rsidRDefault="003D3443" w:rsidP="0086554C">
      <w:pPr>
        <w:spacing w:after="120"/>
      </w:pPr>
      <w:r>
        <w:t>Between 2017–18 and 2021–22, the share of both adults and children who attended at least one cultural venue or event reduced significantly. In both instances, reduced attendance was particularly prominent (with attendance rates down more than 20 percentage points from 2017–18 levels) for performing arts events and cinemas.</w:t>
      </w:r>
    </w:p>
    <w:p w14:paraId="0B94BC5C" w14:textId="20661560" w:rsidR="003D3443" w:rsidRDefault="003D3443" w:rsidP="0086554C">
      <w:pPr>
        <w:pStyle w:val="Tablefigureheading"/>
      </w:pPr>
      <w:bookmarkStart w:id="122" w:name="_Ref182920893"/>
      <w:bookmarkStart w:id="123" w:name="_Ref182483608"/>
      <w:bookmarkStart w:id="124" w:name="_Toc182484680"/>
      <w:bookmarkStart w:id="125" w:name="_Toc182914607"/>
      <w:bookmarkStart w:id="126" w:name="_Toc184641665"/>
      <w:r>
        <w:t xml:space="preserve">Table </w:t>
      </w:r>
      <w:r w:rsidR="003C2F6D">
        <w:fldChar w:fldCharType="begin"/>
      </w:r>
      <w:r w:rsidR="003C2F6D">
        <w:instrText xml:space="preserve"> SEQ Table \* ARABIC </w:instrText>
      </w:r>
      <w:r w:rsidR="003C2F6D">
        <w:fldChar w:fldCharType="separate"/>
      </w:r>
      <w:r w:rsidR="00C65220">
        <w:rPr>
          <w:noProof/>
        </w:rPr>
        <w:t>4</w:t>
      </w:r>
      <w:r w:rsidR="003C2F6D">
        <w:rPr>
          <w:noProof/>
        </w:rPr>
        <w:fldChar w:fldCharType="end"/>
      </w:r>
      <w:bookmarkEnd w:id="122"/>
      <w:r>
        <w:t xml:space="preserve">. </w:t>
      </w:r>
      <w:r w:rsidRPr="00612FEB">
        <w:t>Attendance at cultural venues and events, 2021–22</w:t>
      </w:r>
      <w:bookmarkEnd w:id="123"/>
      <w:bookmarkEnd w:id="124"/>
      <w:bookmarkEnd w:id="125"/>
      <w:bookmarkEnd w:id="126"/>
    </w:p>
    <w:tbl>
      <w:tblPr>
        <w:tblStyle w:val="DefaultTable11"/>
        <w:tblW w:w="4338" w:type="pct"/>
        <w:tblCellMar>
          <w:top w:w="11" w:type="dxa"/>
          <w:bottom w:w="11" w:type="dxa"/>
        </w:tblCellMar>
        <w:tblLook w:val="0420" w:firstRow="1" w:lastRow="0" w:firstColumn="0" w:lastColumn="0" w:noHBand="0" w:noVBand="1"/>
        <w:tblDescription w:val="Table 4. Attendance at cultural venues and events, 2021–22"/>
      </w:tblPr>
      <w:tblGrid>
        <w:gridCol w:w="3542"/>
        <w:gridCol w:w="2214"/>
        <w:gridCol w:w="2802"/>
      </w:tblGrid>
      <w:tr w:rsidR="0086554C" w:rsidRPr="00654F9E" w14:paraId="0FDC2E9A" w14:textId="77777777" w:rsidTr="0044290C">
        <w:trPr>
          <w:cnfStyle w:val="100000000000" w:firstRow="1" w:lastRow="0" w:firstColumn="0" w:lastColumn="0" w:oddVBand="0" w:evenVBand="0" w:oddHBand="0" w:evenHBand="0" w:firstRowFirstColumn="0" w:firstRowLastColumn="0" w:lastRowFirstColumn="0" w:lastRowLastColumn="0"/>
          <w:cantSplit/>
        </w:trPr>
        <w:tc>
          <w:tcPr>
            <w:tcW w:w="2069" w:type="pct"/>
          </w:tcPr>
          <w:p w14:paraId="59BD178E" w14:textId="72E798D0" w:rsidR="0086554C" w:rsidRPr="0086554C" w:rsidRDefault="0086554C" w:rsidP="0086554C">
            <w:pPr>
              <w:pStyle w:val="Tablerowcolumnheading"/>
              <w:keepNext/>
              <w:rPr>
                <w:b/>
                <w:sz w:val="22"/>
                <w:szCs w:val="22"/>
              </w:rPr>
            </w:pPr>
            <w:r w:rsidRPr="0086554C">
              <w:rPr>
                <w:b/>
              </w:rPr>
              <w:t>Venue</w:t>
            </w:r>
          </w:p>
        </w:tc>
        <w:tc>
          <w:tcPr>
            <w:tcW w:w="1293" w:type="pct"/>
          </w:tcPr>
          <w:p w14:paraId="39DE4BF0" w14:textId="77777777" w:rsidR="0086554C" w:rsidRPr="0086554C" w:rsidRDefault="0086554C" w:rsidP="0086554C">
            <w:pPr>
              <w:spacing w:after="0"/>
              <w:jc w:val="center"/>
            </w:pPr>
            <w:r w:rsidRPr="0086554C">
              <w:t>Attendance rate</w:t>
            </w:r>
          </w:p>
          <w:p w14:paraId="463D87E4" w14:textId="20141114" w:rsidR="0086554C" w:rsidRPr="0086554C" w:rsidRDefault="0086554C" w:rsidP="0086554C">
            <w:pPr>
              <w:pStyle w:val="Tablerowcolumnheadingcentred"/>
              <w:keepNext/>
              <w:spacing w:before="0"/>
              <w:rPr>
                <w:b/>
              </w:rPr>
            </w:pPr>
            <w:r w:rsidRPr="0086554C">
              <w:rPr>
                <w:b/>
              </w:rPr>
              <w:t>2021–22</w:t>
            </w:r>
          </w:p>
        </w:tc>
        <w:tc>
          <w:tcPr>
            <w:tcW w:w="1637" w:type="pct"/>
          </w:tcPr>
          <w:p w14:paraId="3CDFEC68" w14:textId="77777777" w:rsidR="0086554C" w:rsidRPr="0086554C" w:rsidRDefault="0086554C" w:rsidP="0086554C">
            <w:pPr>
              <w:spacing w:after="0"/>
              <w:jc w:val="center"/>
            </w:pPr>
            <w:r w:rsidRPr="0086554C">
              <w:t>Percentage point change</w:t>
            </w:r>
          </w:p>
          <w:p w14:paraId="4192FF7C" w14:textId="757D17D6" w:rsidR="0086554C" w:rsidRPr="0086554C" w:rsidRDefault="0086554C" w:rsidP="0086554C">
            <w:pPr>
              <w:pStyle w:val="Tablerowcolumnheadingcentred"/>
              <w:keepNext/>
              <w:spacing w:before="0"/>
              <w:rPr>
                <w:b/>
              </w:rPr>
            </w:pPr>
            <w:r w:rsidRPr="0086554C">
              <w:rPr>
                <w:b/>
              </w:rPr>
              <w:t>2017–18 to 2021–22</w:t>
            </w:r>
          </w:p>
        </w:tc>
      </w:tr>
      <w:tr w:rsidR="0086554C" w:rsidRPr="00654F9E" w14:paraId="610662B4" w14:textId="77777777" w:rsidTr="0044290C">
        <w:trPr>
          <w:cantSplit/>
        </w:trPr>
        <w:tc>
          <w:tcPr>
            <w:tcW w:w="2069" w:type="pct"/>
            <w:shd w:val="clear" w:color="auto" w:fill="F2F6E8"/>
          </w:tcPr>
          <w:p w14:paraId="0CF49687" w14:textId="6395C84B" w:rsidR="0086554C" w:rsidRPr="00953B97" w:rsidRDefault="0086554C" w:rsidP="0086554C">
            <w:pPr>
              <w:pStyle w:val="Tabletext"/>
              <w:keepNext/>
              <w:spacing w:before="20" w:after="20"/>
              <w:rPr>
                <w:b/>
              </w:rPr>
            </w:pPr>
            <w:r w:rsidRPr="00953B97">
              <w:rPr>
                <w:b/>
              </w:rPr>
              <w:t>Children</w:t>
            </w:r>
          </w:p>
        </w:tc>
        <w:tc>
          <w:tcPr>
            <w:tcW w:w="1293" w:type="pct"/>
            <w:shd w:val="clear" w:color="auto" w:fill="F2F6E8"/>
          </w:tcPr>
          <w:p w14:paraId="1E3F5E96" w14:textId="75EB41C9" w:rsidR="0086554C" w:rsidRPr="006C694C" w:rsidRDefault="0086554C" w:rsidP="0086554C">
            <w:pPr>
              <w:pStyle w:val="Tabletextcentred"/>
              <w:keepNext/>
              <w:spacing w:before="20" w:after="20"/>
            </w:pPr>
          </w:p>
        </w:tc>
        <w:tc>
          <w:tcPr>
            <w:tcW w:w="1637" w:type="pct"/>
            <w:shd w:val="clear" w:color="auto" w:fill="F2F6E8"/>
          </w:tcPr>
          <w:p w14:paraId="001C540C" w14:textId="272FF589" w:rsidR="0086554C" w:rsidRPr="006C694C" w:rsidRDefault="0086554C" w:rsidP="0086554C">
            <w:pPr>
              <w:pStyle w:val="Tabletextcentred"/>
              <w:keepNext/>
              <w:spacing w:before="20" w:after="20"/>
            </w:pPr>
          </w:p>
        </w:tc>
      </w:tr>
      <w:tr w:rsidR="0086554C" w:rsidRPr="00654F9E" w14:paraId="2D88C8B2" w14:textId="77777777" w:rsidTr="0044290C">
        <w:trPr>
          <w:cnfStyle w:val="000000010000" w:firstRow="0" w:lastRow="0" w:firstColumn="0" w:lastColumn="0" w:oddVBand="0" w:evenVBand="0" w:oddHBand="0" w:evenHBand="1" w:firstRowFirstColumn="0" w:firstRowLastColumn="0" w:lastRowFirstColumn="0" w:lastRowLastColumn="0"/>
          <w:cantSplit/>
        </w:trPr>
        <w:tc>
          <w:tcPr>
            <w:tcW w:w="2069" w:type="pct"/>
            <w:vAlign w:val="bottom"/>
          </w:tcPr>
          <w:p w14:paraId="4D057F83" w14:textId="0431D8A4" w:rsidR="0086554C" w:rsidRPr="00837848" w:rsidRDefault="0086554C" w:rsidP="0086554C">
            <w:pPr>
              <w:pStyle w:val="Tabletext"/>
              <w:spacing w:before="20" w:after="20"/>
            </w:pPr>
            <w:r>
              <w:rPr>
                <w:rFonts w:cs="Calibri"/>
              </w:rPr>
              <w:t>Art galleries</w:t>
            </w:r>
          </w:p>
        </w:tc>
        <w:tc>
          <w:tcPr>
            <w:tcW w:w="1293" w:type="pct"/>
            <w:vAlign w:val="bottom"/>
          </w:tcPr>
          <w:p w14:paraId="66F9A28C" w14:textId="0750B491" w:rsidR="0086554C" w:rsidRPr="006C694C" w:rsidRDefault="0086554C" w:rsidP="0086554C">
            <w:pPr>
              <w:pStyle w:val="Tabletextcentred"/>
              <w:spacing w:before="20" w:after="20"/>
            </w:pPr>
            <w:r>
              <w:rPr>
                <w:rFonts w:cs="Calibri"/>
              </w:rPr>
              <w:t>20%</w:t>
            </w:r>
          </w:p>
        </w:tc>
        <w:tc>
          <w:tcPr>
            <w:tcW w:w="1637" w:type="pct"/>
            <w:vAlign w:val="bottom"/>
          </w:tcPr>
          <w:p w14:paraId="11DDCC86" w14:textId="3E2BDFDD" w:rsidR="0086554C" w:rsidRPr="006C694C" w:rsidRDefault="0086554C" w:rsidP="0086554C">
            <w:pPr>
              <w:pStyle w:val="Tabletextcentred"/>
              <w:spacing w:before="20" w:after="20"/>
            </w:pPr>
            <w:r>
              <w:rPr>
                <w:rFonts w:cs="Calibri"/>
              </w:rPr>
              <w:t>-11%</w:t>
            </w:r>
          </w:p>
        </w:tc>
      </w:tr>
      <w:tr w:rsidR="0086554C" w:rsidRPr="00654F9E" w14:paraId="3BAFA384" w14:textId="77777777" w:rsidTr="0044290C">
        <w:trPr>
          <w:cantSplit/>
        </w:trPr>
        <w:tc>
          <w:tcPr>
            <w:tcW w:w="2069" w:type="pct"/>
            <w:vAlign w:val="bottom"/>
          </w:tcPr>
          <w:p w14:paraId="7388297B" w14:textId="3437FC2D" w:rsidR="0086554C" w:rsidRPr="00185B16" w:rsidRDefault="0086554C" w:rsidP="0086554C">
            <w:pPr>
              <w:pStyle w:val="Tabletext"/>
              <w:spacing w:before="20" w:after="20"/>
            </w:pPr>
            <w:r>
              <w:rPr>
                <w:rFonts w:cs="Calibri"/>
              </w:rPr>
              <w:t>Museums</w:t>
            </w:r>
          </w:p>
        </w:tc>
        <w:tc>
          <w:tcPr>
            <w:tcW w:w="1293" w:type="pct"/>
            <w:vAlign w:val="bottom"/>
          </w:tcPr>
          <w:p w14:paraId="49AC4533" w14:textId="62D20A7C" w:rsidR="0086554C" w:rsidRPr="00185B16" w:rsidRDefault="0086554C" w:rsidP="0086554C">
            <w:pPr>
              <w:pStyle w:val="Tabletextcentred"/>
              <w:spacing w:before="20" w:after="20"/>
            </w:pPr>
            <w:r>
              <w:rPr>
                <w:rFonts w:cs="Calibri"/>
              </w:rPr>
              <w:t>31%</w:t>
            </w:r>
          </w:p>
        </w:tc>
        <w:tc>
          <w:tcPr>
            <w:tcW w:w="1637" w:type="pct"/>
            <w:vAlign w:val="bottom"/>
          </w:tcPr>
          <w:p w14:paraId="70E7968F" w14:textId="2EE92378" w:rsidR="0086554C" w:rsidRPr="00185B16" w:rsidRDefault="0086554C" w:rsidP="0086554C">
            <w:pPr>
              <w:pStyle w:val="Tabletextcentred"/>
              <w:spacing w:before="20" w:after="20"/>
            </w:pPr>
            <w:r>
              <w:rPr>
                <w:rFonts w:cs="Calibri"/>
              </w:rPr>
              <w:t>-15%</w:t>
            </w:r>
          </w:p>
        </w:tc>
      </w:tr>
      <w:tr w:rsidR="0086554C" w:rsidRPr="00654F9E" w14:paraId="22F9E1B3" w14:textId="77777777" w:rsidTr="0044290C">
        <w:trPr>
          <w:cnfStyle w:val="000000010000" w:firstRow="0" w:lastRow="0" w:firstColumn="0" w:lastColumn="0" w:oddVBand="0" w:evenVBand="0" w:oddHBand="0" w:evenHBand="1" w:firstRowFirstColumn="0" w:firstRowLastColumn="0" w:lastRowFirstColumn="0" w:lastRowLastColumn="0"/>
          <w:cantSplit/>
        </w:trPr>
        <w:tc>
          <w:tcPr>
            <w:tcW w:w="2069" w:type="pct"/>
            <w:vAlign w:val="bottom"/>
          </w:tcPr>
          <w:p w14:paraId="74171088" w14:textId="67545CD4" w:rsidR="0086554C" w:rsidRDefault="0086554C" w:rsidP="0086554C">
            <w:pPr>
              <w:pStyle w:val="Tabletext"/>
              <w:spacing w:before="20" w:after="20"/>
              <w:rPr>
                <w:rFonts w:cs="Calibri"/>
              </w:rPr>
            </w:pPr>
            <w:r>
              <w:rPr>
                <w:rFonts w:cs="Calibri"/>
              </w:rPr>
              <w:t>Libraries or archives</w:t>
            </w:r>
          </w:p>
        </w:tc>
        <w:tc>
          <w:tcPr>
            <w:tcW w:w="1293" w:type="pct"/>
            <w:vAlign w:val="bottom"/>
          </w:tcPr>
          <w:p w14:paraId="33E21BF5" w14:textId="2A7A11D3" w:rsidR="0086554C" w:rsidRDefault="0086554C" w:rsidP="0086554C">
            <w:pPr>
              <w:pStyle w:val="Tabletextcentred"/>
              <w:spacing w:before="20" w:after="20"/>
              <w:rPr>
                <w:rFonts w:cs="Calibri"/>
              </w:rPr>
            </w:pPr>
            <w:r>
              <w:rPr>
                <w:rFonts w:cs="Calibri"/>
              </w:rPr>
              <w:t>33%</w:t>
            </w:r>
          </w:p>
        </w:tc>
        <w:tc>
          <w:tcPr>
            <w:tcW w:w="1637" w:type="pct"/>
            <w:vAlign w:val="bottom"/>
          </w:tcPr>
          <w:p w14:paraId="045744DF" w14:textId="280A9934" w:rsidR="0086554C" w:rsidRDefault="0086554C" w:rsidP="0086554C">
            <w:pPr>
              <w:pStyle w:val="Tabletextcentred"/>
              <w:spacing w:before="20" w:after="20"/>
              <w:rPr>
                <w:rFonts w:cs="Calibri"/>
              </w:rPr>
            </w:pPr>
            <w:r>
              <w:rPr>
                <w:rFonts w:cs="Calibri"/>
              </w:rPr>
              <w:t>-20%</w:t>
            </w:r>
          </w:p>
        </w:tc>
      </w:tr>
      <w:tr w:rsidR="0086554C" w:rsidRPr="00654F9E" w14:paraId="42D6DB5A" w14:textId="77777777" w:rsidTr="0044290C">
        <w:trPr>
          <w:cantSplit/>
        </w:trPr>
        <w:tc>
          <w:tcPr>
            <w:tcW w:w="2069" w:type="pct"/>
            <w:vAlign w:val="bottom"/>
          </w:tcPr>
          <w:p w14:paraId="1951240D" w14:textId="5B114B0D" w:rsidR="0086554C" w:rsidRDefault="0086554C" w:rsidP="0086554C">
            <w:pPr>
              <w:pStyle w:val="Tabletext"/>
              <w:spacing w:before="20" w:after="20"/>
              <w:rPr>
                <w:rFonts w:cs="Calibri"/>
              </w:rPr>
            </w:pPr>
            <w:r>
              <w:rPr>
                <w:rFonts w:cs="Calibri"/>
              </w:rPr>
              <w:t>Cinemas</w:t>
            </w:r>
          </w:p>
        </w:tc>
        <w:tc>
          <w:tcPr>
            <w:tcW w:w="1293" w:type="pct"/>
            <w:vAlign w:val="bottom"/>
          </w:tcPr>
          <w:p w14:paraId="58E0D5FF" w14:textId="5DAEF53B" w:rsidR="0086554C" w:rsidRDefault="0086554C" w:rsidP="0086554C">
            <w:pPr>
              <w:pStyle w:val="Tabletextcentred"/>
              <w:spacing w:before="20" w:after="20"/>
              <w:rPr>
                <w:rFonts w:cs="Calibri"/>
              </w:rPr>
            </w:pPr>
            <w:r>
              <w:rPr>
                <w:rFonts w:cs="Calibri"/>
              </w:rPr>
              <w:t>67%</w:t>
            </w:r>
          </w:p>
        </w:tc>
        <w:tc>
          <w:tcPr>
            <w:tcW w:w="1637" w:type="pct"/>
            <w:vAlign w:val="bottom"/>
          </w:tcPr>
          <w:p w14:paraId="447E7838" w14:textId="1C02C083" w:rsidR="0086554C" w:rsidRDefault="0086554C" w:rsidP="0086554C">
            <w:pPr>
              <w:pStyle w:val="Tabletextcentred"/>
              <w:spacing w:before="20" w:after="20"/>
              <w:rPr>
                <w:rFonts w:cs="Calibri"/>
              </w:rPr>
            </w:pPr>
            <w:r>
              <w:rPr>
                <w:rFonts w:cs="Calibri"/>
              </w:rPr>
              <w:t>-21%</w:t>
            </w:r>
          </w:p>
        </w:tc>
      </w:tr>
      <w:tr w:rsidR="0086554C" w:rsidRPr="00654F9E" w14:paraId="09CEBE9E" w14:textId="77777777" w:rsidTr="0044290C">
        <w:trPr>
          <w:cnfStyle w:val="000000010000" w:firstRow="0" w:lastRow="0" w:firstColumn="0" w:lastColumn="0" w:oddVBand="0" w:evenVBand="0" w:oddHBand="0" w:evenHBand="1" w:firstRowFirstColumn="0" w:firstRowLastColumn="0" w:lastRowFirstColumn="0" w:lastRowLastColumn="0"/>
          <w:cantSplit/>
        </w:trPr>
        <w:tc>
          <w:tcPr>
            <w:tcW w:w="2069" w:type="pct"/>
            <w:vAlign w:val="bottom"/>
          </w:tcPr>
          <w:p w14:paraId="7B61DBF4" w14:textId="5B735FE8" w:rsidR="0086554C" w:rsidRDefault="0086554C" w:rsidP="0086554C">
            <w:pPr>
              <w:pStyle w:val="Tabletext"/>
              <w:spacing w:before="20" w:after="20"/>
              <w:rPr>
                <w:rFonts w:cs="Calibri"/>
              </w:rPr>
            </w:pPr>
            <w:r>
              <w:rPr>
                <w:rFonts w:cs="Calibri"/>
              </w:rPr>
              <w:t>Performing arts</w:t>
            </w:r>
          </w:p>
        </w:tc>
        <w:tc>
          <w:tcPr>
            <w:tcW w:w="1293" w:type="pct"/>
            <w:vAlign w:val="bottom"/>
          </w:tcPr>
          <w:p w14:paraId="74401008" w14:textId="74331D12" w:rsidR="0086554C" w:rsidRDefault="0086554C" w:rsidP="0086554C">
            <w:pPr>
              <w:pStyle w:val="Tabletextcentred"/>
              <w:spacing w:before="20" w:after="20"/>
              <w:rPr>
                <w:rFonts w:cs="Calibri"/>
              </w:rPr>
            </w:pPr>
            <w:r>
              <w:rPr>
                <w:rFonts w:cs="Calibri"/>
              </w:rPr>
              <w:t>31%</w:t>
            </w:r>
          </w:p>
        </w:tc>
        <w:tc>
          <w:tcPr>
            <w:tcW w:w="1637" w:type="pct"/>
            <w:vAlign w:val="bottom"/>
          </w:tcPr>
          <w:p w14:paraId="58B3EE6D" w14:textId="67EF3AEA" w:rsidR="0086554C" w:rsidRDefault="0086554C" w:rsidP="0086554C">
            <w:pPr>
              <w:pStyle w:val="Tabletextcentred"/>
              <w:spacing w:before="20" w:after="20"/>
              <w:rPr>
                <w:rFonts w:cs="Calibri"/>
              </w:rPr>
            </w:pPr>
            <w:r>
              <w:rPr>
                <w:rFonts w:cs="Calibri"/>
              </w:rPr>
              <w:t>-26%</w:t>
            </w:r>
          </w:p>
        </w:tc>
      </w:tr>
      <w:tr w:rsidR="0086554C" w:rsidRPr="00654F9E" w14:paraId="475347D7" w14:textId="77777777" w:rsidTr="0044290C">
        <w:trPr>
          <w:cantSplit/>
        </w:trPr>
        <w:tc>
          <w:tcPr>
            <w:tcW w:w="2069" w:type="pct"/>
            <w:vAlign w:val="bottom"/>
          </w:tcPr>
          <w:p w14:paraId="198445C2" w14:textId="60F7DE24" w:rsidR="0086554C" w:rsidRPr="005702E9" w:rsidRDefault="0086554C" w:rsidP="0086554C">
            <w:pPr>
              <w:pStyle w:val="Tabletext"/>
              <w:spacing w:before="20" w:after="20"/>
              <w:rPr>
                <w:rFonts w:cs="Calibri"/>
                <w:b/>
              </w:rPr>
            </w:pPr>
            <w:r w:rsidRPr="005702E9">
              <w:rPr>
                <w:rFonts w:cs="Calibri"/>
                <w:b/>
              </w:rPr>
              <w:t>Attended at least one venue or event</w:t>
            </w:r>
          </w:p>
        </w:tc>
        <w:tc>
          <w:tcPr>
            <w:tcW w:w="1293" w:type="pct"/>
            <w:vAlign w:val="bottom"/>
          </w:tcPr>
          <w:p w14:paraId="0274EBF0" w14:textId="2011FF85" w:rsidR="0086554C" w:rsidRDefault="0086554C" w:rsidP="0086554C">
            <w:pPr>
              <w:pStyle w:val="Tabletextcentred"/>
              <w:spacing w:before="20" w:after="20"/>
              <w:rPr>
                <w:rFonts w:cs="Calibri"/>
              </w:rPr>
            </w:pPr>
            <w:r w:rsidRPr="002C50BF">
              <w:rPr>
                <w:rFonts w:cs="Calibri"/>
                <w:b/>
              </w:rPr>
              <w:t>80%</w:t>
            </w:r>
          </w:p>
        </w:tc>
        <w:tc>
          <w:tcPr>
            <w:tcW w:w="1637" w:type="pct"/>
            <w:vAlign w:val="bottom"/>
          </w:tcPr>
          <w:p w14:paraId="5A8BFC1A" w14:textId="6D844F21" w:rsidR="0086554C" w:rsidRDefault="0086554C" w:rsidP="0086554C">
            <w:pPr>
              <w:pStyle w:val="Tabletextcentred"/>
              <w:spacing w:before="20" w:after="20"/>
              <w:rPr>
                <w:rFonts w:cs="Calibri"/>
              </w:rPr>
            </w:pPr>
            <w:r w:rsidRPr="002C50BF">
              <w:rPr>
                <w:rFonts w:cs="Calibri"/>
                <w:b/>
              </w:rPr>
              <w:t>-14%</w:t>
            </w:r>
          </w:p>
        </w:tc>
      </w:tr>
      <w:tr w:rsidR="0086554C" w:rsidRPr="00654F9E" w14:paraId="05F7AE73" w14:textId="77777777" w:rsidTr="0044290C">
        <w:trPr>
          <w:cnfStyle w:val="000000010000" w:firstRow="0" w:lastRow="0" w:firstColumn="0" w:lastColumn="0" w:oddVBand="0" w:evenVBand="0" w:oddHBand="0" w:evenHBand="1" w:firstRowFirstColumn="0" w:firstRowLastColumn="0" w:lastRowFirstColumn="0" w:lastRowLastColumn="0"/>
          <w:cantSplit/>
        </w:trPr>
        <w:tc>
          <w:tcPr>
            <w:tcW w:w="2069" w:type="pct"/>
            <w:shd w:val="clear" w:color="auto" w:fill="F2F6E8"/>
            <w:vAlign w:val="bottom"/>
          </w:tcPr>
          <w:p w14:paraId="5A923E59" w14:textId="09EC3032" w:rsidR="0086554C" w:rsidRPr="00953B97" w:rsidRDefault="0086554C" w:rsidP="0086554C">
            <w:pPr>
              <w:pStyle w:val="Tabletext"/>
              <w:spacing w:before="20" w:after="20"/>
              <w:rPr>
                <w:rFonts w:cs="Calibri"/>
                <w:b/>
              </w:rPr>
            </w:pPr>
            <w:r w:rsidRPr="00953B97">
              <w:rPr>
                <w:b/>
              </w:rPr>
              <w:t>Adults</w:t>
            </w:r>
          </w:p>
        </w:tc>
        <w:tc>
          <w:tcPr>
            <w:tcW w:w="1293" w:type="pct"/>
            <w:shd w:val="clear" w:color="auto" w:fill="F2F6E8"/>
            <w:vAlign w:val="bottom"/>
          </w:tcPr>
          <w:p w14:paraId="376ECA07" w14:textId="77777777" w:rsidR="0086554C" w:rsidRPr="002C50BF" w:rsidRDefault="0086554C" w:rsidP="0086554C">
            <w:pPr>
              <w:pStyle w:val="Tabletextcentred"/>
              <w:spacing w:before="20" w:after="20"/>
              <w:rPr>
                <w:rFonts w:cs="Calibri"/>
                <w:b/>
              </w:rPr>
            </w:pPr>
          </w:p>
        </w:tc>
        <w:tc>
          <w:tcPr>
            <w:tcW w:w="1637" w:type="pct"/>
            <w:shd w:val="clear" w:color="auto" w:fill="F2F6E8"/>
          </w:tcPr>
          <w:p w14:paraId="30494563" w14:textId="77777777" w:rsidR="0086554C" w:rsidRPr="002C50BF" w:rsidRDefault="0086554C" w:rsidP="0086554C">
            <w:pPr>
              <w:pStyle w:val="Tabletextcentred"/>
              <w:spacing w:before="20" w:after="20"/>
              <w:rPr>
                <w:rFonts w:cs="Calibri"/>
                <w:b/>
              </w:rPr>
            </w:pPr>
          </w:p>
        </w:tc>
      </w:tr>
      <w:tr w:rsidR="0086554C" w:rsidRPr="00654F9E" w14:paraId="68D789EA" w14:textId="77777777" w:rsidTr="0044290C">
        <w:trPr>
          <w:cantSplit/>
        </w:trPr>
        <w:tc>
          <w:tcPr>
            <w:tcW w:w="2069" w:type="pct"/>
            <w:vAlign w:val="bottom"/>
          </w:tcPr>
          <w:p w14:paraId="6576B3C9" w14:textId="2FD2C787" w:rsidR="0086554C" w:rsidRDefault="0086554C" w:rsidP="0086554C">
            <w:pPr>
              <w:pStyle w:val="Tabletext"/>
              <w:spacing w:before="20" w:after="20"/>
            </w:pPr>
            <w:r>
              <w:rPr>
                <w:rFonts w:cs="Calibri"/>
              </w:rPr>
              <w:t>Art galleries</w:t>
            </w:r>
          </w:p>
        </w:tc>
        <w:tc>
          <w:tcPr>
            <w:tcW w:w="1293" w:type="pct"/>
            <w:vAlign w:val="bottom"/>
          </w:tcPr>
          <w:p w14:paraId="15DC1644" w14:textId="443D40A3" w:rsidR="0086554C" w:rsidRPr="002C50BF" w:rsidRDefault="0086554C" w:rsidP="0086554C">
            <w:pPr>
              <w:pStyle w:val="Tabletextcentred"/>
              <w:spacing w:before="20" w:after="20"/>
              <w:rPr>
                <w:rFonts w:cs="Calibri"/>
                <w:b/>
              </w:rPr>
            </w:pPr>
            <w:r>
              <w:rPr>
                <w:rFonts w:cs="Calibri"/>
              </w:rPr>
              <w:t>18%</w:t>
            </w:r>
          </w:p>
        </w:tc>
        <w:tc>
          <w:tcPr>
            <w:tcW w:w="1637" w:type="pct"/>
            <w:vAlign w:val="bottom"/>
          </w:tcPr>
          <w:p w14:paraId="374EE5ED" w14:textId="7CE588B3" w:rsidR="0086554C" w:rsidRPr="002C50BF" w:rsidRDefault="0086554C" w:rsidP="0086554C">
            <w:pPr>
              <w:pStyle w:val="Tabletextcentred"/>
              <w:spacing w:before="20" w:after="20"/>
              <w:rPr>
                <w:rFonts w:cs="Calibri"/>
                <w:b/>
              </w:rPr>
            </w:pPr>
            <w:r>
              <w:rPr>
                <w:rFonts w:cs="Calibri"/>
              </w:rPr>
              <w:t>-10%</w:t>
            </w:r>
          </w:p>
        </w:tc>
      </w:tr>
      <w:tr w:rsidR="0086554C" w:rsidRPr="00654F9E" w14:paraId="25CA6FDD" w14:textId="77777777" w:rsidTr="0044290C">
        <w:trPr>
          <w:cnfStyle w:val="000000010000" w:firstRow="0" w:lastRow="0" w:firstColumn="0" w:lastColumn="0" w:oddVBand="0" w:evenVBand="0" w:oddHBand="0" w:evenHBand="1" w:firstRowFirstColumn="0" w:firstRowLastColumn="0" w:lastRowFirstColumn="0" w:lastRowLastColumn="0"/>
          <w:cantSplit/>
        </w:trPr>
        <w:tc>
          <w:tcPr>
            <w:tcW w:w="2069" w:type="pct"/>
            <w:vAlign w:val="bottom"/>
          </w:tcPr>
          <w:p w14:paraId="3BA0B53F" w14:textId="623243C8" w:rsidR="0086554C" w:rsidRDefault="0086554C" w:rsidP="0086554C">
            <w:pPr>
              <w:pStyle w:val="Tabletext"/>
              <w:spacing w:before="20" w:after="20"/>
              <w:rPr>
                <w:rFonts w:cs="Calibri"/>
              </w:rPr>
            </w:pPr>
            <w:r>
              <w:rPr>
                <w:rFonts w:cs="Calibri"/>
              </w:rPr>
              <w:t>Museums</w:t>
            </w:r>
          </w:p>
        </w:tc>
        <w:tc>
          <w:tcPr>
            <w:tcW w:w="1293" w:type="pct"/>
            <w:vAlign w:val="bottom"/>
          </w:tcPr>
          <w:p w14:paraId="1F5604E9" w14:textId="3D5F28F9" w:rsidR="0086554C" w:rsidRDefault="0086554C" w:rsidP="0086554C">
            <w:pPr>
              <w:pStyle w:val="Tabletextcentred"/>
              <w:spacing w:before="20" w:after="20"/>
              <w:rPr>
                <w:rFonts w:cs="Calibri"/>
              </w:rPr>
            </w:pPr>
            <w:r>
              <w:rPr>
                <w:rFonts w:cs="Calibri"/>
              </w:rPr>
              <w:t>17%</w:t>
            </w:r>
          </w:p>
        </w:tc>
        <w:tc>
          <w:tcPr>
            <w:tcW w:w="1637" w:type="pct"/>
            <w:vAlign w:val="bottom"/>
          </w:tcPr>
          <w:p w14:paraId="42071C03" w14:textId="06B39FB8" w:rsidR="0086554C" w:rsidRDefault="0086554C" w:rsidP="0086554C">
            <w:pPr>
              <w:pStyle w:val="Tabletextcentred"/>
              <w:spacing w:before="20" w:after="20"/>
              <w:rPr>
                <w:rFonts w:cs="Calibri"/>
              </w:rPr>
            </w:pPr>
            <w:r>
              <w:rPr>
                <w:rFonts w:cs="Calibri"/>
              </w:rPr>
              <w:t>-10%</w:t>
            </w:r>
          </w:p>
        </w:tc>
      </w:tr>
      <w:tr w:rsidR="0086554C" w:rsidRPr="00654F9E" w14:paraId="7583BCB5" w14:textId="77777777" w:rsidTr="0044290C">
        <w:trPr>
          <w:cantSplit/>
        </w:trPr>
        <w:tc>
          <w:tcPr>
            <w:tcW w:w="2069" w:type="pct"/>
            <w:vAlign w:val="bottom"/>
          </w:tcPr>
          <w:p w14:paraId="0974CF3D" w14:textId="59EB685C" w:rsidR="0086554C" w:rsidRDefault="0086554C" w:rsidP="0086554C">
            <w:pPr>
              <w:pStyle w:val="Tabletext"/>
              <w:spacing w:before="20" w:after="20"/>
              <w:rPr>
                <w:rFonts w:cs="Calibri"/>
              </w:rPr>
            </w:pPr>
            <w:r>
              <w:rPr>
                <w:rFonts w:cs="Calibri"/>
              </w:rPr>
              <w:t>Libraries or archives</w:t>
            </w:r>
          </w:p>
        </w:tc>
        <w:tc>
          <w:tcPr>
            <w:tcW w:w="1293" w:type="pct"/>
            <w:vAlign w:val="bottom"/>
          </w:tcPr>
          <w:p w14:paraId="613F0491" w14:textId="370F6DF6" w:rsidR="0086554C" w:rsidRDefault="0086554C" w:rsidP="0086554C">
            <w:pPr>
              <w:pStyle w:val="Tabletextcentred"/>
              <w:spacing w:before="20" w:after="20"/>
              <w:rPr>
                <w:rFonts w:cs="Calibri"/>
              </w:rPr>
            </w:pPr>
            <w:r>
              <w:rPr>
                <w:rFonts w:cs="Calibri"/>
              </w:rPr>
              <w:t>20%</w:t>
            </w:r>
          </w:p>
        </w:tc>
        <w:tc>
          <w:tcPr>
            <w:tcW w:w="1637" w:type="pct"/>
            <w:vAlign w:val="bottom"/>
          </w:tcPr>
          <w:p w14:paraId="499F0B5D" w14:textId="65FA365B" w:rsidR="0086554C" w:rsidRDefault="0086554C" w:rsidP="0086554C">
            <w:pPr>
              <w:pStyle w:val="Tabletextcentred"/>
              <w:spacing w:before="20" w:after="20"/>
              <w:rPr>
                <w:rFonts w:cs="Calibri"/>
              </w:rPr>
            </w:pPr>
            <w:r>
              <w:rPr>
                <w:rFonts w:cs="Calibri"/>
              </w:rPr>
              <w:t>-11%</w:t>
            </w:r>
          </w:p>
        </w:tc>
      </w:tr>
      <w:tr w:rsidR="0086554C" w:rsidRPr="00654F9E" w14:paraId="68E5627C" w14:textId="77777777" w:rsidTr="0044290C">
        <w:trPr>
          <w:cnfStyle w:val="000000010000" w:firstRow="0" w:lastRow="0" w:firstColumn="0" w:lastColumn="0" w:oddVBand="0" w:evenVBand="0" w:oddHBand="0" w:evenHBand="1" w:firstRowFirstColumn="0" w:firstRowLastColumn="0" w:lastRowFirstColumn="0" w:lastRowLastColumn="0"/>
          <w:cantSplit/>
        </w:trPr>
        <w:tc>
          <w:tcPr>
            <w:tcW w:w="2069" w:type="pct"/>
            <w:vAlign w:val="bottom"/>
          </w:tcPr>
          <w:p w14:paraId="4252DEBD" w14:textId="645F1598" w:rsidR="0086554C" w:rsidRDefault="0086554C" w:rsidP="0086554C">
            <w:pPr>
              <w:pStyle w:val="Tabletext"/>
              <w:spacing w:before="20" w:after="20"/>
              <w:rPr>
                <w:rFonts w:cs="Calibri"/>
              </w:rPr>
            </w:pPr>
            <w:r>
              <w:rPr>
                <w:rFonts w:cs="Calibri"/>
              </w:rPr>
              <w:t>Cinemas</w:t>
            </w:r>
          </w:p>
        </w:tc>
        <w:tc>
          <w:tcPr>
            <w:tcW w:w="1293" w:type="pct"/>
            <w:vAlign w:val="bottom"/>
          </w:tcPr>
          <w:p w14:paraId="0037D739" w14:textId="7755909C" w:rsidR="0086554C" w:rsidRDefault="0086554C" w:rsidP="0086554C">
            <w:pPr>
              <w:pStyle w:val="Tabletextcentred"/>
              <w:spacing w:before="20" w:after="20"/>
              <w:rPr>
                <w:rFonts w:cs="Calibri"/>
              </w:rPr>
            </w:pPr>
            <w:r>
              <w:rPr>
                <w:rFonts w:cs="Calibri"/>
              </w:rPr>
              <w:t>44%</w:t>
            </w:r>
          </w:p>
        </w:tc>
        <w:tc>
          <w:tcPr>
            <w:tcW w:w="1637" w:type="pct"/>
            <w:vAlign w:val="bottom"/>
          </w:tcPr>
          <w:p w14:paraId="79486205" w14:textId="2899B79F" w:rsidR="0086554C" w:rsidRDefault="0086554C" w:rsidP="0086554C">
            <w:pPr>
              <w:pStyle w:val="Tabletextcentred"/>
              <w:spacing w:before="20" w:after="20"/>
              <w:rPr>
                <w:rFonts w:cs="Calibri"/>
              </w:rPr>
            </w:pPr>
            <w:r>
              <w:rPr>
                <w:rFonts w:cs="Calibri"/>
              </w:rPr>
              <w:t>-23%</w:t>
            </w:r>
          </w:p>
        </w:tc>
      </w:tr>
      <w:tr w:rsidR="0086554C" w:rsidRPr="00654F9E" w14:paraId="4ABB3AE3" w14:textId="77777777" w:rsidTr="0044290C">
        <w:trPr>
          <w:cantSplit/>
        </w:trPr>
        <w:tc>
          <w:tcPr>
            <w:tcW w:w="2069" w:type="pct"/>
            <w:vAlign w:val="bottom"/>
          </w:tcPr>
          <w:p w14:paraId="7FCFDCFB" w14:textId="0BCEE1EC" w:rsidR="0086554C" w:rsidRDefault="0086554C" w:rsidP="0086554C">
            <w:pPr>
              <w:pStyle w:val="Tabletext"/>
              <w:spacing w:before="20" w:after="20"/>
              <w:rPr>
                <w:rFonts w:cs="Calibri"/>
              </w:rPr>
            </w:pPr>
            <w:r>
              <w:rPr>
                <w:rFonts w:cs="Calibri"/>
              </w:rPr>
              <w:t>Performing arts</w:t>
            </w:r>
          </w:p>
        </w:tc>
        <w:tc>
          <w:tcPr>
            <w:tcW w:w="1293" w:type="pct"/>
            <w:vAlign w:val="bottom"/>
          </w:tcPr>
          <w:p w14:paraId="645D9154" w14:textId="1ABDCAD7" w:rsidR="0086554C" w:rsidRDefault="0086554C" w:rsidP="0086554C">
            <w:pPr>
              <w:pStyle w:val="Tabletextcentred"/>
              <w:spacing w:before="20" w:after="20"/>
              <w:rPr>
                <w:rFonts w:cs="Calibri"/>
              </w:rPr>
            </w:pPr>
            <w:r>
              <w:rPr>
                <w:rFonts w:cs="Calibri"/>
              </w:rPr>
              <w:t>30%</w:t>
            </w:r>
          </w:p>
        </w:tc>
        <w:tc>
          <w:tcPr>
            <w:tcW w:w="1637" w:type="pct"/>
            <w:vAlign w:val="bottom"/>
          </w:tcPr>
          <w:p w14:paraId="749D1F00" w14:textId="7E1B651B" w:rsidR="0086554C" w:rsidRDefault="0086554C" w:rsidP="0086554C">
            <w:pPr>
              <w:pStyle w:val="Tabletextcentred"/>
              <w:spacing w:before="20" w:after="20"/>
              <w:rPr>
                <w:rFonts w:cs="Calibri"/>
              </w:rPr>
            </w:pPr>
            <w:r>
              <w:rPr>
                <w:rFonts w:cs="Calibri"/>
              </w:rPr>
              <w:t>-24%</w:t>
            </w:r>
          </w:p>
        </w:tc>
      </w:tr>
      <w:tr w:rsidR="0086554C" w:rsidRPr="00654F9E" w14:paraId="5E7976DA" w14:textId="77777777" w:rsidTr="0044290C">
        <w:trPr>
          <w:cnfStyle w:val="000000010000" w:firstRow="0" w:lastRow="0" w:firstColumn="0" w:lastColumn="0" w:oddVBand="0" w:evenVBand="0" w:oddHBand="0" w:evenHBand="1" w:firstRowFirstColumn="0" w:firstRowLastColumn="0" w:lastRowFirstColumn="0" w:lastRowLastColumn="0"/>
          <w:cantSplit/>
        </w:trPr>
        <w:tc>
          <w:tcPr>
            <w:tcW w:w="2069" w:type="pct"/>
            <w:vAlign w:val="bottom"/>
          </w:tcPr>
          <w:p w14:paraId="2740A214" w14:textId="74D1668E" w:rsidR="0086554C" w:rsidRPr="005702E9" w:rsidRDefault="0086554C" w:rsidP="0086554C">
            <w:pPr>
              <w:pStyle w:val="Tabletext"/>
              <w:spacing w:before="20" w:after="20"/>
              <w:rPr>
                <w:rFonts w:cs="Calibri"/>
                <w:b/>
              </w:rPr>
            </w:pPr>
            <w:r w:rsidRPr="005702E9">
              <w:rPr>
                <w:rFonts w:cs="Calibri"/>
                <w:b/>
              </w:rPr>
              <w:t>Attended at least one venue or event</w:t>
            </w:r>
          </w:p>
        </w:tc>
        <w:tc>
          <w:tcPr>
            <w:tcW w:w="1293" w:type="pct"/>
            <w:vAlign w:val="bottom"/>
          </w:tcPr>
          <w:p w14:paraId="7596AE75" w14:textId="20583BDE" w:rsidR="0086554C" w:rsidRDefault="0086554C" w:rsidP="0086554C">
            <w:pPr>
              <w:pStyle w:val="Tabletextcentred"/>
              <w:spacing w:before="20" w:after="20"/>
              <w:rPr>
                <w:rFonts w:cs="Calibri"/>
              </w:rPr>
            </w:pPr>
            <w:r w:rsidRPr="002C50BF">
              <w:rPr>
                <w:rFonts w:cs="Calibri"/>
                <w:b/>
              </w:rPr>
              <w:t>64%</w:t>
            </w:r>
          </w:p>
        </w:tc>
        <w:tc>
          <w:tcPr>
            <w:tcW w:w="1637" w:type="pct"/>
            <w:vAlign w:val="bottom"/>
          </w:tcPr>
          <w:p w14:paraId="30AFAC80" w14:textId="73FD64E0" w:rsidR="0086554C" w:rsidRDefault="0086554C" w:rsidP="0086554C">
            <w:pPr>
              <w:pStyle w:val="Tabletextcentred"/>
              <w:spacing w:before="20" w:after="20"/>
              <w:rPr>
                <w:rFonts w:cs="Calibri"/>
              </w:rPr>
            </w:pPr>
            <w:r w:rsidRPr="002C50BF">
              <w:rPr>
                <w:rFonts w:cs="Calibri"/>
                <w:b/>
              </w:rPr>
              <w:t>-19%</w:t>
            </w:r>
          </w:p>
        </w:tc>
      </w:tr>
    </w:tbl>
    <w:p w14:paraId="4764162E" w14:textId="77777777" w:rsidR="003D3443" w:rsidRDefault="003D3443" w:rsidP="003D3443">
      <w:pPr>
        <w:pStyle w:val="Sourcenotes"/>
      </w:pPr>
      <w:r>
        <w:t>Note: Performing arts attendance is defined as attending at least one performing arts event.</w:t>
      </w:r>
    </w:p>
    <w:p w14:paraId="65B3CB4F" w14:textId="77777777" w:rsidR="003D3443" w:rsidRDefault="003D3443" w:rsidP="003D3443">
      <w:pPr>
        <w:pStyle w:val="Sourcenotes"/>
      </w:pPr>
      <w:r>
        <w:t>Source: Australian Bureau of Statistics – Cultural and creative activities, 2021–22.</w:t>
      </w:r>
    </w:p>
    <w:p w14:paraId="3D8B856B" w14:textId="1C811B9A" w:rsidR="003D3443" w:rsidRDefault="003D3443" w:rsidP="003D3443">
      <w:r w:rsidRPr="002C50BF">
        <w:t xml:space="preserve">Diving further into the reduction in performing arts activities and events indicates adult attendance at live music concerts or performance has been the most impacted, with a decline </w:t>
      </w:r>
      <w:r>
        <w:t xml:space="preserve">of </w:t>
      </w:r>
      <w:r w:rsidRPr="002C50BF">
        <w:t>over 20 percentage points to 17.6%</w:t>
      </w:r>
      <w:r w:rsidR="00C80929">
        <w:t xml:space="preserve"> (</w:t>
      </w:r>
      <w:r w:rsidR="00C80929">
        <w:fldChar w:fldCharType="begin"/>
      </w:r>
      <w:r w:rsidR="00C80929">
        <w:instrText xml:space="preserve"> REF _Ref184641138 \h </w:instrText>
      </w:r>
      <w:r w:rsidR="00C80929">
        <w:fldChar w:fldCharType="separate"/>
      </w:r>
      <w:r w:rsidR="00C65220">
        <w:t xml:space="preserve">Figure </w:t>
      </w:r>
      <w:r w:rsidR="00C65220">
        <w:rPr>
          <w:noProof/>
        </w:rPr>
        <w:t>22</w:t>
      </w:r>
      <w:r w:rsidR="00C80929">
        <w:fldChar w:fldCharType="end"/>
      </w:r>
      <w:r w:rsidR="00C80929">
        <w:t>)</w:t>
      </w:r>
      <w:r w:rsidRPr="002C50BF">
        <w:t>.</w:t>
      </w:r>
    </w:p>
    <w:p w14:paraId="2C8A2D0B" w14:textId="41E833EF" w:rsidR="003D3443" w:rsidRDefault="003D3443" w:rsidP="0086554C">
      <w:pPr>
        <w:pStyle w:val="Tablefigureheading"/>
      </w:pPr>
      <w:bookmarkStart w:id="127" w:name="_Ref184641138"/>
      <w:bookmarkStart w:id="128" w:name="_Toc182484681"/>
      <w:bookmarkStart w:id="129" w:name="_Toc182914608"/>
      <w:bookmarkStart w:id="130" w:name="_Toc184641666"/>
      <w:r>
        <w:lastRenderedPageBreak/>
        <w:t xml:space="preserve">Figure </w:t>
      </w:r>
      <w:r w:rsidR="003C2F6D">
        <w:fldChar w:fldCharType="begin"/>
      </w:r>
      <w:r w:rsidR="003C2F6D">
        <w:instrText xml:space="preserve"> SEQ Figure \* ARABIC </w:instrText>
      </w:r>
      <w:r w:rsidR="003C2F6D">
        <w:fldChar w:fldCharType="separate"/>
      </w:r>
      <w:r w:rsidR="00C65220">
        <w:rPr>
          <w:noProof/>
        </w:rPr>
        <w:t>22</w:t>
      </w:r>
      <w:r w:rsidR="003C2F6D">
        <w:rPr>
          <w:noProof/>
        </w:rPr>
        <w:fldChar w:fldCharType="end"/>
      </w:r>
      <w:bookmarkEnd w:id="127"/>
      <w:r>
        <w:t xml:space="preserve">. </w:t>
      </w:r>
      <w:r w:rsidRPr="006F114B">
        <w:t>Adult attendance at selected cultural venues and events – performing arts</w:t>
      </w:r>
      <w:bookmarkEnd w:id="128"/>
      <w:bookmarkEnd w:id="129"/>
      <w:bookmarkEnd w:id="130"/>
    </w:p>
    <w:p w14:paraId="4BEECA4C" w14:textId="77777777" w:rsidR="003D3443" w:rsidRDefault="003D3443" w:rsidP="003D3443">
      <w:pPr>
        <w:pStyle w:val="Sourcenotes"/>
        <w:jc w:val="center"/>
      </w:pPr>
      <w:r>
        <w:rPr>
          <w:noProof/>
        </w:rPr>
        <w:drawing>
          <wp:inline distT="0" distB="0" distL="0" distR="0" wp14:anchorId="47C38B04" wp14:editId="43F62EC3">
            <wp:extent cx="4572635" cy="2840990"/>
            <wp:effectExtent l="0" t="0" r="0" b="0"/>
            <wp:docPr id="82" name="Picture 82" descr="A column graph compares the attendance by adults at selected cultural venues and events for performing arts specifically, in 2017-18 and 2021-22.">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635" cy="2840990"/>
                    </a:xfrm>
                    <a:prstGeom prst="rect">
                      <a:avLst/>
                    </a:prstGeom>
                    <a:noFill/>
                  </pic:spPr>
                </pic:pic>
              </a:graphicData>
            </a:graphic>
          </wp:inline>
        </w:drawing>
      </w:r>
    </w:p>
    <w:p w14:paraId="22D3B481" w14:textId="77777777" w:rsidR="003D3443" w:rsidRDefault="003D3443" w:rsidP="003D3443">
      <w:pPr>
        <w:pStyle w:val="Sourcenotes"/>
      </w:pPr>
      <w:r w:rsidRPr="002C50BF">
        <w:t>Source: Australian Bureau of Statistics – Cultural and creative activities, 2021–22.</w:t>
      </w:r>
    </w:p>
    <w:p w14:paraId="2EC08C1C" w14:textId="77777777" w:rsidR="003D3443" w:rsidRPr="002C50BF" w:rsidRDefault="003D3443" w:rsidP="0086554C">
      <w:pPr>
        <w:pStyle w:val="Heading4"/>
      </w:pPr>
      <w:bookmarkStart w:id="131" w:name="_Toc184650671"/>
      <w:r w:rsidRPr="002C50BF">
        <w:t>Participation</w:t>
      </w:r>
      <w:bookmarkEnd w:id="131"/>
    </w:p>
    <w:p w14:paraId="476E39D3" w14:textId="4811C692" w:rsidR="003D3443" w:rsidRDefault="003D3443" w:rsidP="003D3443">
      <w:r>
        <w:t>Over the same period (2017–18 to 2021–22) there has also been a decline in children’s participation in cultural and creative activities, such as creative writing, drama activities, singing or playing a musical instrument, dancing and creating digital content</w:t>
      </w:r>
      <w:r w:rsidR="00C80929">
        <w:t xml:space="preserve"> (</w:t>
      </w:r>
      <w:r w:rsidR="00C80929">
        <w:fldChar w:fldCharType="begin"/>
      </w:r>
      <w:r w:rsidR="00C80929">
        <w:instrText xml:space="preserve"> REF _Ref184641235 \h </w:instrText>
      </w:r>
      <w:r w:rsidR="00C80929">
        <w:fldChar w:fldCharType="separate"/>
      </w:r>
      <w:r w:rsidR="00C65220">
        <w:t xml:space="preserve">Figure </w:t>
      </w:r>
      <w:r w:rsidR="00C65220">
        <w:rPr>
          <w:noProof/>
        </w:rPr>
        <w:t>23</w:t>
      </w:r>
      <w:r w:rsidR="00C80929">
        <w:fldChar w:fldCharType="end"/>
      </w:r>
      <w:r w:rsidR="00C80929">
        <w:t>)</w:t>
      </w:r>
      <w:r>
        <w:t xml:space="preserve">. In 2021–22, around 6.2% of children did not participate in any cultural activities. Participation by girls was higher at 66.5% than boys at 52.3%. Screen-based activities recorded the highest level of participation, at around 90% each for girls and boys. </w:t>
      </w:r>
    </w:p>
    <w:p w14:paraId="6AAD2745" w14:textId="77777777" w:rsidR="003D3443" w:rsidRDefault="003D3443" w:rsidP="003D3443">
      <w:r>
        <w:t>For adults, participation in cultural and creative activities remained more stable, increasing slightly from 31% in 2017–18 to almost one third of adults (32%) in 2021–22.</w:t>
      </w:r>
    </w:p>
    <w:p w14:paraId="0FC8772F" w14:textId="29CF7BB4" w:rsidR="003D3443" w:rsidRDefault="003D3443" w:rsidP="0086554C">
      <w:pPr>
        <w:pStyle w:val="Tablefigureheading"/>
      </w:pPr>
      <w:bookmarkStart w:id="132" w:name="_Ref184641235"/>
      <w:bookmarkStart w:id="133" w:name="_Toc182484682"/>
      <w:bookmarkStart w:id="134" w:name="_Toc182914609"/>
      <w:bookmarkStart w:id="135" w:name="_Toc184641667"/>
      <w:r>
        <w:t xml:space="preserve">Figure </w:t>
      </w:r>
      <w:r w:rsidR="003C2F6D">
        <w:fldChar w:fldCharType="begin"/>
      </w:r>
      <w:r w:rsidR="003C2F6D">
        <w:instrText xml:space="preserve"> SEQ Figure \* ARABIC </w:instrText>
      </w:r>
      <w:r w:rsidR="003C2F6D">
        <w:fldChar w:fldCharType="separate"/>
      </w:r>
      <w:r w:rsidR="00C65220">
        <w:rPr>
          <w:noProof/>
        </w:rPr>
        <w:t>23</w:t>
      </w:r>
      <w:r w:rsidR="003C2F6D">
        <w:rPr>
          <w:noProof/>
        </w:rPr>
        <w:fldChar w:fldCharType="end"/>
      </w:r>
      <w:bookmarkEnd w:id="132"/>
      <w:r>
        <w:t xml:space="preserve">. </w:t>
      </w:r>
      <w:r w:rsidRPr="00BB6818">
        <w:t>Participation in selected cultural activities – total children</w:t>
      </w:r>
      <w:bookmarkEnd w:id="133"/>
      <w:bookmarkEnd w:id="134"/>
      <w:bookmarkEnd w:id="135"/>
    </w:p>
    <w:p w14:paraId="1890F5E2" w14:textId="77777777" w:rsidR="003D3443" w:rsidRDefault="003D3443" w:rsidP="003D3443">
      <w:pPr>
        <w:jc w:val="center"/>
      </w:pPr>
      <w:r>
        <w:rPr>
          <w:noProof/>
        </w:rPr>
        <w:drawing>
          <wp:inline distT="0" distB="0" distL="0" distR="0" wp14:anchorId="58B85E7A" wp14:editId="2E777B53">
            <wp:extent cx="4542155" cy="2694940"/>
            <wp:effectExtent l="0" t="0" r="0" b="0"/>
            <wp:docPr id="7" name="Picture 7" descr="A column graph shows the participation levels for children for selected cultural activities, in 2017-18 as compared to 2021-22.">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542155" cy="2694940"/>
                    </a:xfrm>
                    <a:prstGeom prst="rect">
                      <a:avLst/>
                    </a:prstGeom>
                    <a:noFill/>
                  </pic:spPr>
                </pic:pic>
              </a:graphicData>
            </a:graphic>
          </wp:inline>
        </w:drawing>
      </w:r>
    </w:p>
    <w:p w14:paraId="7D9E50EF" w14:textId="264BF685" w:rsidR="003D3443" w:rsidRDefault="003D3443" w:rsidP="0086554C">
      <w:pPr>
        <w:pStyle w:val="Sourcenotes"/>
      </w:pPr>
      <w:r w:rsidRPr="002C50BF">
        <w:t>Source: Australian Bureau of Statistics – Cultural and creative activities, 2021–22.</w:t>
      </w:r>
      <w:r>
        <w:br w:type="page"/>
      </w:r>
    </w:p>
    <w:p w14:paraId="3D93E96B" w14:textId="499DFDEE" w:rsidR="003D3443" w:rsidRDefault="0086554C" w:rsidP="0086554C">
      <w:pPr>
        <w:pStyle w:val="Heading2"/>
      </w:pPr>
      <w:bookmarkStart w:id="136" w:name="_Appendix_B—Glossary"/>
      <w:bookmarkStart w:id="137" w:name="_Ref182484869"/>
      <w:bookmarkStart w:id="138" w:name="_Ref182484871"/>
      <w:bookmarkStart w:id="139" w:name="_Toc182914581"/>
      <w:bookmarkStart w:id="140" w:name="_Toc184650672"/>
      <w:bookmarkEnd w:id="136"/>
      <w:r>
        <w:lastRenderedPageBreak/>
        <w:t>Appendix B—</w:t>
      </w:r>
      <w:r w:rsidR="003D3443">
        <w:t>Glossary</w:t>
      </w:r>
      <w:bookmarkEnd w:id="137"/>
      <w:bookmarkEnd w:id="138"/>
      <w:bookmarkEnd w:id="139"/>
      <w:bookmarkEnd w:id="140"/>
    </w:p>
    <w:p w14:paraId="6E6E8CCD" w14:textId="04ABC848" w:rsidR="003D3443" w:rsidRDefault="0086554C" w:rsidP="0086554C">
      <w:pPr>
        <w:pStyle w:val="Heading3"/>
      </w:pPr>
      <w:bookmarkStart w:id="141" w:name="_Toc184650673"/>
      <w:r>
        <w:t>B.1</w:t>
      </w:r>
      <w:r>
        <w:tab/>
      </w:r>
      <w:r w:rsidR="003D3443">
        <w:t>Domains</w:t>
      </w:r>
      <w:bookmarkEnd w:id="141"/>
    </w:p>
    <w:p w14:paraId="221C99FF" w14:textId="2A5B04C8" w:rsidR="003D3443" w:rsidRDefault="003D3443" w:rsidP="003D3443">
      <w:r w:rsidRPr="002C50BF">
        <w:t xml:space="preserve">The following table outlines the alignment between 4-digit Australian and New Zealand Standard Industrial Classification industries and the cultural and creative domains, as per the </w:t>
      </w:r>
      <w:r w:rsidRPr="002C50BF">
        <w:rPr>
          <w:i/>
        </w:rPr>
        <w:t>Cultural and Creative Activity in Australia, 2008–09 to 2022–23 (Methodology Refresh)</w:t>
      </w:r>
      <w:r>
        <w:rPr>
          <w:i/>
        </w:rPr>
        <w:t xml:space="preserve"> </w:t>
      </w:r>
      <w:r w:rsidRPr="002C50BF">
        <w:t>working paper</w:t>
      </w:r>
      <w:r w:rsidR="0021506F">
        <w:t xml:space="preserve"> (</w:t>
      </w:r>
      <w:r w:rsidR="006F05D9">
        <w:t>s</w:t>
      </w:r>
      <w:r w:rsidR="0021506F">
        <w:t xml:space="preserve">ee </w:t>
      </w:r>
      <w:r w:rsidR="0021506F">
        <w:fldChar w:fldCharType="begin"/>
      </w:r>
      <w:r w:rsidR="0021506F">
        <w:instrText xml:space="preserve"> REF _Ref184641527 \h </w:instrText>
      </w:r>
      <w:r w:rsidR="0021506F">
        <w:fldChar w:fldCharType="separate"/>
      </w:r>
      <w:r w:rsidR="00C65220">
        <w:t xml:space="preserve">Table </w:t>
      </w:r>
      <w:r w:rsidR="00C65220">
        <w:rPr>
          <w:noProof/>
        </w:rPr>
        <w:t>5</w:t>
      </w:r>
      <w:r w:rsidR="0021506F">
        <w:fldChar w:fldCharType="end"/>
      </w:r>
      <w:r w:rsidR="0021506F">
        <w:t>)</w:t>
      </w:r>
      <w:r w:rsidRPr="002C50BF">
        <w:rPr>
          <w:i/>
        </w:rPr>
        <w:t xml:space="preserve">. </w:t>
      </w:r>
      <w:r w:rsidRPr="002C50BF">
        <w:t>The domains of Events (arts) and Digital games development are excluded from this list, as they are applicable only to products (and not industries).</w:t>
      </w:r>
    </w:p>
    <w:p w14:paraId="3E4C997D" w14:textId="17CCC21F" w:rsidR="003D3443" w:rsidRDefault="003D3443" w:rsidP="0086554C">
      <w:pPr>
        <w:pStyle w:val="Tablefigureheading"/>
      </w:pPr>
      <w:bookmarkStart w:id="142" w:name="_Ref184641527"/>
      <w:bookmarkStart w:id="143" w:name="_Toc182484683"/>
      <w:bookmarkStart w:id="144" w:name="_Toc182914610"/>
      <w:bookmarkStart w:id="145" w:name="_Toc184641668"/>
      <w:r>
        <w:t xml:space="preserve">Table </w:t>
      </w:r>
      <w:r w:rsidR="003C2F6D">
        <w:fldChar w:fldCharType="begin"/>
      </w:r>
      <w:r w:rsidR="003C2F6D">
        <w:instrText xml:space="preserve"> SEQ Table \* ARABIC </w:instrText>
      </w:r>
      <w:r w:rsidR="003C2F6D">
        <w:fldChar w:fldCharType="separate"/>
      </w:r>
      <w:r w:rsidR="00C65220">
        <w:rPr>
          <w:noProof/>
        </w:rPr>
        <w:t>5</w:t>
      </w:r>
      <w:r w:rsidR="003C2F6D">
        <w:rPr>
          <w:noProof/>
        </w:rPr>
        <w:fldChar w:fldCharType="end"/>
      </w:r>
      <w:bookmarkEnd w:id="142"/>
      <w:r>
        <w:t xml:space="preserve">. </w:t>
      </w:r>
      <w:r w:rsidRPr="00FF3794">
        <w:t>Detailed (4-digit Australian and New Zealand Standard Industrial Classification) industries alignment to cultural and creative domains</w:t>
      </w:r>
      <w:bookmarkEnd w:id="143"/>
      <w:bookmarkEnd w:id="144"/>
      <w:bookmarkEnd w:id="145"/>
    </w:p>
    <w:tbl>
      <w:tblPr>
        <w:tblStyle w:val="DefaultTable11"/>
        <w:tblW w:w="4937" w:type="pct"/>
        <w:tblCellMar>
          <w:top w:w="17" w:type="dxa"/>
          <w:bottom w:w="17" w:type="dxa"/>
        </w:tblCellMar>
        <w:tblLook w:val="0420" w:firstRow="1" w:lastRow="0" w:firstColumn="0" w:lastColumn="0" w:noHBand="0" w:noVBand="1"/>
        <w:tblDescription w:val="Table 5. Detailed (4-digit Australian and New Zealand Standard Industrial Classification) industries alignment to cultural and creative domains"/>
      </w:tblPr>
      <w:tblGrid>
        <w:gridCol w:w="2361"/>
        <w:gridCol w:w="4087"/>
        <w:gridCol w:w="3292"/>
      </w:tblGrid>
      <w:tr w:rsidR="00586159" w:rsidRPr="00654F9E" w14:paraId="0C568B76" w14:textId="77777777" w:rsidTr="005D3849">
        <w:trPr>
          <w:cnfStyle w:val="100000000000" w:firstRow="1" w:lastRow="0" w:firstColumn="0" w:lastColumn="0" w:oddVBand="0" w:evenVBand="0" w:oddHBand="0" w:evenHBand="0" w:firstRowFirstColumn="0" w:firstRowLastColumn="0" w:lastRowFirstColumn="0" w:lastRowLastColumn="0"/>
          <w:cantSplit/>
        </w:trPr>
        <w:tc>
          <w:tcPr>
            <w:tcW w:w="1212" w:type="pct"/>
            <w:vAlign w:val="center"/>
          </w:tcPr>
          <w:p w14:paraId="2F3E30CC" w14:textId="54EA30C2" w:rsidR="00586159" w:rsidRPr="00586159" w:rsidRDefault="00586159" w:rsidP="002C6BD7">
            <w:pPr>
              <w:pStyle w:val="Tablerowcolumnheadingcentred"/>
              <w:spacing w:before="20" w:after="20"/>
              <w:rPr>
                <w:b/>
                <w:sz w:val="22"/>
                <w:szCs w:val="22"/>
              </w:rPr>
            </w:pPr>
            <w:r w:rsidRPr="00586159">
              <w:rPr>
                <w:b/>
                <w:lang w:eastAsia="en-AU"/>
              </w:rPr>
              <w:t xml:space="preserve">Australian and New Zealand Standard Industrial Classification </w:t>
            </w:r>
          </w:p>
        </w:tc>
        <w:tc>
          <w:tcPr>
            <w:tcW w:w="2098" w:type="pct"/>
            <w:vAlign w:val="center"/>
          </w:tcPr>
          <w:p w14:paraId="7FE2C47E" w14:textId="375D6EF9" w:rsidR="00586159" w:rsidRPr="00586159" w:rsidRDefault="00586159" w:rsidP="002C6BD7">
            <w:pPr>
              <w:pStyle w:val="Tablerowcolumnheading"/>
              <w:spacing w:before="20" w:after="20"/>
              <w:rPr>
                <w:b/>
              </w:rPr>
            </w:pPr>
            <w:r w:rsidRPr="00586159">
              <w:rPr>
                <w:b/>
                <w:lang w:eastAsia="en-AU"/>
              </w:rPr>
              <w:t>Australian and New Zealand Standard Industrial Classification description</w:t>
            </w:r>
          </w:p>
        </w:tc>
        <w:tc>
          <w:tcPr>
            <w:tcW w:w="1690" w:type="pct"/>
            <w:vAlign w:val="center"/>
          </w:tcPr>
          <w:p w14:paraId="3999136E" w14:textId="167720E6" w:rsidR="00586159" w:rsidRPr="00586159" w:rsidRDefault="00586159" w:rsidP="002C6BD7">
            <w:pPr>
              <w:pStyle w:val="Tablerowcolumnheading"/>
              <w:spacing w:before="20" w:after="20"/>
              <w:rPr>
                <w:b/>
              </w:rPr>
            </w:pPr>
            <w:r w:rsidRPr="00586159">
              <w:rPr>
                <w:b/>
                <w:lang w:eastAsia="en-AU"/>
              </w:rPr>
              <w:t>Domain name</w:t>
            </w:r>
          </w:p>
        </w:tc>
      </w:tr>
      <w:tr w:rsidR="00586159" w:rsidRPr="00654F9E" w14:paraId="5376FAB4" w14:textId="77777777" w:rsidTr="005D3849">
        <w:trPr>
          <w:cantSplit/>
        </w:trPr>
        <w:tc>
          <w:tcPr>
            <w:tcW w:w="1212" w:type="pct"/>
            <w:vAlign w:val="center"/>
          </w:tcPr>
          <w:p w14:paraId="6F30D9FF" w14:textId="2A1CFB4A" w:rsidR="00586159" w:rsidRPr="00837848" w:rsidRDefault="00586159" w:rsidP="002C6BD7">
            <w:pPr>
              <w:pStyle w:val="Tabletextcentred"/>
              <w:spacing w:before="20" w:after="20"/>
            </w:pPr>
            <w:r w:rsidRPr="000A4304">
              <w:t>1612</w:t>
            </w:r>
          </w:p>
        </w:tc>
        <w:tc>
          <w:tcPr>
            <w:tcW w:w="2098" w:type="pct"/>
            <w:vAlign w:val="center"/>
          </w:tcPr>
          <w:p w14:paraId="40280B51" w14:textId="34E10E1D" w:rsidR="00586159" w:rsidRPr="006C694C" w:rsidRDefault="00586159" w:rsidP="002C6BD7">
            <w:pPr>
              <w:pStyle w:val="Tabletext"/>
              <w:spacing w:before="20" w:after="20"/>
            </w:pPr>
            <w:r w:rsidRPr="000A4304">
              <w:rPr>
                <w:rFonts w:cstheme="minorHAnsi"/>
                <w:color w:val="auto"/>
              </w:rPr>
              <w:t>Printing Support Services</w:t>
            </w:r>
          </w:p>
        </w:tc>
        <w:tc>
          <w:tcPr>
            <w:tcW w:w="1690" w:type="pct"/>
            <w:vAlign w:val="center"/>
          </w:tcPr>
          <w:p w14:paraId="5B46E9AE" w14:textId="38E74C45" w:rsidR="00586159" w:rsidRPr="006C694C" w:rsidRDefault="00586159" w:rsidP="002C6BD7">
            <w:pPr>
              <w:pStyle w:val="Tabletext"/>
              <w:spacing w:before="20" w:after="20"/>
            </w:pPr>
            <w:r w:rsidRPr="000A4304">
              <w:rPr>
                <w:rFonts w:cstheme="minorHAnsi"/>
                <w:color w:val="auto"/>
              </w:rPr>
              <w:t>Print media and publishing (excl. internet)</w:t>
            </w:r>
          </w:p>
        </w:tc>
      </w:tr>
      <w:tr w:rsidR="00586159" w:rsidRPr="00654F9E" w14:paraId="096A0EA8" w14:textId="77777777" w:rsidTr="005D3849">
        <w:trPr>
          <w:cnfStyle w:val="000000010000" w:firstRow="0" w:lastRow="0" w:firstColumn="0" w:lastColumn="0" w:oddVBand="0" w:evenVBand="0" w:oddHBand="0" w:evenHBand="1" w:firstRowFirstColumn="0" w:firstRowLastColumn="0" w:lastRowFirstColumn="0" w:lastRowLastColumn="0"/>
          <w:cantSplit/>
        </w:trPr>
        <w:tc>
          <w:tcPr>
            <w:tcW w:w="1212" w:type="pct"/>
            <w:vAlign w:val="center"/>
          </w:tcPr>
          <w:p w14:paraId="167C9F3D" w14:textId="1C65D5D3" w:rsidR="00586159" w:rsidRPr="00837848" w:rsidRDefault="00586159" w:rsidP="002C6BD7">
            <w:pPr>
              <w:pStyle w:val="Tabletextcentred"/>
              <w:spacing w:before="20" w:after="20"/>
            </w:pPr>
            <w:r w:rsidRPr="000A4304">
              <w:t>5411</w:t>
            </w:r>
          </w:p>
        </w:tc>
        <w:tc>
          <w:tcPr>
            <w:tcW w:w="2098" w:type="pct"/>
            <w:vAlign w:val="center"/>
          </w:tcPr>
          <w:p w14:paraId="45F5A474" w14:textId="09C8C291" w:rsidR="00586159" w:rsidRPr="006C694C" w:rsidRDefault="00586159" w:rsidP="002C6BD7">
            <w:pPr>
              <w:pStyle w:val="Tabletext"/>
              <w:spacing w:before="20" w:after="20"/>
            </w:pPr>
            <w:r w:rsidRPr="000A4304">
              <w:rPr>
                <w:rFonts w:cstheme="minorHAnsi"/>
                <w:color w:val="auto"/>
              </w:rPr>
              <w:t>Newspaper Publishing</w:t>
            </w:r>
          </w:p>
        </w:tc>
        <w:tc>
          <w:tcPr>
            <w:tcW w:w="1690" w:type="pct"/>
            <w:vAlign w:val="center"/>
          </w:tcPr>
          <w:p w14:paraId="7BB2BFF1" w14:textId="75DCF004" w:rsidR="00586159" w:rsidRPr="006C694C" w:rsidRDefault="00586159" w:rsidP="002C6BD7">
            <w:pPr>
              <w:pStyle w:val="Tabletext"/>
              <w:spacing w:before="20" w:after="20"/>
            </w:pPr>
            <w:r w:rsidRPr="000A4304">
              <w:rPr>
                <w:rFonts w:cstheme="minorHAnsi"/>
                <w:color w:val="auto"/>
              </w:rPr>
              <w:t>Print media and publishing (excl. internet)</w:t>
            </w:r>
          </w:p>
        </w:tc>
      </w:tr>
      <w:tr w:rsidR="00586159" w:rsidRPr="00654F9E" w14:paraId="15077171" w14:textId="77777777" w:rsidTr="005D3849">
        <w:trPr>
          <w:cantSplit/>
        </w:trPr>
        <w:tc>
          <w:tcPr>
            <w:tcW w:w="1212" w:type="pct"/>
            <w:vAlign w:val="center"/>
          </w:tcPr>
          <w:p w14:paraId="21B4472D" w14:textId="5997ADE0" w:rsidR="00586159" w:rsidRPr="000A4304" w:rsidRDefault="00586159" w:rsidP="002C6BD7">
            <w:pPr>
              <w:pStyle w:val="Tabletextcentred"/>
              <w:spacing w:before="20" w:after="20"/>
            </w:pPr>
            <w:r w:rsidRPr="000A4304">
              <w:t>5412</w:t>
            </w:r>
          </w:p>
        </w:tc>
        <w:tc>
          <w:tcPr>
            <w:tcW w:w="2098" w:type="pct"/>
            <w:vAlign w:val="center"/>
          </w:tcPr>
          <w:p w14:paraId="1C1B467E" w14:textId="2AF66290" w:rsidR="00586159" w:rsidRPr="000A4304" w:rsidRDefault="00586159" w:rsidP="002C6BD7">
            <w:pPr>
              <w:pStyle w:val="Tabletext"/>
              <w:spacing w:before="20" w:after="20"/>
              <w:rPr>
                <w:rFonts w:cstheme="minorHAnsi"/>
              </w:rPr>
            </w:pPr>
            <w:r w:rsidRPr="000A4304">
              <w:rPr>
                <w:rFonts w:cstheme="minorHAnsi"/>
                <w:color w:val="auto"/>
              </w:rPr>
              <w:t>Magazine and Other Periodical Publishing</w:t>
            </w:r>
          </w:p>
        </w:tc>
        <w:tc>
          <w:tcPr>
            <w:tcW w:w="1690" w:type="pct"/>
            <w:vAlign w:val="center"/>
          </w:tcPr>
          <w:p w14:paraId="5D6C0BA4" w14:textId="492FEF46" w:rsidR="00586159" w:rsidRPr="000A4304" w:rsidRDefault="00586159" w:rsidP="002C6BD7">
            <w:pPr>
              <w:pStyle w:val="Tabletext"/>
              <w:spacing w:before="20" w:after="20"/>
              <w:rPr>
                <w:rFonts w:cstheme="minorHAnsi"/>
              </w:rPr>
            </w:pPr>
            <w:r w:rsidRPr="000A4304">
              <w:rPr>
                <w:rFonts w:cstheme="minorHAnsi"/>
                <w:color w:val="auto"/>
              </w:rPr>
              <w:t>Print media and publishing (excl. internet)</w:t>
            </w:r>
          </w:p>
        </w:tc>
      </w:tr>
      <w:tr w:rsidR="00586159" w:rsidRPr="00654F9E" w14:paraId="27909F36" w14:textId="77777777" w:rsidTr="005D3849">
        <w:trPr>
          <w:cnfStyle w:val="000000010000" w:firstRow="0" w:lastRow="0" w:firstColumn="0" w:lastColumn="0" w:oddVBand="0" w:evenVBand="0" w:oddHBand="0" w:evenHBand="1" w:firstRowFirstColumn="0" w:firstRowLastColumn="0" w:lastRowFirstColumn="0" w:lastRowLastColumn="0"/>
          <w:cantSplit/>
        </w:trPr>
        <w:tc>
          <w:tcPr>
            <w:tcW w:w="1212" w:type="pct"/>
            <w:vAlign w:val="center"/>
          </w:tcPr>
          <w:p w14:paraId="5B9B5908" w14:textId="7238A7F1" w:rsidR="00586159" w:rsidRPr="000A4304" w:rsidRDefault="00586159" w:rsidP="002C6BD7">
            <w:pPr>
              <w:pStyle w:val="Tabletextcentred"/>
              <w:spacing w:before="20" w:after="20"/>
            </w:pPr>
            <w:r w:rsidRPr="000A4304">
              <w:t>5413</w:t>
            </w:r>
          </w:p>
        </w:tc>
        <w:tc>
          <w:tcPr>
            <w:tcW w:w="2098" w:type="pct"/>
            <w:vAlign w:val="center"/>
          </w:tcPr>
          <w:p w14:paraId="71B3602B" w14:textId="028FB3C7" w:rsidR="00586159" w:rsidRPr="000A4304" w:rsidRDefault="00586159" w:rsidP="002C6BD7">
            <w:pPr>
              <w:pStyle w:val="Tabletext"/>
              <w:spacing w:before="20" w:after="20"/>
              <w:rPr>
                <w:rFonts w:cstheme="minorHAnsi"/>
              </w:rPr>
            </w:pPr>
            <w:r w:rsidRPr="000A4304">
              <w:rPr>
                <w:rFonts w:cstheme="minorHAnsi"/>
                <w:color w:val="auto"/>
              </w:rPr>
              <w:t>Book Publishing</w:t>
            </w:r>
          </w:p>
        </w:tc>
        <w:tc>
          <w:tcPr>
            <w:tcW w:w="1690" w:type="pct"/>
            <w:vAlign w:val="center"/>
          </w:tcPr>
          <w:p w14:paraId="097D50C7" w14:textId="5DF08A12" w:rsidR="00586159" w:rsidRPr="000A4304" w:rsidRDefault="00586159" w:rsidP="002C6BD7">
            <w:pPr>
              <w:pStyle w:val="Tabletext"/>
              <w:spacing w:before="20" w:after="20"/>
              <w:rPr>
                <w:rFonts w:cstheme="minorHAnsi"/>
              </w:rPr>
            </w:pPr>
            <w:r w:rsidRPr="000A4304">
              <w:rPr>
                <w:rFonts w:cstheme="minorHAnsi"/>
                <w:color w:val="auto"/>
              </w:rPr>
              <w:t>Print media and publishing (excl. internet)</w:t>
            </w:r>
          </w:p>
        </w:tc>
      </w:tr>
      <w:tr w:rsidR="00586159" w:rsidRPr="00654F9E" w14:paraId="7E0A6F9C" w14:textId="77777777" w:rsidTr="005D3849">
        <w:trPr>
          <w:cantSplit/>
        </w:trPr>
        <w:tc>
          <w:tcPr>
            <w:tcW w:w="1212" w:type="pct"/>
            <w:vAlign w:val="center"/>
          </w:tcPr>
          <w:p w14:paraId="5D4D31AE" w14:textId="7168A303" w:rsidR="00586159" w:rsidRPr="000A4304" w:rsidRDefault="00586159" w:rsidP="002C6BD7">
            <w:pPr>
              <w:pStyle w:val="Tabletextcentred"/>
              <w:spacing w:before="20" w:after="20"/>
            </w:pPr>
            <w:r w:rsidRPr="000A4304">
              <w:t>5419</w:t>
            </w:r>
          </w:p>
        </w:tc>
        <w:tc>
          <w:tcPr>
            <w:tcW w:w="2098" w:type="pct"/>
            <w:vAlign w:val="center"/>
          </w:tcPr>
          <w:p w14:paraId="7577B8FF" w14:textId="5642A74B" w:rsidR="00586159" w:rsidRPr="000A4304" w:rsidRDefault="00586159" w:rsidP="002C6BD7">
            <w:pPr>
              <w:pStyle w:val="Tabletext"/>
              <w:spacing w:before="20" w:after="20"/>
              <w:rPr>
                <w:rFonts w:cstheme="minorHAnsi"/>
              </w:rPr>
            </w:pPr>
            <w:r w:rsidRPr="000A4304">
              <w:rPr>
                <w:rFonts w:cstheme="minorHAnsi"/>
                <w:color w:val="auto"/>
              </w:rPr>
              <w:t>Other Publishing (except Software, Music and Internet)</w:t>
            </w:r>
          </w:p>
        </w:tc>
        <w:tc>
          <w:tcPr>
            <w:tcW w:w="1690" w:type="pct"/>
            <w:vAlign w:val="center"/>
          </w:tcPr>
          <w:p w14:paraId="0D011835" w14:textId="5618D62A" w:rsidR="00586159" w:rsidRPr="000A4304" w:rsidRDefault="00586159" w:rsidP="002C6BD7">
            <w:pPr>
              <w:pStyle w:val="Tabletext"/>
              <w:spacing w:before="20" w:after="20"/>
              <w:rPr>
                <w:rFonts w:cstheme="minorHAnsi"/>
              </w:rPr>
            </w:pPr>
            <w:r w:rsidRPr="000A4304">
              <w:rPr>
                <w:rFonts w:cstheme="minorHAnsi"/>
                <w:color w:val="auto"/>
              </w:rPr>
              <w:t>Print media and publishing (excl. internet)</w:t>
            </w:r>
          </w:p>
        </w:tc>
      </w:tr>
      <w:tr w:rsidR="00586159" w:rsidRPr="00654F9E" w14:paraId="3345EA9A" w14:textId="77777777" w:rsidTr="005D3849">
        <w:trPr>
          <w:cnfStyle w:val="000000010000" w:firstRow="0" w:lastRow="0" w:firstColumn="0" w:lastColumn="0" w:oddVBand="0" w:evenVBand="0" w:oddHBand="0" w:evenHBand="1" w:firstRowFirstColumn="0" w:firstRowLastColumn="0" w:lastRowFirstColumn="0" w:lastRowLastColumn="0"/>
          <w:cantSplit/>
        </w:trPr>
        <w:tc>
          <w:tcPr>
            <w:tcW w:w="1212" w:type="pct"/>
            <w:vAlign w:val="center"/>
          </w:tcPr>
          <w:p w14:paraId="2EC3138D" w14:textId="1C45F615" w:rsidR="00586159" w:rsidRPr="000A4304" w:rsidRDefault="00586159" w:rsidP="002C6BD7">
            <w:pPr>
              <w:pStyle w:val="Tabletextcentred"/>
              <w:spacing w:before="20" w:after="20"/>
            </w:pPr>
            <w:r w:rsidRPr="000A4304">
              <w:t>5420</w:t>
            </w:r>
          </w:p>
        </w:tc>
        <w:tc>
          <w:tcPr>
            <w:tcW w:w="2098" w:type="pct"/>
            <w:vAlign w:val="center"/>
          </w:tcPr>
          <w:p w14:paraId="0CD1D64D" w14:textId="42FE38D4" w:rsidR="00586159" w:rsidRPr="000A4304" w:rsidRDefault="00586159" w:rsidP="002C6BD7">
            <w:pPr>
              <w:pStyle w:val="Tabletext"/>
              <w:spacing w:before="20" w:after="20"/>
              <w:rPr>
                <w:rFonts w:cstheme="minorHAnsi"/>
              </w:rPr>
            </w:pPr>
            <w:r w:rsidRPr="000A4304">
              <w:rPr>
                <w:rFonts w:cstheme="minorHAnsi"/>
                <w:color w:val="auto"/>
              </w:rPr>
              <w:t>Software Publishing</w:t>
            </w:r>
          </w:p>
        </w:tc>
        <w:tc>
          <w:tcPr>
            <w:tcW w:w="1690" w:type="pct"/>
            <w:vAlign w:val="center"/>
          </w:tcPr>
          <w:p w14:paraId="691705C9" w14:textId="2DD6F582" w:rsidR="00586159" w:rsidRPr="000A4304" w:rsidRDefault="00586159" w:rsidP="002C6BD7">
            <w:pPr>
              <w:pStyle w:val="Tabletext"/>
              <w:spacing w:before="20" w:after="20"/>
              <w:rPr>
                <w:rFonts w:cstheme="minorHAnsi"/>
              </w:rPr>
            </w:pPr>
            <w:r w:rsidRPr="000A4304">
              <w:rPr>
                <w:rFonts w:cstheme="minorHAnsi"/>
                <w:color w:val="auto"/>
              </w:rPr>
              <w:t>Print media and publishing (excl. internet)</w:t>
            </w:r>
          </w:p>
        </w:tc>
      </w:tr>
      <w:tr w:rsidR="00586159" w:rsidRPr="00654F9E" w14:paraId="2C25D9D5" w14:textId="77777777" w:rsidTr="005D3849">
        <w:trPr>
          <w:cantSplit/>
        </w:trPr>
        <w:tc>
          <w:tcPr>
            <w:tcW w:w="1212" w:type="pct"/>
            <w:vAlign w:val="center"/>
          </w:tcPr>
          <w:p w14:paraId="63B6CFD9" w14:textId="432283AA" w:rsidR="00586159" w:rsidRPr="000A4304" w:rsidRDefault="00586159" w:rsidP="002C6BD7">
            <w:pPr>
              <w:pStyle w:val="Tabletextcentred"/>
              <w:spacing w:before="20" w:after="20"/>
            </w:pPr>
            <w:r w:rsidRPr="000A4304">
              <w:t>5511</w:t>
            </w:r>
          </w:p>
        </w:tc>
        <w:tc>
          <w:tcPr>
            <w:tcW w:w="2098" w:type="pct"/>
            <w:vAlign w:val="center"/>
          </w:tcPr>
          <w:p w14:paraId="77509D6F" w14:textId="1E21EEF2" w:rsidR="00586159" w:rsidRPr="000A4304" w:rsidRDefault="00586159" w:rsidP="002C6BD7">
            <w:pPr>
              <w:pStyle w:val="Tabletext"/>
              <w:spacing w:before="20" w:after="20"/>
              <w:rPr>
                <w:rFonts w:cstheme="minorHAnsi"/>
              </w:rPr>
            </w:pPr>
            <w:r w:rsidRPr="000A4304">
              <w:rPr>
                <w:rFonts w:cstheme="minorHAnsi"/>
                <w:color w:val="auto"/>
              </w:rPr>
              <w:t>Motion Picture and Video Production</w:t>
            </w:r>
          </w:p>
        </w:tc>
        <w:tc>
          <w:tcPr>
            <w:tcW w:w="1690" w:type="pct"/>
            <w:vAlign w:val="center"/>
          </w:tcPr>
          <w:p w14:paraId="6AB490DA" w14:textId="16D879C1" w:rsidR="00586159" w:rsidRPr="000A4304" w:rsidRDefault="00586159" w:rsidP="002C6BD7">
            <w:pPr>
              <w:pStyle w:val="Tabletext"/>
              <w:spacing w:before="20" w:after="20"/>
              <w:rPr>
                <w:rFonts w:cstheme="minorHAnsi"/>
              </w:rPr>
            </w:pPr>
            <w:r w:rsidRPr="000A4304">
              <w:rPr>
                <w:rFonts w:cstheme="minorHAnsi"/>
                <w:color w:val="auto"/>
              </w:rPr>
              <w:t>Film and television activities</w:t>
            </w:r>
          </w:p>
        </w:tc>
      </w:tr>
      <w:tr w:rsidR="00586159" w:rsidRPr="00654F9E" w14:paraId="1A8D76EC" w14:textId="77777777" w:rsidTr="005D3849">
        <w:trPr>
          <w:cnfStyle w:val="000000010000" w:firstRow="0" w:lastRow="0" w:firstColumn="0" w:lastColumn="0" w:oddVBand="0" w:evenVBand="0" w:oddHBand="0" w:evenHBand="1" w:firstRowFirstColumn="0" w:firstRowLastColumn="0" w:lastRowFirstColumn="0" w:lastRowLastColumn="0"/>
          <w:cantSplit/>
        </w:trPr>
        <w:tc>
          <w:tcPr>
            <w:tcW w:w="1212" w:type="pct"/>
            <w:vAlign w:val="center"/>
          </w:tcPr>
          <w:p w14:paraId="5F33A939" w14:textId="40180CF5" w:rsidR="00586159" w:rsidRPr="000A4304" w:rsidRDefault="00586159" w:rsidP="002C6BD7">
            <w:pPr>
              <w:pStyle w:val="Tabletextcentred"/>
              <w:spacing w:before="20" w:after="20"/>
            </w:pPr>
            <w:r w:rsidRPr="000A4304">
              <w:t>5512</w:t>
            </w:r>
          </w:p>
        </w:tc>
        <w:tc>
          <w:tcPr>
            <w:tcW w:w="2098" w:type="pct"/>
            <w:vAlign w:val="center"/>
          </w:tcPr>
          <w:p w14:paraId="5BEFCA25" w14:textId="75B5E8F2" w:rsidR="00586159" w:rsidRPr="000A4304" w:rsidRDefault="00586159" w:rsidP="002C6BD7">
            <w:pPr>
              <w:pStyle w:val="Tabletext"/>
              <w:spacing w:before="20" w:after="20"/>
              <w:rPr>
                <w:rFonts w:cstheme="minorHAnsi"/>
              </w:rPr>
            </w:pPr>
            <w:r w:rsidRPr="000A4304">
              <w:rPr>
                <w:rFonts w:cstheme="minorHAnsi"/>
                <w:color w:val="auto"/>
              </w:rPr>
              <w:t>Motion Picture and Video Distribution</w:t>
            </w:r>
          </w:p>
        </w:tc>
        <w:tc>
          <w:tcPr>
            <w:tcW w:w="1690" w:type="pct"/>
            <w:vAlign w:val="center"/>
          </w:tcPr>
          <w:p w14:paraId="192AD080" w14:textId="5EB672DD" w:rsidR="00586159" w:rsidRPr="000A4304" w:rsidRDefault="00586159" w:rsidP="002C6BD7">
            <w:pPr>
              <w:pStyle w:val="Tabletext"/>
              <w:spacing w:before="20" w:after="20"/>
              <w:rPr>
                <w:rFonts w:cstheme="minorHAnsi"/>
              </w:rPr>
            </w:pPr>
            <w:r w:rsidRPr="000A4304">
              <w:rPr>
                <w:rFonts w:cstheme="minorHAnsi"/>
                <w:color w:val="auto"/>
              </w:rPr>
              <w:t>Film and television activities</w:t>
            </w:r>
          </w:p>
        </w:tc>
      </w:tr>
      <w:tr w:rsidR="00586159" w:rsidRPr="00654F9E" w14:paraId="7AFA1B4A" w14:textId="77777777" w:rsidTr="005D3849">
        <w:trPr>
          <w:cantSplit/>
        </w:trPr>
        <w:tc>
          <w:tcPr>
            <w:tcW w:w="1212" w:type="pct"/>
            <w:vAlign w:val="center"/>
          </w:tcPr>
          <w:p w14:paraId="1559E252" w14:textId="67F5E2A3" w:rsidR="00586159" w:rsidRPr="000A4304" w:rsidRDefault="00586159" w:rsidP="002C6BD7">
            <w:pPr>
              <w:pStyle w:val="Tabletextcentred"/>
              <w:spacing w:before="20" w:after="20"/>
            </w:pPr>
            <w:r w:rsidRPr="000A4304">
              <w:t>5513</w:t>
            </w:r>
          </w:p>
        </w:tc>
        <w:tc>
          <w:tcPr>
            <w:tcW w:w="2098" w:type="pct"/>
            <w:vAlign w:val="center"/>
          </w:tcPr>
          <w:p w14:paraId="344C2FEB" w14:textId="5F0471B0" w:rsidR="00586159" w:rsidRPr="000A4304" w:rsidRDefault="00586159" w:rsidP="002C6BD7">
            <w:pPr>
              <w:pStyle w:val="Tabletext"/>
              <w:spacing w:before="20" w:after="20"/>
              <w:rPr>
                <w:rFonts w:cstheme="minorHAnsi"/>
              </w:rPr>
            </w:pPr>
            <w:r w:rsidRPr="000A4304">
              <w:rPr>
                <w:rFonts w:cstheme="minorHAnsi"/>
                <w:color w:val="auto"/>
              </w:rPr>
              <w:t>Motion Picture Exhibition</w:t>
            </w:r>
          </w:p>
        </w:tc>
        <w:tc>
          <w:tcPr>
            <w:tcW w:w="1690" w:type="pct"/>
            <w:vAlign w:val="center"/>
          </w:tcPr>
          <w:p w14:paraId="69D712D3" w14:textId="488A4B0C" w:rsidR="00586159" w:rsidRPr="000A4304" w:rsidRDefault="00586159" w:rsidP="002C6BD7">
            <w:pPr>
              <w:pStyle w:val="Tabletext"/>
              <w:spacing w:before="20" w:after="20"/>
              <w:rPr>
                <w:rFonts w:cstheme="minorHAnsi"/>
              </w:rPr>
            </w:pPr>
            <w:r w:rsidRPr="000A4304">
              <w:rPr>
                <w:rFonts w:cstheme="minorHAnsi"/>
                <w:color w:val="auto"/>
              </w:rPr>
              <w:t>Film and television activities</w:t>
            </w:r>
          </w:p>
        </w:tc>
      </w:tr>
      <w:tr w:rsidR="00586159" w:rsidRPr="00654F9E" w14:paraId="7F5E9415" w14:textId="77777777" w:rsidTr="005D3849">
        <w:trPr>
          <w:cnfStyle w:val="000000010000" w:firstRow="0" w:lastRow="0" w:firstColumn="0" w:lastColumn="0" w:oddVBand="0" w:evenVBand="0" w:oddHBand="0" w:evenHBand="1" w:firstRowFirstColumn="0" w:firstRowLastColumn="0" w:lastRowFirstColumn="0" w:lastRowLastColumn="0"/>
          <w:cantSplit/>
        </w:trPr>
        <w:tc>
          <w:tcPr>
            <w:tcW w:w="1212" w:type="pct"/>
            <w:vAlign w:val="center"/>
          </w:tcPr>
          <w:p w14:paraId="59E7DBEF" w14:textId="6A63DFDD" w:rsidR="00586159" w:rsidRPr="000A4304" w:rsidRDefault="00586159" w:rsidP="002C6BD7">
            <w:pPr>
              <w:pStyle w:val="Tabletextcentred"/>
              <w:spacing w:before="20" w:after="20"/>
            </w:pPr>
            <w:r w:rsidRPr="000A4304">
              <w:t>5514</w:t>
            </w:r>
          </w:p>
        </w:tc>
        <w:tc>
          <w:tcPr>
            <w:tcW w:w="2098" w:type="pct"/>
            <w:vAlign w:val="center"/>
          </w:tcPr>
          <w:p w14:paraId="2EED58AF" w14:textId="14901367" w:rsidR="00586159" w:rsidRPr="000A4304" w:rsidRDefault="00586159" w:rsidP="002C6BD7">
            <w:pPr>
              <w:pStyle w:val="Tabletext"/>
              <w:spacing w:before="20" w:after="20"/>
              <w:rPr>
                <w:rFonts w:cstheme="minorHAnsi"/>
              </w:rPr>
            </w:pPr>
            <w:r w:rsidRPr="000A4304">
              <w:rPr>
                <w:rFonts w:cstheme="minorHAnsi"/>
                <w:color w:val="auto"/>
              </w:rPr>
              <w:t>Post-production Services and Other Motion Picture and Video Activities</w:t>
            </w:r>
          </w:p>
        </w:tc>
        <w:tc>
          <w:tcPr>
            <w:tcW w:w="1690" w:type="pct"/>
            <w:vAlign w:val="center"/>
          </w:tcPr>
          <w:p w14:paraId="62700AE3" w14:textId="76452264" w:rsidR="00586159" w:rsidRPr="000A4304" w:rsidRDefault="00586159" w:rsidP="002C6BD7">
            <w:pPr>
              <w:pStyle w:val="Tabletext"/>
              <w:spacing w:before="20" w:after="20"/>
              <w:rPr>
                <w:rFonts w:cstheme="minorHAnsi"/>
              </w:rPr>
            </w:pPr>
            <w:r w:rsidRPr="000A4304">
              <w:rPr>
                <w:rFonts w:cstheme="minorHAnsi"/>
                <w:color w:val="auto"/>
              </w:rPr>
              <w:t>Film and television activities</w:t>
            </w:r>
          </w:p>
        </w:tc>
      </w:tr>
      <w:tr w:rsidR="00586159" w:rsidRPr="00654F9E" w14:paraId="2493E3F5" w14:textId="77777777" w:rsidTr="005D3849">
        <w:trPr>
          <w:cantSplit/>
        </w:trPr>
        <w:tc>
          <w:tcPr>
            <w:tcW w:w="1212" w:type="pct"/>
            <w:vAlign w:val="center"/>
          </w:tcPr>
          <w:p w14:paraId="02860936" w14:textId="589CF5C9" w:rsidR="00586159" w:rsidRPr="000A4304" w:rsidRDefault="00586159" w:rsidP="002C6BD7">
            <w:pPr>
              <w:pStyle w:val="Tabletextcentred"/>
              <w:spacing w:before="20" w:after="20"/>
            </w:pPr>
            <w:r w:rsidRPr="000A4304">
              <w:t>5521</w:t>
            </w:r>
          </w:p>
        </w:tc>
        <w:tc>
          <w:tcPr>
            <w:tcW w:w="2098" w:type="pct"/>
            <w:vAlign w:val="center"/>
          </w:tcPr>
          <w:p w14:paraId="6B1C109D" w14:textId="188DFA50" w:rsidR="00586159" w:rsidRPr="000A4304" w:rsidRDefault="00586159" w:rsidP="002C6BD7">
            <w:pPr>
              <w:pStyle w:val="Tabletext"/>
              <w:spacing w:before="20" w:after="20"/>
              <w:rPr>
                <w:rFonts w:cstheme="minorHAnsi"/>
              </w:rPr>
            </w:pPr>
            <w:r w:rsidRPr="000A4304">
              <w:rPr>
                <w:rFonts w:cstheme="minorHAnsi"/>
                <w:color w:val="auto"/>
              </w:rPr>
              <w:t>Music Publishing</w:t>
            </w:r>
          </w:p>
        </w:tc>
        <w:tc>
          <w:tcPr>
            <w:tcW w:w="1690" w:type="pct"/>
            <w:vAlign w:val="center"/>
          </w:tcPr>
          <w:p w14:paraId="2EB6597D" w14:textId="19C87DD2" w:rsidR="00586159" w:rsidRPr="000A4304" w:rsidRDefault="00586159" w:rsidP="002C6BD7">
            <w:pPr>
              <w:pStyle w:val="Tabletext"/>
              <w:spacing w:before="20" w:after="20"/>
              <w:rPr>
                <w:rFonts w:cstheme="minorHAnsi"/>
              </w:rPr>
            </w:pPr>
            <w:r w:rsidRPr="000A4304">
              <w:rPr>
                <w:rFonts w:cstheme="minorHAnsi"/>
                <w:color w:val="auto"/>
              </w:rPr>
              <w:t>Music production and distribution</w:t>
            </w:r>
          </w:p>
        </w:tc>
      </w:tr>
      <w:tr w:rsidR="00586159" w:rsidRPr="00654F9E" w14:paraId="3DCFEAB9" w14:textId="77777777" w:rsidTr="005D3849">
        <w:trPr>
          <w:cnfStyle w:val="000000010000" w:firstRow="0" w:lastRow="0" w:firstColumn="0" w:lastColumn="0" w:oddVBand="0" w:evenVBand="0" w:oddHBand="0" w:evenHBand="1" w:firstRowFirstColumn="0" w:firstRowLastColumn="0" w:lastRowFirstColumn="0" w:lastRowLastColumn="0"/>
          <w:cantSplit/>
        </w:trPr>
        <w:tc>
          <w:tcPr>
            <w:tcW w:w="1212" w:type="pct"/>
            <w:vAlign w:val="center"/>
          </w:tcPr>
          <w:p w14:paraId="3E37671E" w14:textId="6C6C7FB0" w:rsidR="00586159" w:rsidRPr="000A4304" w:rsidRDefault="00586159" w:rsidP="002C6BD7">
            <w:pPr>
              <w:pStyle w:val="Tabletextcentred"/>
              <w:spacing w:before="20" w:after="20"/>
            </w:pPr>
            <w:r w:rsidRPr="000A4304">
              <w:t>5522</w:t>
            </w:r>
          </w:p>
        </w:tc>
        <w:tc>
          <w:tcPr>
            <w:tcW w:w="2098" w:type="pct"/>
            <w:vAlign w:val="center"/>
          </w:tcPr>
          <w:p w14:paraId="6E7BAFA7" w14:textId="196B83E4" w:rsidR="00586159" w:rsidRPr="000A4304" w:rsidRDefault="00586159" w:rsidP="002C6BD7">
            <w:pPr>
              <w:pStyle w:val="Tabletext"/>
              <w:spacing w:before="20" w:after="20"/>
              <w:rPr>
                <w:rFonts w:cstheme="minorHAnsi"/>
              </w:rPr>
            </w:pPr>
            <w:r w:rsidRPr="000A4304">
              <w:rPr>
                <w:rFonts w:cstheme="minorHAnsi"/>
                <w:color w:val="auto"/>
              </w:rPr>
              <w:t>Music and Other Sound Recording Activities</w:t>
            </w:r>
          </w:p>
        </w:tc>
        <w:tc>
          <w:tcPr>
            <w:tcW w:w="1690" w:type="pct"/>
            <w:vAlign w:val="center"/>
          </w:tcPr>
          <w:p w14:paraId="1A0E9DFE" w14:textId="4CAF8C88" w:rsidR="00586159" w:rsidRPr="000A4304" w:rsidRDefault="00586159" w:rsidP="002C6BD7">
            <w:pPr>
              <w:pStyle w:val="Tabletext"/>
              <w:spacing w:before="20" w:after="20"/>
              <w:rPr>
                <w:rFonts w:cstheme="minorHAnsi"/>
              </w:rPr>
            </w:pPr>
            <w:r w:rsidRPr="000A4304">
              <w:rPr>
                <w:rFonts w:cstheme="minorHAnsi"/>
                <w:color w:val="auto"/>
              </w:rPr>
              <w:t>Music production and distribution</w:t>
            </w:r>
          </w:p>
        </w:tc>
      </w:tr>
      <w:tr w:rsidR="00586159" w:rsidRPr="00654F9E" w14:paraId="5383450A" w14:textId="77777777" w:rsidTr="005D3849">
        <w:trPr>
          <w:cantSplit/>
        </w:trPr>
        <w:tc>
          <w:tcPr>
            <w:tcW w:w="1212" w:type="pct"/>
            <w:vAlign w:val="center"/>
          </w:tcPr>
          <w:p w14:paraId="7B4A41C3" w14:textId="6DFC7FAD" w:rsidR="00586159" w:rsidRPr="000A4304" w:rsidRDefault="00586159" w:rsidP="002C6BD7">
            <w:pPr>
              <w:pStyle w:val="Tabletextcentred"/>
              <w:spacing w:before="20" w:after="20"/>
            </w:pPr>
            <w:r w:rsidRPr="000A4304">
              <w:t>5610</w:t>
            </w:r>
          </w:p>
        </w:tc>
        <w:tc>
          <w:tcPr>
            <w:tcW w:w="2098" w:type="pct"/>
            <w:vAlign w:val="center"/>
          </w:tcPr>
          <w:p w14:paraId="6AC9DB36" w14:textId="0ABAF109" w:rsidR="00586159" w:rsidRPr="000A4304" w:rsidRDefault="00586159" w:rsidP="002C6BD7">
            <w:pPr>
              <w:pStyle w:val="Tabletext"/>
              <w:spacing w:before="20" w:after="20"/>
              <w:rPr>
                <w:rFonts w:cstheme="minorHAnsi"/>
              </w:rPr>
            </w:pPr>
            <w:r w:rsidRPr="000A4304">
              <w:rPr>
                <w:rFonts w:cstheme="minorHAnsi"/>
                <w:color w:val="auto"/>
              </w:rPr>
              <w:t>Radio Broadcasting</w:t>
            </w:r>
          </w:p>
        </w:tc>
        <w:tc>
          <w:tcPr>
            <w:tcW w:w="1690" w:type="pct"/>
            <w:vAlign w:val="center"/>
          </w:tcPr>
          <w:p w14:paraId="5CEB8CBE" w14:textId="40BD8A03" w:rsidR="00586159" w:rsidRPr="000A4304" w:rsidRDefault="00586159" w:rsidP="002C6BD7">
            <w:pPr>
              <w:pStyle w:val="Tabletext"/>
              <w:spacing w:before="20" w:after="20"/>
              <w:rPr>
                <w:rFonts w:cstheme="minorHAnsi"/>
              </w:rPr>
            </w:pPr>
            <w:r w:rsidRPr="000A4304">
              <w:rPr>
                <w:rFonts w:cstheme="minorHAnsi"/>
                <w:color w:val="auto"/>
              </w:rPr>
              <w:t>Radio Broadcasting</w:t>
            </w:r>
          </w:p>
        </w:tc>
      </w:tr>
      <w:tr w:rsidR="00586159" w:rsidRPr="00654F9E" w14:paraId="0F93E13A" w14:textId="77777777" w:rsidTr="005D3849">
        <w:trPr>
          <w:cnfStyle w:val="000000010000" w:firstRow="0" w:lastRow="0" w:firstColumn="0" w:lastColumn="0" w:oddVBand="0" w:evenVBand="0" w:oddHBand="0" w:evenHBand="1" w:firstRowFirstColumn="0" w:firstRowLastColumn="0" w:lastRowFirstColumn="0" w:lastRowLastColumn="0"/>
          <w:cantSplit/>
        </w:trPr>
        <w:tc>
          <w:tcPr>
            <w:tcW w:w="1212" w:type="pct"/>
            <w:vAlign w:val="center"/>
          </w:tcPr>
          <w:p w14:paraId="536A0124" w14:textId="37341C01" w:rsidR="00586159" w:rsidRPr="000A4304" w:rsidRDefault="00586159" w:rsidP="002C6BD7">
            <w:pPr>
              <w:pStyle w:val="Tabletextcentred"/>
              <w:spacing w:before="20" w:after="20"/>
            </w:pPr>
            <w:r w:rsidRPr="000A4304">
              <w:t>5621</w:t>
            </w:r>
          </w:p>
        </w:tc>
        <w:tc>
          <w:tcPr>
            <w:tcW w:w="2098" w:type="pct"/>
            <w:vAlign w:val="center"/>
          </w:tcPr>
          <w:p w14:paraId="24BAAC7A" w14:textId="65231319" w:rsidR="00586159" w:rsidRPr="000A4304" w:rsidRDefault="00586159" w:rsidP="002C6BD7">
            <w:pPr>
              <w:pStyle w:val="Tabletext"/>
              <w:spacing w:before="20" w:after="20"/>
              <w:rPr>
                <w:rFonts w:cstheme="minorHAnsi"/>
              </w:rPr>
            </w:pPr>
            <w:r w:rsidRPr="000A4304">
              <w:rPr>
                <w:rFonts w:cstheme="minorHAnsi"/>
                <w:color w:val="auto"/>
              </w:rPr>
              <w:t>Free-to-Air Television Broadcasting</w:t>
            </w:r>
          </w:p>
        </w:tc>
        <w:tc>
          <w:tcPr>
            <w:tcW w:w="1690" w:type="pct"/>
            <w:vAlign w:val="center"/>
          </w:tcPr>
          <w:p w14:paraId="28779B77" w14:textId="0DA0A3E4" w:rsidR="00586159" w:rsidRPr="000A4304" w:rsidRDefault="00586159" w:rsidP="002C6BD7">
            <w:pPr>
              <w:pStyle w:val="Tabletext"/>
              <w:spacing w:before="20" w:after="20"/>
              <w:rPr>
                <w:rFonts w:cstheme="minorHAnsi"/>
              </w:rPr>
            </w:pPr>
            <w:r w:rsidRPr="000A4304">
              <w:rPr>
                <w:rFonts w:cstheme="minorHAnsi"/>
                <w:color w:val="auto"/>
              </w:rPr>
              <w:t>Film and television activities</w:t>
            </w:r>
          </w:p>
        </w:tc>
      </w:tr>
      <w:tr w:rsidR="00586159" w:rsidRPr="00654F9E" w14:paraId="7EF8BAED" w14:textId="77777777" w:rsidTr="005D3849">
        <w:trPr>
          <w:cantSplit/>
        </w:trPr>
        <w:tc>
          <w:tcPr>
            <w:tcW w:w="1212" w:type="pct"/>
            <w:vAlign w:val="center"/>
          </w:tcPr>
          <w:p w14:paraId="54E8837D" w14:textId="272816AD" w:rsidR="00586159" w:rsidRPr="000A4304" w:rsidRDefault="00586159" w:rsidP="002C6BD7">
            <w:pPr>
              <w:pStyle w:val="Tabletextcentred"/>
              <w:spacing w:before="20" w:after="20"/>
            </w:pPr>
            <w:r w:rsidRPr="000A4304">
              <w:t>5622</w:t>
            </w:r>
          </w:p>
        </w:tc>
        <w:tc>
          <w:tcPr>
            <w:tcW w:w="2098" w:type="pct"/>
            <w:vAlign w:val="center"/>
          </w:tcPr>
          <w:p w14:paraId="77092594" w14:textId="47FAB8FF" w:rsidR="00586159" w:rsidRPr="000A4304" w:rsidRDefault="00586159" w:rsidP="002C6BD7">
            <w:pPr>
              <w:pStyle w:val="Tabletext"/>
              <w:spacing w:before="20" w:after="20"/>
              <w:rPr>
                <w:rFonts w:cstheme="minorHAnsi"/>
              </w:rPr>
            </w:pPr>
            <w:r w:rsidRPr="000A4304">
              <w:rPr>
                <w:rFonts w:cstheme="minorHAnsi"/>
                <w:color w:val="auto"/>
              </w:rPr>
              <w:t>Cable and Other Subscription Broadcasting</w:t>
            </w:r>
          </w:p>
        </w:tc>
        <w:tc>
          <w:tcPr>
            <w:tcW w:w="1690" w:type="pct"/>
            <w:vAlign w:val="center"/>
          </w:tcPr>
          <w:p w14:paraId="34F3906F" w14:textId="7897F9C8" w:rsidR="00586159" w:rsidRPr="000A4304" w:rsidRDefault="00586159" w:rsidP="002C6BD7">
            <w:pPr>
              <w:pStyle w:val="Tabletext"/>
              <w:spacing w:before="20" w:after="20"/>
              <w:rPr>
                <w:rFonts w:cstheme="minorHAnsi"/>
              </w:rPr>
            </w:pPr>
            <w:r w:rsidRPr="000A4304">
              <w:rPr>
                <w:rFonts w:cstheme="minorHAnsi"/>
                <w:color w:val="auto"/>
              </w:rPr>
              <w:t>Film and television activities</w:t>
            </w:r>
          </w:p>
        </w:tc>
      </w:tr>
      <w:tr w:rsidR="00586159" w:rsidRPr="00654F9E" w14:paraId="2EC1055C" w14:textId="77777777" w:rsidTr="005D3849">
        <w:trPr>
          <w:cnfStyle w:val="000000010000" w:firstRow="0" w:lastRow="0" w:firstColumn="0" w:lastColumn="0" w:oddVBand="0" w:evenVBand="0" w:oddHBand="0" w:evenHBand="1" w:firstRowFirstColumn="0" w:firstRowLastColumn="0" w:lastRowFirstColumn="0" w:lastRowLastColumn="0"/>
          <w:cantSplit/>
        </w:trPr>
        <w:tc>
          <w:tcPr>
            <w:tcW w:w="1212" w:type="pct"/>
            <w:vAlign w:val="center"/>
          </w:tcPr>
          <w:p w14:paraId="588DD04D" w14:textId="3DF775C3" w:rsidR="00586159" w:rsidRPr="000A4304" w:rsidRDefault="00586159" w:rsidP="002C6BD7">
            <w:pPr>
              <w:pStyle w:val="Tabletextcentred"/>
              <w:spacing w:before="20" w:after="20"/>
            </w:pPr>
            <w:r w:rsidRPr="000A4304">
              <w:t>5700</w:t>
            </w:r>
          </w:p>
        </w:tc>
        <w:tc>
          <w:tcPr>
            <w:tcW w:w="2098" w:type="pct"/>
            <w:vAlign w:val="center"/>
          </w:tcPr>
          <w:p w14:paraId="537CF66F" w14:textId="596D7D6D" w:rsidR="00586159" w:rsidRPr="000A4304" w:rsidRDefault="00586159" w:rsidP="002C6BD7">
            <w:pPr>
              <w:pStyle w:val="Tabletext"/>
              <w:spacing w:before="20" w:after="20"/>
              <w:rPr>
                <w:rFonts w:cstheme="minorHAnsi"/>
              </w:rPr>
            </w:pPr>
            <w:r w:rsidRPr="000A4304">
              <w:rPr>
                <w:rFonts w:cstheme="minorHAnsi"/>
                <w:color w:val="auto"/>
              </w:rPr>
              <w:t>Internet Publishing and Broadcasting</w:t>
            </w:r>
          </w:p>
        </w:tc>
        <w:tc>
          <w:tcPr>
            <w:tcW w:w="1690" w:type="pct"/>
            <w:vAlign w:val="center"/>
          </w:tcPr>
          <w:p w14:paraId="7C06DFB4" w14:textId="5871924B" w:rsidR="00586159" w:rsidRPr="000A4304" w:rsidRDefault="00586159" w:rsidP="002C6BD7">
            <w:pPr>
              <w:pStyle w:val="Tabletext"/>
              <w:spacing w:before="20" w:after="20"/>
              <w:rPr>
                <w:rFonts w:cstheme="minorHAnsi"/>
              </w:rPr>
            </w:pPr>
            <w:r w:rsidRPr="000A4304">
              <w:rPr>
                <w:rFonts w:cstheme="minorHAnsi"/>
                <w:color w:val="auto"/>
              </w:rPr>
              <w:t>Internet publishing and broadcasting</w:t>
            </w:r>
          </w:p>
        </w:tc>
      </w:tr>
      <w:tr w:rsidR="00586159" w:rsidRPr="00654F9E" w14:paraId="4646DAE6" w14:textId="77777777" w:rsidTr="005D3849">
        <w:trPr>
          <w:cantSplit/>
        </w:trPr>
        <w:tc>
          <w:tcPr>
            <w:tcW w:w="1212" w:type="pct"/>
            <w:vAlign w:val="center"/>
          </w:tcPr>
          <w:p w14:paraId="2FE1D5E1" w14:textId="27488771" w:rsidR="00586159" w:rsidRPr="000A4304" w:rsidRDefault="00586159" w:rsidP="002C6BD7">
            <w:pPr>
              <w:pStyle w:val="Tabletextcentred"/>
              <w:spacing w:before="20" w:after="20"/>
            </w:pPr>
            <w:r w:rsidRPr="000A4304">
              <w:t>6010</w:t>
            </w:r>
          </w:p>
        </w:tc>
        <w:tc>
          <w:tcPr>
            <w:tcW w:w="2098" w:type="pct"/>
            <w:vAlign w:val="center"/>
          </w:tcPr>
          <w:p w14:paraId="05D6E65E" w14:textId="2480C462" w:rsidR="00586159" w:rsidRPr="000A4304" w:rsidRDefault="00586159" w:rsidP="002C6BD7">
            <w:pPr>
              <w:pStyle w:val="Tabletext"/>
              <w:spacing w:before="20" w:after="20"/>
              <w:rPr>
                <w:rFonts w:cstheme="minorHAnsi"/>
              </w:rPr>
            </w:pPr>
            <w:r w:rsidRPr="000A4304">
              <w:rPr>
                <w:rFonts w:cstheme="minorHAnsi"/>
                <w:color w:val="auto"/>
              </w:rPr>
              <w:t>Libraries and Archives</w:t>
            </w:r>
          </w:p>
        </w:tc>
        <w:tc>
          <w:tcPr>
            <w:tcW w:w="1690" w:type="pct"/>
            <w:vAlign w:val="center"/>
          </w:tcPr>
          <w:p w14:paraId="20505E85" w14:textId="7AFA9E44" w:rsidR="00586159" w:rsidRPr="000A4304" w:rsidRDefault="00586159" w:rsidP="002C6BD7">
            <w:pPr>
              <w:pStyle w:val="Tabletext"/>
              <w:spacing w:before="20" w:after="20"/>
              <w:rPr>
                <w:rFonts w:cstheme="minorHAnsi"/>
              </w:rPr>
            </w:pPr>
            <w:r w:rsidRPr="000A4304">
              <w:rPr>
                <w:rFonts w:cstheme="minorHAnsi"/>
                <w:color w:val="auto"/>
              </w:rPr>
              <w:t>Libraries and archives</w:t>
            </w:r>
          </w:p>
        </w:tc>
      </w:tr>
      <w:tr w:rsidR="00586159" w:rsidRPr="00654F9E" w14:paraId="406ED3B8" w14:textId="77777777" w:rsidTr="005D3849">
        <w:trPr>
          <w:cnfStyle w:val="000000010000" w:firstRow="0" w:lastRow="0" w:firstColumn="0" w:lastColumn="0" w:oddVBand="0" w:evenVBand="0" w:oddHBand="0" w:evenHBand="1" w:firstRowFirstColumn="0" w:firstRowLastColumn="0" w:lastRowFirstColumn="0" w:lastRowLastColumn="0"/>
          <w:cantSplit/>
        </w:trPr>
        <w:tc>
          <w:tcPr>
            <w:tcW w:w="1212" w:type="pct"/>
            <w:vAlign w:val="center"/>
          </w:tcPr>
          <w:p w14:paraId="7F132919" w14:textId="76BD01B2" w:rsidR="00586159" w:rsidRPr="000A4304" w:rsidRDefault="00586159" w:rsidP="002C6BD7">
            <w:pPr>
              <w:pStyle w:val="Tabletextcentred"/>
              <w:spacing w:before="20" w:after="20"/>
            </w:pPr>
            <w:r w:rsidRPr="000A4304">
              <w:t>6020</w:t>
            </w:r>
          </w:p>
        </w:tc>
        <w:tc>
          <w:tcPr>
            <w:tcW w:w="2098" w:type="pct"/>
            <w:vAlign w:val="center"/>
          </w:tcPr>
          <w:p w14:paraId="1D1CA3D6" w14:textId="4BF71149" w:rsidR="00586159" w:rsidRPr="000A4304" w:rsidRDefault="00586159" w:rsidP="002C6BD7">
            <w:pPr>
              <w:pStyle w:val="Tabletext"/>
              <w:spacing w:before="20" w:after="20"/>
              <w:rPr>
                <w:rFonts w:cstheme="minorHAnsi"/>
              </w:rPr>
            </w:pPr>
            <w:r w:rsidRPr="000A4304">
              <w:rPr>
                <w:rFonts w:cstheme="minorHAnsi"/>
                <w:color w:val="auto"/>
              </w:rPr>
              <w:t>Other Information Services</w:t>
            </w:r>
          </w:p>
        </w:tc>
        <w:tc>
          <w:tcPr>
            <w:tcW w:w="1690" w:type="pct"/>
            <w:vAlign w:val="center"/>
          </w:tcPr>
          <w:p w14:paraId="6EC6170A" w14:textId="605EEEAA" w:rsidR="00586159" w:rsidRPr="000A4304" w:rsidRDefault="00586159" w:rsidP="002C6BD7">
            <w:pPr>
              <w:pStyle w:val="Tabletext"/>
              <w:spacing w:before="20" w:after="20"/>
              <w:rPr>
                <w:rFonts w:cstheme="minorHAnsi"/>
              </w:rPr>
            </w:pPr>
            <w:r w:rsidRPr="000A4304">
              <w:rPr>
                <w:rFonts w:cstheme="minorHAnsi"/>
                <w:color w:val="auto"/>
              </w:rPr>
              <w:t>Print media and publishing (excl. internet)</w:t>
            </w:r>
          </w:p>
        </w:tc>
      </w:tr>
      <w:tr w:rsidR="00586159" w:rsidRPr="00654F9E" w14:paraId="76F580DF" w14:textId="77777777" w:rsidTr="005D3849">
        <w:trPr>
          <w:cantSplit/>
        </w:trPr>
        <w:tc>
          <w:tcPr>
            <w:tcW w:w="1212" w:type="pct"/>
            <w:vAlign w:val="center"/>
          </w:tcPr>
          <w:p w14:paraId="3C00AE01" w14:textId="435DE033" w:rsidR="00586159" w:rsidRPr="000A4304" w:rsidRDefault="00586159" w:rsidP="002C6BD7">
            <w:pPr>
              <w:pStyle w:val="Tabletextcentred"/>
              <w:spacing w:before="20" w:after="20"/>
            </w:pPr>
            <w:r w:rsidRPr="000A4304">
              <w:t>6921</w:t>
            </w:r>
          </w:p>
        </w:tc>
        <w:tc>
          <w:tcPr>
            <w:tcW w:w="2098" w:type="pct"/>
            <w:vAlign w:val="center"/>
          </w:tcPr>
          <w:p w14:paraId="01203409" w14:textId="036EE1AB" w:rsidR="00586159" w:rsidRPr="000A4304" w:rsidRDefault="00586159" w:rsidP="002C6BD7">
            <w:pPr>
              <w:pStyle w:val="Tabletext"/>
              <w:spacing w:before="20" w:after="20"/>
              <w:rPr>
                <w:rFonts w:cstheme="minorHAnsi"/>
              </w:rPr>
            </w:pPr>
            <w:r w:rsidRPr="000A4304">
              <w:rPr>
                <w:rFonts w:cstheme="minorHAnsi"/>
                <w:color w:val="auto"/>
              </w:rPr>
              <w:t>Architectural Services</w:t>
            </w:r>
          </w:p>
        </w:tc>
        <w:tc>
          <w:tcPr>
            <w:tcW w:w="1690" w:type="pct"/>
            <w:vAlign w:val="center"/>
          </w:tcPr>
          <w:p w14:paraId="4B78DE50" w14:textId="4FD40821" w:rsidR="00586159" w:rsidRPr="000A4304" w:rsidRDefault="00586159" w:rsidP="002C6BD7">
            <w:pPr>
              <w:pStyle w:val="Tabletext"/>
              <w:spacing w:before="20" w:after="20"/>
              <w:rPr>
                <w:rFonts w:cstheme="minorHAnsi"/>
              </w:rPr>
            </w:pPr>
            <w:r w:rsidRPr="000A4304">
              <w:rPr>
                <w:rFonts w:cstheme="minorHAnsi"/>
                <w:color w:val="auto"/>
              </w:rPr>
              <w:t>Architecture services</w:t>
            </w:r>
          </w:p>
        </w:tc>
      </w:tr>
      <w:tr w:rsidR="00586159" w:rsidRPr="00654F9E" w14:paraId="5F96406D" w14:textId="77777777" w:rsidTr="005D3849">
        <w:trPr>
          <w:cnfStyle w:val="000000010000" w:firstRow="0" w:lastRow="0" w:firstColumn="0" w:lastColumn="0" w:oddVBand="0" w:evenVBand="0" w:oddHBand="0" w:evenHBand="1" w:firstRowFirstColumn="0" w:firstRowLastColumn="0" w:lastRowFirstColumn="0" w:lastRowLastColumn="0"/>
          <w:cantSplit/>
        </w:trPr>
        <w:tc>
          <w:tcPr>
            <w:tcW w:w="1212" w:type="pct"/>
            <w:vAlign w:val="center"/>
          </w:tcPr>
          <w:p w14:paraId="69C459E9" w14:textId="22327DFA" w:rsidR="00586159" w:rsidRPr="000A4304" w:rsidRDefault="00586159" w:rsidP="002C6BD7">
            <w:pPr>
              <w:pStyle w:val="Tabletextcentred"/>
              <w:spacing w:before="20" w:after="20"/>
            </w:pPr>
            <w:r w:rsidRPr="000A4304">
              <w:t>6924</w:t>
            </w:r>
          </w:p>
        </w:tc>
        <w:tc>
          <w:tcPr>
            <w:tcW w:w="2098" w:type="pct"/>
            <w:vAlign w:val="center"/>
          </w:tcPr>
          <w:p w14:paraId="2CBA265F" w14:textId="06179446" w:rsidR="00586159" w:rsidRPr="000A4304" w:rsidRDefault="00586159" w:rsidP="002C6BD7">
            <w:pPr>
              <w:pStyle w:val="Tabletext"/>
              <w:spacing w:before="20" w:after="20"/>
              <w:rPr>
                <w:rFonts w:cstheme="minorHAnsi"/>
              </w:rPr>
            </w:pPr>
            <w:r w:rsidRPr="000A4304">
              <w:rPr>
                <w:rFonts w:cstheme="minorHAnsi"/>
                <w:color w:val="auto"/>
              </w:rPr>
              <w:t>Other Specialised Design Services</w:t>
            </w:r>
          </w:p>
        </w:tc>
        <w:tc>
          <w:tcPr>
            <w:tcW w:w="1690" w:type="pct"/>
            <w:vAlign w:val="center"/>
          </w:tcPr>
          <w:p w14:paraId="7C5EE579" w14:textId="519FFA99" w:rsidR="00586159" w:rsidRPr="000A4304" w:rsidRDefault="00586159" w:rsidP="002C6BD7">
            <w:pPr>
              <w:pStyle w:val="Tabletext"/>
              <w:spacing w:before="20" w:after="20"/>
              <w:rPr>
                <w:rFonts w:cstheme="minorHAnsi"/>
              </w:rPr>
            </w:pPr>
            <w:r w:rsidRPr="000A4304">
              <w:rPr>
                <w:rFonts w:cstheme="minorHAnsi"/>
                <w:color w:val="auto"/>
              </w:rPr>
              <w:t>Design and fashion</w:t>
            </w:r>
          </w:p>
        </w:tc>
      </w:tr>
      <w:tr w:rsidR="00586159" w:rsidRPr="00654F9E" w14:paraId="491CBD38" w14:textId="77777777" w:rsidTr="005D3849">
        <w:trPr>
          <w:cantSplit/>
        </w:trPr>
        <w:tc>
          <w:tcPr>
            <w:tcW w:w="1212" w:type="pct"/>
            <w:vAlign w:val="center"/>
          </w:tcPr>
          <w:p w14:paraId="683493A5" w14:textId="6E93ECCD" w:rsidR="00586159" w:rsidRPr="000A4304" w:rsidRDefault="00586159" w:rsidP="002C6BD7">
            <w:pPr>
              <w:pStyle w:val="Tabletextcentred"/>
              <w:spacing w:before="20" w:after="20"/>
            </w:pPr>
            <w:r w:rsidRPr="000A4304">
              <w:t>6940</w:t>
            </w:r>
          </w:p>
        </w:tc>
        <w:tc>
          <w:tcPr>
            <w:tcW w:w="2098" w:type="pct"/>
            <w:vAlign w:val="center"/>
          </w:tcPr>
          <w:p w14:paraId="441111D2" w14:textId="3BF05E0C" w:rsidR="00586159" w:rsidRPr="000A4304" w:rsidRDefault="00586159" w:rsidP="002C6BD7">
            <w:pPr>
              <w:pStyle w:val="Tabletext"/>
              <w:spacing w:before="20" w:after="20"/>
              <w:rPr>
                <w:rFonts w:cstheme="minorHAnsi"/>
              </w:rPr>
            </w:pPr>
            <w:r w:rsidRPr="000A4304">
              <w:rPr>
                <w:rFonts w:cstheme="minorHAnsi"/>
                <w:color w:val="auto"/>
              </w:rPr>
              <w:t>Advertising Services</w:t>
            </w:r>
          </w:p>
        </w:tc>
        <w:tc>
          <w:tcPr>
            <w:tcW w:w="1690" w:type="pct"/>
            <w:vAlign w:val="center"/>
          </w:tcPr>
          <w:p w14:paraId="5DE58499" w14:textId="0F54C9A7" w:rsidR="00586159" w:rsidRPr="000A4304" w:rsidRDefault="00586159" w:rsidP="002C6BD7">
            <w:pPr>
              <w:pStyle w:val="Tabletext"/>
              <w:spacing w:before="20" w:after="20"/>
              <w:rPr>
                <w:rFonts w:cstheme="minorHAnsi"/>
              </w:rPr>
            </w:pPr>
            <w:r w:rsidRPr="000A4304">
              <w:rPr>
                <w:rFonts w:cstheme="minorHAnsi"/>
                <w:color w:val="auto"/>
              </w:rPr>
              <w:t>Advertising and promotion</w:t>
            </w:r>
          </w:p>
        </w:tc>
      </w:tr>
      <w:tr w:rsidR="00586159" w:rsidRPr="00654F9E" w14:paraId="1353B348" w14:textId="77777777" w:rsidTr="005D3849">
        <w:trPr>
          <w:cnfStyle w:val="000000010000" w:firstRow="0" w:lastRow="0" w:firstColumn="0" w:lastColumn="0" w:oddVBand="0" w:evenVBand="0" w:oddHBand="0" w:evenHBand="1" w:firstRowFirstColumn="0" w:firstRowLastColumn="0" w:lastRowFirstColumn="0" w:lastRowLastColumn="0"/>
          <w:cantSplit/>
        </w:trPr>
        <w:tc>
          <w:tcPr>
            <w:tcW w:w="1212" w:type="pct"/>
            <w:vAlign w:val="center"/>
          </w:tcPr>
          <w:p w14:paraId="493AEECA" w14:textId="0D119352" w:rsidR="00586159" w:rsidRPr="000A4304" w:rsidRDefault="00586159" w:rsidP="002C6BD7">
            <w:pPr>
              <w:pStyle w:val="Tabletextcentred"/>
              <w:spacing w:before="20" w:after="20"/>
            </w:pPr>
            <w:r w:rsidRPr="000A4304">
              <w:t>6991</w:t>
            </w:r>
          </w:p>
        </w:tc>
        <w:tc>
          <w:tcPr>
            <w:tcW w:w="2098" w:type="pct"/>
            <w:vAlign w:val="center"/>
          </w:tcPr>
          <w:p w14:paraId="74E79166" w14:textId="764D732C" w:rsidR="00586159" w:rsidRPr="000A4304" w:rsidRDefault="00586159" w:rsidP="002C6BD7">
            <w:pPr>
              <w:pStyle w:val="Tabletext"/>
              <w:spacing w:before="20" w:after="20"/>
              <w:rPr>
                <w:rFonts w:cstheme="minorHAnsi"/>
              </w:rPr>
            </w:pPr>
            <w:r w:rsidRPr="000A4304">
              <w:rPr>
                <w:rFonts w:cstheme="minorHAnsi"/>
                <w:color w:val="auto"/>
              </w:rPr>
              <w:t>Professional Photographic Services</w:t>
            </w:r>
          </w:p>
        </w:tc>
        <w:tc>
          <w:tcPr>
            <w:tcW w:w="1690" w:type="pct"/>
            <w:vAlign w:val="center"/>
          </w:tcPr>
          <w:p w14:paraId="72C1E3F9" w14:textId="14485CA4" w:rsidR="00586159" w:rsidRPr="000A4304" w:rsidRDefault="00586159" w:rsidP="002C6BD7">
            <w:pPr>
              <w:pStyle w:val="Tabletext"/>
              <w:spacing w:before="20" w:after="20"/>
              <w:rPr>
                <w:rFonts w:cstheme="minorHAnsi"/>
              </w:rPr>
            </w:pPr>
            <w:r w:rsidRPr="000A4304">
              <w:rPr>
                <w:rFonts w:cstheme="minorHAnsi"/>
                <w:color w:val="auto"/>
              </w:rPr>
              <w:t>Visual arts and crafts</w:t>
            </w:r>
          </w:p>
        </w:tc>
      </w:tr>
      <w:tr w:rsidR="00586159" w:rsidRPr="00654F9E" w14:paraId="5911DFFD" w14:textId="77777777" w:rsidTr="005D3849">
        <w:trPr>
          <w:cantSplit/>
        </w:trPr>
        <w:tc>
          <w:tcPr>
            <w:tcW w:w="1212" w:type="pct"/>
            <w:vAlign w:val="center"/>
          </w:tcPr>
          <w:p w14:paraId="6DA60A8B" w14:textId="1DCADA3C" w:rsidR="00586159" w:rsidRPr="000A4304" w:rsidRDefault="00586159" w:rsidP="002C6BD7">
            <w:pPr>
              <w:pStyle w:val="Tabletextcentred"/>
              <w:spacing w:before="20" w:after="20"/>
            </w:pPr>
            <w:r w:rsidRPr="000A4304">
              <w:t>8212</w:t>
            </w:r>
          </w:p>
        </w:tc>
        <w:tc>
          <w:tcPr>
            <w:tcW w:w="2098" w:type="pct"/>
            <w:vAlign w:val="center"/>
          </w:tcPr>
          <w:p w14:paraId="15EF5762" w14:textId="0A22E3CD" w:rsidR="00586159" w:rsidRPr="000A4304" w:rsidRDefault="00586159" w:rsidP="002C6BD7">
            <w:pPr>
              <w:pStyle w:val="Tabletext"/>
              <w:spacing w:before="20" w:after="20"/>
              <w:rPr>
                <w:rFonts w:cstheme="minorHAnsi"/>
              </w:rPr>
            </w:pPr>
            <w:r w:rsidRPr="000A4304">
              <w:rPr>
                <w:rFonts w:cstheme="minorHAnsi"/>
                <w:color w:val="auto"/>
              </w:rPr>
              <w:t>Arts Education</w:t>
            </w:r>
          </w:p>
        </w:tc>
        <w:tc>
          <w:tcPr>
            <w:tcW w:w="1690" w:type="pct"/>
            <w:vAlign w:val="center"/>
          </w:tcPr>
          <w:p w14:paraId="19F7F8D6" w14:textId="7789E531" w:rsidR="00586159" w:rsidRPr="000A4304" w:rsidRDefault="00586159" w:rsidP="002C6BD7">
            <w:pPr>
              <w:pStyle w:val="Tabletext"/>
              <w:spacing w:before="20" w:after="20"/>
              <w:rPr>
                <w:rFonts w:cstheme="minorHAnsi"/>
              </w:rPr>
            </w:pPr>
            <w:r w:rsidRPr="000A4304">
              <w:rPr>
                <w:rFonts w:cstheme="minorHAnsi"/>
                <w:color w:val="auto"/>
              </w:rPr>
              <w:t>Arts education</w:t>
            </w:r>
          </w:p>
        </w:tc>
      </w:tr>
      <w:tr w:rsidR="00586159" w:rsidRPr="00654F9E" w14:paraId="5EDB32F6" w14:textId="77777777" w:rsidTr="005D3849">
        <w:trPr>
          <w:cnfStyle w:val="000000010000" w:firstRow="0" w:lastRow="0" w:firstColumn="0" w:lastColumn="0" w:oddVBand="0" w:evenVBand="0" w:oddHBand="0" w:evenHBand="1" w:firstRowFirstColumn="0" w:firstRowLastColumn="0" w:lastRowFirstColumn="0" w:lastRowLastColumn="0"/>
          <w:cantSplit/>
        </w:trPr>
        <w:tc>
          <w:tcPr>
            <w:tcW w:w="1212" w:type="pct"/>
            <w:vAlign w:val="center"/>
          </w:tcPr>
          <w:p w14:paraId="18EFA78B" w14:textId="1A3EFC08" w:rsidR="00586159" w:rsidRPr="000A4304" w:rsidRDefault="00586159" w:rsidP="002C6BD7">
            <w:pPr>
              <w:pStyle w:val="Tabletextcentred"/>
              <w:spacing w:before="20" w:after="20"/>
            </w:pPr>
            <w:r w:rsidRPr="000A4304">
              <w:t>8910</w:t>
            </w:r>
          </w:p>
        </w:tc>
        <w:tc>
          <w:tcPr>
            <w:tcW w:w="2098" w:type="pct"/>
            <w:vAlign w:val="center"/>
          </w:tcPr>
          <w:p w14:paraId="3CFB4255" w14:textId="7D5791A0" w:rsidR="00586159" w:rsidRPr="000A4304" w:rsidRDefault="00586159" w:rsidP="002C6BD7">
            <w:pPr>
              <w:pStyle w:val="Tabletext"/>
              <w:spacing w:before="20" w:after="20"/>
              <w:rPr>
                <w:rFonts w:cstheme="minorHAnsi"/>
              </w:rPr>
            </w:pPr>
            <w:r w:rsidRPr="000A4304">
              <w:rPr>
                <w:rFonts w:cstheme="minorHAnsi"/>
                <w:color w:val="auto"/>
              </w:rPr>
              <w:t>Museum Operation</w:t>
            </w:r>
          </w:p>
        </w:tc>
        <w:tc>
          <w:tcPr>
            <w:tcW w:w="1690" w:type="pct"/>
            <w:vAlign w:val="center"/>
          </w:tcPr>
          <w:p w14:paraId="0E2C919F" w14:textId="237A9559" w:rsidR="00586159" w:rsidRPr="000A4304" w:rsidRDefault="00586159" w:rsidP="002C6BD7">
            <w:pPr>
              <w:pStyle w:val="Tabletext"/>
              <w:spacing w:before="20" w:after="20"/>
              <w:rPr>
                <w:rFonts w:cstheme="minorHAnsi"/>
              </w:rPr>
            </w:pPr>
            <w:r w:rsidRPr="000A4304">
              <w:rPr>
                <w:rFonts w:cstheme="minorHAnsi"/>
                <w:color w:val="auto"/>
              </w:rPr>
              <w:t>Museums and galleries</w:t>
            </w:r>
          </w:p>
        </w:tc>
      </w:tr>
      <w:tr w:rsidR="00586159" w:rsidRPr="00654F9E" w14:paraId="5705760E" w14:textId="77777777" w:rsidTr="005D3849">
        <w:trPr>
          <w:cantSplit/>
        </w:trPr>
        <w:tc>
          <w:tcPr>
            <w:tcW w:w="1212" w:type="pct"/>
            <w:vAlign w:val="center"/>
          </w:tcPr>
          <w:p w14:paraId="31CC1DEC" w14:textId="078EDD71" w:rsidR="00586159" w:rsidRPr="000A4304" w:rsidRDefault="00586159" w:rsidP="002C6BD7">
            <w:pPr>
              <w:pStyle w:val="Tabletextcentred"/>
              <w:spacing w:before="20" w:after="20"/>
            </w:pPr>
            <w:r w:rsidRPr="000A4304">
              <w:t>9001</w:t>
            </w:r>
          </w:p>
        </w:tc>
        <w:tc>
          <w:tcPr>
            <w:tcW w:w="2098" w:type="pct"/>
            <w:vAlign w:val="center"/>
          </w:tcPr>
          <w:p w14:paraId="7EA4AB97" w14:textId="0ED1F02D" w:rsidR="00586159" w:rsidRPr="000A4304" w:rsidRDefault="00586159" w:rsidP="002C6BD7">
            <w:pPr>
              <w:pStyle w:val="Tabletext"/>
              <w:spacing w:before="20" w:after="20"/>
              <w:rPr>
                <w:rFonts w:cstheme="minorHAnsi"/>
              </w:rPr>
            </w:pPr>
            <w:r w:rsidRPr="000A4304">
              <w:rPr>
                <w:rFonts w:cstheme="minorHAnsi"/>
                <w:color w:val="auto"/>
              </w:rPr>
              <w:t>Performing Arts Operation</w:t>
            </w:r>
          </w:p>
        </w:tc>
        <w:tc>
          <w:tcPr>
            <w:tcW w:w="1690" w:type="pct"/>
            <w:vAlign w:val="center"/>
          </w:tcPr>
          <w:p w14:paraId="0E57BD4A" w14:textId="26F7A3B3" w:rsidR="00586159" w:rsidRPr="000A4304" w:rsidRDefault="00586159" w:rsidP="002C6BD7">
            <w:pPr>
              <w:pStyle w:val="Tabletext"/>
              <w:spacing w:before="20" w:after="20"/>
              <w:rPr>
                <w:rFonts w:cstheme="minorHAnsi"/>
              </w:rPr>
            </w:pPr>
            <w:r w:rsidRPr="000A4304">
              <w:rPr>
                <w:rFonts w:cstheme="minorHAnsi"/>
                <w:color w:val="auto"/>
              </w:rPr>
              <w:t xml:space="preserve">Literature, creative and performing arts </w:t>
            </w:r>
          </w:p>
        </w:tc>
      </w:tr>
      <w:tr w:rsidR="00586159" w:rsidRPr="00654F9E" w14:paraId="003873F2" w14:textId="77777777" w:rsidTr="005D3849">
        <w:trPr>
          <w:cnfStyle w:val="000000010000" w:firstRow="0" w:lastRow="0" w:firstColumn="0" w:lastColumn="0" w:oddVBand="0" w:evenVBand="0" w:oddHBand="0" w:evenHBand="1" w:firstRowFirstColumn="0" w:firstRowLastColumn="0" w:lastRowFirstColumn="0" w:lastRowLastColumn="0"/>
          <w:cantSplit/>
        </w:trPr>
        <w:tc>
          <w:tcPr>
            <w:tcW w:w="1212" w:type="pct"/>
            <w:vAlign w:val="center"/>
          </w:tcPr>
          <w:p w14:paraId="24305930" w14:textId="10C4C2D0" w:rsidR="00586159" w:rsidRPr="000A4304" w:rsidRDefault="00586159" w:rsidP="002C6BD7">
            <w:pPr>
              <w:pStyle w:val="Tabletextcentred"/>
              <w:spacing w:before="20" w:after="20"/>
            </w:pPr>
            <w:r w:rsidRPr="000A4304">
              <w:lastRenderedPageBreak/>
              <w:t>9002</w:t>
            </w:r>
          </w:p>
        </w:tc>
        <w:tc>
          <w:tcPr>
            <w:tcW w:w="2098" w:type="pct"/>
            <w:vAlign w:val="center"/>
          </w:tcPr>
          <w:p w14:paraId="6DDA4201" w14:textId="67726C5E" w:rsidR="00586159" w:rsidRPr="000A4304" w:rsidRDefault="00586159" w:rsidP="002C6BD7">
            <w:pPr>
              <w:pStyle w:val="Tabletext"/>
              <w:spacing w:before="20" w:after="20"/>
              <w:rPr>
                <w:rFonts w:cstheme="minorHAnsi"/>
              </w:rPr>
            </w:pPr>
            <w:r w:rsidRPr="000A4304">
              <w:rPr>
                <w:rFonts w:cstheme="minorHAnsi"/>
                <w:color w:val="auto"/>
              </w:rPr>
              <w:t>Creative Artists, Musicians, Writers and Performers</w:t>
            </w:r>
          </w:p>
        </w:tc>
        <w:tc>
          <w:tcPr>
            <w:tcW w:w="1690" w:type="pct"/>
            <w:vAlign w:val="center"/>
          </w:tcPr>
          <w:p w14:paraId="692309B6" w14:textId="2BB4534F" w:rsidR="00586159" w:rsidRPr="000A4304" w:rsidRDefault="00586159" w:rsidP="002C6BD7">
            <w:pPr>
              <w:pStyle w:val="Tabletext"/>
              <w:spacing w:before="20" w:after="20"/>
              <w:rPr>
                <w:rFonts w:cstheme="minorHAnsi"/>
              </w:rPr>
            </w:pPr>
            <w:r w:rsidRPr="000A4304">
              <w:rPr>
                <w:rFonts w:cstheme="minorHAnsi"/>
                <w:color w:val="auto"/>
              </w:rPr>
              <w:t>Literature, creative and performing arts; Visual arts and crafts</w:t>
            </w:r>
          </w:p>
        </w:tc>
      </w:tr>
      <w:tr w:rsidR="00586159" w:rsidRPr="00654F9E" w14:paraId="2E9021BF" w14:textId="77777777" w:rsidTr="005D3849">
        <w:trPr>
          <w:cantSplit/>
        </w:trPr>
        <w:tc>
          <w:tcPr>
            <w:tcW w:w="1212" w:type="pct"/>
            <w:vAlign w:val="center"/>
          </w:tcPr>
          <w:p w14:paraId="79438E54" w14:textId="6A6B5EB2" w:rsidR="00586159" w:rsidRPr="000A4304" w:rsidRDefault="00586159" w:rsidP="002C6BD7">
            <w:pPr>
              <w:pStyle w:val="Tabletextcentred"/>
              <w:spacing w:before="20" w:after="20"/>
            </w:pPr>
            <w:r w:rsidRPr="000A4304">
              <w:t>9003</w:t>
            </w:r>
          </w:p>
        </w:tc>
        <w:tc>
          <w:tcPr>
            <w:tcW w:w="2098" w:type="pct"/>
            <w:vAlign w:val="center"/>
          </w:tcPr>
          <w:p w14:paraId="2FB814F8" w14:textId="341CC95A" w:rsidR="00586159" w:rsidRPr="000A4304" w:rsidRDefault="00586159" w:rsidP="002C6BD7">
            <w:pPr>
              <w:pStyle w:val="Tabletext"/>
              <w:spacing w:before="20" w:after="20"/>
              <w:rPr>
                <w:rFonts w:cstheme="minorHAnsi"/>
              </w:rPr>
            </w:pPr>
            <w:r w:rsidRPr="000A4304">
              <w:rPr>
                <w:rFonts w:cstheme="minorHAnsi"/>
                <w:color w:val="auto"/>
              </w:rPr>
              <w:t>Performing Arts Venue Operation</w:t>
            </w:r>
          </w:p>
        </w:tc>
        <w:tc>
          <w:tcPr>
            <w:tcW w:w="1690" w:type="pct"/>
            <w:vAlign w:val="center"/>
          </w:tcPr>
          <w:p w14:paraId="440929A9" w14:textId="4F6550BE" w:rsidR="00586159" w:rsidRPr="000A4304" w:rsidRDefault="00586159" w:rsidP="002C6BD7">
            <w:pPr>
              <w:pStyle w:val="Tabletext"/>
              <w:spacing w:before="20" w:after="20"/>
              <w:rPr>
                <w:rFonts w:cstheme="minorHAnsi"/>
              </w:rPr>
            </w:pPr>
            <w:r w:rsidRPr="000A4304">
              <w:rPr>
                <w:rFonts w:cstheme="minorHAnsi"/>
                <w:color w:val="auto"/>
              </w:rPr>
              <w:t xml:space="preserve">Literature, creative and performing arts </w:t>
            </w:r>
          </w:p>
        </w:tc>
      </w:tr>
      <w:tr w:rsidR="00586159" w:rsidRPr="00654F9E" w14:paraId="2B1BD94B" w14:textId="77777777" w:rsidTr="005D3849">
        <w:trPr>
          <w:cnfStyle w:val="000000010000" w:firstRow="0" w:lastRow="0" w:firstColumn="0" w:lastColumn="0" w:oddVBand="0" w:evenVBand="0" w:oddHBand="0" w:evenHBand="1" w:firstRowFirstColumn="0" w:firstRowLastColumn="0" w:lastRowFirstColumn="0" w:lastRowLastColumn="0"/>
          <w:cantSplit/>
        </w:trPr>
        <w:tc>
          <w:tcPr>
            <w:tcW w:w="1212" w:type="pct"/>
            <w:vAlign w:val="center"/>
          </w:tcPr>
          <w:p w14:paraId="0D11E35C" w14:textId="666BDBF9" w:rsidR="00586159" w:rsidRPr="000A4304" w:rsidRDefault="00586159" w:rsidP="002C6BD7">
            <w:pPr>
              <w:pStyle w:val="Tabletextcentred"/>
              <w:spacing w:before="20" w:after="20"/>
            </w:pPr>
            <w:r w:rsidRPr="000A4304">
              <w:t>9532</w:t>
            </w:r>
          </w:p>
        </w:tc>
        <w:tc>
          <w:tcPr>
            <w:tcW w:w="2098" w:type="pct"/>
            <w:vAlign w:val="center"/>
          </w:tcPr>
          <w:p w14:paraId="024BF613" w14:textId="52E2D578" w:rsidR="00586159" w:rsidRPr="000A4304" w:rsidRDefault="00586159" w:rsidP="002C6BD7">
            <w:pPr>
              <w:pStyle w:val="Tabletext"/>
              <w:spacing w:before="20" w:after="20"/>
              <w:rPr>
                <w:rFonts w:cstheme="minorHAnsi"/>
              </w:rPr>
            </w:pPr>
            <w:r w:rsidRPr="000A4304">
              <w:rPr>
                <w:rFonts w:cstheme="minorHAnsi"/>
                <w:color w:val="auto"/>
              </w:rPr>
              <w:t>Photographic Film Processing</w:t>
            </w:r>
          </w:p>
        </w:tc>
        <w:tc>
          <w:tcPr>
            <w:tcW w:w="1690" w:type="pct"/>
            <w:vAlign w:val="center"/>
          </w:tcPr>
          <w:p w14:paraId="372BEC7A" w14:textId="632439A7" w:rsidR="00586159" w:rsidRPr="000A4304" w:rsidRDefault="00586159" w:rsidP="002C6BD7">
            <w:pPr>
              <w:pStyle w:val="Tabletext"/>
              <w:spacing w:before="20" w:after="20"/>
              <w:rPr>
                <w:rFonts w:cstheme="minorHAnsi"/>
              </w:rPr>
            </w:pPr>
            <w:r w:rsidRPr="000A4304">
              <w:rPr>
                <w:rFonts w:cstheme="minorHAnsi"/>
                <w:color w:val="auto"/>
              </w:rPr>
              <w:t>Visual arts and crafts</w:t>
            </w:r>
          </w:p>
        </w:tc>
      </w:tr>
    </w:tbl>
    <w:p w14:paraId="45E63631" w14:textId="53E0BC12" w:rsidR="003D3443" w:rsidRDefault="002C6BD7" w:rsidP="002C6BD7">
      <w:pPr>
        <w:pStyle w:val="Heading3"/>
      </w:pPr>
      <w:bookmarkStart w:id="146" w:name="_Toc184650674"/>
      <w:r>
        <w:t>B.2</w:t>
      </w:r>
      <w:r>
        <w:tab/>
      </w:r>
      <w:r w:rsidR="003D3443">
        <w:t>Businesses and employment within cultural and creative domains</w:t>
      </w:r>
      <w:bookmarkEnd w:id="146"/>
    </w:p>
    <w:p w14:paraId="2BB9E299" w14:textId="0E2AA2A5" w:rsidR="003D3443" w:rsidRDefault="003D3443" w:rsidP="003D3443">
      <w:r>
        <w:t>The following table provides guidance on the industries which have been captured to define businesses and employment in the cultural and creative sector</w:t>
      </w:r>
      <w:r w:rsidR="0021506F">
        <w:t xml:space="preserve"> (see </w:t>
      </w:r>
      <w:r w:rsidR="0021506F">
        <w:fldChar w:fldCharType="begin"/>
      </w:r>
      <w:r w:rsidR="0021506F">
        <w:instrText xml:space="preserve"> REF _Ref184641545 \h </w:instrText>
      </w:r>
      <w:r w:rsidR="0021506F">
        <w:fldChar w:fldCharType="separate"/>
      </w:r>
      <w:r w:rsidR="00C65220">
        <w:t xml:space="preserve">Table </w:t>
      </w:r>
      <w:r w:rsidR="00C65220">
        <w:rPr>
          <w:noProof/>
        </w:rPr>
        <w:t>6</w:t>
      </w:r>
      <w:r w:rsidR="0021506F">
        <w:fldChar w:fldCharType="end"/>
      </w:r>
      <w:r w:rsidR="0021506F">
        <w:t>)</w:t>
      </w:r>
      <w:r>
        <w:t>. The key difference between this alignment and that presented above is the aggregation of Literature, creative and performing arts and Visual arts and crafts domains.</w:t>
      </w:r>
    </w:p>
    <w:p w14:paraId="1536D789" w14:textId="6753F8E7" w:rsidR="003D3443" w:rsidRDefault="003D3443" w:rsidP="002C6BD7">
      <w:pPr>
        <w:pStyle w:val="Tablefigureheading"/>
      </w:pPr>
      <w:bookmarkStart w:id="147" w:name="_Ref184641545"/>
      <w:bookmarkStart w:id="148" w:name="_Toc182484684"/>
      <w:bookmarkStart w:id="149" w:name="_Toc182914611"/>
      <w:bookmarkStart w:id="150" w:name="_Toc184641669"/>
      <w:r>
        <w:t xml:space="preserve">Table </w:t>
      </w:r>
      <w:r w:rsidR="003C2F6D">
        <w:fldChar w:fldCharType="begin"/>
      </w:r>
      <w:r w:rsidR="003C2F6D">
        <w:instrText xml:space="preserve"> SEQ Table \* ARABIC </w:instrText>
      </w:r>
      <w:r w:rsidR="003C2F6D">
        <w:fldChar w:fldCharType="separate"/>
      </w:r>
      <w:r w:rsidR="00C65220">
        <w:rPr>
          <w:noProof/>
        </w:rPr>
        <w:t>6</w:t>
      </w:r>
      <w:r w:rsidR="003C2F6D">
        <w:rPr>
          <w:noProof/>
        </w:rPr>
        <w:fldChar w:fldCharType="end"/>
      </w:r>
      <w:bookmarkEnd w:id="147"/>
      <w:r>
        <w:t xml:space="preserve">. </w:t>
      </w:r>
      <w:r w:rsidRPr="000513F5">
        <w:t>Detailed (4-digit Australian and New Zealand Standard Industrial Classification) industries within cultural and creative industries (applied to Business Counts and Census employment estimates)</w:t>
      </w:r>
      <w:bookmarkEnd w:id="148"/>
      <w:bookmarkEnd w:id="149"/>
      <w:bookmarkEnd w:id="150"/>
    </w:p>
    <w:tbl>
      <w:tblPr>
        <w:tblStyle w:val="DefaultTable11"/>
        <w:tblW w:w="4937" w:type="pct"/>
        <w:tblCellMar>
          <w:top w:w="11" w:type="dxa"/>
          <w:bottom w:w="11" w:type="dxa"/>
        </w:tblCellMar>
        <w:tblLook w:val="0420" w:firstRow="1" w:lastRow="0" w:firstColumn="0" w:lastColumn="0" w:noHBand="0" w:noVBand="1"/>
        <w:tblDescription w:val="Table 6. Detailed (4-digit Australian and New Zealand Standard Industrial Classification) industries within cultural and creative industries (applied to Business Counts and Census employment estimates)"/>
      </w:tblPr>
      <w:tblGrid>
        <w:gridCol w:w="2361"/>
        <w:gridCol w:w="4087"/>
        <w:gridCol w:w="3292"/>
      </w:tblGrid>
      <w:tr w:rsidR="00FD4242" w:rsidRPr="00EE498A" w14:paraId="5C632697" w14:textId="77777777" w:rsidTr="005D3849">
        <w:trPr>
          <w:cnfStyle w:val="100000000000" w:firstRow="1" w:lastRow="0" w:firstColumn="0" w:lastColumn="0" w:oddVBand="0" w:evenVBand="0" w:oddHBand="0" w:evenHBand="0" w:firstRowFirstColumn="0" w:firstRowLastColumn="0" w:lastRowFirstColumn="0" w:lastRowLastColumn="0"/>
          <w:cantSplit/>
        </w:trPr>
        <w:tc>
          <w:tcPr>
            <w:tcW w:w="1212" w:type="pct"/>
            <w:vAlign w:val="center"/>
          </w:tcPr>
          <w:p w14:paraId="0D3E31B6" w14:textId="55B28090" w:rsidR="00FD4242" w:rsidRPr="00EE498A" w:rsidRDefault="00FD4242" w:rsidP="00FD4242">
            <w:pPr>
              <w:pStyle w:val="Tablerowcolumnheading"/>
              <w:spacing w:before="20" w:after="20"/>
              <w:rPr>
                <w:b/>
              </w:rPr>
            </w:pPr>
            <w:r w:rsidRPr="00EE498A">
              <w:rPr>
                <w:b/>
                <w:lang w:eastAsia="en-AU"/>
              </w:rPr>
              <w:t>Australian and New Zealand Standard Industrial Classification</w:t>
            </w:r>
            <w:r w:rsidRPr="00EE498A">
              <w:rPr>
                <w:b/>
              </w:rPr>
              <w:t xml:space="preserve"> </w:t>
            </w:r>
          </w:p>
        </w:tc>
        <w:tc>
          <w:tcPr>
            <w:tcW w:w="2098" w:type="pct"/>
            <w:vAlign w:val="center"/>
          </w:tcPr>
          <w:p w14:paraId="2605C399" w14:textId="3BFB0621" w:rsidR="00FD4242" w:rsidRPr="00EE498A" w:rsidRDefault="00FD4242" w:rsidP="00FD4242">
            <w:pPr>
              <w:pStyle w:val="Tabletext"/>
              <w:spacing w:before="20" w:after="20"/>
              <w:rPr>
                <w:rFonts w:asciiTheme="minorHAnsi" w:hAnsiTheme="minorHAnsi"/>
              </w:rPr>
            </w:pPr>
            <w:r w:rsidRPr="00EE498A">
              <w:rPr>
                <w:rFonts w:asciiTheme="minorHAnsi" w:hAnsiTheme="minorHAnsi"/>
                <w:lang w:eastAsia="en-AU"/>
              </w:rPr>
              <w:t>Australian and New Zealand Standard Industrial Classification description</w:t>
            </w:r>
          </w:p>
        </w:tc>
        <w:tc>
          <w:tcPr>
            <w:tcW w:w="1690" w:type="pct"/>
            <w:vAlign w:val="center"/>
          </w:tcPr>
          <w:p w14:paraId="462D8C10" w14:textId="2826F675" w:rsidR="00FD4242" w:rsidRPr="00EE498A" w:rsidRDefault="00FD4242" w:rsidP="00FD4242">
            <w:pPr>
              <w:pStyle w:val="Tabletext"/>
              <w:spacing w:before="20" w:after="20"/>
              <w:rPr>
                <w:rFonts w:asciiTheme="minorHAnsi" w:hAnsiTheme="minorHAnsi"/>
              </w:rPr>
            </w:pPr>
            <w:r w:rsidRPr="00EE498A">
              <w:rPr>
                <w:rFonts w:asciiTheme="minorHAnsi" w:hAnsiTheme="minorHAnsi"/>
                <w:lang w:eastAsia="en-AU"/>
              </w:rPr>
              <w:t>Cultural and creative domains</w:t>
            </w:r>
          </w:p>
        </w:tc>
      </w:tr>
      <w:tr w:rsidR="00FD4242" w:rsidRPr="00EE498A" w14:paraId="2578E6EA" w14:textId="77777777" w:rsidTr="005D3849">
        <w:trPr>
          <w:cantSplit/>
        </w:trPr>
        <w:tc>
          <w:tcPr>
            <w:tcW w:w="1212" w:type="pct"/>
            <w:vAlign w:val="center"/>
          </w:tcPr>
          <w:p w14:paraId="62CC5475" w14:textId="5CD146EF" w:rsidR="00FD4242" w:rsidRPr="00EE498A" w:rsidRDefault="00FD4242" w:rsidP="00FD4242">
            <w:pPr>
              <w:pStyle w:val="Tabletextcentred"/>
              <w:spacing w:before="20" w:after="20"/>
              <w:rPr>
                <w:rFonts w:asciiTheme="minorHAnsi" w:hAnsiTheme="minorHAnsi"/>
              </w:rPr>
            </w:pPr>
            <w:r w:rsidRPr="00EE498A">
              <w:rPr>
                <w:rFonts w:asciiTheme="minorHAnsi" w:hAnsiTheme="minorHAnsi" w:cs="Arial"/>
                <w:color w:val="auto"/>
                <w:lang w:eastAsia="en-AU"/>
              </w:rPr>
              <w:t>1612</w:t>
            </w:r>
          </w:p>
        </w:tc>
        <w:tc>
          <w:tcPr>
            <w:tcW w:w="2098" w:type="pct"/>
            <w:vAlign w:val="center"/>
          </w:tcPr>
          <w:p w14:paraId="53D0F208" w14:textId="639B3476" w:rsidR="00FD4242" w:rsidRPr="00EE498A" w:rsidRDefault="00FD4242" w:rsidP="00FD4242">
            <w:pPr>
              <w:pStyle w:val="Tabletext"/>
              <w:spacing w:before="20" w:after="20"/>
              <w:rPr>
                <w:rFonts w:asciiTheme="minorHAnsi" w:hAnsiTheme="minorHAnsi"/>
              </w:rPr>
            </w:pPr>
            <w:r w:rsidRPr="00EE498A">
              <w:rPr>
                <w:rFonts w:asciiTheme="minorHAnsi" w:hAnsiTheme="minorHAnsi" w:cs="Arial"/>
                <w:color w:val="auto"/>
                <w:lang w:eastAsia="en-AU"/>
              </w:rPr>
              <w:t>Printing Support Services</w:t>
            </w:r>
          </w:p>
        </w:tc>
        <w:tc>
          <w:tcPr>
            <w:tcW w:w="1690" w:type="pct"/>
            <w:vAlign w:val="center"/>
          </w:tcPr>
          <w:p w14:paraId="11E1FB78" w14:textId="54387373" w:rsidR="00FD4242" w:rsidRPr="00EE498A" w:rsidRDefault="00FD4242" w:rsidP="00FD4242">
            <w:pPr>
              <w:pStyle w:val="Tabletext"/>
              <w:spacing w:before="20" w:after="20"/>
              <w:rPr>
                <w:rFonts w:asciiTheme="minorHAnsi" w:hAnsiTheme="minorHAnsi"/>
              </w:rPr>
            </w:pPr>
            <w:r w:rsidRPr="00EE498A">
              <w:rPr>
                <w:rFonts w:asciiTheme="minorHAnsi" w:hAnsiTheme="minorHAnsi" w:cs="Calibri"/>
                <w:color w:val="auto"/>
              </w:rPr>
              <w:t>Print media and publishing (excl. internet)</w:t>
            </w:r>
          </w:p>
        </w:tc>
      </w:tr>
      <w:tr w:rsidR="00FD4242" w:rsidRPr="00EE498A" w14:paraId="62BE1EEF" w14:textId="77777777" w:rsidTr="005D3849">
        <w:trPr>
          <w:cnfStyle w:val="000000010000" w:firstRow="0" w:lastRow="0" w:firstColumn="0" w:lastColumn="0" w:oddVBand="0" w:evenVBand="0" w:oddHBand="0" w:evenHBand="1" w:firstRowFirstColumn="0" w:firstRowLastColumn="0" w:lastRowFirstColumn="0" w:lastRowLastColumn="0"/>
          <w:cantSplit/>
        </w:trPr>
        <w:tc>
          <w:tcPr>
            <w:tcW w:w="1212" w:type="pct"/>
            <w:vAlign w:val="center"/>
          </w:tcPr>
          <w:p w14:paraId="2A3F5AF4" w14:textId="14B1E1CA" w:rsidR="00FD4242" w:rsidRPr="00EE498A" w:rsidRDefault="00FD4242" w:rsidP="00FD4242">
            <w:pPr>
              <w:pStyle w:val="Tabletextcentred"/>
              <w:spacing w:before="20" w:after="20"/>
              <w:rPr>
                <w:rFonts w:asciiTheme="minorHAnsi" w:hAnsiTheme="minorHAnsi"/>
              </w:rPr>
            </w:pPr>
            <w:r w:rsidRPr="00EE498A">
              <w:rPr>
                <w:rFonts w:asciiTheme="minorHAnsi" w:hAnsiTheme="minorHAnsi" w:cs="Arial"/>
                <w:color w:val="auto"/>
                <w:lang w:eastAsia="en-AU"/>
              </w:rPr>
              <w:t>5411</w:t>
            </w:r>
          </w:p>
        </w:tc>
        <w:tc>
          <w:tcPr>
            <w:tcW w:w="2098" w:type="pct"/>
            <w:vAlign w:val="center"/>
          </w:tcPr>
          <w:p w14:paraId="5B91021B" w14:textId="072FC227" w:rsidR="00FD4242" w:rsidRPr="00EE498A" w:rsidRDefault="00FD4242" w:rsidP="00FD4242">
            <w:pPr>
              <w:pStyle w:val="Tabletext"/>
              <w:spacing w:before="20" w:after="20"/>
              <w:rPr>
                <w:rFonts w:asciiTheme="minorHAnsi" w:hAnsiTheme="minorHAnsi"/>
              </w:rPr>
            </w:pPr>
            <w:r w:rsidRPr="00EE498A">
              <w:rPr>
                <w:rFonts w:asciiTheme="minorHAnsi" w:hAnsiTheme="minorHAnsi" w:cs="Arial"/>
                <w:color w:val="auto"/>
                <w:lang w:eastAsia="en-AU"/>
              </w:rPr>
              <w:t>Newspaper Publishing</w:t>
            </w:r>
          </w:p>
        </w:tc>
        <w:tc>
          <w:tcPr>
            <w:tcW w:w="1690" w:type="pct"/>
            <w:vAlign w:val="center"/>
          </w:tcPr>
          <w:p w14:paraId="650A99E0" w14:textId="4E37F562" w:rsidR="00FD4242" w:rsidRPr="00EE498A" w:rsidRDefault="00FD4242" w:rsidP="00FD4242">
            <w:pPr>
              <w:pStyle w:val="Tabletext"/>
              <w:spacing w:before="20" w:after="20"/>
              <w:rPr>
                <w:rFonts w:asciiTheme="minorHAnsi" w:hAnsiTheme="minorHAnsi"/>
              </w:rPr>
            </w:pPr>
            <w:r w:rsidRPr="00EE498A">
              <w:rPr>
                <w:rFonts w:asciiTheme="minorHAnsi" w:hAnsiTheme="minorHAnsi" w:cs="Calibri"/>
                <w:color w:val="auto"/>
              </w:rPr>
              <w:t>Print media and publishing (excl. internet)</w:t>
            </w:r>
          </w:p>
        </w:tc>
      </w:tr>
      <w:tr w:rsidR="00FD4242" w:rsidRPr="00EE498A" w14:paraId="17818A0B" w14:textId="77777777" w:rsidTr="005D3849">
        <w:trPr>
          <w:cantSplit/>
        </w:trPr>
        <w:tc>
          <w:tcPr>
            <w:tcW w:w="1212" w:type="pct"/>
            <w:vAlign w:val="center"/>
          </w:tcPr>
          <w:p w14:paraId="32B59AA1" w14:textId="53CD98AD" w:rsidR="00FD4242" w:rsidRPr="00EE498A" w:rsidRDefault="00FD4242" w:rsidP="00FD4242">
            <w:pPr>
              <w:pStyle w:val="Tabletextcentred"/>
              <w:spacing w:before="20" w:after="20"/>
              <w:rPr>
                <w:rFonts w:asciiTheme="minorHAnsi" w:hAnsiTheme="minorHAnsi"/>
              </w:rPr>
            </w:pPr>
            <w:r w:rsidRPr="00EE498A">
              <w:rPr>
                <w:rFonts w:asciiTheme="minorHAnsi" w:hAnsiTheme="minorHAnsi" w:cs="Arial"/>
                <w:color w:val="auto"/>
                <w:lang w:eastAsia="en-AU"/>
              </w:rPr>
              <w:t>5412</w:t>
            </w:r>
          </w:p>
        </w:tc>
        <w:tc>
          <w:tcPr>
            <w:tcW w:w="2098" w:type="pct"/>
            <w:vAlign w:val="center"/>
          </w:tcPr>
          <w:p w14:paraId="7BF9EA3A" w14:textId="11670A27" w:rsidR="00FD4242" w:rsidRPr="00EE498A" w:rsidRDefault="00FD4242" w:rsidP="00FD4242">
            <w:pPr>
              <w:pStyle w:val="Tabletext"/>
              <w:spacing w:before="20" w:after="20"/>
              <w:rPr>
                <w:rFonts w:asciiTheme="minorHAnsi" w:hAnsiTheme="minorHAnsi" w:cstheme="minorHAnsi"/>
              </w:rPr>
            </w:pPr>
            <w:r w:rsidRPr="00EE498A">
              <w:rPr>
                <w:rFonts w:asciiTheme="minorHAnsi" w:hAnsiTheme="minorHAnsi" w:cs="Arial"/>
                <w:color w:val="auto"/>
                <w:lang w:eastAsia="en-AU"/>
              </w:rPr>
              <w:t>Magazine and Other Periodical Publishing</w:t>
            </w:r>
          </w:p>
        </w:tc>
        <w:tc>
          <w:tcPr>
            <w:tcW w:w="1690" w:type="pct"/>
            <w:vAlign w:val="center"/>
          </w:tcPr>
          <w:p w14:paraId="3D9BA7CF" w14:textId="38FD43D3" w:rsidR="00FD4242" w:rsidRPr="00EE498A" w:rsidRDefault="00FD4242" w:rsidP="00FD4242">
            <w:pPr>
              <w:pStyle w:val="Tabletext"/>
              <w:spacing w:before="20" w:after="20"/>
              <w:rPr>
                <w:rFonts w:asciiTheme="minorHAnsi" w:hAnsiTheme="minorHAnsi" w:cstheme="minorHAnsi"/>
              </w:rPr>
            </w:pPr>
            <w:r w:rsidRPr="00EE498A">
              <w:rPr>
                <w:rFonts w:asciiTheme="minorHAnsi" w:hAnsiTheme="minorHAnsi" w:cs="Calibri"/>
                <w:color w:val="auto"/>
              </w:rPr>
              <w:t>Print media and publishing (excl. internet)</w:t>
            </w:r>
          </w:p>
        </w:tc>
      </w:tr>
      <w:tr w:rsidR="00FD4242" w:rsidRPr="00EE498A" w14:paraId="316AC82E" w14:textId="77777777" w:rsidTr="005D3849">
        <w:trPr>
          <w:cnfStyle w:val="000000010000" w:firstRow="0" w:lastRow="0" w:firstColumn="0" w:lastColumn="0" w:oddVBand="0" w:evenVBand="0" w:oddHBand="0" w:evenHBand="1" w:firstRowFirstColumn="0" w:firstRowLastColumn="0" w:lastRowFirstColumn="0" w:lastRowLastColumn="0"/>
          <w:cantSplit/>
        </w:trPr>
        <w:tc>
          <w:tcPr>
            <w:tcW w:w="1212" w:type="pct"/>
            <w:vAlign w:val="center"/>
          </w:tcPr>
          <w:p w14:paraId="2D7CFAA1" w14:textId="688E6559" w:rsidR="00FD4242" w:rsidRPr="00EE498A" w:rsidRDefault="00FD4242" w:rsidP="00FD4242">
            <w:pPr>
              <w:pStyle w:val="Tabletextcentred"/>
              <w:spacing w:before="20" w:after="20"/>
              <w:rPr>
                <w:rFonts w:asciiTheme="minorHAnsi" w:hAnsiTheme="minorHAnsi" w:cs="Arial"/>
                <w:lang w:eastAsia="en-AU"/>
              </w:rPr>
            </w:pPr>
            <w:r w:rsidRPr="00EE498A">
              <w:rPr>
                <w:rFonts w:asciiTheme="minorHAnsi" w:hAnsiTheme="minorHAnsi" w:cs="Arial"/>
                <w:color w:val="auto"/>
                <w:lang w:eastAsia="en-AU"/>
              </w:rPr>
              <w:t>5413</w:t>
            </w:r>
          </w:p>
        </w:tc>
        <w:tc>
          <w:tcPr>
            <w:tcW w:w="2098" w:type="pct"/>
            <w:vAlign w:val="center"/>
          </w:tcPr>
          <w:p w14:paraId="2EA7BF11" w14:textId="39D302F7" w:rsidR="00FD4242" w:rsidRPr="00EE498A" w:rsidRDefault="00FD4242" w:rsidP="00FD4242">
            <w:pPr>
              <w:pStyle w:val="Tabletext"/>
              <w:spacing w:before="20" w:after="20"/>
              <w:rPr>
                <w:rFonts w:asciiTheme="minorHAnsi" w:hAnsiTheme="minorHAnsi" w:cs="Arial"/>
                <w:lang w:eastAsia="en-AU"/>
              </w:rPr>
            </w:pPr>
            <w:r w:rsidRPr="00EE498A">
              <w:rPr>
                <w:rFonts w:asciiTheme="minorHAnsi" w:hAnsiTheme="minorHAnsi" w:cs="Arial"/>
                <w:color w:val="auto"/>
                <w:lang w:eastAsia="en-AU"/>
              </w:rPr>
              <w:t>Book Publishing</w:t>
            </w:r>
          </w:p>
        </w:tc>
        <w:tc>
          <w:tcPr>
            <w:tcW w:w="1690" w:type="pct"/>
            <w:vAlign w:val="center"/>
          </w:tcPr>
          <w:p w14:paraId="7459BB13" w14:textId="6F258C54" w:rsidR="00FD4242" w:rsidRPr="00EE498A" w:rsidRDefault="00FD4242" w:rsidP="00FD4242">
            <w:pPr>
              <w:pStyle w:val="Tabletext"/>
              <w:spacing w:before="20" w:after="20"/>
              <w:rPr>
                <w:rFonts w:asciiTheme="minorHAnsi" w:hAnsiTheme="minorHAnsi" w:cs="Calibri"/>
              </w:rPr>
            </w:pPr>
            <w:r w:rsidRPr="00EE498A">
              <w:rPr>
                <w:rFonts w:asciiTheme="minorHAnsi" w:hAnsiTheme="minorHAnsi" w:cs="Calibri"/>
                <w:color w:val="auto"/>
              </w:rPr>
              <w:t>Print media and publishing (excl. internet)</w:t>
            </w:r>
          </w:p>
        </w:tc>
      </w:tr>
      <w:tr w:rsidR="00FD4242" w:rsidRPr="00EE498A" w14:paraId="419C57EB" w14:textId="77777777" w:rsidTr="005D3849">
        <w:trPr>
          <w:cantSplit/>
        </w:trPr>
        <w:tc>
          <w:tcPr>
            <w:tcW w:w="1212" w:type="pct"/>
            <w:vAlign w:val="center"/>
          </w:tcPr>
          <w:p w14:paraId="0702998C" w14:textId="25E5A192" w:rsidR="00FD4242" w:rsidRPr="00EE498A" w:rsidRDefault="00FD4242" w:rsidP="00FD4242">
            <w:pPr>
              <w:pStyle w:val="Tabletextcentred"/>
              <w:spacing w:before="20" w:after="20"/>
              <w:rPr>
                <w:rFonts w:asciiTheme="minorHAnsi" w:hAnsiTheme="minorHAnsi" w:cs="Arial"/>
                <w:lang w:eastAsia="en-AU"/>
              </w:rPr>
            </w:pPr>
            <w:r w:rsidRPr="00EE498A">
              <w:rPr>
                <w:rFonts w:asciiTheme="minorHAnsi" w:hAnsiTheme="minorHAnsi" w:cs="Arial"/>
                <w:color w:val="auto"/>
                <w:lang w:eastAsia="en-AU"/>
              </w:rPr>
              <w:t>5419</w:t>
            </w:r>
          </w:p>
        </w:tc>
        <w:tc>
          <w:tcPr>
            <w:tcW w:w="2098" w:type="pct"/>
            <w:vAlign w:val="center"/>
          </w:tcPr>
          <w:p w14:paraId="09C94B35" w14:textId="757437A6" w:rsidR="00FD4242" w:rsidRPr="00EE498A" w:rsidRDefault="00FD4242" w:rsidP="00FD4242">
            <w:pPr>
              <w:pStyle w:val="Tabletext"/>
              <w:spacing w:before="20" w:after="20"/>
              <w:rPr>
                <w:rFonts w:asciiTheme="minorHAnsi" w:hAnsiTheme="minorHAnsi" w:cs="Arial"/>
                <w:lang w:eastAsia="en-AU"/>
              </w:rPr>
            </w:pPr>
            <w:r w:rsidRPr="00EE498A">
              <w:rPr>
                <w:rFonts w:asciiTheme="minorHAnsi" w:hAnsiTheme="minorHAnsi" w:cs="Arial"/>
                <w:color w:val="auto"/>
                <w:lang w:eastAsia="en-AU"/>
              </w:rPr>
              <w:t>Other Publishing (except Software, Music and Internet)</w:t>
            </w:r>
          </w:p>
        </w:tc>
        <w:tc>
          <w:tcPr>
            <w:tcW w:w="1690" w:type="pct"/>
            <w:vAlign w:val="center"/>
          </w:tcPr>
          <w:p w14:paraId="0A56DE57" w14:textId="0687E4CD" w:rsidR="00FD4242" w:rsidRPr="00EE498A" w:rsidRDefault="00FD4242" w:rsidP="00FD4242">
            <w:pPr>
              <w:pStyle w:val="Tabletext"/>
              <w:spacing w:before="20" w:after="20"/>
              <w:rPr>
                <w:rFonts w:asciiTheme="minorHAnsi" w:hAnsiTheme="minorHAnsi" w:cs="Calibri"/>
              </w:rPr>
            </w:pPr>
            <w:r w:rsidRPr="00EE498A">
              <w:rPr>
                <w:rFonts w:asciiTheme="minorHAnsi" w:hAnsiTheme="minorHAnsi" w:cs="Calibri"/>
                <w:color w:val="auto"/>
              </w:rPr>
              <w:t>Print media and publishing (excl. internet)</w:t>
            </w:r>
          </w:p>
        </w:tc>
      </w:tr>
      <w:tr w:rsidR="00FD4242" w:rsidRPr="00EE498A" w14:paraId="3CCB1FF8" w14:textId="77777777" w:rsidTr="005D3849">
        <w:trPr>
          <w:cnfStyle w:val="000000010000" w:firstRow="0" w:lastRow="0" w:firstColumn="0" w:lastColumn="0" w:oddVBand="0" w:evenVBand="0" w:oddHBand="0" w:evenHBand="1" w:firstRowFirstColumn="0" w:firstRowLastColumn="0" w:lastRowFirstColumn="0" w:lastRowLastColumn="0"/>
          <w:cantSplit/>
        </w:trPr>
        <w:tc>
          <w:tcPr>
            <w:tcW w:w="1212" w:type="pct"/>
            <w:vAlign w:val="center"/>
          </w:tcPr>
          <w:p w14:paraId="390473DD" w14:textId="57963446" w:rsidR="00FD4242" w:rsidRPr="00EE498A" w:rsidRDefault="00FD4242" w:rsidP="00FD4242">
            <w:pPr>
              <w:pStyle w:val="Tabletextcentred"/>
              <w:spacing w:before="20" w:after="20"/>
              <w:rPr>
                <w:rFonts w:asciiTheme="minorHAnsi" w:hAnsiTheme="minorHAnsi" w:cs="Arial"/>
                <w:lang w:eastAsia="en-AU"/>
              </w:rPr>
            </w:pPr>
            <w:r w:rsidRPr="00EE498A">
              <w:rPr>
                <w:rFonts w:asciiTheme="minorHAnsi" w:hAnsiTheme="minorHAnsi" w:cs="Arial"/>
                <w:color w:val="auto"/>
                <w:lang w:eastAsia="en-AU"/>
              </w:rPr>
              <w:t>5420</w:t>
            </w:r>
          </w:p>
        </w:tc>
        <w:tc>
          <w:tcPr>
            <w:tcW w:w="2098" w:type="pct"/>
            <w:vAlign w:val="center"/>
          </w:tcPr>
          <w:p w14:paraId="7ADDC3FE" w14:textId="386050B3" w:rsidR="00FD4242" w:rsidRPr="00EE498A" w:rsidRDefault="00FD4242" w:rsidP="00FD4242">
            <w:pPr>
              <w:pStyle w:val="Tabletext"/>
              <w:spacing w:before="20" w:after="20"/>
              <w:rPr>
                <w:rFonts w:asciiTheme="minorHAnsi" w:hAnsiTheme="minorHAnsi" w:cs="Arial"/>
                <w:lang w:eastAsia="en-AU"/>
              </w:rPr>
            </w:pPr>
            <w:r w:rsidRPr="00EE498A">
              <w:rPr>
                <w:rFonts w:asciiTheme="minorHAnsi" w:hAnsiTheme="minorHAnsi" w:cs="Arial"/>
                <w:color w:val="auto"/>
                <w:lang w:eastAsia="en-AU"/>
              </w:rPr>
              <w:t>Software Publishing</w:t>
            </w:r>
          </w:p>
        </w:tc>
        <w:tc>
          <w:tcPr>
            <w:tcW w:w="1690" w:type="pct"/>
            <w:vAlign w:val="center"/>
          </w:tcPr>
          <w:p w14:paraId="28B4D7E4" w14:textId="6204B2C0" w:rsidR="00FD4242" w:rsidRPr="00EE498A" w:rsidRDefault="00FD4242" w:rsidP="00FD4242">
            <w:pPr>
              <w:pStyle w:val="Tabletext"/>
              <w:spacing w:before="20" w:after="20"/>
              <w:rPr>
                <w:rFonts w:asciiTheme="minorHAnsi" w:hAnsiTheme="minorHAnsi" w:cs="Calibri"/>
              </w:rPr>
            </w:pPr>
            <w:r w:rsidRPr="00EE498A">
              <w:rPr>
                <w:rFonts w:asciiTheme="minorHAnsi" w:hAnsiTheme="minorHAnsi" w:cs="Calibri"/>
                <w:color w:val="auto"/>
              </w:rPr>
              <w:t>Print media and publishing (excl. internet)</w:t>
            </w:r>
          </w:p>
        </w:tc>
      </w:tr>
      <w:tr w:rsidR="00FD4242" w:rsidRPr="00EE498A" w14:paraId="4257FCFF" w14:textId="77777777" w:rsidTr="005D3849">
        <w:trPr>
          <w:cantSplit/>
        </w:trPr>
        <w:tc>
          <w:tcPr>
            <w:tcW w:w="1212" w:type="pct"/>
            <w:vAlign w:val="center"/>
          </w:tcPr>
          <w:p w14:paraId="6A1E3F20" w14:textId="4491AD56" w:rsidR="00FD4242" w:rsidRPr="00EE498A" w:rsidRDefault="00FD4242" w:rsidP="00FD4242">
            <w:pPr>
              <w:pStyle w:val="Tabletextcentred"/>
              <w:spacing w:before="20" w:after="20"/>
              <w:rPr>
                <w:rFonts w:asciiTheme="minorHAnsi" w:hAnsiTheme="minorHAnsi" w:cs="Arial"/>
                <w:lang w:eastAsia="en-AU"/>
              </w:rPr>
            </w:pPr>
            <w:r w:rsidRPr="00EE498A">
              <w:rPr>
                <w:rFonts w:asciiTheme="minorHAnsi" w:hAnsiTheme="minorHAnsi" w:cs="Arial"/>
                <w:color w:val="auto"/>
                <w:lang w:eastAsia="en-AU"/>
              </w:rPr>
              <w:t>5511</w:t>
            </w:r>
          </w:p>
        </w:tc>
        <w:tc>
          <w:tcPr>
            <w:tcW w:w="2098" w:type="pct"/>
            <w:vAlign w:val="center"/>
          </w:tcPr>
          <w:p w14:paraId="25688E29" w14:textId="23B388E5" w:rsidR="00FD4242" w:rsidRPr="00EE498A" w:rsidRDefault="00FD4242" w:rsidP="00FD4242">
            <w:pPr>
              <w:pStyle w:val="Tabletext"/>
              <w:spacing w:before="20" w:after="20"/>
              <w:rPr>
                <w:rFonts w:asciiTheme="minorHAnsi" w:hAnsiTheme="minorHAnsi" w:cs="Arial"/>
                <w:lang w:eastAsia="en-AU"/>
              </w:rPr>
            </w:pPr>
            <w:r w:rsidRPr="00EE498A">
              <w:rPr>
                <w:rFonts w:asciiTheme="minorHAnsi" w:hAnsiTheme="minorHAnsi" w:cs="Arial"/>
                <w:color w:val="auto"/>
                <w:lang w:eastAsia="en-AU"/>
              </w:rPr>
              <w:t>Motion Picture and Video Production</w:t>
            </w:r>
          </w:p>
        </w:tc>
        <w:tc>
          <w:tcPr>
            <w:tcW w:w="1690" w:type="pct"/>
            <w:vAlign w:val="center"/>
          </w:tcPr>
          <w:p w14:paraId="37228513" w14:textId="39978C10" w:rsidR="00FD4242" w:rsidRPr="00EE498A" w:rsidRDefault="00FD4242" w:rsidP="00FD4242">
            <w:pPr>
              <w:pStyle w:val="Tabletext"/>
              <w:spacing w:before="20" w:after="20"/>
              <w:rPr>
                <w:rFonts w:asciiTheme="minorHAnsi" w:hAnsiTheme="minorHAnsi" w:cs="Calibri"/>
              </w:rPr>
            </w:pPr>
            <w:r w:rsidRPr="00EE498A">
              <w:rPr>
                <w:rFonts w:asciiTheme="minorHAnsi" w:hAnsiTheme="minorHAnsi" w:cs="Calibri"/>
                <w:color w:val="auto"/>
              </w:rPr>
              <w:t>Film and television activities</w:t>
            </w:r>
          </w:p>
        </w:tc>
      </w:tr>
      <w:tr w:rsidR="00FD4242" w:rsidRPr="00EE498A" w14:paraId="610CE336" w14:textId="77777777" w:rsidTr="005D3849">
        <w:trPr>
          <w:cnfStyle w:val="000000010000" w:firstRow="0" w:lastRow="0" w:firstColumn="0" w:lastColumn="0" w:oddVBand="0" w:evenVBand="0" w:oddHBand="0" w:evenHBand="1" w:firstRowFirstColumn="0" w:firstRowLastColumn="0" w:lastRowFirstColumn="0" w:lastRowLastColumn="0"/>
          <w:cantSplit/>
        </w:trPr>
        <w:tc>
          <w:tcPr>
            <w:tcW w:w="1212" w:type="pct"/>
            <w:vAlign w:val="center"/>
          </w:tcPr>
          <w:p w14:paraId="5DCD52E9" w14:textId="46758155" w:rsidR="00FD4242" w:rsidRPr="00EE498A" w:rsidRDefault="00FD4242" w:rsidP="00FD4242">
            <w:pPr>
              <w:pStyle w:val="Tabletextcentred"/>
              <w:spacing w:before="20" w:after="20"/>
              <w:rPr>
                <w:rFonts w:asciiTheme="minorHAnsi" w:hAnsiTheme="minorHAnsi" w:cs="Arial"/>
                <w:lang w:eastAsia="en-AU"/>
              </w:rPr>
            </w:pPr>
            <w:r w:rsidRPr="00EE498A">
              <w:rPr>
                <w:rFonts w:asciiTheme="minorHAnsi" w:hAnsiTheme="minorHAnsi" w:cs="Arial"/>
                <w:color w:val="auto"/>
                <w:lang w:eastAsia="en-AU"/>
              </w:rPr>
              <w:t>5512</w:t>
            </w:r>
          </w:p>
        </w:tc>
        <w:tc>
          <w:tcPr>
            <w:tcW w:w="2098" w:type="pct"/>
            <w:vAlign w:val="center"/>
          </w:tcPr>
          <w:p w14:paraId="28F2A51D" w14:textId="24EF773E" w:rsidR="00FD4242" w:rsidRPr="00EE498A" w:rsidRDefault="00FD4242" w:rsidP="00FD4242">
            <w:pPr>
              <w:pStyle w:val="Tabletext"/>
              <w:spacing w:before="20" w:after="20"/>
              <w:rPr>
                <w:rFonts w:asciiTheme="minorHAnsi" w:hAnsiTheme="minorHAnsi" w:cs="Arial"/>
                <w:lang w:eastAsia="en-AU"/>
              </w:rPr>
            </w:pPr>
            <w:r w:rsidRPr="00EE498A">
              <w:rPr>
                <w:rFonts w:asciiTheme="minorHAnsi" w:hAnsiTheme="minorHAnsi" w:cs="Arial"/>
                <w:color w:val="auto"/>
                <w:lang w:eastAsia="en-AU"/>
              </w:rPr>
              <w:t>Motion Picture and Video Distribution</w:t>
            </w:r>
          </w:p>
        </w:tc>
        <w:tc>
          <w:tcPr>
            <w:tcW w:w="1690" w:type="pct"/>
            <w:vAlign w:val="center"/>
          </w:tcPr>
          <w:p w14:paraId="7FB515A9" w14:textId="11BE4571" w:rsidR="00FD4242" w:rsidRPr="00EE498A" w:rsidRDefault="00FD4242" w:rsidP="00FD4242">
            <w:pPr>
              <w:pStyle w:val="Tabletext"/>
              <w:spacing w:before="20" w:after="20"/>
              <w:rPr>
                <w:rFonts w:asciiTheme="minorHAnsi" w:hAnsiTheme="minorHAnsi" w:cs="Calibri"/>
              </w:rPr>
            </w:pPr>
            <w:r w:rsidRPr="00EE498A">
              <w:rPr>
                <w:rFonts w:asciiTheme="minorHAnsi" w:hAnsiTheme="minorHAnsi" w:cs="Calibri"/>
                <w:color w:val="auto"/>
              </w:rPr>
              <w:t>Film and television activities</w:t>
            </w:r>
          </w:p>
        </w:tc>
      </w:tr>
      <w:tr w:rsidR="00FD4242" w:rsidRPr="00EE498A" w14:paraId="2E4BFBA4" w14:textId="77777777" w:rsidTr="005D3849">
        <w:trPr>
          <w:cantSplit/>
        </w:trPr>
        <w:tc>
          <w:tcPr>
            <w:tcW w:w="1212" w:type="pct"/>
            <w:vAlign w:val="center"/>
          </w:tcPr>
          <w:p w14:paraId="11DB7EF4" w14:textId="34019FDD" w:rsidR="00FD4242" w:rsidRPr="00EE498A" w:rsidRDefault="00FD4242" w:rsidP="00FD4242">
            <w:pPr>
              <w:pStyle w:val="Tabletextcentred"/>
              <w:spacing w:before="20" w:after="20"/>
              <w:rPr>
                <w:rFonts w:asciiTheme="minorHAnsi" w:hAnsiTheme="minorHAnsi" w:cs="Arial"/>
                <w:lang w:eastAsia="en-AU"/>
              </w:rPr>
            </w:pPr>
            <w:r w:rsidRPr="00EE498A">
              <w:rPr>
                <w:rFonts w:asciiTheme="minorHAnsi" w:hAnsiTheme="minorHAnsi" w:cs="Arial"/>
                <w:color w:val="auto"/>
                <w:lang w:eastAsia="en-AU"/>
              </w:rPr>
              <w:t>5513</w:t>
            </w:r>
          </w:p>
        </w:tc>
        <w:tc>
          <w:tcPr>
            <w:tcW w:w="2098" w:type="pct"/>
            <w:vAlign w:val="center"/>
          </w:tcPr>
          <w:p w14:paraId="2CA21C7A" w14:textId="3D5EC098" w:rsidR="00FD4242" w:rsidRPr="00EE498A" w:rsidRDefault="00FD4242" w:rsidP="00FD4242">
            <w:pPr>
              <w:pStyle w:val="Tabletext"/>
              <w:spacing w:before="20" w:after="20"/>
              <w:rPr>
                <w:rFonts w:asciiTheme="minorHAnsi" w:hAnsiTheme="minorHAnsi" w:cs="Arial"/>
                <w:lang w:eastAsia="en-AU"/>
              </w:rPr>
            </w:pPr>
            <w:r w:rsidRPr="00EE498A">
              <w:rPr>
                <w:rFonts w:asciiTheme="minorHAnsi" w:hAnsiTheme="minorHAnsi" w:cs="Arial"/>
                <w:color w:val="auto"/>
                <w:lang w:eastAsia="en-AU"/>
              </w:rPr>
              <w:t>Motion Picture Exhibition</w:t>
            </w:r>
          </w:p>
        </w:tc>
        <w:tc>
          <w:tcPr>
            <w:tcW w:w="1690" w:type="pct"/>
            <w:vAlign w:val="center"/>
          </w:tcPr>
          <w:p w14:paraId="622B32E2" w14:textId="770F62DA" w:rsidR="00FD4242" w:rsidRPr="00EE498A" w:rsidRDefault="00FD4242" w:rsidP="00FD4242">
            <w:pPr>
              <w:pStyle w:val="Tabletext"/>
              <w:spacing w:before="20" w:after="20"/>
              <w:rPr>
                <w:rFonts w:asciiTheme="minorHAnsi" w:hAnsiTheme="minorHAnsi" w:cs="Calibri"/>
              </w:rPr>
            </w:pPr>
            <w:r w:rsidRPr="00EE498A">
              <w:rPr>
                <w:rFonts w:asciiTheme="minorHAnsi" w:hAnsiTheme="minorHAnsi" w:cs="Calibri"/>
                <w:color w:val="auto"/>
              </w:rPr>
              <w:t>Film and television activities</w:t>
            </w:r>
          </w:p>
        </w:tc>
      </w:tr>
      <w:tr w:rsidR="00FD4242" w:rsidRPr="00EE498A" w14:paraId="65EB80AD" w14:textId="77777777" w:rsidTr="005D3849">
        <w:trPr>
          <w:cnfStyle w:val="000000010000" w:firstRow="0" w:lastRow="0" w:firstColumn="0" w:lastColumn="0" w:oddVBand="0" w:evenVBand="0" w:oddHBand="0" w:evenHBand="1" w:firstRowFirstColumn="0" w:firstRowLastColumn="0" w:lastRowFirstColumn="0" w:lastRowLastColumn="0"/>
          <w:cantSplit/>
        </w:trPr>
        <w:tc>
          <w:tcPr>
            <w:tcW w:w="1212" w:type="pct"/>
            <w:vAlign w:val="center"/>
          </w:tcPr>
          <w:p w14:paraId="10F09996" w14:textId="16B46230" w:rsidR="00FD4242" w:rsidRPr="00EE498A" w:rsidRDefault="00FD4242" w:rsidP="00FD4242">
            <w:pPr>
              <w:pStyle w:val="Tabletextcentred"/>
              <w:spacing w:before="20" w:after="20"/>
              <w:rPr>
                <w:rFonts w:asciiTheme="minorHAnsi" w:hAnsiTheme="minorHAnsi" w:cs="Arial"/>
                <w:lang w:eastAsia="en-AU"/>
              </w:rPr>
            </w:pPr>
            <w:r w:rsidRPr="00EE498A">
              <w:rPr>
                <w:rFonts w:asciiTheme="minorHAnsi" w:hAnsiTheme="minorHAnsi" w:cs="Arial"/>
                <w:color w:val="auto"/>
                <w:lang w:eastAsia="en-AU"/>
              </w:rPr>
              <w:t>5514</w:t>
            </w:r>
          </w:p>
        </w:tc>
        <w:tc>
          <w:tcPr>
            <w:tcW w:w="2098" w:type="pct"/>
            <w:vAlign w:val="center"/>
          </w:tcPr>
          <w:p w14:paraId="7940BA0C" w14:textId="21279026" w:rsidR="00FD4242" w:rsidRPr="00EE498A" w:rsidRDefault="00FD4242" w:rsidP="00FD4242">
            <w:pPr>
              <w:pStyle w:val="Tabletext"/>
              <w:spacing w:before="20" w:after="20"/>
              <w:rPr>
                <w:rFonts w:asciiTheme="minorHAnsi" w:hAnsiTheme="minorHAnsi" w:cs="Arial"/>
                <w:lang w:eastAsia="en-AU"/>
              </w:rPr>
            </w:pPr>
            <w:r w:rsidRPr="00EE498A">
              <w:rPr>
                <w:rFonts w:asciiTheme="minorHAnsi" w:hAnsiTheme="minorHAnsi" w:cs="Arial"/>
                <w:color w:val="auto"/>
                <w:lang w:eastAsia="en-AU"/>
              </w:rPr>
              <w:t>Post-production Services and Other Motion Picture and Video Activities</w:t>
            </w:r>
          </w:p>
        </w:tc>
        <w:tc>
          <w:tcPr>
            <w:tcW w:w="1690" w:type="pct"/>
            <w:vAlign w:val="center"/>
          </w:tcPr>
          <w:p w14:paraId="432E6528" w14:textId="05D1CAF0" w:rsidR="00FD4242" w:rsidRPr="00EE498A" w:rsidRDefault="00FD4242" w:rsidP="00FD4242">
            <w:pPr>
              <w:pStyle w:val="Tabletext"/>
              <w:spacing w:before="20" w:after="20"/>
              <w:rPr>
                <w:rFonts w:asciiTheme="minorHAnsi" w:hAnsiTheme="minorHAnsi" w:cs="Calibri"/>
              </w:rPr>
            </w:pPr>
            <w:r w:rsidRPr="00EE498A">
              <w:rPr>
                <w:rFonts w:asciiTheme="minorHAnsi" w:hAnsiTheme="minorHAnsi" w:cs="Calibri"/>
                <w:color w:val="auto"/>
              </w:rPr>
              <w:t>Film and television activities</w:t>
            </w:r>
          </w:p>
        </w:tc>
      </w:tr>
      <w:tr w:rsidR="00FD4242" w:rsidRPr="00EE498A" w14:paraId="73C77B3C" w14:textId="77777777" w:rsidTr="005D3849">
        <w:trPr>
          <w:cantSplit/>
        </w:trPr>
        <w:tc>
          <w:tcPr>
            <w:tcW w:w="1212" w:type="pct"/>
            <w:vAlign w:val="center"/>
          </w:tcPr>
          <w:p w14:paraId="490C681E" w14:textId="46CFB205" w:rsidR="00FD4242" w:rsidRPr="00EE498A" w:rsidRDefault="00FD4242" w:rsidP="00FD4242">
            <w:pPr>
              <w:pStyle w:val="Tabletextcentred"/>
              <w:spacing w:before="20" w:after="20"/>
              <w:rPr>
                <w:rFonts w:asciiTheme="minorHAnsi" w:hAnsiTheme="minorHAnsi" w:cs="Arial"/>
                <w:lang w:eastAsia="en-AU"/>
              </w:rPr>
            </w:pPr>
            <w:r w:rsidRPr="00EE498A">
              <w:rPr>
                <w:rFonts w:asciiTheme="minorHAnsi" w:hAnsiTheme="minorHAnsi" w:cs="Arial"/>
                <w:color w:val="auto"/>
                <w:lang w:eastAsia="en-AU"/>
              </w:rPr>
              <w:t>5521</w:t>
            </w:r>
          </w:p>
        </w:tc>
        <w:tc>
          <w:tcPr>
            <w:tcW w:w="2098" w:type="pct"/>
            <w:vAlign w:val="center"/>
          </w:tcPr>
          <w:p w14:paraId="7C03309E" w14:textId="28ED4229" w:rsidR="00FD4242" w:rsidRPr="00EE498A" w:rsidRDefault="00FD4242" w:rsidP="00FD4242">
            <w:pPr>
              <w:pStyle w:val="Tabletext"/>
              <w:spacing w:before="20" w:after="20"/>
              <w:rPr>
                <w:rFonts w:asciiTheme="minorHAnsi" w:hAnsiTheme="minorHAnsi" w:cs="Arial"/>
                <w:lang w:eastAsia="en-AU"/>
              </w:rPr>
            </w:pPr>
            <w:r w:rsidRPr="00EE498A">
              <w:rPr>
                <w:rFonts w:asciiTheme="minorHAnsi" w:hAnsiTheme="minorHAnsi" w:cs="Arial"/>
                <w:color w:val="auto"/>
                <w:lang w:eastAsia="en-AU"/>
              </w:rPr>
              <w:t>Music Publishing</w:t>
            </w:r>
          </w:p>
        </w:tc>
        <w:tc>
          <w:tcPr>
            <w:tcW w:w="1690" w:type="pct"/>
            <w:vAlign w:val="center"/>
          </w:tcPr>
          <w:p w14:paraId="216D28EB" w14:textId="310FD84A" w:rsidR="00FD4242" w:rsidRPr="00EE498A" w:rsidRDefault="00FD4242" w:rsidP="00FD4242">
            <w:pPr>
              <w:pStyle w:val="Tabletext"/>
              <w:spacing w:before="20" w:after="20"/>
              <w:rPr>
                <w:rFonts w:asciiTheme="minorHAnsi" w:hAnsiTheme="minorHAnsi" w:cs="Calibri"/>
              </w:rPr>
            </w:pPr>
            <w:r w:rsidRPr="00EE498A">
              <w:rPr>
                <w:rFonts w:asciiTheme="minorHAnsi" w:hAnsiTheme="minorHAnsi" w:cs="Calibri"/>
                <w:color w:val="auto"/>
              </w:rPr>
              <w:t>Music production and distribution</w:t>
            </w:r>
          </w:p>
        </w:tc>
      </w:tr>
      <w:tr w:rsidR="00FD4242" w:rsidRPr="00EE498A" w14:paraId="5280FCFE" w14:textId="77777777" w:rsidTr="005D3849">
        <w:trPr>
          <w:cnfStyle w:val="000000010000" w:firstRow="0" w:lastRow="0" w:firstColumn="0" w:lastColumn="0" w:oddVBand="0" w:evenVBand="0" w:oddHBand="0" w:evenHBand="1" w:firstRowFirstColumn="0" w:firstRowLastColumn="0" w:lastRowFirstColumn="0" w:lastRowLastColumn="0"/>
          <w:cantSplit/>
        </w:trPr>
        <w:tc>
          <w:tcPr>
            <w:tcW w:w="1212" w:type="pct"/>
            <w:vAlign w:val="center"/>
          </w:tcPr>
          <w:p w14:paraId="7AE5BD67" w14:textId="39768E17" w:rsidR="00FD4242" w:rsidRPr="00EE498A" w:rsidRDefault="00FD4242" w:rsidP="00FD4242">
            <w:pPr>
              <w:pStyle w:val="Tabletextcentred"/>
              <w:spacing w:before="20" w:after="20"/>
              <w:rPr>
                <w:rFonts w:asciiTheme="minorHAnsi" w:hAnsiTheme="minorHAnsi" w:cs="Arial"/>
                <w:lang w:eastAsia="en-AU"/>
              </w:rPr>
            </w:pPr>
            <w:r w:rsidRPr="00EE498A">
              <w:rPr>
                <w:rFonts w:asciiTheme="minorHAnsi" w:hAnsiTheme="minorHAnsi" w:cs="Arial"/>
                <w:color w:val="auto"/>
                <w:lang w:eastAsia="en-AU"/>
              </w:rPr>
              <w:t>5522</w:t>
            </w:r>
          </w:p>
        </w:tc>
        <w:tc>
          <w:tcPr>
            <w:tcW w:w="2098" w:type="pct"/>
            <w:vAlign w:val="center"/>
          </w:tcPr>
          <w:p w14:paraId="5AA02090" w14:textId="1435DED3" w:rsidR="00FD4242" w:rsidRPr="00EE498A" w:rsidRDefault="00FD4242" w:rsidP="00FD4242">
            <w:pPr>
              <w:pStyle w:val="Tabletext"/>
              <w:spacing w:before="20" w:after="20"/>
              <w:rPr>
                <w:rFonts w:asciiTheme="minorHAnsi" w:hAnsiTheme="minorHAnsi" w:cs="Arial"/>
                <w:lang w:eastAsia="en-AU"/>
              </w:rPr>
            </w:pPr>
            <w:r w:rsidRPr="00EE498A">
              <w:rPr>
                <w:rFonts w:asciiTheme="minorHAnsi" w:hAnsiTheme="minorHAnsi" w:cs="Arial"/>
                <w:color w:val="auto"/>
                <w:lang w:eastAsia="en-AU"/>
              </w:rPr>
              <w:t>Music and Other Sound Recording Activities</w:t>
            </w:r>
          </w:p>
        </w:tc>
        <w:tc>
          <w:tcPr>
            <w:tcW w:w="1690" w:type="pct"/>
            <w:vAlign w:val="center"/>
          </w:tcPr>
          <w:p w14:paraId="4C0E0FCD" w14:textId="71B20FA7" w:rsidR="00FD4242" w:rsidRPr="00EE498A" w:rsidRDefault="00FD4242" w:rsidP="00FD4242">
            <w:pPr>
              <w:pStyle w:val="Tabletext"/>
              <w:spacing w:before="20" w:after="20"/>
              <w:rPr>
                <w:rFonts w:asciiTheme="minorHAnsi" w:hAnsiTheme="minorHAnsi" w:cs="Calibri"/>
              </w:rPr>
            </w:pPr>
            <w:r w:rsidRPr="00EE498A">
              <w:rPr>
                <w:rFonts w:asciiTheme="minorHAnsi" w:hAnsiTheme="minorHAnsi" w:cs="Calibri"/>
                <w:color w:val="auto"/>
              </w:rPr>
              <w:t>Music production and distribution</w:t>
            </w:r>
          </w:p>
        </w:tc>
      </w:tr>
      <w:tr w:rsidR="00FD4242" w:rsidRPr="00EE498A" w14:paraId="03D5D0F9" w14:textId="77777777" w:rsidTr="005D3849">
        <w:trPr>
          <w:cantSplit/>
        </w:trPr>
        <w:tc>
          <w:tcPr>
            <w:tcW w:w="1212" w:type="pct"/>
            <w:vAlign w:val="center"/>
          </w:tcPr>
          <w:p w14:paraId="5B5D5281" w14:textId="3CBE85B2" w:rsidR="00FD4242" w:rsidRPr="00EE498A" w:rsidRDefault="00FD4242" w:rsidP="00FD4242">
            <w:pPr>
              <w:pStyle w:val="Tabletextcentred"/>
              <w:spacing w:before="20" w:after="20"/>
              <w:rPr>
                <w:rFonts w:asciiTheme="minorHAnsi" w:hAnsiTheme="minorHAnsi" w:cs="Arial"/>
                <w:lang w:eastAsia="en-AU"/>
              </w:rPr>
            </w:pPr>
            <w:r w:rsidRPr="00EE498A">
              <w:rPr>
                <w:rFonts w:asciiTheme="minorHAnsi" w:hAnsiTheme="minorHAnsi" w:cs="Arial"/>
                <w:color w:val="auto"/>
                <w:lang w:eastAsia="en-AU"/>
              </w:rPr>
              <w:t>5610</w:t>
            </w:r>
          </w:p>
        </w:tc>
        <w:tc>
          <w:tcPr>
            <w:tcW w:w="2098" w:type="pct"/>
            <w:vAlign w:val="center"/>
          </w:tcPr>
          <w:p w14:paraId="2632F82E" w14:textId="741BE211" w:rsidR="00FD4242" w:rsidRPr="00EE498A" w:rsidRDefault="00FD4242" w:rsidP="00FD4242">
            <w:pPr>
              <w:pStyle w:val="Tabletext"/>
              <w:spacing w:before="20" w:after="20"/>
              <w:rPr>
                <w:rFonts w:asciiTheme="minorHAnsi" w:hAnsiTheme="minorHAnsi" w:cs="Arial"/>
                <w:lang w:eastAsia="en-AU"/>
              </w:rPr>
            </w:pPr>
            <w:r w:rsidRPr="00EE498A">
              <w:rPr>
                <w:rFonts w:asciiTheme="minorHAnsi" w:hAnsiTheme="minorHAnsi" w:cs="Arial"/>
                <w:color w:val="auto"/>
                <w:lang w:eastAsia="en-AU"/>
              </w:rPr>
              <w:t>Radio Broadcasting</w:t>
            </w:r>
          </w:p>
        </w:tc>
        <w:tc>
          <w:tcPr>
            <w:tcW w:w="1690" w:type="pct"/>
            <w:vAlign w:val="center"/>
          </w:tcPr>
          <w:p w14:paraId="0C67C3F9" w14:textId="6CBC8F4C" w:rsidR="00FD4242" w:rsidRPr="00EE498A" w:rsidRDefault="00FD4242" w:rsidP="00FD4242">
            <w:pPr>
              <w:pStyle w:val="Tabletext"/>
              <w:spacing w:before="20" w:after="20"/>
              <w:rPr>
                <w:rFonts w:asciiTheme="minorHAnsi" w:hAnsiTheme="minorHAnsi" w:cs="Calibri"/>
              </w:rPr>
            </w:pPr>
            <w:r w:rsidRPr="00EE498A">
              <w:rPr>
                <w:rFonts w:asciiTheme="minorHAnsi" w:hAnsiTheme="minorHAnsi" w:cs="Calibri"/>
                <w:color w:val="auto"/>
              </w:rPr>
              <w:t>Radio Broadcasting</w:t>
            </w:r>
          </w:p>
        </w:tc>
      </w:tr>
      <w:tr w:rsidR="00FD4242" w:rsidRPr="00EE498A" w14:paraId="19272300" w14:textId="77777777" w:rsidTr="005D3849">
        <w:trPr>
          <w:cnfStyle w:val="000000010000" w:firstRow="0" w:lastRow="0" w:firstColumn="0" w:lastColumn="0" w:oddVBand="0" w:evenVBand="0" w:oddHBand="0" w:evenHBand="1" w:firstRowFirstColumn="0" w:firstRowLastColumn="0" w:lastRowFirstColumn="0" w:lastRowLastColumn="0"/>
          <w:cantSplit/>
        </w:trPr>
        <w:tc>
          <w:tcPr>
            <w:tcW w:w="1212" w:type="pct"/>
            <w:vAlign w:val="center"/>
          </w:tcPr>
          <w:p w14:paraId="59F8C755" w14:textId="0D7682FB" w:rsidR="00FD4242" w:rsidRPr="00EE498A" w:rsidRDefault="00FD4242" w:rsidP="00FD4242">
            <w:pPr>
              <w:pStyle w:val="Tabletextcentred"/>
              <w:spacing w:before="20" w:after="20"/>
              <w:rPr>
                <w:rFonts w:asciiTheme="minorHAnsi" w:hAnsiTheme="minorHAnsi" w:cs="Arial"/>
                <w:lang w:eastAsia="en-AU"/>
              </w:rPr>
            </w:pPr>
            <w:r w:rsidRPr="00EE498A">
              <w:rPr>
                <w:rFonts w:asciiTheme="minorHAnsi" w:hAnsiTheme="minorHAnsi" w:cs="Arial"/>
                <w:color w:val="auto"/>
                <w:lang w:eastAsia="en-AU"/>
              </w:rPr>
              <w:t>5621</w:t>
            </w:r>
          </w:p>
        </w:tc>
        <w:tc>
          <w:tcPr>
            <w:tcW w:w="2098" w:type="pct"/>
            <w:vAlign w:val="center"/>
          </w:tcPr>
          <w:p w14:paraId="3803E145" w14:textId="168B91B5" w:rsidR="00FD4242" w:rsidRPr="00EE498A" w:rsidRDefault="00FD4242" w:rsidP="00FD4242">
            <w:pPr>
              <w:pStyle w:val="Tabletext"/>
              <w:spacing w:before="20" w:after="20"/>
              <w:rPr>
                <w:rFonts w:asciiTheme="minorHAnsi" w:hAnsiTheme="minorHAnsi" w:cs="Arial"/>
                <w:lang w:eastAsia="en-AU"/>
              </w:rPr>
            </w:pPr>
            <w:r w:rsidRPr="00EE498A">
              <w:rPr>
                <w:rFonts w:asciiTheme="minorHAnsi" w:hAnsiTheme="minorHAnsi" w:cs="Arial"/>
                <w:color w:val="auto"/>
                <w:lang w:eastAsia="en-AU"/>
              </w:rPr>
              <w:t>Free-to-Air Television Broadcasting</w:t>
            </w:r>
          </w:p>
        </w:tc>
        <w:tc>
          <w:tcPr>
            <w:tcW w:w="1690" w:type="pct"/>
            <w:vAlign w:val="center"/>
          </w:tcPr>
          <w:p w14:paraId="07E5E24C" w14:textId="03617AEA" w:rsidR="00FD4242" w:rsidRPr="00EE498A" w:rsidRDefault="00FD4242" w:rsidP="00FD4242">
            <w:pPr>
              <w:pStyle w:val="Tabletext"/>
              <w:spacing w:before="20" w:after="20"/>
              <w:rPr>
                <w:rFonts w:asciiTheme="minorHAnsi" w:hAnsiTheme="minorHAnsi" w:cs="Calibri"/>
              </w:rPr>
            </w:pPr>
            <w:r w:rsidRPr="00EE498A">
              <w:rPr>
                <w:rFonts w:asciiTheme="minorHAnsi" w:hAnsiTheme="minorHAnsi" w:cs="Calibri"/>
                <w:color w:val="auto"/>
              </w:rPr>
              <w:t>Film and television activities</w:t>
            </w:r>
          </w:p>
        </w:tc>
      </w:tr>
      <w:tr w:rsidR="00FD4242" w:rsidRPr="00EE498A" w14:paraId="76ABD193" w14:textId="77777777" w:rsidTr="005D3849">
        <w:trPr>
          <w:cantSplit/>
        </w:trPr>
        <w:tc>
          <w:tcPr>
            <w:tcW w:w="1212" w:type="pct"/>
            <w:vAlign w:val="center"/>
          </w:tcPr>
          <w:p w14:paraId="73CA00AA" w14:textId="3893DFC6" w:rsidR="00FD4242" w:rsidRPr="00EE498A" w:rsidRDefault="00FD4242" w:rsidP="00FD4242">
            <w:pPr>
              <w:pStyle w:val="Tabletextcentred"/>
              <w:spacing w:before="20" w:after="20"/>
              <w:rPr>
                <w:rFonts w:asciiTheme="minorHAnsi" w:hAnsiTheme="minorHAnsi" w:cs="Arial"/>
                <w:lang w:eastAsia="en-AU"/>
              </w:rPr>
            </w:pPr>
            <w:r w:rsidRPr="00EE498A">
              <w:rPr>
                <w:rFonts w:asciiTheme="minorHAnsi" w:hAnsiTheme="minorHAnsi" w:cs="Arial"/>
                <w:color w:val="auto"/>
                <w:lang w:eastAsia="en-AU"/>
              </w:rPr>
              <w:t>5622</w:t>
            </w:r>
          </w:p>
        </w:tc>
        <w:tc>
          <w:tcPr>
            <w:tcW w:w="2098" w:type="pct"/>
            <w:vAlign w:val="center"/>
          </w:tcPr>
          <w:p w14:paraId="27887145" w14:textId="1BFC9403" w:rsidR="00FD4242" w:rsidRPr="00EE498A" w:rsidRDefault="00FD4242" w:rsidP="00FD4242">
            <w:pPr>
              <w:pStyle w:val="Tabletext"/>
              <w:spacing w:before="20" w:after="20"/>
              <w:rPr>
                <w:rFonts w:asciiTheme="minorHAnsi" w:hAnsiTheme="minorHAnsi" w:cs="Arial"/>
                <w:lang w:eastAsia="en-AU"/>
              </w:rPr>
            </w:pPr>
            <w:r w:rsidRPr="00EE498A">
              <w:rPr>
                <w:rFonts w:asciiTheme="minorHAnsi" w:hAnsiTheme="minorHAnsi" w:cs="Arial"/>
                <w:color w:val="auto"/>
                <w:lang w:eastAsia="en-AU"/>
              </w:rPr>
              <w:t>Cable and Other Subscription Broadcasting</w:t>
            </w:r>
          </w:p>
        </w:tc>
        <w:tc>
          <w:tcPr>
            <w:tcW w:w="1690" w:type="pct"/>
            <w:vAlign w:val="center"/>
          </w:tcPr>
          <w:p w14:paraId="386E331E" w14:textId="43C6EBD7" w:rsidR="00FD4242" w:rsidRPr="00EE498A" w:rsidRDefault="00FD4242" w:rsidP="00FD4242">
            <w:pPr>
              <w:pStyle w:val="Tabletext"/>
              <w:spacing w:before="20" w:after="20"/>
              <w:rPr>
                <w:rFonts w:asciiTheme="minorHAnsi" w:hAnsiTheme="minorHAnsi" w:cs="Calibri"/>
              </w:rPr>
            </w:pPr>
            <w:r w:rsidRPr="00EE498A">
              <w:rPr>
                <w:rFonts w:asciiTheme="minorHAnsi" w:hAnsiTheme="minorHAnsi" w:cs="Calibri"/>
                <w:color w:val="auto"/>
              </w:rPr>
              <w:t>Film and television activities</w:t>
            </w:r>
          </w:p>
        </w:tc>
      </w:tr>
      <w:tr w:rsidR="00FD4242" w:rsidRPr="00EE498A" w14:paraId="492EA5FE" w14:textId="77777777" w:rsidTr="005D3849">
        <w:trPr>
          <w:cnfStyle w:val="000000010000" w:firstRow="0" w:lastRow="0" w:firstColumn="0" w:lastColumn="0" w:oddVBand="0" w:evenVBand="0" w:oddHBand="0" w:evenHBand="1" w:firstRowFirstColumn="0" w:firstRowLastColumn="0" w:lastRowFirstColumn="0" w:lastRowLastColumn="0"/>
          <w:cantSplit/>
        </w:trPr>
        <w:tc>
          <w:tcPr>
            <w:tcW w:w="1212" w:type="pct"/>
            <w:vAlign w:val="center"/>
          </w:tcPr>
          <w:p w14:paraId="2168735A" w14:textId="1DA2E442" w:rsidR="00FD4242" w:rsidRPr="00EE498A" w:rsidRDefault="00FD4242" w:rsidP="00FD4242">
            <w:pPr>
              <w:pStyle w:val="Tabletextcentred"/>
              <w:spacing w:before="20" w:after="20"/>
              <w:rPr>
                <w:rFonts w:asciiTheme="minorHAnsi" w:hAnsiTheme="minorHAnsi" w:cs="Arial"/>
                <w:lang w:eastAsia="en-AU"/>
              </w:rPr>
            </w:pPr>
            <w:r w:rsidRPr="00EE498A">
              <w:rPr>
                <w:rFonts w:asciiTheme="minorHAnsi" w:hAnsiTheme="minorHAnsi" w:cs="Arial"/>
                <w:color w:val="auto"/>
                <w:lang w:eastAsia="en-AU"/>
              </w:rPr>
              <w:t>5700</w:t>
            </w:r>
          </w:p>
        </w:tc>
        <w:tc>
          <w:tcPr>
            <w:tcW w:w="2098" w:type="pct"/>
            <w:vAlign w:val="center"/>
          </w:tcPr>
          <w:p w14:paraId="3F1E0AA7" w14:textId="0D1B696F" w:rsidR="00FD4242" w:rsidRPr="00EE498A" w:rsidRDefault="00FD4242" w:rsidP="00FD4242">
            <w:pPr>
              <w:pStyle w:val="Tabletext"/>
              <w:spacing w:before="20" w:after="20"/>
              <w:rPr>
                <w:rFonts w:asciiTheme="minorHAnsi" w:hAnsiTheme="minorHAnsi" w:cs="Arial"/>
                <w:lang w:eastAsia="en-AU"/>
              </w:rPr>
            </w:pPr>
            <w:r w:rsidRPr="00EE498A">
              <w:rPr>
                <w:rFonts w:asciiTheme="minorHAnsi" w:hAnsiTheme="minorHAnsi" w:cs="Arial"/>
                <w:color w:val="auto"/>
                <w:lang w:eastAsia="en-AU"/>
              </w:rPr>
              <w:t>Internet Publishing and Broadcasting</w:t>
            </w:r>
          </w:p>
        </w:tc>
        <w:tc>
          <w:tcPr>
            <w:tcW w:w="1690" w:type="pct"/>
            <w:vAlign w:val="center"/>
          </w:tcPr>
          <w:p w14:paraId="7E8B8307" w14:textId="6FA8764D" w:rsidR="00FD4242" w:rsidRPr="00EE498A" w:rsidRDefault="00FD4242" w:rsidP="00FD4242">
            <w:pPr>
              <w:pStyle w:val="Tabletext"/>
              <w:spacing w:before="20" w:after="20"/>
              <w:rPr>
                <w:rFonts w:asciiTheme="minorHAnsi" w:hAnsiTheme="minorHAnsi" w:cs="Calibri"/>
              </w:rPr>
            </w:pPr>
            <w:r w:rsidRPr="00EE498A">
              <w:rPr>
                <w:rFonts w:asciiTheme="minorHAnsi" w:hAnsiTheme="minorHAnsi" w:cs="Calibri"/>
                <w:color w:val="auto"/>
              </w:rPr>
              <w:t>Internet publishing and broadcasting</w:t>
            </w:r>
          </w:p>
        </w:tc>
      </w:tr>
      <w:tr w:rsidR="00FD4242" w:rsidRPr="00EE498A" w14:paraId="354781A6" w14:textId="77777777" w:rsidTr="005D3849">
        <w:trPr>
          <w:cantSplit/>
        </w:trPr>
        <w:tc>
          <w:tcPr>
            <w:tcW w:w="1212" w:type="pct"/>
            <w:vAlign w:val="center"/>
          </w:tcPr>
          <w:p w14:paraId="594364B4" w14:textId="13459BCB" w:rsidR="00FD4242" w:rsidRPr="00EE498A" w:rsidRDefault="00FD4242" w:rsidP="00FD4242">
            <w:pPr>
              <w:pStyle w:val="Tabletextcentred"/>
              <w:spacing w:before="20" w:after="20"/>
              <w:rPr>
                <w:rFonts w:asciiTheme="minorHAnsi" w:hAnsiTheme="minorHAnsi" w:cs="Arial"/>
                <w:lang w:eastAsia="en-AU"/>
              </w:rPr>
            </w:pPr>
            <w:r w:rsidRPr="00EE498A">
              <w:rPr>
                <w:rFonts w:asciiTheme="minorHAnsi" w:hAnsiTheme="minorHAnsi" w:cs="Arial"/>
                <w:color w:val="auto"/>
                <w:lang w:eastAsia="en-AU"/>
              </w:rPr>
              <w:t>6010</w:t>
            </w:r>
          </w:p>
        </w:tc>
        <w:tc>
          <w:tcPr>
            <w:tcW w:w="2098" w:type="pct"/>
            <w:vAlign w:val="center"/>
          </w:tcPr>
          <w:p w14:paraId="097B22D0" w14:textId="70767018" w:rsidR="00FD4242" w:rsidRPr="00EE498A" w:rsidRDefault="00FD4242" w:rsidP="00FD4242">
            <w:pPr>
              <w:pStyle w:val="Tabletext"/>
              <w:spacing w:before="20" w:after="20"/>
              <w:rPr>
                <w:rFonts w:asciiTheme="minorHAnsi" w:hAnsiTheme="minorHAnsi" w:cs="Arial"/>
                <w:lang w:eastAsia="en-AU"/>
              </w:rPr>
            </w:pPr>
            <w:r w:rsidRPr="00EE498A">
              <w:rPr>
                <w:rFonts w:asciiTheme="minorHAnsi" w:hAnsiTheme="minorHAnsi" w:cs="Arial"/>
                <w:color w:val="auto"/>
                <w:lang w:eastAsia="en-AU"/>
              </w:rPr>
              <w:t>Libraries and Archives</w:t>
            </w:r>
          </w:p>
        </w:tc>
        <w:tc>
          <w:tcPr>
            <w:tcW w:w="1690" w:type="pct"/>
            <w:vAlign w:val="center"/>
          </w:tcPr>
          <w:p w14:paraId="53F33BBC" w14:textId="0AB72F26" w:rsidR="00FD4242" w:rsidRPr="00EE498A" w:rsidRDefault="00FD4242" w:rsidP="00FD4242">
            <w:pPr>
              <w:pStyle w:val="Tabletext"/>
              <w:spacing w:before="20" w:after="20"/>
              <w:rPr>
                <w:rFonts w:asciiTheme="minorHAnsi" w:hAnsiTheme="minorHAnsi" w:cs="Calibri"/>
              </w:rPr>
            </w:pPr>
            <w:r w:rsidRPr="00EE498A">
              <w:rPr>
                <w:rFonts w:asciiTheme="minorHAnsi" w:hAnsiTheme="minorHAnsi" w:cs="Calibri"/>
                <w:color w:val="auto"/>
              </w:rPr>
              <w:t>Libraries and archives</w:t>
            </w:r>
          </w:p>
        </w:tc>
      </w:tr>
      <w:tr w:rsidR="00FD4242" w:rsidRPr="00EE498A" w14:paraId="2A813F3F" w14:textId="77777777" w:rsidTr="005D3849">
        <w:trPr>
          <w:cnfStyle w:val="000000010000" w:firstRow="0" w:lastRow="0" w:firstColumn="0" w:lastColumn="0" w:oddVBand="0" w:evenVBand="0" w:oddHBand="0" w:evenHBand="1" w:firstRowFirstColumn="0" w:firstRowLastColumn="0" w:lastRowFirstColumn="0" w:lastRowLastColumn="0"/>
          <w:cantSplit/>
        </w:trPr>
        <w:tc>
          <w:tcPr>
            <w:tcW w:w="1212" w:type="pct"/>
            <w:vAlign w:val="center"/>
          </w:tcPr>
          <w:p w14:paraId="6CF8B4A3" w14:textId="3B640D5B" w:rsidR="00FD4242" w:rsidRPr="00EE498A" w:rsidRDefault="00FD4242" w:rsidP="00FD4242">
            <w:pPr>
              <w:pStyle w:val="Tabletextcentred"/>
              <w:spacing w:before="20" w:after="20"/>
              <w:rPr>
                <w:rFonts w:asciiTheme="minorHAnsi" w:hAnsiTheme="minorHAnsi" w:cs="Arial"/>
                <w:lang w:eastAsia="en-AU"/>
              </w:rPr>
            </w:pPr>
            <w:r w:rsidRPr="00EE498A">
              <w:rPr>
                <w:rFonts w:asciiTheme="minorHAnsi" w:hAnsiTheme="minorHAnsi" w:cs="Arial"/>
                <w:color w:val="auto"/>
                <w:lang w:eastAsia="en-AU"/>
              </w:rPr>
              <w:t>6020</w:t>
            </w:r>
          </w:p>
        </w:tc>
        <w:tc>
          <w:tcPr>
            <w:tcW w:w="2098" w:type="pct"/>
            <w:vAlign w:val="center"/>
          </w:tcPr>
          <w:p w14:paraId="1C36B70B" w14:textId="0861421D" w:rsidR="00FD4242" w:rsidRPr="00EE498A" w:rsidRDefault="00FD4242" w:rsidP="00FD4242">
            <w:pPr>
              <w:pStyle w:val="Tabletext"/>
              <w:spacing w:before="20" w:after="20"/>
              <w:rPr>
                <w:rFonts w:asciiTheme="minorHAnsi" w:hAnsiTheme="minorHAnsi" w:cs="Arial"/>
                <w:lang w:eastAsia="en-AU"/>
              </w:rPr>
            </w:pPr>
            <w:r w:rsidRPr="00EE498A">
              <w:rPr>
                <w:rFonts w:asciiTheme="minorHAnsi" w:hAnsiTheme="minorHAnsi" w:cs="Arial"/>
                <w:color w:val="auto"/>
                <w:lang w:eastAsia="en-AU"/>
              </w:rPr>
              <w:t>Other Information Services</w:t>
            </w:r>
          </w:p>
        </w:tc>
        <w:tc>
          <w:tcPr>
            <w:tcW w:w="1690" w:type="pct"/>
            <w:vAlign w:val="center"/>
          </w:tcPr>
          <w:p w14:paraId="7A18F523" w14:textId="16321526" w:rsidR="00FD4242" w:rsidRPr="00EE498A" w:rsidRDefault="00FD4242" w:rsidP="00FD4242">
            <w:pPr>
              <w:pStyle w:val="Tabletext"/>
              <w:spacing w:before="20" w:after="20"/>
              <w:rPr>
                <w:rFonts w:asciiTheme="minorHAnsi" w:hAnsiTheme="minorHAnsi" w:cs="Calibri"/>
              </w:rPr>
            </w:pPr>
            <w:r w:rsidRPr="00EE498A">
              <w:rPr>
                <w:rFonts w:asciiTheme="minorHAnsi" w:hAnsiTheme="minorHAnsi" w:cs="Calibri"/>
                <w:color w:val="auto"/>
              </w:rPr>
              <w:t>Print media and publishing (excl. internet)</w:t>
            </w:r>
          </w:p>
        </w:tc>
      </w:tr>
      <w:tr w:rsidR="00FD4242" w:rsidRPr="00EE498A" w14:paraId="52C40B1E" w14:textId="77777777" w:rsidTr="005D3849">
        <w:trPr>
          <w:cantSplit/>
        </w:trPr>
        <w:tc>
          <w:tcPr>
            <w:tcW w:w="1212" w:type="pct"/>
            <w:vAlign w:val="center"/>
          </w:tcPr>
          <w:p w14:paraId="24605CB0" w14:textId="45EB6779" w:rsidR="00FD4242" w:rsidRPr="00EE498A" w:rsidRDefault="00FD4242" w:rsidP="00FD4242">
            <w:pPr>
              <w:pStyle w:val="Tabletextcentred"/>
              <w:spacing w:before="20" w:after="20"/>
              <w:rPr>
                <w:rFonts w:asciiTheme="minorHAnsi" w:hAnsiTheme="minorHAnsi" w:cs="Arial"/>
                <w:lang w:eastAsia="en-AU"/>
              </w:rPr>
            </w:pPr>
            <w:r w:rsidRPr="00EE498A">
              <w:rPr>
                <w:rFonts w:asciiTheme="minorHAnsi" w:hAnsiTheme="minorHAnsi" w:cs="Arial"/>
                <w:color w:val="auto"/>
                <w:lang w:eastAsia="en-AU"/>
              </w:rPr>
              <w:t>6921</w:t>
            </w:r>
          </w:p>
        </w:tc>
        <w:tc>
          <w:tcPr>
            <w:tcW w:w="2098" w:type="pct"/>
            <w:vAlign w:val="center"/>
          </w:tcPr>
          <w:p w14:paraId="1FD084E3" w14:textId="72ED642C" w:rsidR="00FD4242" w:rsidRPr="00EE498A" w:rsidRDefault="00FD4242" w:rsidP="00FD4242">
            <w:pPr>
              <w:pStyle w:val="Tabletext"/>
              <w:spacing w:before="20" w:after="20"/>
              <w:rPr>
                <w:rFonts w:asciiTheme="minorHAnsi" w:hAnsiTheme="minorHAnsi" w:cs="Arial"/>
                <w:lang w:eastAsia="en-AU"/>
              </w:rPr>
            </w:pPr>
            <w:r w:rsidRPr="00EE498A">
              <w:rPr>
                <w:rFonts w:asciiTheme="minorHAnsi" w:hAnsiTheme="minorHAnsi" w:cs="Arial"/>
                <w:color w:val="auto"/>
                <w:lang w:eastAsia="en-AU"/>
              </w:rPr>
              <w:t>Architectural Services</w:t>
            </w:r>
          </w:p>
        </w:tc>
        <w:tc>
          <w:tcPr>
            <w:tcW w:w="1690" w:type="pct"/>
            <w:vAlign w:val="center"/>
          </w:tcPr>
          <w:p w14:paraId="1D86ADBE" w14:textId="1828D64F" w:rsidR="00FD4242" w:rsidRPr="00EE498A" w:rsidRDefault="00FD4242" w:rsidP="00FD4242">
            <w:pPr>
              <w:pStyle w:val="Tabletext"/>
              <w:spacing w:before="20" w:after="20"/>
              <w:rPr>
                <w:rFonts w:asciiTheme="minorHAnsi" w:hAnsiTheme="minorHAnsi" w:cs="Calibri"/>
              </w:rPr>
            </w:pPr>
            <w:r w:rsidRPr="00EE498A">
              <w:rPr>
                <w:rFonts w:asciiTheme="minorHAnsi" w:hAnsiTheme="minorHAnsi" w:cs="Calibri"/>
                <w:color w:val="auto"/>
              </w:rPr>
              <w:t>Architecture services</w:t>
            </w:r>
          </w:p>
        </w:tc>
      </w:tr>
      <w:tr w:rsidR="00FD4242" w:rsidRPr="00EE498A" w14:paraId="28A38EB1" w14:textId="77777777" w:rsidTr="005D3849">
        <w:trPr>
          <w:cnfStyle w:val="000000010000" w:firstRow="0" w:lastRow="0" w:firstColumn="0" w:lastColumn="0" w:oddVBand="0" w:evenVBand="0" w:oddHBand="0" w:evenHBand="1" w:firstRowFirstColumn="0" w:firstRowLastColumn="0" w:lastRowFirstColumn="0" w:lastRowLastColumn="0"/>
          <w:cantSplit/>
        </w:trPr>
        <w:tc>
          <w:tcPr>
            <w:tcW w:w="1212" w:type="pct"/>
            <w:vAlign w:val="center"/>
          </w:tcPr>
          <w:p w14:paraId="62A0DA15" w14:textId="25A5E462" w:rsidR="00FD4242" w:rsidRPr="00EE498A" w:rsidRDefault="00FD4242" w:rsidP="00FD4242">
            <w:pPr>
              <w:pStyle w:val="Tabletextcentred"/>
              <w:spacing w:before="20" w:after="20"/>
              <w:rPr>
                <w:rFonts w:asciiTheme="minorHAnsi" w:hAnsiTheme="minorHAnsi" w:cs="Arial"/>
                <w:lang w:eastAsia="en-AU"/>
              </w:rPr>
            </w:pPr>
            <w:r w:rsidRPr="00EE498A">
              <w:rPr>
                <w:rFonts w:asciiTheme="minorHAnsi" w:hAnsiTheme="minorHAnsi" w:cs="Arial"/>
                <w:color w:val="auto"/>
                <w:lang w:eastAsia="en-AU"/>
              </w:rPr>
              <w:t>6924</w:t>
            </w:r>
          </w:p>
        </w:tc>
        <w:tc>
          <w:tcPr>
            <w:tcW w:w="2098" w:type="pct"/>
            <w:vAlign w:val="center"/>
          </w:tcPr>
          <w:p w14:paraId="4FDB37E9" w14:textId="68375366" w:rsidR="00FD4242" w:rsidRPr="00EE498A" w:rsidRDefault="00FD4242" w:rsidP="00FD4242">
            <w:pPr>
              <w:pStyle w:val="Tabletext"/>
              <w:spacing w:before="20" w:after="20"/>
              <w:rPr>
                <w:rFonts w:asciiTheme="minorHAnsi" w:hAnsiTheme="minorHAnsi" w:cs="Arial"/>
                <w:lang w:eastAsia="en-AU"/>
              </w:rPr>
            </w:pPr>
            <w:r w:rsidRPr="00EE498A">
              <w:rPr>
                <w:rFonts w:asciiTheme="minorHAnsi" w:hAnsiTheme="minorHAnsi" w:cs="Arial"/>
                <w:color w:val="auto"/>
                <w:lang w:eastAsia="en-AU"/>
              </w:rPr>
              <w:t>Other Specialised Design Services</w:t>
            </w:r>
          </w:p>
        </w:tc>
        <w:tc>
          <w:tcPr>
            <w:tcW w:w="1690" w:type="pct"/>
            <w:vAlign w:val="center"/>
          </w:tcPr>
          <w:p w14:paraId="27FCCF25" w14:textId="2D875B0E" w:rsidR="00FD4242" w:rsidRPr="00EE498A" w:rsidRDefault="00FD4242" w:rsidP="00FD4242">
            <w:pPr>
              <w:pStyle w:val="Tabletext"/>
              <w:spacing w:before="20" w:after="20"/>
              <w:rPr>
                <w:rFonts w:asciiTheme="minorHAnsi" w:hAnsiTheme="minorHAnsi" w:cs="Calibri"/>
              </w:rPr>
            </w:pPr>
            <w:r w:rsidRPr="00EE498A">
              <w:rPr>
                <w:rFonts w:asciiTheme="minorHAnsi" w:hAnsiTheme="minorHAnsi" w:cs="Calibri"/>
                <w:color w:val="auto"/>
              </w:rPr>
              <w:t>Design and fashion</w:t>
            </w:r>
          </w:p>
        </w:tc>
      </w:tr>
      <w:tr w:rsidR="00FD4242" w:rsidRPr="00EE498A" w14:paraId="1DCF0FF5" w14:textId="77777777" w:rsidTr="005D3849">
        <w:trPr>
          <w:cantSplit/>
        </w:trPr>
        <w:tc>
          <w:tcPr>
            <w:tcW w:w="1212" w:type="pct"/>
            <w:vAlign w:val="center"/>
          </w:tcPr>
          <w:p w14:paraId="4F836D27" w14:textId="2BA3E174" w:rsidR="00FD4242" w:rsidRPr="00EE498A" w:rsidRDefault="00FD4242" w:rsidP="00FD4242">
            <w:pPr>
              <w:pStyle w:val="Tabletextcentred"/>
              <w:spacing w:before="20" w:after="20"/>
              <w:rPr>
                <w:rFonts w:asciiTheme="minorHAnsi" w:hAnsiTheme="minorHAnsi" w:cs="Arial"/>
                <w:lang w:eastAsia="en-AU"/>
              </w:rPr>
            </w:pPr>
            <w:r w:rsidRPr="00EE498A">
              <w:rPr>
                <w:rFonts w:asciiTheme="minorHAnsi" w:hAnsiTheme="minorHAnsi" w:cs="Arial"/>
                <w:color w:val="auto"/>
                <w:lang w:eastAsia="en-AU"/>
              </w:rPr>
              <w:t>6940</w:t>
            </w:r>
          </w:p>
        </w:tc>
        <w:tc>
          <w:tcPr>
            <w:tcW w:w="2098" w:type="pct"/>
            <w:vAlign w:val="center"/>
          </w:tcPr>
          <w:p w14:paraId="7FFF6395" w14:textId="490CE280" w:rsidR="00FD4242" w:rsidRPr="00EE498A" w:rsidRDefault="00FD4242" w:rsidP="00FD4242">
            <w:pPr>
              <w:pStyle w:val="Tabletext"/>
              <w:spacing w:before="20" w:after="20"/>
              <w:rPr>
                <w:rFonts w:asciiTheme="minorHAnsi" w:hAnsiTheme="minorHAnsi" w:cs="Arial"/>
                <w:lang w:eastAsia="en-AU"/>
              </w:rPr>
            </w:pPr>
            <w:r w:rsidRPr="00EE498A">
              <w:rPr>
                <w:rFonts w:asciiTheme="minorHAnsi" w:hAnsiTheme="minorHAnsi" w:cs="Arial"/>
                <w:color w:val="auto"/>
                <w:lang w:eastAsia="en-AU"/>
              </w:rPr>
              <w:t>Advertising Services</w:t>
            </w:r>
          </w:p>
        </w:tc>
        <w:tc>
          <w:tcPr>
            <w:tcW w:w="1690" w:type="pct"/>
            <w:vAlign w:val="center"/>
          </w:tcPr>
          <w:p w14:paraId="039C49FD" w14:textId="0E5A2DA8" w:rsidR="00FD4242" w:rsidRPr="00EE498A" w:rsidRDefault="00FD4242" w:rsidP="00FD4242">
            <w:pPr>
              <w:pStyle w:val="Tabletext"/>
              <w:spacing w:before="20" w:after="20"/>
              <w:rPr>
                <w:rFonts w:asciiTheme="minorHAnsi" w:hAnsiTheme="minorHAnsi" w:cs="Calibri"/>
              </w:rPr>
            </w:pPr>
            <w:r w:rsidRPr="00EE498A">
              <w:rPr>
                <w:rFonts w:asciiTheme="minorHAnsi" w:hAnsiTheme="minorHAnsi" w:cs="Calibri"/>
                <w:color w:val="auto"/>
              </w:rPr>
              <w:t>Advertising and promotion</w:t>
            </w:r>
          </w:p>
        </w:tc>
      </w:tr>
      <w:tr w:rsidR="00FD4242" w:rsidRPr="00EE498A" w14:paraId="38ACD6EF" w14:textId="77777777" w:rsidTr="005D3849">
        <w:trPr>
          <w:cnfStyle w:val="000000010000" w:firstRow="0" w:lastRow="0" w:firstColumn="0" w:lastColumn="0" w:oddVBand="0" w:evenVBand="0" w:oddHBand="0" w:evenHBand="1" w:firstRowFirstColumn="0" w:firstRowLastColumn="0" w:lastRowFirstColumn="0" w:lastRowLastColumn="0"/>
          <w:cantSplit/>
        </w:trPr>
        <w:tc>
          <w:tcPr>
            <w:tcW w:w="1212" w:type="pct"/>
            <w:vAlign w:val="center"/>
          </w:tcPr>
          <w:p w14:paraId="22FA6172" w14:textId="59BE509C" w:rsidR="00FD4242" w:rsidRPr="00EE498A" w:rsidRDefault="00FD4242" w:rsidP="00FD4242">
            <w:pPr>
              <w:pStyle w:val="Tabletextcentred"/>
              <w:spacing w:before="20" w:after="20"/>
              <w:rPr>
                <w:rFonts w:asciiTheme="minorHAnsi" w:hAnsiTheme="minorHAnsi" w:cs="Arial"/>
                <w:lang w:eastAsia="en-AU"/>
              </w:rPr>
            </w:pPr>
            <w:r w:rsidRPr="00EE498A">
              <w:rPr>
                <w:rFonts w:asciiTheme="minorHAnsi" w:hAnsiTheme="minorHAnsi" w:cs="Arial"/>
                <w:color w:val="auto"/>
                <w:lang w:eastAsia="en-AU"/>
              </w:rPr>
              <w:lastRenderedPageBreak/>
              <w:t>6991</w:t>
            </w:r>
          </w:p>
        </w:tc>
        <w:tc>
          <w:tcPr>
            <w:tcW w:w="2098" w:type="pct"/>
            <w:vAlign w:val="center"/>
          </w:tcPr>
          <w:p w14:paraId="7A791A6B" w14:textId="75275CF1" w:rsidR="00FD4242" w:rsidRPr="00EE498A" w:rsidRDefault="00FD4242" w:rsidP="00FD4242">
            <w:pPr>
              <w:pStyle w:val="Tabletext"/>
              <w:spacing w:before="20" w:after="20"/>
              <w:rPr>
                <w:rFonts w:asciiTheme="minorHAnsi" w:hAnsiTheme="minorHAnsi" w:cs="Arial"/>
                <w:lang w:eastAsia="en-AU"/>
              </w:rPr>
            </w:pPr>
            <w:r w:rsidRPr="00EE498A">
              <w:rPr>
                <w:rFonts w:asciiTheme="minorHAnsi" w:hAnsiTheme="minorHAnsi" w:cs="Arial"/>
                <w:color w:val="auto"/>
                <w:lang w:eastAsia="en-AU"/>
              </w:rPr>
              <w:t>Professional Photographic Services</w:t>
            </w:r>
          </w:p>
        </w:tc>
        <w:tc>
          <w:tcPr>
            <w:tcW w:w="1690" w:type="pct"/>
            <w:vAlign w:val="center"/>
          </w:tcPr>
          <w:p w14:paraId="12F76A11" w14:textId="02257574" w:rsidR="00FD4242" w:rsidRPr="00EE498A" w:rsidRDefault="00FD4242" w:rsidP="00FD4242">
            <w:pPr>
              <w:pStyle w:val="Tabletext"/>
              <w:spacing w:before="20" w:after="20"/>
              <w:rPr>
                <w:rFonts w:asciiTheme="minorHAnsi" w:hAnsiTheme="minorHAnsi" w:cs="Calibri"/>
              </w:rPr>
            </w:pPr>
            <w:r w:rsidRPr="00EE498A">
              <w:rPr>
                <w:rFonts w:asciiTheme="minorHAnsi" w:hAnsiTheme="minorHAnsi" w:cs="Calibri"/>
                <w:color w:val="auto"/>
              </w:rPr>
              <w:t>Literature, creative and performing arts, and Visual arts and crafts</w:t>
            </w:r>
          </w:p>
        </w:tc>
      </w:tr>
      <w:tr w:rsidR="00FD4242" w:rsidRPr="00EE498A" w14:paraId="69F218BA" w14:textId="77777777" w:rsidTr="005D3849">
        <w:trPr>
          <w:cantSplit/>
        </w:trPr>
        <w:tc>
          <w:tcPr>
            <w:tcW w:w="1212" w:type="pct"/>
            <w:vAlign w:val="center"/>
          </w:tcPr>
          <w:p w14:paraId="2B37C770" w14:textId="07AB7ADB" w:rsidR="00FD4242" w:rsidRPr="00EE498A" w:rsidRDefault="00FD4242" w:rsidP="00FD4242">
            <w:pPr>
              <w:pStyle w:val="Tabletextcentred"/>
              <w:spacing w:before="20" w:after="20"/>
              <w:rPr>
                <w:rFonts w:asciiTheme="minorHAnsi" w:hAnsiTheme="minorHAnsi" w:cs="Arial"/>
                <w:lang w:eastAsia="en-AU"/>
              </w:rPr>
            </w:pPr>
            <w:r w:rsidRPr="00EE498A">
              <w:rPr>
                <w:rFonts w:asciiTheme="minorHAnsi" w:hAnsiTheme="minorHAnsi" w:cs="Arial"/>
                <w:color w:val="auto"/>
                <w:lang w:eastAsia="en-AU"/>
              </w:rPr>
              <w:t>8212</w:t>
            </w:r>
          </w:p>
        </w:tc>
        <w:tc>
          <w:tcPr>
            <w:tcW w:w="2098" w:type="pct"/>
            <w:vAlign w:val="center"/>
          </w:tcPr>
          <w:p w14:paraId="15EACB5D" w14:textId="5894CA85" w:rsidR="00FD4242" w:rsidRPr="00EE498A" w:rsidRDefault="00FD4242" w:rsidP="00FD4242">
            <w:pPr>
              <w:pStyle w:val="Tabletext"/>
              <w:spacing w:before="20" w:after="20"/>
              <w:rPr>
                <w:rFonts w:asciiTheme="minorHAnsi" w:hAnsiTheme="minorHAnsi" w:cs="Arial"/>
                <w:lang w:eastAsia="en-AU"/>
              </w:rPr>
            </w:pPr>
            <w:r w:rsidRPr="00EE498A">
              <w:rPr>
                <w:rFonts w:asciiTheme="minorHAnsi" w:hAnsiTheme="minorHAnsi" w:cs="Arial"/>
                <w:color w:val="auto"/>
                <w:lang w:eastAsia="en-AU"/>
              </w:rPr>
              <w:t>Arts Education</w:t>
            </w:r>
          </w:p>
        </w:tc>
        <w:tc>
          <w:tcPr>
            <w:tcW w:w="1690" w:type="pct"/>
            <w:vAlign w:val="center"/>
          </w:tcPr>
          <w:p w14:paraId="6B8860AF" w14:textId="5F2A3B8A" w:rsidR="00FD4242" w:rsidRPr="00EE498A" w:rsidRDefault="00FD4242" w:rsidP="00FD4242">
            <w:pPr>
              <w:pStyle w:val="Tabletext"/>
              <w:spacing w:before="20" w:after="20"/>
              <w:rPr>
                <w:rFonts w:asciiTheme="minorHAnsi" w:hAnsiTheme="minorHAnsi" w:cs="Calibri"/>
              </w:rPr>
            </w:pPr>
            <w:r w:rsidRPr="00EE498A">
              <w:rPr>
                <w:rFonts w:asciiTheme="minorHAnsi" w:hAnsiTheme="minorHAnsi" w:cs="Calibri"/>
                <w:color w:val="auto"/>
              </w:rPr>
              <w:t>Arts education</w:t>
            </w:r>
          </w:p>
        </w:tc>
      </w:tr>
      <w:tr w:rsidR="00FD4242" w:rsidRPr="00EE498A" w14:paraId="343D8838" w14:textId="77777777" w:rsidTr="005D3849">
        <w:trPr>
          <w:cnfStyle w:val="000000010000" w:firstRow="0" w:lastRow="0" w:firstColumn="0" w:lastColumn="0" w:oddVBand="0" w:evenVBand="0" w:oddHBand="0" w:evenHBand="1" w:firstRowFirstColumn="0" w:firstRowLastColumn="0" w:lastRowFirstColumn="0" w:lastRowLastColumn="0"/>
          <w:cantSplit/>
        </w:trPr>
        <w:tc>
          <w:tcPr>
            <w:tcW w:w="1212" w:type="pct"/>
            <w:vAlign w:val="center"/>
          </w:tcPr>
          <w:p w14:paraId="637CDED4" w14:textId="379F8B96" w:rsidR="00FD4242" w:rsidRPr="00EE498A" w:rsidRDefault="00FD4242" w:rsidP="00FD4242">
            <w:pPr>
              <w:pStyle w:val="Tabletextcentred"/>
              <w:spacing w:before="20" w:after="20"/>
              <w:rPr>
                <w:rFonts w:asciiTheme="minorHAnsi" w:hAnsiTheme="minorHAnsi" w:cs="Arial"/>
                <w:lang w:eastAsia="en-AU"/>
              </w:rPr>
            </w:pPr>
            <w:r w:rsidRPr="00EE498A">
              <w:rPr>
                <w:rFonts w:asciiTheme="minorHAnsi" w:hAnsiTheme="minorHAnsi" w:cs="Arial"/>
                <w:color w:val="auto"/>
                <w:lang w:eastAsia="en-AU"/>
              </w:rPr>
              <w:t>8910</w:t>
            </w:r>
          </w:p>
        </w:tc>
        <w:tc>
          <w:tcPr>
            <w:tcW w:w="2098" w:type="pct"/>
            <w:vAlign w:val="center"/>
          </w:tcPr>
          <w:p w14:paraId="487D6838" w14:textId="7EBAB8A7" w:rsidR="00FD4242" w:rsidRPr="00EE498A" w:rsidRDefault="00FD4242" w:rsidP="00FD4242">
            <w:pPr>
              <w:pStyle w:val="Tabletext"/>
              <w:spacing w:before="20" w:after="20"/>
              <w:rPr>
                <w:rFonts w:asciiTheme="minorHAnsi" w:hAnsiTheme="minorHAnsi" w:cs="Arial"/>
                <w:lang w:eastAsia="en-AU"/>
              </w:rPr>
            </w:pPr>
            <w:r w:rsidRPr="00EE498A">
              <w:rPr>
                <w:rFonts w:asciiTheme="minorHAnsi" w:hAnsiTheme="minorHAnsi" w:cs="Arial"/>
                <w:color w:val="auto"/>
                <w:lang w:eastAsia="en-AU"/>
              </w:rPr>
              <w:t>Museum Operation</w:t>
            </w:r>
          </w:p>
        </w:tc>
        <w:tc>
          <w:tcPr>
            <w:tcW w:w="1690" w:type="pct"/>
            <w:vAlign w:val="center"/>
          </w:tcPr>
          <w:p w14:paraId="0E141A31" w14:textId="5C4AE397" w:rsidR="00FD4242" w:rsidRPr="00EE498A" w:rsidRDefault="00FD4242" w:rsidP="00FD4242">
            <w:pPr>
              <w:pStyle w:val="Tabletext"/>
              <w:spacing w:before="20" w:after="20"/>
              <w:rPr>
                <w:rFonts w:asciiTheme="minorHAnsi" w:hAnsiTheme="minorHAnsi" w:cs="Calibri"/>
              </w:rPr>
            </w:pPr>
            <w:r w:rsidRPr="00EE498A">
              <w:rPr>
                <w:rFonts w:asciiTheme="minorHAnsi" w:hAnsiTheme="minorHAnsi" w:cs="Calibri"/>
                <w:color w:val="auto"/>
              </w:rPr>
              <w:t>Museums and galleries</w:t>
            </w:r>
          </w:p>
        </w:tc>
      </w:tr>
      <w:tr w:rsidR="00FD4242" w:rsidRPr="00EE498A" w14:paraId="1C633509" w14:textId="77777777" w:rsidTr="005D3849">
        <w:trPr>
          <w:cantSplit/>
        </w:trPr>
        <w:tc>
          <w:tcPr>
            <w:tcW w:w="1212" w:type="pct"/>
            <w:vAlign w:val="center"/>
          </w:tcPr>
          <w:p w14:paraId="74AD9C68" w14:textId="24F667AC" w:rsidR="00FD4242" w:rsidRPr="00EE498A" w:rsidRDefault="00FD4242" w:rsidP="00FD4242">
            <w:pPr>
              <w:pStyle w:val="Tabletextcentred"/>
              <w:spacing w:before="20" w:after="20"/>
              <w:rPr>
                <w:rFonts w:asciiTheme="minorHAnsi" w:hAnsiTheme="minorHAnsi" w:cs="Arial"/>
                <w:lang w:eastAsia="en-AU"/>
              </w:rPr>
            </w:pPr>
            <w:r w:rsidRPr="00EE498A">
              <w:rPr>
                <w:rFonts w:asciiTheme="minorHAnsi" w:hAnsiTheme="minorHAnsi" w:cs="Arial"/>
                <w:color w:val="auto"/>
                <w:lang w:eastAsia="en-AU"/>
              </w:rPr>
              <w:t>9001</w:t>
            </w:r>
          </w:p>
        </w:tc>
        <w:tc>
          <w:tcPr>
            <w:tcW w:w="2098" w:type="pct"/>
            <w:vAlign w:val="center"/>
          </w:tcPr>
          <w:p w14:paraId="4356334C" w14:textId="1BF3FD50" w:rsidR="00FD4242" w:rsidRPr="00EE498A" w:rsidRDefault="00FD4242" w:rsidP="00FD4242">
            <w:pPr>
              <w:pStyle w:val="Tabletext"/>
              <w:spacing w:before="20" w:after="20"/>
              <w:rPr>
                <w:rFonts w:asciiTheme="minorHAnsi" w:hAnsiTheme="minorHAnsi" w:cs="Arial"/>
                <w:lang w:eastAsia="en-AU"/>
              </w:rPr>
            </w:pPr>
            <w:r w:rsidRPr="00EE498A">
              <w:rPr>
                <w:rFonts w:asciiTheme="minorHAnsi" w:hAnsiTheme="minorHAnsi" w:cs="Arial"/>
                <w:color w:val="auto"/>
                <w:lang w:eastAsia="en-AU"/>
              </w:rPr>
              <w:t>Performing Arts Operation</w:t>
            </w:r>
          </w:p>
        </w:tc>
        <w:tc>
          <w:tcPr>
            <w:tcW w:w="1690" w:type="pct"/>
            <w:vAlign w:val="center"/>
          </w:tcPr>
          <w:p w14:paraId="5CFACBA4" w14:textId="7A49B901" w:rsidR="00FD4242" w:rsidRPr="00EE498A" w:rsidRDefault="00FD4242" w:rsidP="00FD4242">
            <w:pPr>
              <w:pStyle w:val="Tabletext"/>
              <w:spacing w:before="20" w:after="20"/>
              <w:rPr>
                <w:rFonts w:asciiTheme="minorHAnsi" w:hAnsiTheme="minorHAnsi" w:cs="Calibri"/>
              </w:rPr>
            </w:pPr>
            <w:r w:rsidRPr="00EE498A">
              <w:rPr>
                <w:rFonts w:asciiTheme="minorHAnsi" w:hAnsiTheme="minorHAnsi" w:cs="Calibri"/>
                <w:color w:val="auto"/>
              </w:rPr>
              <w:t>Literature, creative and performing arts, and Visual arts and crafts</w:t>
            </w:r>
          </w:p>
        </w:tc>
      </w:tr>
      <w:tr w:rsidR="00FD4242" w:rsidRPr="00EE498A" w14:paraId="34806C9D" w14:textId="77777777" w:rsidTr="005D3849">
        <w:trPr>
          <w:cnfStyle w:val="000000010000" w:firstRow="0" w:lastRow="0" w:firstColumn="0" w:lastColumn="0" w:oddVBand="0" w:evenVBand="0" w:oddHBand="0" w:evenHBand="1" w:firstRowFirstColumn="0" w:firstRowLastColumn="0" w:lastRowFirstColumn="0" w:lastRowLastColumn="0"/>
          <w:cantSplit/>
        </w:trPr>
        <w:tc>
          <w:tcPr>
            <w:tcW w:w="1212" w:type="pct"/>
            <w:vAlign w:val="center"/>
          </w:tcPr>
          <w:p w14:paraId="35E238FE" w14:textId="3DD38A84" w:rsidR="00FD4242" w:rsidRPr="00EE498A" w:rsidRDefault="00FD4242" w:rsidP="00FD4242">
            <w:pPr>
              <w:pStyle w:val="Tabletextcentred"/>
              <w:spacing w:before="20" w:after="20"/>
              <w:rPr>
                <w:rFonts w:asciiTheme="minorHAnsi" w:hAnsiTheme="minorHAnsi" w:cs="Arial"/>
                <w:lang w:eastAsia="en-AU"/>
              </w:rPr>
            </w:pPr>
            <w:r w:rsidRPr="00EE498A">
              <w:rPr>
                <w:rFonts w:asciiTheme="minorHAnsi" w:hAnsiTheme="minorHAnsi" w:cs="Arial"/>
                <w:color w:val="auto"/>
                <w:lang w:eastAsia="en-AU"/>
              </w:rPr>
              <w:t>9002</w:t>
            </w:r>
          </w:p>
        </w:tc>
        <w:tc>
          <w:tcPr>
            <w:tcW w:w="2098" w:type="pct"/>
            <w:vAlign w:val="center"/>
          </w:tcPr>
          <w:p w14:paraId="42B140C4" w14:textId="7775CEBB" w:rsidR="00FD4242" w:rsidRPr="00EE498A" w:rsidRDefault="00FD4242" w:rsidP="00FD4242">
            <w:pPr>
              <w:pStyle w:val="Tabletext"/>
              <w:spacing w:before="20" w:after="20"/>
              <w:rPr>
                <w:rFonts w:asciiTheme="minorHAnsi" w:hAnsiTheme="minorHAnsi" w:cs="Arial"/>
                <w:lang w:eastAsia="en-AU"/>
              </w:rPr>
            </w:pPr>
            <w:r w:rsidRPr="00EE498A">
              <w:rPr>
                <w:rFonts w:asciiTheme="minorHAnsi" w:hAnsiTheme="minorHAnsi" w:cs="Arial"/>
                <w:color w:val="auto"/>
                <w:lang w:eastAsia="en-AU"/>
              </w:rPr>
              <w:t>Creative Artists, Musicians, Writers and Performers</w:t>
            </w:r>
          </w:p>
        </w:tc>
        <w:tc>
          <w:tcPr>
            <w:tcW w:w="1690" w:type="pct"/>
            <w:vAlign w:val="center"/>
          </w:tcPr>
          <w:p w14:paraId="250E6689" w14:textId="7D88C188" w:rsidR="00FD4242" w:rsidRPr="00EE498A" w:rsidRDefault="00FD4242" w:rsidP="00FD4242">
            <w:pPr>
              <w:pStyle w:val="Tabletext"/>
              <w:spacing w:before="20" w:after="20"/>
              <w:rPr>
                <w:rFonts w:asciiTheme="minorHAnsi" w:hAnsiTheme="minorHAnsi" w:cs="Calibri"/>
              </w:rPr>
            </w:pPr>
            <w:r w:rsidRPr="00EE498A">
              <w:rPr>
                <w:rFonts w:asciiTheme="minorHAnsi" w:hAnsiTheme="minorHAnsi" w:cs="Calibri"/>
                <w:color w:val="auto"/>
              </w:rPr>
              <w:t>Literature, creative and performing arts, and Visual arts and crafts</w:t>
            </w:r>
          </w:p>
        </w:tc>
      </w:tr>
      <w:tr w:rsidR="00FD4242" w:rsidRPr="00EE498A" w14:paraId="3812FEEF" w14:textId="77777777" w:rsidTr="005D3849">
        <w:trPr>
          <w:cantSplit/>
        </w:trPr>
        <w:tc>
          <w:tcPr>
            <w:tcW w:w="1212" w:type="pct"/>
            <w:vAlign w:val="center"/>
          </w:tcPr>
          <w:p w14:paraId="48BDF53F" w14:textId="4BCAF203" w:rsidR="00FD4242" w:rsidRPr="00EE498A" w:rsidRDefault="00FD4242" w:rsidP="00FD4242">
            <w:pPr>
              <w:pStyle w:val="Tabletextcentred"/>
              <w:spacing w:before="20" w:after="20"/>
              <w:rPr>
                <w:rFonts w:asciiTheme="minorHAnsi" w:hAnsiTheme="minorHAnsi" w:cs="Arial"/>
                <w:lang w:eastAsia="en-AU"/>
              </w:rPr>
            </w:pPr>
            <w:r w:rsidRPr="00EE498A">
              <w:rPr>
                <w:rFonts w:asciiTheme="minorHAnsi" w:hAnsiTheme="minorHAnsi" w:cs="Arial"/>
                <w:color w:val="auto"/>
                <w:lang w:eastAsia="en-AU"/>
              </w:rPr>
              <w:t>9003</w:t>
            </w:r>
          </w:p>
        </w:tc>
        <w:tc>
          <w:tcPr>
            <w:tcW w:w="2098" w:type="pct"/>
            <w:vAlign w:val="center"/>
          </w:tcPr>
          <w:p w14:paraId="3A7655FE" w14:textId="43B3391A" w:rsidR="00FD4242" w:rsidRPr="00EE498A" w:rsidRDefault="00FD4242" w:rsidP="00FD4242">
            <w:pPr>
              <w:pStyle w:val="Tabletext"/>
              <w:spacing w:before="20" w:after="20"/>
              <w:rPr>
                <w:rFonts w:asciiTheme="minorHAnsi" w:hAnsiTheme="minorHAnsi" w:cs="Arial"/>
                <w:lang w:eastAsia="en-AU"/>
              </w:rPr>
            </w:pPr>
            <w:r w:rsidRPr="00EE498A">
              <w:rPr>
                <w:rFonts w:asciiTheme="minorHAnsi" w:hAnsiTheme="minorHAnsi" w:cs="Arial"/>
                <w:color w:val="auto"/>
                <w:lang w:eastAsia="en-AU"/>
              </w:rPr>
              <w:t>Performing Arts Venue Operation</w:t>
            </w:r>
          </w:p>
        </w:tc>
        <w:tc>
          <w:tcPr>
            <w:tcW w:w="1690" w:type="pct"/>
            <w:vAlign w:val="center"/>
          </w:tcPr>
          <w:p w14:paraId="68CDBE86" w14:textId="4DA27662" w:rsidR="00FD4242" w:rsidRPr="00EE498A" w:rsidRDefault="00FD4242" w:rsidP="00FD4242">
            <w:pPr>
              <w:pStyle w:val="Tabletext"/>
              <w:spacing w:before="20" w:after="20"/>
              <w:rPr>
                <w:rFonts w:asciiTheme="minorHAnsi" w:hAnsiTheme="minorHAnsi" w:cs="Calibri"/>
              </w:rPr>
            </w:pPr>
            <w:r w:rsidRPr="00EE498A">
              <w:rPr>
                <w:rFonts w:asciiTheme="minorHAnsi" w:hAnsiTheme="minorHAnsi" w:cs="Calibri"/>
                <w:color w:val="auto"/>
              </w:rPr>
              <w:t>Literature, creative and performing arts, and Visual arts and crafts</w:t>
            </w:r>
          </w:p>
        </w:tc>
      </w:tr>
      <w:tr w:rsidR="00FD4242" w:rsidRPr="00EE498A" w14:paraId="6F4A4FE3" w14:textId="77777777" w:rsidTr="005D3849">
        <w:trPr>
          <w:cnfStyle w:val="000000010000" w:firstRow="0" w:lastRow="0" w:firstColumn="0" w:lastColumn="0" w:oddVBand="0" w:evenVBand="0" w:oddHBand="0" w:evenHBand="1" w:firstRowFirstColumn="0" w:firstRowLastColumn="0" w:lastRowFirstColumn="0" w:lastRowLastColumn="0"/>
          <w:cantSplit/>
        </w:trPr>
        <w:tc>
          <w:tcPr>
            <w:tcW w:w="1212" w:type="pct"/>
            <w:vAlign w:val="center"/>
          </w:tcPr>
          <w:p w14:paraId="1DF90B93" w14:textId="10E79AD3" w:rsidR="00FD4242" w:rsidRPr="00EE498A" w:rsidRDefault="00FD4242" w:rsidP="00FD4242">
            <w:pPr>
              <w:pStyle w:val="Tabletextcentred"/>
              <w:spacing w:before="20" w:after="20"/>
              <w:rPr>
                <w:rFonts w:asciiTheme="minorHAnsi" w:hAnsiTheme="minorHAnsi" w:cs="Arial"/>
                <w:lang w:eastAsia="en-AU"/>
              </w:rPr>
            </w:pPr>
            <w:r w:rsidRPr="00EE498A">
              <w:rPr>
                <w:rFonts w:asciiTheme="minorHAnsi" w:hAnsiTheme="minorHAnsi" w:cs="Arial"/>
                <w:color w:val="auto"/>
                <w:lang w:eastAsia="en-AU"/>
              </w:rPr>
              <w:t>9532</w:t>
            </w:r>
          </w:p>
        </w:tc>
        <w:tc>
          <w:tcPr>
            <w:tcW w:w="2098" w:type="pct"/>
            <w:vAlign w:val="center"/>
          </w:tcPr>
          <w:p w14:paraId="763DD3BA" w14:textId="202B3EBC" w:rsidR="00FD4242" w:rsidRPr="00EE498A" w:rsidRDefault="00FD4242" w:rsidP="00FD4242">
            <w:pPr>
              <w:pStyle w:val="Tabletext"/>
              <w:spacing w:before="20" w:after="20"/>
              <w:rPr>
                <w:rFonts w:asciiTheme="minorHAnsi" w:hAnsiTheme="minorHAnsi" w:cs="Arial"/>
                <w:lang w:eastAsia="en-AU"/>
              </w:rPr>
            </w:pPr>
            <w:r w:rsidRPr="00EE498A">
              <w:rPr>
                <w:rFonts w:asciiTheme="minorHAnsi" w:hAnsiTheme="minorHAnsi" w:cs="Arial"/>
                <w:color w:val="auto"/>
                <w:lang w:eastAsia="en-AU"/>
              </w:rPr>
              <w:t>Photographic Film Processing</w:t>
            </w:r>
          </w:p>
        </w:tc>
        <w:tc>
          <w:tcPr>
            <w:tcW w:w="1690" w:type="pct"/>
            <w:vAlign w:val="center"/>
          </w:tcPr>
          <w:p w14:paraId="3CF071CB" w14:textId="361280F9" w:rsidR="00FD4242" w:rsidRPr="00EE498A" w:rsidRDefault="00FD4242" w:rsidP="00FD4242">
            <w:pPr>
              <w:pStyle w:val="Tabletext"/>
              <w:spacing w:before="20" w:after="20"/>
              <w:rPr>
                <w:rFonts w:asciiTheme="minorHAnsi" w:hAnsiTheme="minorHAnsi" w:cs="Calibri"/>
              </w:rPr>
            </w:pPr>
            <w:r w:rsidRPr="00EE498A">
              <w:rPr>
                <w:rFonts w:asciiTheme="minorHAnsi" w:hAnsiTheme="minorHAnsi" w:cs="Calibri"/>
                <w:color w:val="auto"/>
              </w:rPr>
              <w:t>Literature, creative and performing arts, and Visual arts and crafts</w:t>
            </w:r>
          </w:p>
        </w:tc>
      </w:tr>
    </w:tbl>
    <w:p w14:paraId="432775DE" w14:textId="17BF3253" w:rsidR="003D3443" w:rsidRDefault="002C6BD7" w:rsidP="002C6BD7">
      <w:pPr>
        <w:pStyle w:val="Heading3"/>
      </w:pPr>
      <w:bookmarkStart w:id="151" w:name="_Toc184650675"/>
      <w:r>
        <w:t>B.</w:t>
      </w:r>
      <w:r w:rsidR="00FD4242">
        <w:t>3</w:t>
      </w:r>
      <w:r>
        <w:tab/>
      </w:r>
      <w:r w:rsidR="003D3443">
        <w:t>Indicative employment within cultural and creative industries</w:t>
      </w:r>
      <w:bookmarkEnd w:id="151"/>
    </w:p>
    <w:p w14:paraId="5BE198E4" w14:textId="4F4822C1" w:rsidR="003D3443" w:rsidRDefault="003D3443" w:rsidP="003D3443">
      <w:r>
        <w:t>The following table provides guidance on the industries which have been captured to indicatively define employment in the cultural and creative industries</w:t>
      </w:r>
      <w:r w:rsidR="0021506F">
        <w:t xml:space="preserve"> (</w:t>
      </w:r>
      <w:r w:rsidR="006F05D9">
        <w:t>s</w:t>
      </w:r>
      <w:r w:rsidR="0021506F">
        <w:t xml:space="preserve">ee </w:t>
      </w:r>
      <w:r w:rsidR="0021506F">
        <w:fldChar w:fldCharType="begin"/>
      </w:r>
      <w:r w:rsidR="0021506F">
        <w:instrText xml:space="preserve"> REF _Ref184641558 \h </w:instrText>
      </w:r>
      <w:r w:rsidR="0021506F">
        <w:fldChar w:fldCharType="separate"/>
      </w:r>
      <w:r w:rsidR="00C65220">
        <w:t xml:space="preserve">Table </w:t>
      </w:r>
      <w:r w:rsidR="00C65220">
        <w:rPr>
          <w:noProof/>
        </w:rPr>
        <w:t>7</w:t>
      </w:r>
      <w:r w:rsidR="0021506F">
        <w:fldChar w:fldCharType="end"/>
      </w:r>
      <w:r w:rsidR="0021506F">
        <w:t>)</w:t>
      </w:r>
      <w:r>
        <w:t xml:space="preserve">. The key differences between this version of the domains and those presented in </w:t>
      </w:r>
      <w:r w:rsidRPr="00E86E44">
        <w:rPr>
          <w:i/>
        </w:rPr>
        <w:t>Cultural and Creative Activity in Australia from 2008–09 to 2022–23 (Methodology Refresh)</w:t>
      </w:r>
      <w:r>
        <w:t xml:space="preserve"> is the aggregation of:</w:t>
      </w:r>
    </w:p>
    <w:p w14:paraId="78B35B76" w14:textId="77777777" w:rsidR="003D3443" w:rsidRDefault="003D3443" w:rsidP="00445D52">
      <w:pPr>
        <w:pStyle w:val="Listparagraphbullets"/>
        <w:ind w:left="567" w:hanging="567"/>
      </w:pPr>
      <w:r>
        <w:t>Literature, creative and performing arts, and Visual arts and crafts domains</w:t>
      </w:r>
    </w:p>
    <w:p w14:paraId="13C8A8A5" w14:textId="0C6FBCFE" w:rsidR="003D3443" w:rsidRDefault="003D3443" w:rsidP="00445D52">
      <w:pPr>
        <w:pStyle w:val="Listparagraphbullets"/>
        <w:ind w:left="567" w:hanging="567"/>
      </w:pPr>
      <w:r>
        <w:t xml:space="preserve">Architecture </w:t>
      </w:r>
      <w:r w:rsidR="00A37E41">
        <w:t>s</w:t>
      </w:r>
      <w:r>
        <w:t>ervices, and Design and fashion domains.</w:t>
      </w:r>
    </w:p>
    <w:p w14:paraId="098BA627" w14:textId="2E63A58E" w:rsidR="003D3443" w:rsidRDefault="003D3443" w:rsidP="00DA0767">
      <w:pPr>
        <w:pStyle w:val="Tablefigureheading"/>
      </w:pPr>
      <w:bookmarkStart w:id="152" w:name="_Ref184641558"/>
      <w:bookmarkStart w:id="153" w:name="_Toc182914612"/>
      <w:bookmarkStart w:id="154" w:name="_Toc184641670"/>
      <w:r>
        <w:t xml:space="preserve">Table </w:t>
      </w:r>
      <w:r w:rsidR="003C2F6D">
        <w:fldChar w:fldCharType="begin"/>
      </w:r>
      <w:r w:rsidR="003C2F6D">
        <w:instrText xml:space="preserve"> SEQ Table \* ARABIC </w:instrText>
      </w:r>
      <w:r w:rsidR="003C2F6D">
        <w:fldChar w:fldCharType="separate"/>
      </w:r>
      <w:r w:rsidR="00C65220">
        <w:rPr>
          <w:noProof/>
        </w:rPr>
        <w:t>7</w:t>
      </w:r>
      <w:r w:rsidR="003C2F6D">
        <w:rPr>
          <w:noProof/>
        </w:rPr>
        <w:fldChar w:fldCharType="end"/>
      </w:r>
      <w:bookmarkEnd w:id="152"/>
      <w:r>
        <w:t xml:space="preserve">. </w:t>
      </w:r>
      <w:r w:rsidRPr="00D74705">
        <w:t xml:space="preserve">Detailed (3-digit Australian and New Zealand Standard Industrial Classification) industries within cultural and creative industries (applied to Australian Labour Force estimates of </w:t>
      </w:r>
      <w:r>
        <w:t>e</w:t>
      </w:r>
      <w:r w:rsidRPr="00D74705">
        <w:t>mployment)</w:t>
      </w:r>
      <w:bookmarkEnd w:id="153"/>
      <w:bookmarkEnd w:id="154"/>
    </w:p>
    <w:tbl>
      <w:tblPr>
        <w:tblStyle w:val="DefaultTable11"/>
        <w:tblW w:w="4937" w:type="pct"/>
        <w:tblCellMar>
          <w:top w:w="11" w:type="dxa"/>
          <w:bottom w:w="11" w:type="dxa"/>
        </w:tblCellMar>
        <w:tblLook w:val="0420" w:firstRow="1" w:lastRow="0" w:firstColumn="0" w:lastColumn="0" w:noHBand="0" w:noVBand="1"/>
        <w:tblDescription w:val="Table 7. Detailed (3-digit Australian and New Zealand Standard Industrial Classification) industries within cultural and creative industries (applied to Australian Labour Force estimates of employment)"/>
      </w:tblPr>
      <w:tblGrid>
        <w:gridCol w:w="2361"/>
        <w:gridCol w:w="4087"/>
        <w:gridCol w:w="3292"/>
      </w:tblGrid>
      <w:tr w:rsidR="00DA0767" w:rsidRPr="00654F9E" w14:paraId="25900F85" w14:textId="77777777" w:rsidTr="005D3849">
        <w:trPr>
          <w:cnfStyle w:val="100000000000" w:firstRow="1" w:lastRow="0" w:firstColumn="0" w:lastColumn="0" w:oddVBand="0" w:evenVBand="0" w:oddHBand="0" w:evenHBand="0" w:firstRowFirstColumn="0" w:firstRowLastColumn="0" w:lastRowFirstColumn="0" w:lastRowLastColumn="0"/>
          <w:cantSplit/>
        </w:trPr>
        <w:tc>
          <w:tcPr>
            <w:tcW w:w="1212" w:type="pct"/>
            <w:vAlign w:val="center"/>
          </w:tcPr>
          <w:p w14:paraId="238E94D3" w14:textId="691DA925" w:rsidR="00DA0767" w:rsidRPr="00D478C3" w:rsidRDefault="00DA0767" w:rsidP="00DA0767">
            <w:pPr>
              <w:pStyle w:val="Tablerowcolumnheading"/>
              <w:spacing w:before="20" w:after="20"/>
              <w:rPr>
                <w:rFonts w:asciiTheme="minorHAnsi" w:hAnsiTheme="minorHAnsi"/>
                <w:b/>
              </w:rPr>
            </w:pPr>
            <w:r w:rsidRPr="00D478C3">
              <w:rPr>
                <w:rFonts w:asciiTheme="minorHAnsi" w:eastAsia="Times New Roman" w:hAnsiTheme="minorHAnsi" w:cs="Arial"/>
                <w:b/>
                <w:color w:val="auto"/>
                <w:lang w:eastAsia="en-AU"/>
              </w:rPr>
              <w:t xml:space="preserve">Australian and New Zealand Standard Industrial Classification </w:t>
            </w:r>
          </w:p>
        </w:tc>
        <w:tc>
          <w:tcPr>
            <w:tcW w:w="2098" w:type="pct"/>
            <w:vAlign w:val="center"/>
          </w:tcPr>
          <w:p w14:paraId="2FF0305B" w14:textId="360BA1B1" w:rsidR="00DA0767" w:rsidRPr="00D478C3" w:rsidRDefault="00DA0767" w:rsidP="00DA0767">
            <w:pPr>
              <w:pStyle w:val="Tabletext"/>
              <w:spacing w:before="20" w:after="20"/>
              <w:rPr>
                <w:rFonts w:asciiTheme="minorHAnsi" w:hAnsiTheme="minorHAnsi"/>
              </w:rPr>
            </w:pPr>
            <w:r w:rsidRPr="00D478C3">
              <w:rPr>
                <w:rFonts w:asciiTheme="minorHAnsi" w:hAnsiTheme="minorHAnsi" w:cs="Arial"/>
                <w:color w:val="auto"/>
                <w:lang w:eastAsia="en-AU"/>
              </w:rPr>
              <w:t>Australian and New Zealand Standard Industrial Classification</w:t>
            </w:r>
            <w:r w:rsidRPr="00D478C3">
              <w:rPr>
                <w:rFonts w:asciiTheme="minorHAnsi" w:hAnsiTheme="minorHAnsi"/>
              </w:rPr>
              <w:t xml:space="preserve"> </w:t>
            </w:r>
            <w:r w:rsidRPr="00D478C3">
              <w:rPr>
                <w:rFonts w:asciiTheme="minorHAnsi" w:hAnsiTheme="minorHAnsi" w:cs="Arial"/>
                <w:color w:val="auto"/>
                <w:lang w:eastAsia="en-AU"/>
              </w:rPr>
              <w:t>description</w:t>
            </w:r>
          </w:p>
        </w:tc>
        <w:tc>
          <w:tcPr>
            <w:tcW w:w="1690" w:type="pct"/>
            <w:vAlign w:val="center"/>
          </w:tcPr>
          <w:p w14:paraId="2C7BD466" w14:textId="74D51D4A" w:rsidR="00DA0767" w:rsidRPr="00D478C3" w:rsidRDefault="00DA0767" w:rsidP="00DA0767">
            <w:pPr>
              <w:pStyle w:val="Tabletext"/>
              <w:spacing w:before="20" w:after="20"/>
              <w:rPr>
                <w:rFonts w:asciiTheme="minorHAnsi" w:hAnsiTheme="minorHAnsi"/>
              </w:rPr>
            </w:pPr>
            <w:r w:rsidRPr="00D478C3">
              <w:rPr>
                <w:rFonts w:asciiTheme="minorHAnsi" w:hAnsiTheme="minorHAnsi" w:cs="Arial"/>
                <w:color w:val="auto"/>
                <w:lang w:eastAsia="en-AU"/>
              </w:rPr>
              <w:t>Employment domain</w:t>
            </w:r>
          </w:p>
        </w:tc>
      </w:tr>
      <w:tr w:rsidR="00DA0767" w:rsidRPr="00654F9E" w14:paraId="7DC3B786" w14:textId="77777777" w:rsidTr="005D3849">
        <w:trPr>
          <w:cantSplit/>
        </w:trPr>
        <w:tc>
          <w:tcPr>
            <w:tcW w:w="1212" w:type="pct"/>
            <w:vAlign w:val="center"/>
          </w:tcPr>
          <w:p w14:paraId="22B01937" w14:textId="185F169C" w:rsidR="00DA0767" w:rsidRPr="00FD4242" w:rsidRDefault="00DA0767" w:rsidP="00DA0767">
            <w:pPr>
              <w:pStyle w:val="Tabletextcentred"/>
              <w:spacing w:before="20" w:after="20"/>
              <w:rPr>
                <w:rFonts w:asciiTheme="minorHAnsi" w:hAnsiTheme="minorHAnsi"/>
                <w:sz w:val="22"/>
                <w:szCs w:val="22"/>
              </w:rPr>
            </w:pPr>
            <w:r w:rsidRPr="000A4304">
              <w:rPr>
                <w:rFonts w:cs="Calibri"/>
              </w:rPr>
              <w:t>161</w:t>
            </w:r>
          </w:p>
        </w:tc>
        <w:tc>
          <w:tcPr>
            <w:tcW w:w="2098" w:type="pct"/>
            <w:vAlign w:val="center"/>
          </w:tcPr>
          <w:p w14:paraId="58C419C9" w14:textId="12F30C88" w:rsidR="00DA0767" w:rsidRPr="00FD4242" w:rsidRDefault="00DA0767" w:rsidP="00DA0767">
            <w:pPr>
              <w:pStyle w:val="Tabletext"/>
              <w:spacing w:before="20" w:after="20"/>
              <w:rPr>
                <w:rFonts w:asciiTheme="minorHAnsi" w:hAnsiTheme="minorHAnsi"/>
                <w:sz w:val="22"/>
                <w:szCs w:val="22"/>
              </w:rPr>
            </w:pPr>
            <w:r w:rsidRPr="000A4304">
              <w:rPr>
                <w:rFonts w:cs="Calibri"/>
              </w:rPr>
              <w:t>Printing and Printing Support Services</w:t>
            </w:r>
          </w:p>
        </w:tc>
        <w:tc>
          <w:tcPr>
            <w:tcW w:w="1690" w:type="pct"/>
            <w:vAlign w:val="center"/>
          </w:tcPr>
          <w:p w14:paraId="761E26CF" w14:textId="1134772E" w:rsidR="00DA0767" w:rsidRPr="00FD4242" w:rsidRDefault="00DA0767" w:rsidP="00DA0767">
            <w:pPr>
              <w:pStyle w:val="Tabletext"/>
              <w:spacing w:before="20" w:after="20"/>
              <w:rPr>
                <w:rFonts w:asciiTheme="minorHAnsi" w:hAnsiTheme="minorHAnsi"/>
                <w:sz w:val="22"/>
                <w:szCs w:val="22"/>
              </w:rPr>
            </w:pPr>
            <w:r w:rsidRPr="000A4304">
              <w:rPr>
                <w:rFonts w:cs="Calibri"/>
              </w:rPr>
              <w:t>Print media and publishing (excl. internet)</w:t>
            </w:r>
          </w:p>
        </w:tc>
      </w:tr>
      <w:tr w:rsidR="00DA0767" w:rsidRPr="00654F9E" w14:paraId="2F7C1B9E" w14:textId="77777777" w:rsidTr="005D3849">
        <w:trPr>
          <w:cnfStyle w:val="000000010000" w:firstRow="0" w:lastRow="0" w:firstColumn="0" w:lastColumn="0" w:oddVBand="0" w:evenVBand="0" w:oddHBand="0" w:evenHBand="1" w:firstRowFirstColumn="0" w:firstRowLastColumn="0" w:lastRowFirstColumn="0" w:lastRowLastColumn="0"/>
          <w:cantSplit/>
        </w:trPr>
        <w:tc>
          <w:tcPr>
            <w:tcW w:w="1212" w:type="pct"/>
            <w:vAlign w:val="center"/>
          </w:tcPr>
          <w:p w14:paraId="58649846" w14:textId="24CCD4E9" w:rsidR="00DA0767" w:rsidRPr="00FD4242" w:rsidRDefault="00DA0767" w:rsidP="00DA0767">
            <w:pPr>
              <w:pStyle w:val="Tabletextcentred"/>
              <w:spacing w:before="20" w:after="20"/>
              <w:rPr>
                <w:rFonts w:asciiTheme="minorHAnsi" w:hAnsiTheme="minorHAnsi"/>
                <w:sz w:val="22"/>
                <w:szCs w:val="22"/>
              </w:rPr>
            </w:pPr>
            <w:r w:rsidRPr="000A4304">
              <w:rPr>
                <w:rFonts w:cs="Calibri"/>
              </w:rPr>
              <w:t>541</w:t>
            </w:r>
          </w:p>
        </w:tc>
        <w:tc>
          <w:tcPr>
            <w:tcW w:w="2098" w:type="pct"/>
            <w:vAlign w:val="center"/>
          </w:tcPr>
          <w:p w14:paraId="2632945E" w14:textId="6110C722" w:rsidR="00DA0767" w:rsidRPr="00FD4242" w:rsidRDefault="00DA0767" w:rsidP="00DA0767">
            <w:pPr>
              <w:pStyle w:val="Tabletext"/>
              <w:spacing w:before="20" w:after="20"/>
              <w:rPr>
                <w:rFonts w:asciiTheme="minorHAnsi" w:hAnsiTheme="minorHAnsi"/>
                <w:sz w:val="22"/>
                <w:szCs w:val="22"/>
              </w:rPr>
            </w:pPr>
            <w:r w:rsidRPr="000A4304">
              <w:rPr>
                <w:rFonts w:cs="Calibri"/>
              </w:rPr>
              <w:t>Newspaper, Periodical, Book and Directory Publishing</w:t>
            </w:r>
          </w:p>
        </w:tc>
        <w:tc>
          <w:tcPr>
            <w:tcW w:w="1690" w:type="pct"/>
            <w:vAlign w:val="center"/>
          </w:tcPr>
          <w:p w14:paraId="7D7292F1" w14:textId="5BB4510C" w:rsidR="00DA0767" w:rsidRPr="00FD4242" w:rsidRDefault="00DA0767" w:rsidP="00DA0767">
            <w:pPr>
              <w:pStyle w:val="Tabletext"/>
              <w:spacing w:before="20" w:after="20"/>
              <w:rPr>
                <w:rFonts w:asciiTheme="minorHAnsi" w:hAnsiTheme="minorHAnsi"/>
                <w:sz w:val="22"/>
                <w:szCs w:val="22"/>
              </w:rPr>
            </w:pPr>
            <w:r w:rsidRPr="000A4304">
              <w:rPr>
                <w:rFonts w:cs="Calibri"/>
              </w:rPr>
              <w:t>Print media and publishing (excl. internet)</w:t>
            </w:r>
          </w:p>
        </w:tc>
      </w:tr>
      <w:tr w:rsidR="00DA0767" w:rsidRPr="00654F9E" w14:paraId="1AD370C4" w14:textId="77777777" w:rsidTr="005D3849">
        <w:trPr>
          <w:cantSplit/>
        </w:trPr>
        <w:tc>
          <w:tcPr>
            <w:tcW w:w="1212" w:type="pct"/>
            <w:vAlign w:val="center"/>
          </w:tcPr>
          <w:p w14:paraId="473C3DD0" w14:textId="2F961034" w:rsidR="00DA0767" w:rsidRPr="00FD4242" w:rsidRDefault="00DA0767" w:rsidP="00DA0767">
            <w:pPr>
              <w:pStyle w:val="Tabletextcentred"/>
              <w:spacing w:before="20" w:after="20"/>
              <w:rPr>
                <w:rFonts w:asciiTheme="minorHAnsi" w:hAnsiTheme="minorHAnsi"/>
                <w:sz w:val="22"/>
                <w:szCs w:val="22"/>
              </w:rPr>
            </w:pPr>
            <w:r w:rsidRPr="000A4304">
              <w:rPr>
                <w:rFonts w:cs="Calibri"/>
              </w:rPr>
              <w:t>541</w:t>
            </w:r>
          </w:p>
        </w:tc>
        <w:tc>
          <w:tcPr>
            <w:tcW w:w="2098" w:type="pct"/>
            <w:vAlign w:val="center"/>
          </w:tcPr>
          <w:p w14:paraId="6D1C1DFD" w14:textId="2AF86260" w:rsidR="00DA0767" w:rsidRPr="00FD4242" w:rsidRDefault="00DA0767" w:rsidP="00DA0767">
            <w:pPr>
              <w:pStyle w:val="Tabletext"/>
              <w:spacing w:before="20" w:after="20"/>
              <w:rPr>
                <w:rFonts w:asciiTheme="minorHAnsi" w:hAnsiTheme="minorHAnsi" w:cstheme="minorHAnsi"/>
                <w:sz w:val="22"/>
                <w:szCs w:val="22"/>
              </w:rPr>
            </w:pPr>
            <w:r w:rsidRPr="000A4304">
              <w:rPr>
                <w:rFonts w:cs="Calibri"/>
              </w:rPr>
              <w:t>Newspaper, Periodical, Book and Directory Publishing</w:t>
            </w:r>
          </w:p>
        </w:tc>
        <w:tc>
          <w:tcPr>
            <w:tcW w:w="1690" w:type="pct"/>
            <w:vAlign w:val="center"/>
          </w:tcPr>
          <w:p w14:paraId="6AB77369" w14:textId="15E2BB4B" w:rsidR="00DA0767" w:rsidRPr="00FD4242" w:rsidRDefault="00DA0767" w:rsidP="00DA0767">
            <w:pPr>
              <w:pStyle w:val="Tabletext"/>
              <w:spacing w:before="20" w:after="20"/>
              <w:rPr>
                <w:rFonts w:asciiTheme="minorHAnsi" w:hAnsiTheme="minorHAnsi" w:cstheme="minorHAnsi"/>
                <w:sz w:val="22"/>
                <w:szCs w:val="22"/>
              </w:rPr>
            </w:pPr>
            <w:r w:rsidRPr="000A4304">
              <w:rPr>
                <w:rFonts w:cs="Calibri"/>
              </w:rPr>
              <w:t>Print media and publishing (excl. internet)</w:t>
            </w:r>
          </w:p>
        </w:tc>
      </w:tr>
      <w:tr w:rsidR="00DA0767" w:rsidRPr="00654F9E" w14:paraId="7FE5098F" w14:textId="77777777" w:rsidTr="005D3849">
        <w:trPr>
          <w:cnfStyle w:val="000000010000" w:firstRow="0" w:lastRow="0" w:firstColumn="0" w:lastColumn="0" w:oddVBand="0" w:evenVBand="0" w:oddHBand="0" w:evenHBand="1" w:firstRowFirstColumn="0" w:firstRowLastColumn="0" w:lastRowFirstColumn="0" w:lastRowLastColumn="0"/>
          <w:cantSplit/>
        </w:trPr>
        <w:tc>
          <w:tcPr>
            <w:tcW w:w="1212" w:type="pct"/>
            <w:vAlign w:val="center"/>
          </w:tcPr>
          <w:p w14:paraId="2355520D" w14:textId="10ACAB83" w:rsidR="00DA0767" w:rsidRPr="000A4304" w:rsidRDefault="00DA0767" w:rsidP="00DA0767">
            <w:pPr>
              <w:pStyle w:val="Tabletextcentred"/>
              <w:spacing w:before="20" w:after="20"/>
              <w:rPr>
                <w:rFonts w:cs="Calibri"/>
              </w:rPr>
            </w:pPr>
            <w:r w:rsidRPr="000A4304">
              <w:rPr>
                <w:rFonts w:cs="Calibri"/>
              </w:rPr>
              <w:t>541</w:t>
            </w:r>
          </w:p>
        </w:tc>
        <w:tc>
          <w:tcPr>
            <w:tcW w:w="2098" w:type="pct"/>
            <w:vAlign w:val="center"/>
          </w:tcPr>
          <w:p w14:paraId="1B3978AB" w14:textId="4B3C7E1B" w:rsidR="00DA0767" w:rsidRPr="000A4304" w:rsidRDefault="00DA0767" w:rsidP="00DA0767">
            <w:pPr>
              <w:pStyle w:val="Tabletext"/>
              <w:spacing w:before="20" w:after="20"/>
              <w:rPr>
                <w:rFonts w:cs="Calibri"/>
              </w:rPr>
            </w:pPr>
            <w:r w:rsidRPr="000A4304">
              <w:rPr>
                <w:rFonts w:cs="Calibri"/>
              </w:rPr>
              <w:t>Newspaper, Periodical, Book and Directory Publishing</w:t>
            </w:r>
          </w:p>
        </w:tc>
        <w:tc>
          <w:tcPr>
            <w:tcW w:w="1690" w:type="pct"/>
            <w:vAlign w:val="center"/>
          </w:tcPr>
          <w:p w14:paraId="06D6F797" w14:textId="6ABEB084" w:rsidR="00DA0767" w:rsidRPr="000A4304" w:rsidRDefault="00DA0767" w:rsidP="00DA0767">
            <w:pPr>
              <w:pStyle w:val="Tabletext"/>
              <w:spacing w:before="20" w:after="20"/>
              <w:rPr>
                <w:rFonts w:cs="Calibri"/>
              </w:rPr>
            </w:pPr>
            <w:r w:rsidRPr="000A4304">
              <w:rPr>
                <w:rFonts w:cs="Calibri"/>
              </w:rPr>
              <w:t>Print media and publishing (excl. internet)</w:t>
            </w:r>
          </w:p>
        </w:tc>
      </w:tr>
      <w:tr w:rsidR="00DA0767" w:rsidRPr="00654F9E" w14:paraId="6A876406" w14:textId="77777777" w:rsidTr="005D3849">
        <w:trPr>
          <w:cantSplit/>
        </w:trPr>
        <w:tc>
          <w:tcPr>
            <w:tcW w:w="1212" w:type="pct"/>
            <w:vAlign w:val="center"/>
          </w:tcPr>
          <w:p w14:paraId="03A4EA36" w14:textId="671520AE" w:rsidR="00DA0767" w:rsidRPr="000A4304" w:rsidRDefault="00DA0767" w:rsidP="00DA0767">
            <w:pPr>
              <w:pStyle w:val="Tabletextcentred"/>
              <w:spacing w:before="20" w:after="20"/>
              <w:rPr>
                <w:rFonts w:cs="Calibri"/>
              </w:rPr>
            </w:pPr>
            <w:r w:rsidRPr="000A4304">
              <w:rPr>
                <w:rFonts w:cs="Calibri"/>
              </w:rPr>
              <w:t>541</w:t>
            </w:r>
          </w:p>
        </w:tc>
        <w:tc>
          <w:tcPr>
            <w:tcW w:w="2098" w:type="pct"/>
            <w:vAlign w:val="center"/>
          </w:tcPr>
          <w:p w14:paraId="68B9C29A" w14:textId="30939FA2" w:rsidR="00DA0767" w:rsidRPr="000A4304" w:rsidRDefault="00DA0767" w:rsidP="00DA0767">
            <w:pPr>
              <w:pStyle w:val="Tabletext"/>
              <w:spacing w:before="20" w:after="20"/>
              <w:rPr>
                <w:rFonts w:cs="Calibri"/>
              </w:rPr>
            </w:pPr>
            <w:r w:rsidRPr="000A4304">
              <w:rPr>
                <w:rFonts w:cs="Calibri"/>
              </w:rPr>
              <w:t>Newspaper, Periodical, Book and Directory Publishing</w:t>
            </w:r>
          </w:p>
        </w:tc>
        <w:tc>
          <w:tcPr>
            <w:tcW w:w="1690" w:type="pct"/>
            <w:vAlign w:val="center"/>
          </w:tcPr>
          <w:p w14:paraId="396B757F" w14:textId="2A5FDD53" w:rsidR="00DA0767" w:rsidRPr="000A4304" w:rsidRDefault="00DA0767" w:rsidP="00DA0767">
            <w:pPr>
              <w:pStyle w:val="Tabletext"/>
              <w:spacing w:before="20" w:after="20"/>
              <w:rPr>
                <w:rFonts w:cs="Calibri"/>
              </w:rPr>
            </w:pPr>
            <w:r w:rsidRPr="000A4304">
              <w:rPr>
                <w:rFonts w:cs="Calibri"/>
              </w:rPr>
              <w:t>Print media and publishing (excl. internet)</w:t>
            </w:r>
          </w:p>
        </w:tc>
      </w:tr>
      <w:tr w:rsidR="00DA0767" w:rsidRPr="00654F9E" w14:paraId="0CE9EEBF" w14:textId="77777777" w:rsidTr="005D3849">
        <w:trPr>
          <w:cnfStyle w:val="000000010000" w:firstRow="0" w:lastRow="0" w:firstColumn="0" w:lastColumn="0" w:oddVBand="0" w:evenVBand="0" w:oddHBand="0" w:evenHBand="1" w:firstRowFirstColumn="0" w:firstRowLastColumn="0" w:lastRowFirstColumn="0" w:lastRowLastColumn="0"/>
          <w:cantSplit/>
        </w:trPr>
        <w:tc>
          <w:tcPr>
            <w:tcW w:w="1212" w:type="pct"/>
            <w:vAlign w:val="center"/>
          </w:tcPr>
          <w:p w14:paraId="0071E6D7" w14:textId="0578DE7C" w:rsidR="00DA0767" w:rsidRPr="000A4304" w:rsidRDefault="00DA0767" w:rsidP="00DA0767">
            <w:pPr>
              <w:pStyle w:val="Tabletextcentred"/>
              <w:spacing w:before="20" w:after="20"/>
              <w:rPr>
                <w:rFonts w:cs="Calibri"/>
              </w:rPr>
            </w:pPr>
            <w:r w:rsidRPr="000A4304">
              <w:rPr>
                <w:rFonts w:cs="Calibri"/>
              </w:rPr>
              <w:t>542</w:t>
            </w:r>
          </w:p>
        </w:tc>
        <w:tc>
          <w:tcPr>
            <w:tcW w:w="2098" w:type="pct"/>
            <w:vAlign w:val="center"/>
          </w:tcPr>
          <w:p w14:paraId="2CB184F9" w14:textId="08FBE2A6" w:rsidR="00DA0767" w:rsidRPr="000A4304" w:rsidRDefault="00DA0767" w:rsidP="00DA0767">
            <w:pPr>
              <w:pStyle w:val="Tabletext"/>
              <w:spacing w:before="20" w:after="20"/>
              <w:rPr>
                <w:rFonts w:cs="Calibri"/>
              </w:rPr>
            </w:pPr>
            <w:r w:rsidRPr="000A4304">
              <w:rPr>
                <w:rFonts w:cs="Calibri"/>
              </w:rPr>
              <w:t>Software Publishing</w:t>
            </w:r>
          </w:p>
        </w:tc>
        <w:tc>
          <w:tcPr>
            <w:tcW w:w="1690" w:type="pct"/>
            <w:vAlign w:val="center"/>
          </w:tcPr>
          <w:p w14:paraId="31470725" w14:textId="4232C0DA" w:rsidR="00DA0767" w:rsidRPr="000A4304" w:rsidRDefault="00DA0767" w:rsidP="00DA0767">
            <w:pPr>
              <w:pStyle w:val="Tabletext"/>
              <w:spacing w:before="20" w:after="20"/>
              <w:rPr>
                <w:rFonts w:cs="Calibri"/>
              </w:rPr>
            </w:pPr>
            <w:r w:rsidRPr="000A4304">
              <w:rPr>
                <w:rFonts w:cs="Calibri"/>
              </w:rPr>
              <w:t>Print media and publishing (excl. internet)</w:t>
            </w:r>
          </w:p>
        </w:tc>
      </w:tr>
      <w:tr w:rsidR="00DA0767" w:rsidRPr="00654F9E" w14:paraId="5E4E0179" w14:textId="77777777" w:rsidTr="005D3849">
        <w:trPr>
          <w:cantSplit/>
        </w:trPr>
        <w:tc>
          <w:tcPr>
            <w:tcW w:w="1212" w:type="pct"/>
            <w:vAlign w:val="center"/>
          </w:tcPr>
          <w:p w14:paraId="3AA8F769" w14:textId="719B5A11" w:rsidR="00DA0767" w:rsidRPr="000A4304" w:rsidRDefault="00DA0767" w:rsidP="00DA0767">
            <w:pPr>
              <w:pStyle w:val="Tabletextcentred"/>
              <w:spacing w:before="20" w:after="20"/>
              <w:rPr>
                <w:rFonts w:cs="Calibri"/>
              </w:rPr>
            </w:pPr>
            <w:r w:rsidRPr="000A4304">
              <w:rPr>
                <w:rFonts w:cs="Calibri"/>
              </w:rPr>
              <w:t>551</w:t>
            </w:r>
          </w:p>
        </w:tc>
        <w:tc>
          <w:tcPr>
            <w:tcW w:w="2098" w:type="pct"/>
            <w:vAlign w:val="center"/>
          </w:tcPr>
          <w:p w14:paraId="7F2842D2" w14:textId="6FDB3995" w:rsidR="00DA0767" w:rsidRPr="000A4304" w:rsidRDefault="00DA0767" w:rsidP="00DA0767">
            <w:pPr>
              <w:pStyle w:val="Tabletext"/>
              <w:spacing w:before="20" w:after="20"/>
              <w:rPr>
                <w:rFonts w:cs="Calibri"/>
              </w:rPr>
            </w:pPr>
            <w:r w:rsidRPr="000A4304">
              <w:rPr>
                <w:rFonts w:cs="Calibri"/>
              </w:rPr>
              <w:t>Motion Picture and Video Activities</w:t>
            </w:r>
          </w:p>
        </w:tc>
        <w:tc>
          <w:tcPr>
            <w:tcW w:w="1690" w:type="pct"/>
            <w:vAlign w:val="center"/>
          </w:tcPr>
          <w:p w14:paraId="46985DA9" w14:textId="483CE943" w:rsidR="00DA0767" w:rsidRPr="000A4304" w:rsidRDefault="00DA0767" w:rsidP="00DA0767">
            <w:pPr>
              <w:pStyle w:val="Tabletext"/>
              <w:spacing w:before="20" w:after="20"/>
              <w:rPr>
                <w:rFonts w:cs="Calibri"/>
              </w:rPr>
            </w:pPr>
            <w:r w:rsidRPr="000A4304">
              <w:rPr>
                <w:rFonts w:cs="Calibri"/>
              </w:rPr>
              <w:t>Film and television activities</w:t>
            </w:r>
          </w:p>
        </w:tc>
      </w:tr>
      <w:tr w:rsidR="00DA0767" w:rsidRPr="00654F9E" w14:paraId="6132D198" w14:textId="77777777" w:rsidTr="005D3849">
        <w:trPr>
          <w:cnfStyle w:val="000000010000" w:firstRow="0" w:lastRow="0" w:firstColumn="0" w:lastColumn="0" w:oddVBand="0" w:evenVBand="0" w:oddHBand="0" w:evenHBand="1" w:firstRowFirstColumn="0" w:firstRowLastColumn="0" w:lastRowFirstColumn="0" w:lastRowLastColumn="0"/>
          <w:cantSplit/>
        </w:trPr>
        <w:tc>
          <w:tcPr>
            <w:tcW w:w="1212" w:type="pct"/>
            <w:vAlign w:val="center"/>
          </w:tcPr>
          <w:p w14:paraId="646E5E5D" w14:textId="759F9612" w:rsidR="00DA0767" w:rsidRPr="000A4304" w:rsidRDefault="00DA0767" w:rsidP="00DA0767">
            <w:pPr>
              <w:pStyle w:val="Tabletextcentred"/>
              <w:spacing w:before="20" w:after="20"/>
              <w:rPr>
                <w:rFonts w:cs="Calibri"/>
              </w:rPr>
            </w:pPr>
            <w:r w:rsidRPr="000A4304">
              <w:rPr>
                <w:rFonts w:cs="Calibri"/>
              </w:rPr>
              <w:t>551</w:t>
            </w:r>
          </w:p>
        </w:tc>
        <w:tc>
          <w:tcPr>
            <w:tcW w:w="2098" w:type="pct"/>
            <w:vAlign w:val="center"/>
          </w:tcPr>
          <w:p w14:paraId="7927001B" w14:textId="064D3949" w:rsidR="00DA0767" w:rsidRPr="000A4304" w:rsidRDefault="00DA0767" w:rsidP="00DA0767">
            <w:pPr>
              <w:pStyle w:val="Tabletext"/>
              <w:spacing w:before="20" w:after="20"/>
              <w:rPr>
                <w:rFonts w:cs="Calibri"/>
              </w:rPr>
            </w:pPr>
            <w:r w:rsidRPr="000A4304">
              <w:rPr>
                <w:rFonts w:cs="Calibri"/>
              </w:rPr>
              <w:t>Motion Picture and Video Activities</w:t>
            </w:r>
          </w:p>
        </w:tc>
        <w:tc>
          <w:tcPr>
            <w:tcW w:w="1690" w:type="pct"/>
            <w:vAlign w:val="center"/>
          </w:tcPr>
          <w:p w14:paraId="683C0258" w14:textId="5B9B6C07" w:rsidR="00DA0767" w:rsidRPr="000A4304" w:rsidRDefault="00DA0767" w:rsidP="00DA0767">
            <w:pPr>
              <w:pStyle w:val="Tabletext"/>
              <w:spacing w:before="20" w:after="20"/>
              <w:rPr>
                <w:rFonts w:cs="Calibri"/>
              </w:rPr>
            </w:pPr>
            <w:r w:rsidRPr="000A4304">
              <w:rPr>
                <w:rFonts w:cs="Calibri"/>
              </w:rPr>
              <w:t>Film and television activities</w:t>
            </w:r>
          </w:p>
        </w:tc>
      </w:tr>
      <w:tr w:rsidR="00DA0767" w:rsidRPr="00654F9E" w14:paraId="24D3952A" w14:textId="77777777" w:rsidTr="005D3849">
        <w:trPr>
          <w:cantSplit/>
        </w:trPr>
        <w:tc>
          <w:tcPr>
            <w:tcW w:w="1212" w:type="pct"/>
            <w:vAlign w:val="center"/>
          </w:tcPr>
          <w:p w14:paraId="05EF1F7B" w14:textId="640E2859" w:rsidR="00DA0767" w:rsidRPr="000A4304" w:rsidRDefault="00DA0767" w:rsidP="00DA0767">
            <w:pPr>
              <w:pStyle w:val="Tabletextcentred"/>
              <w:spacing w:before="20" w:after="20"/>
              <w:rPr>
                <w:rFonts w:cs="Calibri"/>
              </w:rPr>
            </w:pPr>
            <w:r w:rsidRPr="000A4304">
              <w:rPr>
                <w:rFonts w:cs="Calibri"/>
              </w:rPr>
              <w:t>551</w:t>
            </w:r>
          </w:p>
        </w:tc>
        <w:tc>
          <w:tcPr>
            <w:tcW w:w="2098" w:type="pct"/>
            <w:vAlign w:val="center"/>
          </w:tcPr>
          <w:p w14:paraId="41976935" w14:textId="0E2ED219" w:rsidR="00DA0767" w:rsidRPr="000A4304" w:rsidRDefault="00DA0767" w:rsidP="00DA0767">
            <w:pPr>
              <w:pStyle w:val="Tabletext"/>
              <w:spacing w:before="20" w:after="20"/>
              <w:rPr>
                <w:rFonts w:cs="Calibri"/>
              </w:rPr>
            </w:pPr>
            <w:r w:rsidRPr="000A4304">
              <w:rPr>
                <w:rFonts w:cs="Calibri"/>
              </w:rPr>
              <w:t>Motion Picture and Video Activities</w:t>
            </w:r>
          </w:p>
        </w:tc>
        <w:tc>
          <w:tcPr>
            <w:tcW w:w="1690" w:type="pct"/>
            <w:vAlign w:val="center"/>
          </w:tcPr>
          <w:p w14:paraId="68ABE095" w14:textId="353ED4E9" w:rsidR="00DA0767" w:rsidRPr="000A4304" w:rsidRDefault="00DA0767" w:rsidP="00DA0767">
            <w:pPr>
              <w:pStyle w:val="Tabletext"/>
              <w:spacing w:before="20" w:after="20"/>
              <w:rPr>
                <w:rFonts w:cs="Calibri"/>
              </w:rPr>
            </w:pPr>
            <w:r w:rsidRPr="000A4304">
              <w:rPr>
                <w:rFonts w:cs="Calibri"/>
              </w:rPr>
              <w:t>Film and television activities</w:t>
            </w:r>
          </w:p>
        </w:tc>
      </w:tr>
      <w:tr w:rsidR="00DA0767" w:rsidRPr="00654F9E" w14:paraId="10F8B55B" w14:textId="77777777" w:rsidTr="005D3849">
        <w:trPr>
          <w:cnfStyle w:val="000000010000" w:firstRow="0" w:lastRow="0" w:firstColumn="0" w:lastColumn="0" w:oddVBand="0" w:evenVBand="0" w:oddHBand="0" w:evenHBand="1" w:firstRowFirstColumn="0" w:firstRowLastColumn="0" w:lastRowFirstColumn="0" w:lastRowLastColumn="0"/>
          <w:cantSplit/>
        </w:trPr>
        <w:tc>
          <w:tcPr>
            <w:tcW w:w="1212" w:type="pct"/>
            <w:vAlign w:val="center"/>
          </w:tcPr>
          <w:p w14:paraId="01FB3372" w14:textId="30520E65" w:rsidR="00DA0767" w:rsidRPr="000A4304" w:rsidRDefault="00DA0767" w:rsidP="00DA0767">
            <w:pPr>
              <w:pStyle w:val="Tabletextcentred"/>
              <w:spacing w:before="20" w:after="20"/>
              <w:rPr>
                <w:rFonts w:cs="Calibri"/>
              </w:rPr>
            </w:pPr>
            <w:r w:rsidRPr="000A4304">
              <w:rPr>
                <w:rFonts w:cs="Calibri"/>
              </w:rPr>
              <w:t>551</w:t>
            </w:r>
          </w:p>
        </w:tc>
        <w:tc>
          <w:tcPr>
            <w:tcW w:w="2098" w:type="pct"/>
            <w:vAlign w:val="center"/>
          </w:tcPr>
          <w:p w14:paraId="1CF159DC" w14:textId="56FF0438" w:rsidR="00DA0767" w:rsidRPr="000A4304" w:rsidRDefault="00DA0767" w:rsidP="00DA0767">
            <w:pPr>
              <w:pStyle w:val="Tabletext"/>
              <w:spacing w:before="20" w:after="20"/>
              <w:rPr>
                <w:rFonts w:cs="Calibri"/>
              </w:rPr>
            </w:pPr>
            <w:r w:rsidRPr="000A4304">
              <w:rPr>
                <w:rFonts w:cs="Calibri"/>
              </w:rPr>
              <w:t>Motion Picture and Video Activities</w:t>
            </w:r>
          </w:p>
        </w:tc>
        <w:tc>
          <w:tcPr>
            <w:tcW w:w="1690" w:type="pct"/>
            <w:vAlign w:val="center"/>
          </w:tcPr>
          <w:p w14:paraId="7210FE4D" w14:textId="1051B5C8" w:rsidR="00DA0767" w:rsidRPr="000A4304" w:rsidRDefault="00DA0767" w:rsidP="00DA0767">
            <w:pPr>
              <w:pStyle w:val="Tabletext"/>
              <w:spacing w:before="20" w:after="20"/>
              <w:rPr>
                <w:rFonts w:cs="Calibri"/>
              </w:rPr>
            </w:pPr>
            <w:r w:rsidRPr="000A4304">
              <w:rPr>
                <w:rFonts w:cs="Calibri"/>
              </w:rPr>
              <w:t>Film and television activities</w:t>
            </w:r>
          </w:p>
        </w:tc>
      </w:tr>
      <w:tr w:rsidR="00DA0767" w:rsidRPr="00654F9E" w14:paraId="1810B893" w14:textId="77777777" w:rsidTr="005D3849">
        <w:trPr>
          <w:cantSplit/>
        </w:trPr>
        <w:tc>
          <w:tcPr>
            <w:tcW w:w="1212" w:type="pct"/>
            <w:vAlign w:val="center"/>
          </w:tcPr>
          <w:p w14:paraId="554011C8" w14:textId="54859247" w:rsidR="00DA0767" w:rsidRPr="000A4304" w:rsidRDefault="00DA0767" w:rsidP="00DA0767">
            <w:pPr>
              <w:pStyle w:val="Tabletextcentred"/>
              <w:spacing w:before="20" w:after="20"/>
              <w:rPr>
                <w:rFonts w:cs="Calibri"/>
              </w:rPr>
            </w:pPr>
            <w:r w:rsidRPr="000A4304">
              <w:rPr>
                <w:rFonts w:cs="Calibri"/>
              </w:rPr>
              <w:t>552</w:t>
            </w:r>
          </w:p>
        </w:tc>
        <w:tc>
          <w:tcPr>
            <w:tcW w:w="2098" w:type="pct"/>
            <w:vAlign w:val="center"/>
          </w:tcPr>
          <w:p w14:paraId="15F6FA07" w14:textId="23499472" w:rsidR="00DA0767" w:rsidRPr="000A4304" w:rsidRDefault="00DA0767" w:rsidP="00DA0767">
            <w:pPr>
              <w:pStyle w:val="Tabletext"/>
              <w:spacing w:before="20" w:after="20"/>
              <w:rPr>
                <w:rFonts w:cs="Calibri"/>
              </w:rPr>
            </w:pPr>
            <w:r w:rsidRPr="000A4304">
              <w:rPr>
                <w:rFonts w:cs="Calibri"/>
              </w:rPr>
              <w:t>Sound Recording and Music Publishing</w:t>
            </w:r>
          </w:p>
        </w:tc>
        <w:tc>
          <w:tcPr>
            <w:tcW w:w="1690" w:type="pct"/>
            <w:vAlign w:val="center"/>
          </w:tcPr>
          <w:p w14:paraId="3EE2A640" w14:textId="58D0AD68" w:rsidR="00DA0767" w:rsidRPr="000A4304" w:rsidRDefault="00DA0767" w:rsidP="00DA0767">
            <w:pPr>
              <w:pStyle w:val="Tabletext"/>
              <w:spacing w:before="20" w:after="20"/>
              <w:rPr>
                <w:rFonts w:cs="Calibri"/>
              </w:rPr>
            </w:pPr>
            <w:r w:rsidRPr="000A4304">
              <w:rPr>
                <w:rFonts w:cs="Calibri"/>
              </w:rPr>
              <w:t>Music production and distribution</w:t>
            </w:r>
          </w:p>
        </w:tc>
      </w:tr>
      <w:tr w:rsidR="00DA0767" w:rsidRPr="00654F9E" w14:paraId="351940BD" w14:textId="77777777" w:rsidTr="005D3849">
        <w:trPr>
          <w:cnfStyle w:val="000000010000" w:firstRow="0" w:lastRow="0" w:firstColumn="0" w:lastColumn="0" w:oddVBand="0" w:evenVBand="0" w:oddHBand="0" w:evenHBand="1" w:firstRowFirstColumn="0" w:firstRowLastColumn="0" w:lastRowFirstColumn="0" w:lastRowLastColumn="0"/>
          <w:cantSplit/>
        </w:trPr>
        <w:tc>
          <w:tcPr>
            <w:tcW w:w="1212" w:type="pct"/>
            <w:vAlign w:val="center"/>
          </w:tcPr>
          <w:p w14:paraId="36742EFC" w14:textId="24D55413" w:rsidR="00DA0767" w:rsidRPr="000A4304" w:rsidRDefault="00DA0767" w:rsidP="00DA0767">
            <w:pPr>
              <w:pStyle w:val="Tabletextcentred"/>
              <w:spacing w:before="20" w:after="20"/>
              <w:rPr>
                <w:rFonts w:cs="Calibri"/>
              </w:rPr>
            </w:pPr>
            <w:r w:rsidRPr="000A4304">
              <w:rPr>
                <w:rFonts w:cs="Calibri"/>
              </w:rPr>
              <w:t>552</w:t>
            </w:r>
          </w:p>
        </w:tc>
        <w:tc>
          <w:tcPr>
            <w:tcW w:w="2098" w:type="pct"/>
            <w:vAlign w:val="center"/>
          </w:tcPr>
          <w:p w14:paraId="223B417B" w14:textId="27072655" w:rsidR="00DA0767" w:rsidRPr="000A4304" w:rsidRDefault="00DA0767" w:rsidP="00DA0767">
            <w:pPr>
              <w:pStyle w:val="Tabletext"/>
              <w:spacing w:before="20" w:after="20"/>
              <w:rPr>
                <w:rFonts w:cs="Calibri"/>
              </w:rPr>
            </w:pPr>
            <w:r w:rsidRPr="000A4304">
              <w:rPr>
                <w:rFonts w:cs="Calibri"/>
              </w:rPr>
              <w:t>Sound Recording and Music Publishing</w:t>
            </w:r>
          </w:p>
        </w:tc>
        <w:tc>
          <w:tcPr>
            <w:tcW w:w="1690" w:type="pct"/>
            <w:vAlign w:val="center"/>
          </w:tcPr>
          <w:p w14:paraId="564BCD8B" w14:textId="58566504" w:rsidR="00DA0767" w:rsidRPr="000A4304" w:rsidRDefault="00DA0767" w:rsidP="00DA0767">
            <w:pPr>
              <w:pStyle w:val="Tabletext"/>
              <w:spacing w:before="20" w:after="20"/>
              <w:rPr>
                <w:rFonts w:cs="Calibri"/>
              </w:rPr>
            </w:pPr>
            <w:r w:rsidRPr="000A4304">
              <w:rPr>
                <w:rFonts w:cs="Calibri"/>
              </w:rPr>
              <w:t>Music production and distribution</w:t>
            </w:r>
          </w:p>
        </w:tc>
      </w:tr>
      <w:tr w:rsidR="00DA0767" w:rsidRPr="00654F9E" w14:paraId="4259EC31" w14:textId="77777777" w:rsidTr="005D3849">
        <w:trPr>
          <w:cantSplit/>
        </w:trPr>
        <w:tc>
          <w:tcPr>
            <w:tcW w:w="1212" w:type="pct"/>
            <w:vAlign w:val="center"/>
          </w:tcPr>
          <w:p w14:paraId="4EE5EE64" w14:textId="0EC6F356" w:rsidR="00DA0767" w:rsidRPr="000A4304" w:rsidRDefault="00DA0767" w:rsidP="00DA0767">
            <w:pPr>
              <w:pStyle w:val="Tabletextcentred"/>
              <w:spacing w:before="20" w:after="20"/>
              <w:rPr>
                <w:rFonts w:cs="Calibri"/>
              </w:rPr>
            </w:pPr>
            <w:r w:rsidRPr="000A4304">
              <w:rPr>
                <w:rFonts w:cs="Calibri"/>
              </w:rPr>
              <w:t>561</w:t>
            </w:r>
          </w:p>
        </w:tc>
        <w:tc>
          <w:tcPr>
            <w:tcW w:w="2098" w:type="pct"/>
            <w:vAlign w:val="center"/>
          </w:tcPr>
          <w:p w14:paraId="65F75EF9" w14:textId="0171F46D" w:rsidR="00DA0767" w:rsidRPr="000A4304" w:rsidRDefault="00DA0767" w:rsidP="00DA0767">
            <w:pPr>
              <w:pStyle w:val="Tabletext"/>
              <w:spacing w:before="20" w:after="20"/>
              <w:rPr>
                <w:rFonts w:cs="Calibri"/>
              </w:rPr>
            </w:pPr>
            <w:r w:rsidRPr="000A4304">
              <w:rPr>
                <w:rFonts w:cs="Calibri"/>
              </w:rPr>
              <w:t>Radio Broadcasting</w:t>
            </w:r>
          </w:p>
        </w:tc>
        <w:tc>
          <w:tcPr>
            <w:tcW w:w="1690" w:type="pct"/>
            <w:vAlign w:val="center"/>
          </w:tcPr>
          <w:p w14:paraId="5E035ED5" w14:textId="0BBAA655" w:rsidR="00DA0767" w:rsidRPr="000A4304" w:rsidRDefault="00DA0767" w:rsidP="00DA0767">
            <w:pPr>
              <w:pStyle w:val="Tabletext"/>
              <w:spacing w:before="20" w:after="20"/>
              <w:rPr>
                <w:rFonts w:cs="Calibri"/>
              </w:rPr>
            </w:pPr>
            <w:r w:rsidRPr="000A4304">
              <w:rPr>
                <w:rFonts w:cs="Calibri"/>
              </w:rPr>
              <w:t>Radio Broadcasting</w:t>
            </w:r>
          </w:p>
        </w:tc>
      </w:tr>
      <w:tr w:rsidR="00DA0767" w:rsidRPr="00654F9E" w14:paraId="3D1AC4F8" w14:textId="77777777" w:rsidTr="005D3849">
        <w:trPr>
          <w:cnfStyle w:val="000000010000" w:firstRow="0" w:lastRow="0" w:firstColumn="0" w:lastColumn="0" w:oddVBand="0" w:evenVBand="0" w:oddHBand="0" w:evenHBand="1" w:firstRowFirstColumn="0" w:firstRowLastColumn="0" w:lastRowFirstColumn="0" w:lastRowLastColumn="0"/>
          <w:cantSplit/>
        </w:trPr>
        <w:tc>
          <w:tcPr>
            <w:tcW w:w="1212" w:type="pct"/>
            <w:vAlign w:val="center"/>
          </w:tcPr>
          <w:p w14:paraId="0DEB0738" w14:textId="47033B61" w:rsidR="00DA0767" w:rsidRPr="000A4304" w:rsidRDefault="00DA0767" w:rsidP="00DA0767">
            <w:pPr>
              <w:pStyle w:val="Tabletextcentred"/>
              <w:spacing w:before="20" w:after="20"/>
              <w:rPr>
                <w:rFonts w:cs="Calibri"/>
              </w:rPr>
            </w:pPr>
            <w:r w:rsidRPr="000A4304">
              <w:rPr>
                <w:rFonts w:cs="Calibri"/>
              </w:rPr>
              <w:t>562</w:t>
            </w:r>
          </w:p>
        </w:tc>
        <w:tc>
          <w:tcPr>
            <w:tcW w:w="2098" w:type="pct"/>
            <w:vAlign w:val="center"/>
          </w:tcPr>
          <w:p w14:paraId="0C80B52E" w14:textId="6209D78C" w:rsidR="00DA0767" w:rsidRPr="000A4304" w:rsidRDefault="00DA0767" w:rsidP="00DA0767">
            <w:pPr>
              <w:pStyle w:val="Tabletext"/>
              <w:spacing w:before="20" w:after="20"/>
              <w:rPr>
                <w:rFonts w:cs="Calibri"/>
              </w:rPr>
            </w:pPr>
            <w:r w:rsidRPr="000A4304">
              <w:rPr>
                <w:rFonts w:cs="Calibri"/>
              </w:rPr>
              <w:t>Television Broadcasting</w:t>
            </w:r>
          </w:p>
        </w:tc>
        <w:tc>
          <w:tcPr>
            <w:tcW w:w="1690" w:type="pct"/>
            <w:vAlign w:val="center"/>
          </w:tcPr>
          <w:p w14:paraId="40B36447" w14:textId="2E9EF180" w:rsidR="00DA0767" w:rsidRPr="000A4304" w:rsidRDefault="00DA0767" w:rsidP="00DA0767">
            <w:pPr>
              <w:pStyle w:val="Tabletext"/>
              <w:spacing w:before="20" w:after="20"/>
              <w:rPr>
                <w:rFonts w:cs="Calibri"/>
              </w:rPr>
            </w:pPr>
            <w:r w:rsidRPr="000A4304">
              <w:rPr>
                <w:rFonts w:cs="Calibri"/>
              </w:rPr>
              <w:t>Film and television activities</w:t>
            </w:r>
          </w:p>
        </w:tc>
      </w:tr>
      <w:tr w:rsidR="00DA0767" w:rsidRPr="00654F9E" w14:paraId="46EA4A3E" w14:textId="77777777" w:rsidTr="005D3849">
        <w:trPr>
          <w:cantSplit/>
        </w:trPr>
        <w:tc>
          <w:tcPr>
            <w:tcW w:w="1212" w:type="pct"/>
            <w:vAlign w:val="center"/>
          </w:tcPr>
          <w:p w14:paraId="597B35B0" w14:textId="252F1726" w:rsidR="00DA0767" w:rsidRPr="000A4304" w:rsidRDefault="00DA0767" w:rsidP="00DA0767">
            <w:pPr>
              <w:pStyle w:val="Tabletextcentred"/>
              <w:spacing w:before="20" w:after="20"/>
              <w:rPr>
                <w:rFonts w:cs="Calibri"/>
              </w:rPr>
            </w:pPr>
            <w:r w:rsidRPr="000A4304">
              <w:rPr>
                <w:rFonts w:cs="Calibri"/>
              </w:rPr>
              <w:t>562</w:t>
            </w:r>
          </w:p>
        </w:tc>
        <w:tc>
          <w:tcPr>
            <w:tcW w:w="2098" w:type="pct"/>
            <w:vAlign w:val="center"/>
          </w:tcPr>
          <w:p w14:paraId="66C79779" w14:textId="1A97D27E" w:rsidR="00DA0767" w:rsidRPr="000A4304" w:rsidRDefault="00DA0767" w:rsidP="00DA0767">
            <w:pPr>
              <w:pStyle w:val="Tabletext"/>
              <w:spacing w:before="20" w:after="20"/>
              <w:rPr>
                <w:rFonts w:cs="Calibri"/>
              </w:rPr>
            </w:pPr>
            <w:r w:rsidRPr="000A4304">
              <w:rPr>
                <w:rFonts w:cs="Calibri"/>
              </w:rPr>
              <w:t>Television Broadcasting</w:t>
            </w:r>
          </w:p>
        </w:tc>
        <w:tc>
          <w:tcPr>
            <w:tcW w:w="1690" w:type="pct"/>
            <w:vAlign w:val="center"/>
          </w:tcPr>
          <w:p w14:paraId="120AE470" w14:textId="4D72DC67" w:rsidR="00DA0767" w:rsidRPr="000A4304" w:rsidRDefault="00DA0767" w:rsidP="00DA0767">
            <w:pPr>
              <w:pStyle w:val="Tabletext"/>
              <w:spacing w:before="20" w:after="20"/>
              <w:rPr>
                <w:rFonts w:cs="Calibri"/>
              </w:rPr>
            </w:pPr>
            <w:r w:rsidRPr="000A4304">
              <w:rPr>
                <w:rFonts w:cs="Calibri"/>
              </w:rPr>
              <w:t>Film and television activities</w:t>
            </w:r>
          </w:p>
        </w:tc>
      </w:tr>
      <w:tr w:rsidR="00DA0767" w:rsidRPr="00654F9E" w14:paraId="62ED9293" w14:textId="77777777" w:rsidTr="005D3849">
        <w:trPr>
          <w:cnfStyle w:val="000000010000" w:firstRow="0" w:lastRow="0" w:firstColumn="0" w:lastColumn="0" w:oddVBand="0" w:evenVBand="0" w:oddHBand="0" w:evenHBand="1" w:firstRowFirstColumn="0" w:firstRowLastColumn="0" w:lastRowFirstColumn="0" w:lastRowLastColumn="0"/>
          <w:cantSplit/>
        </w:trPr>
        <w:tc>
          <w:tcPr>
            <w:tcW w:w="1212" w:type="pct"/>
            <w:vAlign w:val="center"/>
          </w:tcPr>
          <w:p w14:paraId="1F0F59EE" w14:textId="4F1D0F5B" w:rsidR="00DA0767" w:rsidRPr="000A4304" w:rsidRDefault="00DA0767" w:rsidP="00DA0767">
            <w:pPr>
              <w:pStyle w:val="Tabletextcentred"/>
              <w:spacing w:before="20" w:after="20"/>
              <w:rPr>
                <w:rFonts w:cs="Calibri"/>
              </w:rPr>
            </w:pPr>
            <w:r w:rsidRPr="000A4304">
              <w:rPr>
                <w:rFonts w:cs="Calibri"/>
              </w:rPr>
              <w:lastRenderedPageBreak/>
              <w:t>570</w:t>
            </w:r>
          </w:p>
        </w:tc>
        <w:tc>
          <w:tcPr>
            <w:tcW w:w="2098" w:type="pct"/>
            <w:vAlign w:val="center"/>
          </w:tcPr>
          <w:p w14:paraId="2AF9B4D0" w14:textId="28E2FCDD" w:rsidR="00DA0767" w:rsidRPr="000A4304" w:rsidRDefault="00DA0767" w:rsidP="00DA0767">
            <w:pPr>
              <w:pStyle w:val="Tabletext"/>
              <w:spacing w:before="20" w:after="20"/>
              <w:rPr>
                <w:rFonts w:cs="Calibri"/>
              </w:rPr>
            </w:pPr>
            <w:r w:rsidRPr="000A4304">
              <w:rPr>
                <w:rFonts w:cs="Calibri"/>
              </w:rPr>
              <w:t>Internet Publishing and Broadcasting</w:t>
            </w:r>
          </w:p>
        </w:tc>
        <w:tc>
          <w:tcPr>
            <w:tcW w:w="1690" w:type="pct"/>
            <w:vAlign w:val="center"/>
          </w:tcPr>
          <w:p w14:paraId="489A4FA0" w14:textId="270B65DB" w:rsidR="00DA0767" w:rsidRPr="000A4304" w:rsidRDefault="00DA0767" w:rsidP="00DA0767">
            <w:pPr>
              <w:pStyle w:val="Tabletext"/>
              <w:spacing w:before="20" w:after="20"/>
              <w:rPr>
                <w:rFonts w:cs="Calibri"/>
              </w:rPr>
            </w:pPr>
            <w:r w:rsidRPr="000A4304">
              <w:rPr>
                <w:rFonts w:cs="Calibri"/>
              </w:rPr>
              <w:t>Internet publishing and broadcasting</w:t>
            </w:r>
          </w:p>
        </w:tc>
      </w:tr>
      <w:tr w:rsidR="00DA0767" w:rsidRPr="00654F9E" w14:paraId="5D8BD677" w14:textId="77777777" w:rsidTr="005D3849">
        <w:trPr>
          <w:cantSplit/>
        </w:trPr>
        <w:tc>
          <w:tcPr>
            <w:tcW w:w="1212" w:type="pct"/>
            <w:vAlign w:val="center"/>
          </w:tcPr>
          <w:p w14:paraId="41130B9F" w14:textId="58AF7922" w:rsidR="00DA0767" w:rsidRPr="000A4304" w:rsidRDefault="00DA0767" w:rsidP="00DA0767">
            <w:pPr>
              <w:pStyle w:val="Tabletextcentred"/>
              <w:spacing w:before="20" w:after="20"/>
              <w:rPr>
                <w:rFonts w:cs="Calibri"/>
              </w:rPr>
            </w:pPr>
            <w:r w:rsidRPr="000A4304">
              <w:rPr>
                <w:rFonts w:cs="Calibri"/>
              </w:rPr>
              <w:t>601</w:t>
            </w:r>
          </w:p>
        </w:tc>
        <w:tc>
          <w:tcPr>
            <w:tcW w:w="2098" w:type="pct"/>
            <w:vAlign w:val="center"/>
          </w:tcPr>
          <w:p w14:paraId="12B19A52" w14:textId="5EC6E863" w:rsidR="00DA0767" w:rsidRPr="000A4304" w:rsidRDefault="00DA0767" w:rsidP="00DA0767">
            <w:pPr>
              <w:pStyle w:val="Tabletext"/>
              <w:spacing w:before="20" w:after="20"/>
              <w:rPr>
                <w:rFonts w:cs="Calibri"/>
              </w:rPr>
            </w:pPr>
            <w:r w:rsidRPr="000A4304">
              <w:rPr>
                <w:rFonts w:cs="Calibri"/>
              </w:rPr>
              <w:t>Libraries and Archives</w:t>
            </w:r>
          </w:p>
        </w:tc>
        <w:tc>
          <w:tcPr>
            <w:tcW w:w="1690" w:type="pct"/>
            <w:vAlign w:val="center"/>
          </w:tcPr>
          <w:p w14:paraId="427A012C" w14:textId="0FCE1268" w:rsidR="00DA0767" w:rsidRPr="000A4304" w:rsidRDefault="00DA0767" w:rsidP="00DA0767">
            <w:pPr>
              <w:pStyle w:val="Tabletext"/>
              <w:spacing w:before="20" w:after="20"/>
              <w:rPr>
                <w:rFonts w:cs="Calibri"/>
              </w:rPr>
            </w:pPr>
            <w:r w:rsidRPr="000A4304">
              <w:rPr>
                <w:rFonts w:cs="Calibri"/>
              </w:rPr>
              <w:t>Libraries and archives</w:t>
            </w:r>
          </w:p>
        </w:tc>
      </w:tr>
      <w:tr w:rsidR="00DA0767" w:rsidRPr="00654F9E" w14:paraId="310ADF02" w14:textId="77777777" w:rsidTr="005D3849">
        <w:trPr>
          <w:cnfStyle w:val="000000010000" w:firstRow="0" w:lastRow="0" w:firstColumn="0" w:lastColumn="0" w:oddVBand="0" w:evenVBand="0" w:oddHBand="0" w:evenHBand="1" w:firstRowFirstColumn="0" w:firstRowLastColumn="0" w:lastRowFirstColumn="0" w:lastRowLastColumn="0"/>
          <w:cantSplit/>
        </w:trPr>
        <w:tc>
          <w:tcPr>
            <w:tcW w:w="1212" w:type="pct"/>
            <w:vAlign w:val="center"/>
          </w:tcPr>
          <w:p w14:paraId="47FA27DF" w14:textId="091A1736" w:rsidR="00DA0767" w:rsidRPr="000A4304" w:rsidRDefault="00DA0767" w:rsidP="00DA0767">
            <w:pPr>
              <w:pStyle w:val="Tabletextcentred"/>
              <w:spacing w:before="20" w:after="20"/>
              <w:rPr>
                <w:rFonts w:cs="Calibri"/>
              </w:rPr>
            </w:pPr>
            <w:r w:rsidRPr="000A4304">
              <w:rPr>
                <w:rFonts w:cs="Calibri"/>
              </w:rPr>
              <w:t>602</w:t>
            </w:r>
          </w:p>
        </w:tc>
        <w:tc>
          <w:tcPr>
            <w:tcW w:w="2098" w:type="pct"/>
            <w:vAlign w:val="center"/>
          </w:tcPr>
          <w:p w14:paraId="62D86E80" w14:textId="48F93108" w:rsidR="00DA0767" w:rsidRPr="000A4304" w:rsidRDefault="00DA0767" w:rsidP="00DA0767">
            <w:pPr>
              <w:pStyle w:val="Tabletext"/>
              <w:spacing w:before="20" w:after="20"/>
              <w:rPr>
                <w:rFonts w:cs="Calibri"/>
              </w:rPr>
            </w:pPr>
            <w:r w:rsidRPr="000A4304">
              <w:rPr>
                <w:rFonts w:cs="Calibri"/>
              </w:rPr>
              <w:t>Other Information Services</w:t>
            </w:r>
          </w:p>
        </w:tc>
        <w:tc>
          <w:tcPr>
            <w:tcW w:w="1690" w:type="pct"/>
            <w:vAlign w:val="center"/>
          </w:tcPr>
          <w:p w14:paraId="24141232" w14:textId="1ADAE583" w:rsidR="00DA0767" w:rsidRPr="000A4304" w:rsidRDefault="00DA0767" w:rsidP="00DA0767">
            <w:pPr>
              <w:pStyle w:val="Tabletext"/>
              <w:spacing w:before="20" w:after="20"/>
              <w:rPr>
                <w:rFonts w:cs="Calibri"/>
              </w:rPr>
            </w:pPr>
            <w:r w:rsidRPr="000A4304">
              <w:rPr>
                <w:rFonts w:cs="Calibri"/>
              </w:rPr>
              <w:t>Print media and publishing (excl. internet)</w:t>
            </w:r>
          </w:p>
        </w:tc>
      </w:tr>
      <w:tr w:rsidR="00DA0767" w:rsidRPr="00654F9E" w14:paraId="16330801" w14:textId="77777777" w:rsidTr="005D3849">
        <w:trPr>
          <w:cantSplit/>
        </w:trPr>
        <w:tc>
          <w:tcPr>
            <w:tcW w:w="1212" w:type="pct"/>
            <w:vAlign w:val="center"/>
          </w:tcPr>
          <w:p w14:paraId="2AA00191" w14:textId="3EC6CBE1" w:rsidR="00DA0767" w:rsidRPr="000A4304" w:rsidRDefault="00DA0767" w:rsidP="00DA0767">
            <w:pPr>
              <w:pStyle w:val="Tabletextcentred"/>
              <w:spacing w:before="20" w:after="20"/>
              <w:rPr>
                <w:rFonts w:cs="Calibri"/>
              </w:rPr>
            </w:pPr>
            <w:r w:rsidRPr="000A4304">
              <w:rPr>
                <w:rFonts w:cs="Calibri"/>
              </w:rPr>
              <w:t>692</w:t>
            </w:r>
          </w:p>
        </w:tc>
        <w:tc>
          <w:tcPr>
            <w:tcW w:w="2098" w:type="pct"/>
            <w:vAlign w:val="center"/>
          </w:tcPr>
          <w:p w14:paraId="5768D724" w14:textId="6B885572" w:rsidR="00DA0767" w:rsidRPr="000A4304" w:rsidRDefault="00DA0767" w:rsidP="00DA0767">
            <w:pPr>
              <w:pStyle w:val="Tabletext"/>
              <w:spacing w:before="20" w:after="20"/>
              <w:rPr>
                <w:rFonts w:cs="Calibri"/>
              </w:rPr>
            </w:pPr>
            <w:r w:rsidRPr="000A4304">
              <w:rPr>
                <w:rFonts w:cs="Calibri"/>
              </w:rPr>
              <w:t>Architectural, Engineering and Technical Services</w:t>
            </w:r>
          </w:p>
        </w:tc>
        <w:tc>
          <w:tcPr>
            <w:tcW w:w="1690" w:type="pct"/>
            <w:vAlign w:val="center"/>
          </w:tcPr>
          <w:p w14:paraId="6C125425" w14:textId="25AFCDCB" w:rsidR="00DA0767" w:rsidRPr="000A4304" w:rsidRDefault="00DA0767" w:rsidP="00DA0767">
            <w:pPr>
              <w:pStyle w:val="Tabletext"/>
              <w:spacing w:before="20" w:after="20"/>
              <w:rPr>
                <w:rFonts w:cs="Calibri"/>
              </w:rPr>
            </w:pPr>
            <w:r w:rsidRPr="000A4304">
              <w:rPr>
                <w:rFonts w:cs="Calibri"/>
              </w:rPr>
              <w:t xml:space="preserve">Architecture </w:t>
            </w:r>
            <w:r w:rsidR="00A37E41">
              <w:rPr>
                <w:rFonts w:cs="Calibri"/>
              </w:rPr>
              <w:t>s</w:t>
            </w:r>
            <w:r w:rsidRPr="000A4304">
              <w:rPr>
                <w:rFonts w:cs="Calibri"/>
              </w:rPr>
              <w:t>ervices</w:t>
            </w:r>
            <w:r>
              <w:rPr>
                <w:rFonts w:cs="Calibri"/>
              </w:rPr>
              <w:t>, and</w:t>
            </w:r>
            <w:r w:rsidRPr="000A4304">
              <w:rPr>
                <w:rFonts w:cs="Calibri"/>
              </w:rPr>
              <w:t xml:space="preserve"> Design</w:t>
            </w:r>
            <w:r>
              <w:rPr>
                <w:rFonts w:cs="Calibri"/>
              </w:rPr>
              <w:t xml:space="preserve"> and fashion</w:t>
            </w:r>
          </w:p>
        </w:tc>
      </w:tr>
      <w:tr w:rsidR="00DA0767" w:rsidRPr="00654F9E" w14:paraId="2CE16A85" w14:textId="77777777" w:rsidTr="005D3849">
        <w:trPr>
          <w:cnfStyle w:val="000000010000" w:firstRow="0" w:lastRow="0" w:firstColumn="0" w:lastColumn="0" w:oddVBand="0" w:evenVBand="0" w:oddHBand="0" w:evenHBand="1" w:firstRowFirstColumn="0" w:firstRowLastColumn="0" w:lastRowFirstColumn="0" w:lastRowLastColumn="0"/>
          <w:cantSplit/>
        </w:trPr>
        <w:tc>
          <w:tcPr>
            <w:tcW w:w="1212" w:type="pct"/>
            <w:vAlign w:val="center"/>
          </w:tcPr>
          <w:p w14:paraId="43968B24" w14:textId="5EC03044" w:rsidR="00DA0767" w:rsidRPr="000A4304" w:rsidRDefault="00DA0767" w:rsidP="00DA0767">
            <w:pPr>
              <w:pStyle w:val="Tabletextcentred"/>
              <w:spacing w:before="20" w:after="20"/>
              <w:rPr>
                <w:rFonts w:cs="Calibri"/>
              </w:rPr>
            </w:pPr>
            <w:r w:rsidRPr="000A4304">
              <w:rPr>
                <w:rFonts w:cs="Calibri"/>
              </w:rPr>
              <w:t>692</w:t>
            </w:r>
          </w:p>
        </w:tc>
        <w:tc>
          <w:tcPr>
            <w:tcW w:w="2098" w:type="pct"/>
            <w:vAlign w:val="center"/>
          </w:tcPr>
          <w:p w14:paraId="0164C81D" w14:textId="0E088EE3" w:rsidR="00DA0767" w:rsidRPr="000A4304" w:rsidRDefault="00DA0767" w:rsidP="00DA0767">
            <w:pPr>
              <w:pStyle w:val="Tabletext"/>
              <w:spacing w:before="20" w:after="20"/>
              <w:rPr>
                <w:rFonts w:cs="Calibri"/>
              </w:rPr>
            </w:pPr>
            <w:r w:rsidRPr="000A4304">
              <w:rPr>
                <w:rFonts w:cs="Calibri"/>
              </w:rPr>
              <w:t>Architectural, Engineering and Technical Services</w:t>
            </w:r>
          </w:p>
        </w:tc>
        <w:tc>
          <w:tcPr>
            <w:tcW w:w="1690" w:type="pct"/>
            <w:vAlign w:val="center"/>
          </w:tcPr>
          <w:p w14:paraId="125DA075" w14:textId="3FBF135D" w:rsidR="00DA0767" w:rsidRPr="000A4304" w:rsidRDefault="00DA0767" w:rsidP="00DA0767">
            <w:pPr>
              <w:pStyle w:val="Tabletext"/>
              <w:spacing w:before="20" w:after="20"/>
              <w:rPr>
                <w:rFonts w:cs="Calibri"/>
              </w:rPr>
            </w:pPr>
            <w:r w:rsidRPr="000A4304">
              <w:rPr>
                <w:rFonts w:cs="Calibri"/>
              </w:rPr>
              <w:t xml:space="preserve">Architecture </w:t>
            </w:r>
            <w:r w:rsidR="00A37E41">
              <w:rPr>
                <w:rFonts w:cs="Calibri"/>
              </w:rPr>
              <w:t>s</w:t>
            </w:r>
            <w:r w:rsidRPr="000A4304">
              <w:rPr>
                <w:rFonts w:cs="Calibri"/>
              </w:rPr>
              <w:t>ervices</w:t>
            </w:r>
            <w:r>
              <w:rPr>
                <w:rFonts w:cs="Calibri"/>
              </w:rPr>
              <w:t>, and</w:t>
            </w:r>
            <w:r w:rsidRPr="000A4304">
              <w:rPr>
                <w:rFonts w:cs="Calibri"/>
              </w:rPr>
              <w:t xml:space="preserve"> Design</w:t>
            </w:r>
            <w:r>
              <w:rPr>
                <w:rFonts w:cs="Calibri"/>
              </w:rPr>
              <w:t xml:space="preserve"> and fashion</w:t>
            </w:r>
          </w:p>
        </w:tc>
      </w:tr>
      <w:tr w:rsidR="00DA0767" w:rsidRPr="00654F9E" w14:paraId="5C8BED52" w14:textId="77777777" w:rsidTr="005D3849">
        <w:trPr>
          <w:cantSplit/>
        </w:trPr>
        <w:tc>
          <w:tcPr>
            <w:tcW w:w="1212" w:type="pct"/>
            <w:vAlign w:val="center"/>
          </w:tcPr>
          <w:p w14:paraId="64B8465C" w14:textId="7F1C40AC" w:rsidR="00DA0767" w:rsidRPr="000A4304" w:rsidRDefault="00DA0767" w:rsidP="00DA0767">
            <w:pPr>
              <w:pStyle w:val="Tabletextcentred"/>
              <w:spacing w:before="20" w:after="20"/>
              <w:rPr>
                <w:rFonts w:cs="Calibri"/>
              </w:rPr>
            </w:pPr>
            <w:r w:rsidRPr="000A4304">
              <w:rPr>
                <w:rFonts w:cs="Calibri"/>
              </w:rPr>
              <w:t>694</w:t>
            </w:r>
          </w:p>
        </w:tc>
        <w:tc>
          <w:tcPr>
            <w:tcW w:w="2098" w:type="pct"/>
            <w:vAlign w:val="center"/>
          </w:tcPr>
          <w:p w14:paraId="0C702B6A" w14:textId="79E9F72C" w:rsidR="00DA0767" w:rsidRPr="000A4304" w:rsidRDefault="00DA0767" w:rsidP="00DA0767">
            <w:pPr>
              <w:pStyle w:val="Tabletext"/>
              <w:spacing w:before="20" w:after="20"/>
              <w:rPr>
                <w:rFonts w:cs="Calibri"/>
              </w:rPr>
            </w:pPr>
            <w:r w:rsidRPr="000A4304">
              <w:rPr>
                <w:rFonts w:cs="Calibri"/>
              </w:rPr>
              <w:t>Advertising Services</w:t>
            </w:r>
          </w:p>
        </w:tc>
        <w:tc>
          <w:tcPr>
            <w:tcW w:w="1690" w:type="pct"/>
            <w:vAlign w:val="center"/>
          </w:tcPr>
          <w:p w14:paraId="463E3BE0" w14:textId="1FBC5A62" w:rsidR="00DA0767" w:rsidRPr="000A4304" w:rsidRDefault="00DA0767" w:rsidP="00DA0767">
            <w:pPr>
              <w:pStyle w:val="Tabletext"/>
              <w:spacing w:before="20" w:after="20"/>
              <w:rPr>
                <w:rFonts w:cs="Calibri"/>
              </w:rPr>
            </w:pPr>
            <w:r w:rsidRPr="000A4304">
              <w:rPr>
                <w:rFonts w:cs="Calibri"/>
              </w:rPr>
              <w:t>Advertising and promotion</w:t>
            </w:r>
          </w:p>
        </w:tc>
      </w:tr>
      <w:tr w:rsidR="00DA0767" w:rsidRPr="00654F9E" w14:paraId="7B046943" w14:textId="77777777" w:rsidTr="005D3849">
        <w:trPr>
          <w:cnfStyle w:val="000000010000" w:firstRow="0" w:lastRow="0" w:firstColumn="0" w:lastColumn="0" w:oddVBand="0" w:evenVBand="0" w:oddHBand="0" w:evenHBand="1" w:firstRowFirstColumn="0" w:firstRowLastColumn="0" w:lastRowFirstColumn="0" w:lastRowLastColumn="0"/>
          <w:cantSplit/>
        </w:trPr>
        <w:tc>
          <w:tcPr>
            <w:tcW w:w="1212" w:type="pct"/>
            <w:vAlign w:val="center"/>
          </w:tcPr>
          <w:p w14:paraId="4C299C83" w14:textId="73472EDD" w:rsidR="00DA0767" w:rsidRPr="000A4304" w:rsidRDefault="00DA0767" w:rsidP="00DA0767">
            <w:pPr>
              <w:pStyle w:val="Tabletextcentred"/>
              <w:spacing w:before="20" w:after="20"/>
              <w:rPr>
                <w:rFonts w:cs="Calibri"/>
              </w:rPr>
            </w:pPr>
            <w:r w:rsidRPr="000A4304">
              <w:rPr>
                <w:rFonts w:cs="Calibri"/>
              </w:rPr>
              <w:t>699</w:t>
            </w:r>
          </w:p>
        </w:tc>
        <w:tc>
          <w:tcPr>
            <w:tcW w:w="2098" w:type="pct"/>
            <w:vAlign w:val="center"/>
          </w:tcPr>
          <w:p w14:paraId="736626D4" w14:textId="0CDDDA7C" w:rsidR="00DA0767" w:rsidRPr="000A4304" w:rsidRDefault="00DA0767" w:rsidP="00DA0767">
            <w:pPr>
              <w:pStyle w:val="Tabletext"/>
              <w:spacing w:before="20" w:after="20"/>
              <w:rPr>
                <w:rFonts w:cs="Calibri"/>
              </w:rPr>
            </w:pPr>
            <w:r w:rsidRPr="000A4304">
              <w:rPr>
                <w:rFonts w:cs="Calibri"/>
              </w:rPr>
              <w:t>Other Professional, Scientific and Technical Services</w:t>
            </w:r>
          </w:p>
        </w:tc>
        <w:tc>
          <w:tcPr>
            <w:tcW w:w="1690" w:type="pct"/>
            <w:vAlign w:val="center"/>
          </w:tcPr>
          <w:p w14:paraId="30EC79AB" w14:textId="361386D0" w:rsidR="00DA0767" w:rsidRPr="000A4304" w:rsidRDefault="00DA0767" w:rsidP="00DA0767">
            <w:pPr>
              <w:pStyle w:val="Tabletext"/>
              <w:spacing w:before="20" w:after="20"/>
              <w:rPr>
                <w:rFonts w:cs="Calibri"/>
              </w:rPr>
            </w:pPr>
            <w:r w:rsidRPr="000A4304">
              <w:rPr>
                <w:rFonts w:cs="Calibri"/>
              </w:rPr>
              <w:t>Literature, creative and performing arts</w:t>
            </w:r>
            <w:r>
              <w:rPr>
                <w:rFonts w:cs="Calibri"/>
              </w:rPr>
              <w:t>,</w:t>
            </w:r>
            <w:r w:rsidRPr="000A4304">
              <w:rPr>
                <w:rFonts w:cs="Calibri"/>
              </w:rPr>
              <w:t xml:space="preserve"> </w:t>
            </w:r>
            <w:r>
              <w:rPr>
                <w:rFonts w:cs="Calibri"/>
              </w:rPr>
              <w:t>and</w:t>
            </w:r>
            <w:r w:rsidRPr="000A4304">
              <w:rPr>
                <w:rFonts w:cs="Calibri"/>
              </w:rPr>
              <w:t xml:space="preserve"> </w:t>
            </w:r>
            <w:r>
              <w:rPr>
                <w:rFonts w:cs="Calibri"/>
              </w:rPr>
              <w:t>v</w:t>
            </w:r>
            <w:r w:rsidRPr="000A4304">
              <w:rPr>
                <w:rFonts w:cs="Calibri"/>
              </w:rPr>
              <w:t>isual arts and crafts</w:t>
            </w:r>
          </w:p>
        </w:tc>
      </w:tr>
      <w:tr w:rsidR="00DA0767" w:rsidRPr="00654F9E" w14:paraId="09ACA58D" w14:textId="77777777" w:rsidTr="005D3849">
        <w:trPr>
          <w:cantSplit/>
        </w:trPr>
        <w:tc>
          <w:tcPr>
            <w:tcW w:w="1212" w:type="pct"/>
            <w:vAlign w:val="center"/>
          </w:tcPr>
          <w:p w14:paraId="7F51389C" w14:textId="3F57D3A3" w:rsidR="00DA0767" w:rsidRPr="000A4304" w:rsidRDefault="00DA0767" w:rsidP="00DA0767">
            <w:pPr>
              <w:pStyle w:val="Tabletextcentred"/>
              <w:spacing w:before="20" w:after="20"/>
              <w:rPr>
                <w:rFonts w:cs="Calibri"/>
              </w:rPr>
            </w:pPr>
            <w:r w:rsidRPr="000A4304">
              <w:rPr>
                <w:rFonts w:cs="Calibri"/>
              </w:rPr>
              <w:t>821</w:t>
            </w:r>
          </w:p>
        </w:tc>
        <w:tc>
          <w:tcPr>
            <w:tcW w:w="2098" w:type="pct"/>
            <w:vAlign w:val="center"/>
          </w:tcPr>
          <w:p w14:paraId="69F5A7CA" w14:textId="275EDDA5" w:rsidR="00DA0767" w:rsidRPr="000A4304" w:rsidRDefault="00DA0767" w:rsidP="00DA0767">
            <w:pPr>
              <w:pStyle w:val="Tabletext"/>
              <w:spacing w:before="20" w:after="20"/>
              <w:rPr>
                <w:rFonts w:cs="Calibri"/>
              </w:rPr>
            </w:pPr>
            <w:r w:rsidRPr="000A4304">
              <w:rPr>
                <w:rFonts w:cs="Calibri"/>
              </w:rPr>
              <w:t>Adult, Community and Other Education</w:t>
            </w:r>
          </w:p>
        </w:tc>
        <w:tc>
          <w:tcPr>
            <w:tcW w:w="1690" w:type="pct"/>
            <w:vAlign w:val="center"/>
          </w:tcPr>
          <w:p w14:paraId="1032D89C" w14:textId="7D69DD14" w:rsidR="00DA0767" w:rsidRPr="000A4304" w:rsidRDefault="00DA0767" w:rsidP="00DA0767">
            <w:pPr>
              <w:pStyle w:val="Tabletext"/>
              <w:spacing w:before="20" w:after="20"/>
              <w:rPr>
                <w:rFonts w:cs="Calibri"/>
              </w:rPr>
            </w:pPr>
            <w:r w:rsidRPr="000A4304">
              <w:rPr>
                <w:rFonts w:cs="Calibri"/>
              </w:rPr>
              <w:t>Arts education</w:t>
            </w:r>
          </w:p>
        </w:tc>
      </w:tr>
      <w:tr w:rsidR="00DA0767" w:rsidRPr="00654F9E" w14:paraId="77CC3B50" w14:textId="77777777" w:rsidTr="005D3849">
        <w:trPr>
          <w:cnfStyle w:val="000000010000" w:firstRow="0" w:lastRow="0" w:firstColumn="0" w:lastColumn="0" w:oddVBand="0" w:evenVBand="0" w:oddHBand="0" w:evenHBand="1" w:firstRowFirstColumn="0" w:firstRowLastColumn="0" w:lastRowFirstColumn="0" w:lastRowLastColumn="0"/>
          <w:cantSplit/>
        </w:trPr>
        <w:tc>
          <w:tcPr>
            <w:tcW w:w="1212" w:type="pct"/>
            <w:vAlign w:val="center"/>
          </w:tcPr>
          <w:p w14:paraId="4FA6373C" w14:textId="710C75DA" w:rsidR="00DA0767" w:rsidRPr="000A4304" w:rsidRDefault="00DA0767" w:rsidP="00DA0767">
            <w:pPr>
              <w:pStyle w:val="Tabletextcentred"/>
              <w:spacing w:before="20" w:after="20"/>
              <w:rPr>
                <w:rFonts w:cs="Calibri"/>
              </w:rPr>
            </w:pPr>
            <w:r w:rsidRPr="000A4304">
              <w:rPr>
                <w:rFonts w:cs="Calibri"/>
              </w:rPr>
              <w:t>891</w:t>
            </w:r>
          </w:p>
        </w:tc>
        <w:tc>
          <w:tcPr>
            <w:tcW w:w="2098" w:type="pct"/>
            <w:vAlign w:val="center"/>
          </w:tcPr>
          <w:p w14:paraId="36A1E631" w14:textId="06122DE6" w:rsidR="00DA0767" w:rsidRPr="000A4304" w:rsidRDefault="00DA0767" w:rsidP="00DA0767">
            <w:pPr>
              <w:pStyle w:val="Tabletext"/>
              <w:spacing w:before="20" w:after="20"/>
              <w:rPr>
                <w:rFonts w:cs="Calibri"/>
              </w:rPr>
            </w:pPr>
            <w:r w:rsidRPr="000A4304">
              <w:rPr>
                <w:rFonts w:cs="Calibri"/>
              </w:rPr>
              <w:t>Museum Operation</w:t>
            </w:r>
          </w:p>
        </w:tc>
        <w:tc>
          <w:tcPr>
            <w:tcW w:w="1690" w:type="pct"/>
            <w:vAlign w:val="center"/>
          </w:tcPr>
          <w:p w14:paraId="7C08C721" w14:textId="02779438" w:rsidR="00DA0767" w:rsidRPr="000A4304" w:rsidRDefault="00DA0767" w:rsidP="00DA0767">
            <w:pPr>
              <w:pStyle w:val="Tabletext"/>
              <w:spacing w:before="20" w:after="20"/>
              <w:rPr>
                <w:rFonts w:cs="Calibri"/>
              </w:rPr>
            </w:pPr>
            <w:r w:rsidRPr="000A4304">
              <w:rPr>
                <w:rFonts w:cs="Calibri"/>
              </w:rPr>
              <w:t>Museums and galleries</w:t>
            </w:r>
          </w:p>
        </w:tc>
      </w:tr>
      <w:tr w:rsidR="00DA0767" w:rsidRPr="00654F9E" w14:paraId="0398A7BD" w14:textId="77777777" w:rsidTr="005D3849">
        <w:trPr>
          <w:cantSplit/>
        </w:trPr>
        <w:tc>
          <w:tcPr>
            <w:tcW w:w="1212" w:type="pct"/>
            <w:vAlign w:val="center"/>
          </w:tcPr>
          <w:p w14:paraId="1A2E813B" w14:textId="1267AE11" w:rsidR="00DA0767" w:rsidRPr="000A4304" w:rsidRDefault="00DA0767" w:rsidP="00DA0767">
            <w:pPr>
              <w:pStyle w:val="Tabletextcentred"/>
              <w:spacing w:before="20" w:after="20"/>
              <w:rPr>
                <w:rFonts w:cs="Calibri"/>
              </w:rPr>
            </w:pPr>
            <w:r w:rsidRPr="000A4304">
              <w:rPr>
                <w:rFonts w:cs="Calibri"/>
              </w:rPr>
              <w:t>900</w:t>
            </w:r>
          </w:p>
        </w:tc>
        <w:tc>
          <w:tcPr>
            <w:tcW w:w="2098" w:type="pct"/>
            <w:vAlign w:val="center"/>
          </w:tcPr>
          <w:p w14:paraId="052080A4" w14:textId="2E8D82B1" w:rsidR="00DA0767" w:rsidRPr="000A4304" w:rsidRDefault="00DA0767" w:rsidP="00DA0767">
            <w:pPr>
              <w:pStyle w:val="Tabletext"/>
              <w:spacing w:before="20" w:after="20"/>
              <w:rPr>
                <w:rFonts w:cs="Calibri"/>
              </w:rPr>
            </w:pPr>
            <w:r w:rsidRPr="000A4304">
              <w:rPr>
                <w:rFonts w:cs="Calibri"/>
              </w:rPr>
              <w:t>Creative and Performing Arts Activities</w:t>
            </w:r>
          </w:p>
        </w:tc>
        <w:tc>
          <w:tcPr>
            <w:tcW w:w="1690" w:type="pct"/>
            <w:vAlign w:val="center"/>
          </w:tcPr>
          <w:p w14:paraId="4AF3BCA3" w14:textId="05DB82D7" w:rsidR="00DA0767" w:rsidRPr="000A4304" w:rsidRDefault="00DA0767" w:rsidP="00DA0767">
            <w:pPr>
              <w:pStyle w:val="Tabletext"/>
              <w:spacing w:before="20" w:after="20"/>
              <w:rPr>
                <w:rFonts w:cs="Calibri"/>
              </w:rPr>
            </w:pPr>
            <w:r w:rsidRPr="000A4304">
              <w:rPr>
                <w:rFonts w:cs="Calibri"/>
              </w:rPr>
              <w:t>Literature, creative and performing arts</w:t>
            </w:r>
            <w:r>
              <w:rPr>
                <w:rFonts w:cs="Calibri"/>
              </w:rPr>
              <w:t>,</w:t>
            </w:r>
            <w:r w:rsidRPr="000A4304">
              <w:rPr>
                <w:rFonts w:cs="Calibri"/>
              </w:rPr>
              <w:t xml:space="preserve"> </w:t>
            </w:r>
            <w:r>
              <w:rPr>
                <w:rFonts w:cs="Calibri"/>
              </w:rPr>
              <w:t>and</w:t>
            </w:r>
            <w:r w:rsidRPr="000A4304">
              <w:rPr>
                <w:rFonts w:cs="Calibri"/>
              </w:rPr>
              <w:t xml:space="preserve"> </w:t>
            </w:r>
            <w:r>
              <w:rPr>
                <w:rFonts w:cs="Calibri"/>
              </w:rPr>
              <w:t>v</w:t>
            </w:r>
            <w:r w:rsidRPr="000A4304">
              <w:rPr>
                <w:rFonts w:cs="Calibri"/>
              </w:rPr>
              <w:t>isual arts and crafts</w:t>
            </w:r>
          </w:p>
        </w:tc>
      </w:tr>
      <w:tr w:rsidR="00DA0767" w:rsidRPr="00654F9E" w14:paraId="3F7CBB26" w14:textId="77777777" w:rsidTr="005D3849">
        <w:trPr>
          <w:cnfStyle w:val="000000010000" w:firstRow="0" w:lastRow="0" w:firstColumn="0" w:lastColumn="0" w:oddVBand="0" w:evenVBand="0" w:oddHBand="0" w:evenHBand="1" w:firstRowFirstColumn="0" w:firstRowLastColumn="0" w:lastRowFirstColumn="0" w:lastRowLastColumn="0"/>
          <w:cantSplit/>
        </w:trPr>
        <w:tc>
          <w:tcPr>
            <w:tcW w:w="1212" w:type="pct"/>
            <w:vAlign w:val="center"/>
          </w:tcPr>
          <w:p w14:paraId="6CBBFE54" w14:textId="2F246AD6" w:rsidR="00DA0767" w:rsidRPr="000A4304" w:rsidRDefault="00DA0767" w:rsidP="00DA0767">
            <w:pPr>
              <w:pStyle w:val="Tabletextcentred"/>
              <w:spacing w:before="20" w:after="20"/>
              <w:rPr>
                <w:rFonts w:cs="Calibri"/>
              </w:rPr>
            </w:pPr>
            <w:r w:rsidRPr="000A4304">
              <w:rPr>
                <w:rFonts w:cs="Calibri"/>
              </w:rPr>
              <w:t>900</w:t>
            </w:r>
          </w:p>
        </w:tc>
        <w:tc>
          <w:tcPr>
            <w:tcW w:w="2098" w:type="pct"/>
            <w:vAlign w:val="center"/>
          </w:tcPr>
          <w:p w14:paraId="0318D06F" w14:textId="232358E7" w:rsidR="00DA0767" w:rsidRPr="000A4304" w:rsidRDefault="00DA0767" w:rsidP="00DA0767">
            <w:pPr>
              <w:pStyle w:val="Tabletext"/>
              <w:spacing w:before="20" w:after="20"/>
              <w:rPr>
                <w:rFonts w:cs="Calibri"/>
              </w:rPr>
            </w:pPr>
            <w:r w:rsidRPr="000A4304">
              <w:rPr>
                <w:rFonts w:cs="Calibri"/>
              </w:rPr>
              <w:t>Creative and Performing Arts Activities</w:t>
            </w:r>
          </w:p>
        </w:tc>
        <w:tc>
          <w:tcPr>
            <w:tcW w:w="1690" w:type="pct"/>
            <w:vAlign w:val="center"/>
          </w:tcPr>
          <w:p w14:paraId="6A00E5CC" w14:textId="1E16627F" w:rsidR="00DA0767" w:rsidRPr="000A4304" w:rsidRDefault="00DA0767" w:rsidP="00DA0767">
            <w:pPr>
              <w:pStyle w:val="Tabletext"/>
              <w:spacing w:before="20" w:after="20"/>
              <w:rPr>
                <w:rFonts w:cs="Calibri"/>
              </w:rPr>
            </w:pPr>
            <w:r w:rsidRPr="000A4304">
              <w:rPr>
                <w:rFonts w:cs="Calibri"/>
              </w:rPr>
              <w:t>Literature, creative and performing arts</w:t>
            </w:r>
            <w:r>
              <w:rPr>
                <w:rFonts w:cs="Calibri"/>
              </w:rPr>
              <w:t>,</w:t>
            </w:r>
            <w:r w:rsidRPr="000A4304">
              <w:rPr>
                <w:rFonts w:cs="Calibri"/>
              </w:rPr>
              <w:t xml:space="preserve"> </w:t>
            </w:r>
            <w:r>
              <w:rPr>
                <w:rFonts w:cs="Calibri"/>
              </w:rPr>
              <w:t>and</w:t>
            </w:r>
            <w:r w:rsidRPr="000A4304">
              <w:rPr>
                <w:rFonts w:cs="Calibri"/>
              </w:rPr>
              <w:t xml:space="preserve"> </w:t>
            </w:r>
            <w:r>
              <w:rPr>
                <w:rFonts w:cs="Calibri"/>
              </w:rPr>
              <w:t>v</w:t>
            </w:r>
            <w:r w:rsidRPr="000A4304">
              <w:rPr>
                <w:rFonts w:cs="Calibri"/>
              </w:rPr>
              <w:t>isual arts and crafts</w:t>
            </w:r>
          </w:p>
        </w:tc>
      </w:tr>
      <w:tr w:rsidR="00DA0767" w:rsidRPr="00654F9E" w14:paraId="4EB9F722" w14:textId="77777777" w:rsidTr="005D3849">
        <w:trPr>
          <w:cantSplit/>
        </w:trPr>
        <w:tc>
          <w:tcPr>
            <w:tcW w:w="1212" w:type="pct"/>
            <w:vAlign w:val="center"/>
          </w:tcPr>
          <w:p w14:paraId="2BA7B1D8" w14:textId="4F4AB296" w:rsidR="00DA0767" w:rsidRPr="000A4304" w:rsidRDefault="00DA0767" w:rsidP="00DA0767">
            <w:pPr>
              <w:pStyle w:val="Tabletextcentred"/>
              <w:spacing w:before="20" w:after="20"/>
              <w:rPr>
                <w:rFonts w:cs="Calibri"/>
              </w:rPr>
            </w:pPr>
            <w:r w:rsidRPr="000A4304">
              <w:rPr>
                <w:rFonts w:cs="Calibri"/>
              </w:rPr>
              <w:t>900</w:t>
            </w:r>
          </w:p>
        </w:tc>
        <w:tc>
          <w:tcPr>
            <w:tcW w:w="2098" w:type="pct"/>
            <w:vAlign w:val="center"/>
          </w:tcPr>
          <w:p w14:paraId="5B5E8109" w14:textId="7FB1F928" w:rsidR="00DA0767" w:rsidRPr="000A4304" w:rsidRDefault="00DA0767" w:rsidP="00DA0767">
            <w:pPr>
              <w:pStyle w:val="Tabletext"/>
              <w:spacing w:before="20" w:after="20"/>
              <w:rPr>
                <w:rFonts w:cs="Calibri"/>
              </w:rPr>
            </w:pPr>
            <w:r w:rsidRPr="000A4304">
              <w:rPr>
                <w:rFonts w:cs="Calibri"/>
              </w:rPr>
              <w:t>Creative and Performing Arts Activities</w:t>
            </w:r>
          </w:p>
        </w:tc>
        <w:tc>
          <w:tcPr>
            <w:tcW w:w="1690" w:type="pct"/>
            <w:vAlign w:val="center"/>
          </w:tcPr>
          <w:p w14:paraId="538920BE" w14:textId="69B07D79" w:rsidR="00DA0767" w:rsidRPr="000A4304" w:rsidRDefault="00DA0767" w:rsidP="00DA0767">
            <w:pPr>
              <w:pStyle w:val="Tabletext"/>
              <w:spacing w:before="20" w:after="20"/>
              <w:rPr>
                <w:rFonts w:cs="Calibri"/>
              </w:rPr>
            </w:pPr>
            <w:r w:rsidRPr="000A4304">
              <w:rPr>
                <w:rFonts w:cs="Calibri"/>
              </w:rPr>
              <w:t>Literature, creative and performing arts</w:t>
            </w:r>
            <w:r>
              <w:rPr>
                <w:rFonts w:cs="Calibri"/>
              </w:rPr>
              <w:t>,</w:t>
            </w:r>
            <w:r w:rsidRPr="000A4304">
              <w:rPr>
                <w:rFonts w:cs="Calibri"/>
              </w:rPr>
              <w:t xml:space="preserve"> </w:t>
            </w:r>
            <w:r>
              <w:rPr>
                <w:rFonts w:cs="Calibri"/>
              </w:rPr>
              <w:t>and</w:t>
            </w:r>
            <w:r w:rsidRPr="000A4304">
              <w:rPr>
                <w:rFonts w:cs="Calibri"/>
              </w:rPr>
              <w:t xml:space="preserve"> </w:t>
            </w:r>
            <w:r>
              <w:rPr>
                <w:rFonts w:cs="Calibri"/>
              </w:rPr>
              <w:t>v</w:t>
            </w:r>
            <w:r w:rsidRPr="000A4304">
              <w:rPr>
                <w:rFonts w:cs="Calibri"/>
              </w:rPr>
              <w:t>isual arts and crafts</w:t>
            </w:r>
          </w:p>
        </w:tc>
      </w:tr>
      <w:tr w:rsidR="00DA0767" w:rsidRPr="00654F9E" w14:paraId="0C2B3FFD" w14:textId="77777777" w:rsidTr="005D3849">
        <w:trPr>
          <w:cnfStyle w:val="000000010000" w:firstRow="0" w:lastRow="0" w:firstColumn="0" w:lastColumn="0" w:oddVBand="0" w:evenVBand="0" w:oddHBand="0" w:evenHBand="1" w:firstRowFirstColumn="0" w:firstRowLastColumn="0" w:lastRowFirstColumn="0" w:lastRowLastColumn="0"/>
          <w:cantSplit/>
        </w:trPr>
        <w:tc>
          <w:tcPr>
            <w:tcW w:w="1212" w:type="pct"/>
            <w:vAlign w:val="center"/>
          </w:tcPr>
          <w:p w14:paraId="3E6D1D5B" w14:textId="72428C4C" w:rsidR="00DA0767" w:rsidRPr="000A4304" w:rsidRDefault="00DA0767" w:rsidP="00DA0767">
            <w:pPr>
              <w:pStyle w:val="Tabletextcentred"/>
              <w:spacing w:before="20" w:after="20"/>
              <w:rPr>
                <w:rFonts w:cs="Calibri"/>
              </w:rPr>
            </w:pPr>
            <w:r w:rsidRPr="000A4304">
              <w:rPr>
                <w:rFonts w:cs="Calibri"/>
              </w:rPr>
              <w:t>953</w:t>
            </w:r>
          </w:p>
        </w:tc>
        <w:tc>
          <w:tcPr>
            <w:tcW w:w="2098" w:type="pct"/>
            <w:vAlign w:val="center"/>
          </w:tcPr>
          <w:p w14:paraId="7B0BFB41" w14:textId="7E0D3312" w:rsidR="00DA0767" w:rsidRPr="000A4304" w:rsidRDefault="00DA0767" w:rsidP="00DA0767">
            <w:pPr>
              <w:pStyle w:val="Tabletext"/>
              <w:spacing w:before="20" w:after="20"/>
              <w:rPr>
                <w:rFonts w:cs="Calibri"/>
              </w:rPr>
            </w:pPr>
            <w:r w:rsidRPr="000A4304">
              <w:rPr>
                <w:rFonts w:cs="Calibri"/>
              </w:rPr>
              <w:t>Other Personal Services</w:t>
            </w:r>
          </w:p>
        </w:tc>
        <w:tc>
          <w:tcPr>
            <w:tcW w:w="1690" w:type="pct"/>
            <w:vAlign w:val="center"/>
          </w:tcPr>
          <w:p w14:paraId="15B2EC98" w14:textId="5B6D364B" w:rsidR="00DA0767" w:rsidRPr="000A4304" w:rsidRDefault="00DA0767" w:rsidP="00DA0767">
            <w:pPr>
              <w:pStyle w:val="Tabletext"/>
              <w:spacing w:before="20" w:after="20"/>
              <w:rPr>
                <w:rFonts w:cs="Calibri"/>
              </w:rPr>
            </w:pPr>
            <w:r w:rsidRPr="000A4304">
              <w:rPr>
                <w:rFonts w:cs="Calibri"/>
              </w:rPr>
              <w:t>Literature, creative and performing arts</w:t>
            </w:r>
            <w:r>
              <w:rPr>
                <w:rFonts w:cs="Calibri"/>
              </w:rPr>
              <w:t>,</w:t>
            </w:r>
            <w:r w:rsidRPr="000A4304">
              <w:rPr>
                <w:rFonts w:cs="Calibri"/>
              </w:rPr>
              <w:t xml:space="preserve"> </w:t>
            </w:r>
            <w:r>
              <w:rPr>
                <w:rFonts w:cs="Calibri"/>
              </w:rPr>
              <w:t>and</w:t>
            </w:r>
            <w:r w:rsidRPr="000A4304">
              <w:rPr>
                <w:rFonts w:cs="Calibri"/>
              </w:rPr>
              <w:t xml:space="preserve"> </w:t>
            </w:r>
            <w:r>
              <w:rPr>
                <w:rFonts w:cs="Calibri"/>
              </w:rPr>
              <w:t>v</w:t>
            </w:r>
            <w:r w:rsidRPr="000A4304">
              <w:rPr>
                <w:rFonts w:cs="Calibri"/>
              </w:rPr>
              <w:t>isual arts and crafts</w:t>
            </w:r>
          </w:p>
        </w:tc>
      </w:tr>
    </w:tbl>
    <w:p w14:paraId="5E161C9A" w14:textId="77777777" w:rsidR="003D3443" w:rsidRDefault="003D3443" w:rsidP="003D3443">
      <w:r>
        <w:br w:type="page"/>
      </w:r>
    </w:p>
    <w:p w14:paraId="11543224" w14:textId="77777777" w:rsidR="003D3443" w:rsidRDefault="003D3443" w:rsidP="00DA0767">
      <w:pPr>
        <w:pStyle w:val="Heading2"/>
        <w:spacing w:before="120" w:after="120"/>
      </w:pPr>
      <w:bookmarkStart w:id="155" w:name="_Toc182914582"/>
      <w:bookmarkStart w:id="156" w:name="_Toc184650676"/>
      <w:r>
        <w:lastRenderedPageBreak/>
        <w:t>References</w:t>
      </w:r>
      <w:bookmarkEnd w:id="155"/>
      <w:bookmarkEnd w:id="156"/>
    </w:p>
    <w:p w14:paraId="66143BA9" w14:textId="29B92E01" w:rsidR="003D3443" w:rsidRDefault="003D3443" w:rsidP="00DA0767">
      <w:pPr>
        <w:spacing w:after="100"/>
      </w:pPr>
      <w:r>
        <w:t xml:space="preserve">Australian Bureau of Statistics (2022a). </w:t>
      </w:r>
      <w:r w:rsidRPr="006E6084">
        <w:rPr>
          <w:i/>
        </w:rPr>
        <w:t>COVID-19 and the 2021 Census.</w:t>
      </w:r>
      <w:r>
        <w:t xml:space="preserve"> Retrieved from </w:t>
      </w:r>
      <w:hyperlink r:id="rId41" w:anchor=":~:text=Leading%20up%20to%20Census%20night,restrictions%20lifted%20on%2010%20August." w:history="1">
        <w:r>
          <w:rPr>
            <w:rStyle w:val="Hyperlink"/>
          </w:rPr>
          <w:t>4. COVID-19 and the 2021 Census | Australian Bureau of Statistics</w:t>
        </w:r>
      </w:hyperlink>
    </w:p>
    <w:p w14:paraId="31419F28" w14:textId="4026AEB6" w:rsidR="003D3443" w:rsidRDefault="003D3443" w:rsidP="00DA0767">
      <w:pPr>
        <w:spacing w:after="100"/>
      </w:pPr>
      <w:r>
        <w:rPr>
          <w:rFonts w:ascii="Segoe UI" w:hAnsi="Segoe UI" w:cs="Segoe UI"/>
          <w:color w:val="414141"/>
          <w:shd w:val="clear" w:color="auto" w:fill="FFFFFF"/>
        </w:rPr>
        <w:t>——</w:t>
      </w:r>
      <w:r>
        <w:t xml:space="preserve"> (2022b). </w:t>
      </w:r>
      <w:r w:rsidRPr="006E6084">
        <w:rPr>
          <w:i/>
        </w:rPr>
        <w:t>Economic gains and losses over the COVID-19 pandemic.</w:t>
      </w:r>
      <w:r>
        <w:t xml:space="preserve"> Retrieved from </w:t>
      </w:r>
      <w:hyperlink r:id="rId42" w:history="1">
        <w:r>
          <w:rPr>
            <w:rStyle w:val="Hyperlink"/>
          </w:rPr>
          <w:t>Economic gains and losses over the COVID-19 pandemic | Australian Bureau of Statistics</w:t>
        </w:r>
      </w:hyperlink>
    </w:p>
    <w:p w14:paraId="3D83966D" w14:textId="2709477F" w:rsidR="003D3443" w:rsidRDefault="003D3443" w:rsidP="00DA0767">
      <w:pPr>
        <w:spacing w:after="100"/>
      </w:pPr>
      <w:r>
        <w:rPr>
          <w:rFonts w:ascii="Segoe UI" w:hAnsi="Segoe UI" w:cs="Segoe UI"/>
          <w:color w:val="414141"/>
          <w:shd w:val="clear" w:color="auto" w:fill="FFFFFF"/>
        </w:rPr>
        <w:t>——</w:t>
      </w:r>
      <w:r>
        <w:t xml:space="preserve"> (2022c). </w:t>
      </w:r>
      <w:r w:rsidRPr="006E6084">
        <w:rPr>
          <w:i/>
        </w:rPr>
        <w:t>Census of Population and Housing</w:t>
      </w:r>
      <w:r>
        <w:t xml:space="preserve"> (accessed vis </w:t>
      </w:r>
      <w:proofErr w:type="spellStart"/>
      <w:r>
        <w:t>TableBuilder</w:t>
      </w:r>
      <w:proofErr w:type="spellEnd"/>
      <w:r>
        <w:t xml:space="preserve">). Retrieved from </w:t>
      </w:r>
      <w:hyperlink r:id="rId43" w:history="1">
        <w:proofErr w:type="spellStart"/>
        <w:r>
          <w:rPr>
            <w:rStyle w:val="Hyperlink"/>
          </w:rPr>
          <w:t>TableBuilder</w:t>
        </w:r>
        <w:proofErr w:type="spellEnd"/>
        <w:r>
          <w:rPr>
            <w:rStyle w:val="Hyperlink"/>
          </w:rPr>
          <w:t xml:space="preserve"> | Australian Bureau of Statistics</w:t>
        </w:r>
      </w:hyperlink>
    </w:p>
    <w:p w14:paraId="7C2EA5B7" w14:textId="2A08A2A3" w:rsidR="003D3443" w:rsidRDefault="003D3443" w:rsidP="00DA0767">
      <w:pPr>
        <w:spacing w:after="100"/>
      </w:pPr>
      <w:r>
        <w:rPr>
          <w:rFonts w:ascii="Segoe UI" w:hAnsi="Segoe UI" w:cs="Segoe UI"/>
          <w:color w:val="414141"/>
          <w:shd w:val="clear" w:color="auto" w:fill="FFFFFF"/>
        </w:rPr>
        <w:t>——</w:t>
      </w:r>
      <w:r>
        <w:t xml:space="preserve"> (2023a). </w:t>
      </w:r>
      <w:r w:rsidRPr="006E6084">
        <w:rPr>
          <w:i/>
        </w:rPr>
        <w:t>Australian Bureau of Statistics</w:t>
      </w:r>
      <w:r>
        <w:t xml:space="preserve"> </w:t>
      </w:r>
      <w:r w:rsidR="00676EF8">
        <w:t>–</w:t>
      </w:r>
      <w:r>
        <w:t xml:space="preserve"> </w:t>
      </w:r>
      <w:r w:rsidRPr="006E6084">
        <w:rPr>
          <w:i/>
        </w:rPr>
        <w:t>Counts of Australian Businesses, including Entries and Exits, June 2019 to June 2023.</w:t>
      </w:r>
      <w:r>
        <w:t xml:space="preserve"> Retrieved from: </w:t>
      </w:r>
      <w:hyperlink r:id="rId44" w:history="1">
        <w:r>
          <w:rPr>
            <w:rStyle w:val="Hyperlink"/>
          </w:rPr>
          <w:t>Counts of Australian Businesses, including Entries and Exits, July 2020 - June 2024 | Australian Bureau of Statistics</w:t>
        </w:r>
      </w:hyperlink>
    </w:p>
    <w:p w14:paraId="249860AF" w14:textId="28541657" w:rsidR="003D3443" w:rsidRDefault="003D3443" w:rsidP="00DA0767">
      <w:pPr>
        <w:spacing w:after="100"/>
      </w:pPr>
      <w:r>
        <w:rPr>
          <w:rFonts w:ascii="Segoe UI" w:hAnsi="Segoe UI" w:cs="Segoe UI"/>
          <w:color w:val="414141"/>
          <w:shd w:val="clear" w:color="auto" w:fill="FFFFFF"/>
        </w:rPr>
        <w:t>——</w:t>
      </w:r>
      <w:r>
        <w:t xml:space="preserve"> (2023b). </w:t>
      </w:r>
      <w:r w:rsidRPr="004F1616">
        <w:rPr>
          <w:i/>
        </w:rPr>
        <w:t>Australian National Accounts: Tourism Satellite Account, 2022-23.</w:t>
      </w:r>
      <w:r>
        <w:t xml:space="preserve"> Retrieved from </w:t>
      </w:r>
      <w:hyperlink r:id="rId45" w:anchor="data-downloads" w:history="1">
        <w:r>
          <w:rPr>
            <w:rStyle w:val="Hyperlink"/>
          </w:rPr>
          <w:t>Australian National Accounts: Tourism Satellite Account, 2022-23 financial year | Australian Bureau of Statistics</w:t>
        </w:r>
      </w:hyperlink>
    </w:p>
    <w:p w14:paraId="04C1CF27" w14:textId="3CE9DA40" w:rsidR="003D3443" w:rsidRDefault="003D3443" w:rsidP="00DA0767">
      <w:pPr>
        <w:spacing w:after="100"/>
      </w:pPr>
      <w:r>
        <w:rPr>
          <w:rFonts w:ascii="Segoe UI" w:hAnsi="Segoe UI" w:cs="Segoe UI"/>
          <w:color w:val="414141"/>
          <w:shd w:val="clear" w:color="auto" w:fill="FFFFFF"/>
        </w:rPr>
        <w:t>——</w:t>
      </w:r>
      <w:r>
        <w:t xml:space="preserve"> (2023c). </w:t>
      </w:r>
      <w:r w:rsidRPr="004F1616">
        <w:rPr>
          <w:i/>
        </w:rPr>
        <w:t>Cultural and creative activities.</w:t>
      </w:r>
      <w:r>
        <w:t xml:space="preserve"> Retrieved from </w:t>
      </w:r>
      <w:hyperlink r:id="rId46" w:history="1">
        <w:r>
          <w:rPr>
            <w:rStyle w:val="Hyperlink"/>
          </w:rPr>
          <w:t>Cultural and creative activities, 2021-22 financial year | Australian Bureau of Statistics</w:t>
        </w:r>
      </w:hyperlink>
    </w:p>
    <w:p w14:paraId="1A34B9C7" w14:textId="7266B080" w:rsidR="003D3443" w:rsidRDefault="003D3443" w:rsidP="00DA0767">
      <w:pPr>
        <w:spacing w:after="100"/>
      </w:pPr>
      <w:r>
        <w:rPr>
          <w:rFonts w:ascii="Segoe UI" w:hAnsi="Segoe UI" w:cs="Segoe UI"/>
          <w:color w:val="414141"/>
          <w:shd w:val="clear" w:color="auto" w:fill="FFFFFF"/>
        </w:rPr>
        <w:t>——</w:t>
      </w:r>
      <w:r>
        <w:t xml:space="preserve"> (2024a). </w:t>
      </w:r>
      <w:r w:rsidRPr="004F1616">
        <w:rPr>
          <w:i/>
        </w:rPr>
        <w:t xml:space="preserve">Labour Force, Australia, Detailed, August 2024. </w:t>
      </w:r>
      <w:r>
        <w:t xml:space="preserve">Retrieved from </w:t>
      </w:r>
      <w:hyperlink r:id="rId47" w:history="1">
        <w:r>
          <w:rPr>
            <w:rStyle w:val="Hyperlink"/>
          </w:rPr>
          <w:t>Labour Force, Australia, Detailed, September 2024 | Australian Bureau of Statistics</w:t>
        </w:r>
      </w:hyperlink>
    </w:p>
    <w:p w14:paraId="73C7BA04" w14:textId="688E03E0" w:rsidR="003D3443" w:rsidRDefault="003D3443" w:rsidP="00DA0767">
      <w:pPr>
        <w:spacing w:after="100"/>
      </w:pPr>
      <w:r>
        <w:rPr>
          <w:rFonts w:ascii="Segoe UI" w:hAnsi="Segoe UI" w:cs="Segoe UI"/>
          <w:color w:val="414141"/>
          <w:shd w:val="clear" w:color="auto" w:fill="FFFFFF"/>
        </w:rPr>
        <w:t>——</w:t>
      </w:r>
      <w:r>
        <w:t xml:space="preserve"> (2024b). </w:t>
      </w:r>
      <w:r w:rsidRPr="004F1616">
        <w:rPr>
          <w:i/>
        </w:rPr>
        <w:t>Australian National Accounts: National Income, Expenditure and Product.</w:t>
      </w:r>
      <w:r>
        <w:t xml:space="preserve"> Retrieved from </w:t>
      </w:r>
      <w:hyperlink r:id="rId48" w:history="1">
        <w:r>
          <w:rPr>
            <w:rStyle w:val="Hyperlink"/>
          </w:rPr>
          <w:t>Australian National Accounts: National Income, Expenditure and Product, June 2024 | Australian Bureau of Statistics</w:t>
        </w:r>
      </w:hyperlink>
    </w:p>
    <w:p w14:paraId="50382A88" w14:textId="2B379F70" w:rsidR="003D3443" w:rsidRDefault="003D3443" w:rsidP="00DA0767">
      <w:pPr>
        <w:spacing w:after="100"/>
      </w:pPr>
      <w:r>
        <w:rPr>
          <w:rFonts w:ascii="Segoe UI" w:hAnsi="Segoe UI" w:cs="Segoe UI"/>
          <w:color w:val="414141"/>
          <w:shd w:val="clear" w:color="auto" w:fill="FFFFFF"/>
        </w:rPr>
        <w:t>——</w:t>
      </w:r>
      <w:r>
        <w:t xml:space="preserve"> (2024c). </w:t>
      </w:r>
      <w:r w:rsidRPr="004F1616">
        <w:rPr>
          <w:i/>
        </w:rPr>
        <w:t>Weekly Payroll Jobs.</w:t>
      </w:r>
      <w:r>
        <w:t xml:space="preserve"> Retrieved from </w:t>
      </w:r>
      <w:hyperlink r:id="rId49" w:history="1">
        <w:r>
          <w:rPr>
            <w:rStyle w:val="Hyperlink"/>
          </w:rPr>
          <w:t>Payroll Jobs, Revised estimates for week ending 15 June 2024 | Australian Bureau of Statistics</w:t>
        </w:r>
      </w:hyperlink>
    </w:p>
    <w:p w14:paraId="15C47FA5" w14:textId="0FEC5738" w:rsidR="003D3443" w:rsidRDefault="003D3443" w:rsidP="00DA0767">
      <w:pPr>
        <w:spacing w:after="100"/>
      </w:pPr>
      <w:r>
        <w:rPr>
          <w:rFonts w:ascii="Segoe UI" w:hAnsi="Segoe UI" w:cs="Segoe UI"/>
          <w:color w:val="414141"/>
          <w:shd w:val="clear" w:color="auto" w:fill="FFFFFF"/>
        </w:rPr>
        <w:t>——</w:t>
      </w:r>
      <w:r>
        <w:t xml:space="preserve"> (2024d). </w:t>
      </w:r>
      <w:r w:rsidRPr="004F1616">
        <w:rPr>
          <w:i/>
        </w:rPr>
        <w:t>Job mobility, February 2024.</w:t>
      </w:r>
      <w:r>
        <w:t xml:space="preserve"> Retrieved from </w:t>
      </w:r>
      <w:hyperlink r:id="rId50" w:history="1">
        <w:r>
          <w:rPr>
            <w:rStyle w:val="Hyperlink"/>
          </w:rPr>
          <w:t>Job mobility, February 2024 | Australian Bureau of Statistics</w:t>
        </w:r>
      </w:hyperlink>
    </w:p>
    <w:p w14:paraId="2E61A76C" w14:textId="78DAB66A" w:rsidR="003D3443" w:rsidRDefault="003D3443" w:rsidP="00DA0767">
      <w:pPr>
        <w:spacing w:after="100"/>
      </w:pPr>
      <w:r>
        <w:rPr>
          <w:rFonts w:ascii="Segoe UI" w:hAnsi="Segoe UI" w:cs="Segoe UI"/>
          <w:color w:val="414141"/>
          <w:shd w:val="clear" w:color="auto" w:fill="FFFFFF"/>
        </w:rPr>
        <w:t>——</w:t>
      </w:r>
      <w:r>
        <w:t xml:space="preserve"> (2024e). </w:t>
      </w:r>
      <w:r w:rsidRPr="004F1616">
        <w:rPr>
          <w:i/>
        </w:rPr>
        <w:t>Job Vacancies, Australia.</w:t>
      </w:r>
      <w:r>
        <w:t xml:space="preserve"> Retrieved from </w:t>
      </w:r>
      <w:hyperlink r:id="rId51" w:history="1">
        <w:r>
          <w:rPr>
            <w:rStyle w:val="Hyperlink"/>
          </w:rPr>
          <w:t>Job Vacancies, Australia, August 2024 | Australian Bureau of Statistics</w:t>
        </w:r>
      </w:hyperlink>
    </w:p>
    <w:p w14:paraId="7360A2D6" w14:textId="7994EDC0" w:rsidR="003D3443" w:rsidRDefault="003D3443" w:rsidP="00DA0767">
      <w:pPr>
        <w:spacing w:after="100"/>
      </w:pPr>
      <w:r>
        <w:rPr>
          <w:rFonts w:ascii="Segoe UI" w:hAnsi="Segoe UI" w:cs="Segoe UI"/>
          <w:color w:val="414141"/>
          <w:shd w:val="clear" w:color="auto" w:fill="FFFFFF"/>
        </w:rPr>
        <w:t>——</w:t>
      </w:r>
      <w:r>
        <w:t xml:space="preserve"> (2024f). </w:t>
      </w:r>
      <w:r w:rsidRPr="004F1616">
        <w:rPr>
          <w:i/>
        </w:rPr>
        <w:t>Multiple job-holders.</w:t>
      </w:r>
      <w:r>
        <w:t xml:space="preserve"> Retrieved from </w:t>
      </w:r>
      <w:hyperlink r:id="rId52" w:history="1">
        <w:r>
          <w:rPr>
            <w:rStyle w:val="Hyperlink"/>
          </w:rPr>
          <w:t>Multiple job-holders, June 2024 | Australian Bureau of Statistics</w:t>
        </w:r>
      </w:hyperlink>
    </w:p>
    <w:p w14:paraId="5D53EC51" w14:textId="6171D8A8" w:rsidR="003D3443" w:rsidRDefault="003D3443" w:rsidP="00DA0767">
      <w:pPr>
        <w:spacing w:after="100"/>
      </w:pPr>
      <w:r>
        <w:rPr>
          <w:rFonts w:ascii="Segoe UI" w:hAnsi="Segoe UI" w:cs="Segoe UI"/>
          <w:color w:val="414141"/>
          <w:shd w:val="clear" w:color="auto" w:fill="FFFFFF"/>
        </w:rPr>
        <w:t>——</w:t>
      </w:r>
      <w:r>
        <w:t xml:space="preserve"> (2024g). </w:t>
      </w:r>
      <w:r w:rsidRPr="004F1616">
        <w:rPr>
          <w:i/>
        </w:rPr>
        <w:t>Disability, Ageing and Carers, Australia: Summary of Findings.</w:t>
      </w:r>
      <w:r>
        <w:t xml:space="preserve"> Retrieved from </w:t>
      </w:r>
      <w:hyperlink r:id="rId53" w:history="1">
        <w:r>
          <w:rPr>
            <w:rStyle w:val="Hyperlink"/>
          </w:rPr>
          <w:t>Disability, Ageing and Carers, Australia: Summary of Findings, 2022 | Australian Bureau of Statistics</w:t>
        </w:r>
      </w:hyperlink>
    </w:p>
    <w:p w14:paraId="779DD3F0" w14:textId="67919340" w:rsidR="003D3443" w:rsidRDefault="003D3443" w:rsidP="00DA0767">
      <w:pPr>
        <w:spacing w:after="100"/>
      </w:pPr>
      <w:r>
        <w:t xml:space="preserve">Australian Competition and Consumer Commission (2019). </w:t>
      </w:r>
      <w:r w:rsidRPr="004F1616">
        <w:rPr>
          <w:i/>
        </w:rPr>
        <w:t>Digital Platforms Inquiry.</w:t>
      </w:r>
      <w:r>
        <w:t xml:space="preserve"> Retrieved from </w:t>
      </w:r>
      <w:hyperlink r:id="rId54" w:history="1">
        <w:r>
          <w:rPr>
            <w:rStyle w:val="Hyperlink"/>
          </w:rPr>
          <w:t>Digital platforms inquiry - final report.pdf</w:t>
        </w:r>
      </w:hyperlink>
    </w:p>
    <w:p w14:paraId="7CD88955" w14:textId="56CADF81" w:rsidR="003D3443" w:rsidRDefault="003D3443" w:rsidP="00DA0767">
      <w:pPr>
        <w:spacing w:after="100"/>
      </w:pPr>
      <w:r>
        <w:t xml:space="preserve">Creative Australia (2018). </w:t>
      </w:r>
      <w:r w:rsidRPr="004F1616">
        <w:rPr>
          <w:i/>
        </w:rPr>
        <w:t>Domestic Arts Tourism: Connecting the country.</w:t>
      </w:r>
      <w:r>
        <w:t xml:space="preserve"> Retrieved from </w:t>
      </w:r>
      <w:hyperlink r:id="rId55" w:anchor=":~:text=Domestic%20tourism%20provides%20an%20opportunity,niche%20opportunities%20across%20the%20country." w:history="1">
        <w:r>
          <w:rPr>
            <w:rStyle w:val="Hyperlink"/>
          </w:rPr>
          <w:t>Domestic Arts Tourism: Connecting the country - Creative Australia</w:t>
        </w:r>
      </w:hyperlink>
    </w:p>
    <w:p w14:paraId="1A19787E" w14:textId="3FED4F39" w:rsidR="003D3443" w:rsidRDefault="003D3443" w:rsidP="00DA0767">
      <w:pPr>
        <w:spacing w:after="100"/>
      </w:pPr>
      <w:r>
        <w:rPr>
          <w:rFonts w:ascii="Segoe UI" w:hAnsi="Segoe UI" w:cs="Segoe UI"/>
          <w:color w:val="414141"/>
          <w:shd w:val="clear" w:color="auto" w:fill="FFFFFF"/>
        </w:rPr>
        <w:t>——</w:t>
      </w:r>
      <w:r>
        <w:t xml:space="preserve"> (2023). </w:t>
      </w:r>
      <w:r w:rsidRPr="004F1616">
        <w:rPr>
          <w:i/>
        </w:rPr>
        <w:t>Creating Value: Results of the National Arts Participation Survey.</w:t>
      </w:r>
      <w:r>
        <w:t xml:space="preserve"> Retrieved from </w:t>
      </w:r>
      <w:hyperlink r:id="rId56" w:history="1">
        <w:r>
          <w:rPr>
            <w:rStyle w:val="Hyperlink"/>
          </w:rPr>
          <w:t>Creating Value: Results of the National Arts Participation Survey - Creative Australia</w:t>
        </w:r>
      </w:hyperlink>
    </w:p>
    <w:p w14:paraId="5E3041EE" w14:textId="0E05251D" w:rsidR="003D3443" w:rsidRDefault="003D3443" w:rsidP="00DA0767">
      <w:pPr>
        <w:spacing w:after="100"/>
      </w:pPr>
      <w:r>
        <w:t xml:space="preserve">Department of Infrastructure, Transport, Regional Development, Communications and the Arts (2023). </w:t>
      </w:r>
      <w:r w:rsidRPr="004F1616">
        <w:rPr>
          <w:i/>
        </w:rPr>
        <w:t>National Cultural Policy—Revive: a place for every story, a story for every place.</w:t>
      </w:r>
      <w:r>
        <w:t xml:space="preserve"> Retrieved from </w:t>
      </w:r>
      <w:hyperlink r:id="rId57" w:history="1">
        <w:r>
          <w:rPr>
            <w:rStyle w:val="Hyperlink"/>
          </w:rPr>
          <w:t>National Cultural Policy—Revive: a place for every story, a story for every place | Office for the Arts</w:t>
        </w:r>
      </w:hyperlink>
    </w:p>
    <w:p w14:paraId="7C5E1E39" w14:textId="766D701F" w:rsidR="003D3443" w:rsidRDefault="003D3443" w:rsidP="00DA0767">
      <w:pPr>
        <w:spacing w:after="100"/>
      </w:pPr>
      <w:r>
        <w:t xml:space="preserve">Office of the Registrar of Indigenous Corporations (2024). </w:t>
      </w:r>
      <w:r w:rsidRPr="004F1616">
        <w:rPr>
          <w:i/>
        </w:rPr>
        <w:t>Aboriginal and Torres Strait Islander corporations.</w:t>
      </w:r>
      <w:r>
        <w:t xml:space="preserve"> Retrieved from </w:t>
      </w:r>
      <w:hyperlink r:id="rId58" w:history="1">
        <w:r>
          <w:rPr>
            <w:rStyle w:val="Hyperlink"/>
          </w:rPr>
          <w:t>Aboriginal and Torres Strait Islander corporations - Dataset - data.gov.au</w:t>
        </w:r>
      </w:hyperlink>
    </w:p>
    <w:p w14:paraId="5297F082" w14:textId="5F734401" w:rsidR="00BB3D46" w:rsidRDefault="003D3443" w:rsidP="00DA0767">
      <w:pPr>
        <w:spacing w:after="100"/>
      </w:pPr>
      <w:r>
        <w:t xml:space="preserve">Reserve Bank of Australia (2024). </w:t>
      </w:r>
      <w:r w:rsidRPr="004F1616">
        <w:rPr>
          <w:i/>
        </w:rPr>
        <w:t>Developments in Income and Consumption Across Household Groups.</w:t>
      </w:r>
      <w:r>
        <w:t xml:space="preserve"> Retrieved from </w:t>
      </w:r>
      <w:hyperlink r:id="rId59" w:history="1">
        <w:r>
          <w:rPr>
            <w:rStyle w:val="Hyperlink"/>
          </w:rPr>
          <w:t>Developments in Income and Consumption Across Household Groups | Bulletin – January 2024 | RBA</w:t>
        </w:r>
      </w:hyperlink>
    </w:p>
    <w:sectPr w:rsidR="00BB3D46" w:rsidSect="007D3D51">
      <w:headerReference w:type="default" r:id="rId60"/>
      <w:headerReference w:type="first" r:id="rId61"/>
      <w:footerReference w:type="first" r:id="rId62"/>
      <w:pgSz w:w="11906" w:h="16838"/>
      <w:pgMar w:top="1021" w:right="1021" w:bottom="1021" w:left="1021"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01F733" w14:textId="77777777" w:rsidR="002B4586" w:rsidRDefault="002B4586" w:rsidP="00FC413F">
      <w:pPr>
        <w:spacing w:after="0"/>
      </w:pPr>
      <w:r>
        <w:separator/>
      </w:r>
    </w:p>
  </w:endnote>
  <w:endnote w:type="continuationSeparator" w:id="0">
    <w:p w14:paraId="1D210897" w14:textId="77777777" w:rsidR="002B4586" w:rsidRDefault="002B4586" w:rsidP="00FC413F">
      <w:pPr>
        <w:spacing w:after="0"/>
      </w:pPr>
      <w:r>
        <w:continuationSeparator/>
      </w:r>
    </w:p>
  </w:endnote>
  <w:endnote w:type="continuationNotice" w:id="1">
    <w:p w14:paraId="73A247FB" w14:textId="77777777" w:rsidR="002B4586" w:rsidRDefault="002B458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43671" w14:textId="6ED8609D" w:rsidR="00AB2199" w:rsidRDefault="00AB2199"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C65220">
      <w:rPr>
        <w:rFonts w:cs="Segoe UI"/>
        <w:noProof/>
        <w:szCs w:val="18"/>
      </w:rPr>
      <w:t>Analysis of the Cultural and Creative Sector</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r w:rsidRPr="00FC413F">
      <w:rPr>
        <w:rFonts w:cs="Segoe UI"/>
        <w:noProof/>
        <w:szCs w:val="18"/>
      </w:rPr>
      <w:t>.</w:t>
    </w:r>
  </w:p>
  <w:p w14:paraId="6D395A4D" w14:textId="77777777" w:rsidR="00AB2199" w:rsidRPr="00FC413F" w:rsidRDefault="00AB2199" w:rsidP="00953CCD">
    <w:pPr>
      <w:pStyle w:val="Footer"/>
      <w:tabs>
        <w:tab w:val="clear" w:pos="4513"/>
        <w:tab w:val="clear" w:pos="9026"/>
      </w:tabs>
      <w:ind w:left="-1418"/>
      <w:rPr>
        <w:rFonts w:cs="Segoe UI"/>
        <w:szCs w:val="18"/>
      </w:rPr>
    </w:pPr>
    <w:r>
      <w:rPr>
        <w:noProof/>
        <w:lang w:eastAsia="en-AU"/>
      </w:rPr>
      <w:drawing>
        <wp:inline distT="0" distB="0" distL="0" distR="0" wp14:anchorId="41F3941C" wp14:editId="3885BC28">
          <wp:extent cx="7559650" cy="150641"/>
          <wp:effectExtent l="0" t="0" r="0" b="1905"/>
          <wp:docPr id="75" name="Picture 75"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32C68" w14:textId="77777777" w:rsidR="00AB2199" w:rsidRPr="00FC413F" w:rsidRDefault="00AB2199" w:rsidP="00113A03">
    <w:pPr>
      <w:pStyle w:val="Footer"/>
      <w:tabs>
        <w:tab w:val="clear" w:pos="4513"/>
        <w:tab w:val="clear" w:pos="9026"/>
      </w:tabs>
      <w:ind w:left="-1418"/>
      <w:rPr>
        <w:rFonts w:cs="Segoe UI"/>
        <w:szCs w:val="18"/>
      </w:rPr>
    </w:pPr>
    <w:r>
      <w:rPr>
        <w:noProof/>
        <w:lang w:eastAsia="en-AU"/>
      </w:rPr>
      <w:drawing>
        <wp:inline distT="0" distB="0" distL="0" distR="0" wp14:anchorId="7D901708" wp14:editId="1BD07935">
          <wp:extent cx="7562047" cy="2757268"/>
          <wp:effectExtent l="0" t="0" r="1270" b="5080"/>
          <wp:docPr id="87" name="Picture 87" descr="Connection graphic" title="Decor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1371" cy="278254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688A2" w14:textId="1BD2406C" w:rsidR="00AB2199" w:rsidRDefault="00AB2199"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3C2F6D">
      <w:rPr>
        <w:rFonts w:cs="Segoe UI"/>
        <w:noProof/>
        <w:szCs w:val="18"/>
      </w:rPr>
      <w:t>Analysis of the Cultural and Creative Sector</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p>
  <w:p w14:paraId="79845E34" w14:textId="77777777" w:rsidR="00AB2199" w:rsidRPr="00FC413F" w:rsidRDefault="00AB2199" w:rsidP="00953CCD">
    <w:pPr>
      <w:pStyle w:val="Footer"/>
      <w:tabs>
        <w:tab w:val="clear" w:pos="4513"/>
        <w:tab w:val="clear" w:pos="9026"/>
      </w:tabs>
      <w:ind w:left="-1418"/>
      <w:rPr>
        <w:rFonts w:cs="Segoe UI"/>
        <w:szCs w:val="18"/>
      </w:rPr>
    </w:pPr>
    <w:r>
      <w:rPr>
        <w:noProof/>
        <w:lang w:eastAsia="en-AU"/>
      </w:rPr>
      <w:drawing>
        <wp:inline distT="0" distB="0" distL="0" distR="0" wp14:anchorId="73A4F20A" wp14:editId="19E66DE2">
          <wp:extent cx="7559650" cy="150641"/>
          <wp:effectExtent l="0" t="0" r="0" b="1905"/>
          <wp:docPr id="77" name="Picture 77"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6DC87" w14:textId="2713AC61" w:rsidR="00AB2199" w:rsidRDefault="00AB2199" w:rsidP="00796AB4">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D90AF8">
      <w:rPr>
        <w:rFonts w:cs="Segoe UI"/>
        <w:noProof/>
        <w:szCs w:val="18"/>
      </w:rPr>
      <w:t>Analysis of the Cultural and Creative Sector</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5</w:t>
    </w:r>
    <w:r>
      <w:rPr>
        <w:rFonts w:cs="Segoe UI"/>
        <w:szCs w:val="18"/>
      </w:rPr>
      <w:fldChar w:fldCharType="end"/>
    </w:r>
  </w:p>
  <w:p w14:paraId="6196F68A" w14:textId="77777777" w:rsidR="00AB2199" w:rsidRPr="00FC413F" w:rsidRDefault="00AB2199" w:rsidP="00796AB4">
    <w:pPr>
      <w:pStyle w:val="Footer"/>
      <w:tabs>
        <w:tab w:val="clear" w:pos="4513"/>
        <w:tab w:val="clear" w:pos="9026"/>
      </w:tabs>
      <w:ind w:left="-1418"/>
      <w:rPr>
        <w:rFonts w:cs="Segoe UI"/>
        <w:szCs w:val="18"/>
      </w:rPr>
    </w:pPr>
    <w:r>
      <w:rPr>
        <w:noProof/>
        <w:lang w:eastAsia="en-AU"/>
      </w:rPr>
      <w:drawing>
        <wp:inline distT="0" distB="0" distL="0" distR="0" wp14:anchorId="292E7994" wp14:editId="76FADF9B">
          <wp:extent cx="7559650" cy="150641"/>
          <wp:effectExtent l="0" t="0" r="0" b="1905"/>
          <wp:docPr id="6" name="Picture 6"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761941" w14:textId="77777777" w:rsidR="002B4586" w:rsidRDefault="002B4586" w:rsidP="00FC413F">
      <w:pPr>
        <w:spacing w:after="0"/>
      </w:pPr>
      <w:r>
        <w:separator/>
      </w:r>
    </w:p>
  </w:footnote>
  <w:footnote w:type="continuationSeparator" w:id="0">
    <w:p w14:paraId="74136B78" w14:textId="77777777" w:rsidR="002B4586" w:rsidRDefault="002B4586" w:rsidP="00FC413F">
      <w:pPr>
        <w:spacing w:after="0"/>
      </w:pPr>
      <w:r>
        <w:continuationSeparator/>
      </w:r>
    </w:p>
  </w:footnote>
  <w:footnote w:type="continuationNotice" w:id="1">
    <w:p w14:paraId="5BCD22CA" w14:textId="77777777" w:rsidR="002B4586" w:rsidRDefault="002B4586">
      <w:pPr>
        <w:spacing w:after="0"/>
      </w:pPr>
    </w:p>
  </w:footnote>
  <w:footnote w:id="2">
    <w:p w14:paraId="30CBAB09" w14:textId="33379753" w:rsidR="00AB2199" w:rsidRDefault="00AB2199">
      <w:pPr>
        <w:pStyle w:val="FootnoteText"/>
      </w:pPr>
      <w:r>
        <w:rPr>
          <w:rStyle w:val="FootnoteReference"/>
        </w:rPr>
        <w:footnoteRef/>
      </w:r>
      <w:r>
        <w:t xml:space="preserve"> 11/09/2025: A typo in the December 2024 report was corrected</w:t>
      </w:r>
      <w:r w:rsidR="00105CDD">
        <w:t xml:space="preserve"> from </w:t>
      </w:r>
      <w:r w:rsidR="00105CDD" w:rsidRPr="00105CDD">
        <w:t xml:space="preserve">$63.7 </w:t>
      </w:r>
      <w:r w:rsidR="00105CDD">
        <w:t>‘</w:t>
      </w:r>
      <w:r w:rsidR="00105CDD" w:rsidRPr="00105CDD">
        <w:t>million</w:t>
      </w:r>
      <w:r w:rsidR="00105CDD">
        <w:t>’</w:t>
      </w:r>
      <w:r w:rsidR="00105CDD" w:rsidRPr="00105CDD">
        <w:t xml:space="preserve"> to $63.7 </w:t>
      </w:r>
      <w:r w:rsidR="00105CDD">
        <w:t>‘</w:t>
      </w:r>
      <w:r w:rsidR="00105CDD" w:rsidRPr="00105CDD">
        <w:t>billion</w:t>
      </w:r>
      <w:r w:rsidR="00105CDD">
        <w:t>’</w:t>
      </w:r>
      <w:r>
        <w:t>.</w:t>
      </w:r>
    </w:p>
  </w:footnote>
  <w:footnote w:id="3">
    <w:p w14:paraId="0014165A" w14:textId="7E090E99" w:rsidR="00AB2199" w:rsidRDefault="00AB2199" w:rsidP="003D3443">
      <w:pPr>
        <w:pStyle w:val="FootnoteText"/>
      </w:pPr>
      <w:r>
        <w:rPr>
          <w:rStyle w:val="FootnoteReference"/>
        </w:rPr>
        <w:footnoteRef/>
      </w:r>
      <w:r>
        <w:t xml:space="preserve"> </w:t>
      </w:r>
      <w:r w:rsidRPr="00816CDC">
        <w:t>Employment data published in the Census for 2021 is more granular and provides a better match for the cultural and creative industries, but does not provide an annual time series. A</w:t>
      </w:r>
      <w:r>
        <w:t xml:space="preserve">ustralian </w:t>
      </w:r>
      <w:r w:rsidRPr="00816CDC">
        <w:t>B</w:t>
      </w:r>
      <w:r>
        <w:t xml:space="preserve">ureau of </w:t>
      </w:r>
      <w:r w:rsidRPr="00816CDC">
        <w:t>S</w:t>
      </w:r>
      <w:r>
        <w:t>tatistics’</w:t>
      </w:r>
      <w:r w:rsidRPr="00816CDC">
        <w:t xml:space="preserve"> </w:t>
      </w:r>
      <w:r>
        <w:t>L</w:t>
      </w:r>
      <w:r w:rsidRPr="00816CDC">
        <w:t xml:space="preserve">abour </w:t>
      </w:r>
      <w:r>
        <w:t>F</w:t>
      </w:r>
      <w:r w:rsidRPr="00816CDC">
        <w:t>orce data, which is less granular but more frequent, is used to approximate change in employment for the cultural and creative industries over time. It is noted that some of Australia’s largest cities were in lockdown at the time of the 2021 Census.</w:t>
      </w:r>
    </w:p>
  </w:footnote>
  <w:footnote w:id="4">
    <w:p w14:paraId="1DAA1E10" w14:textId="77777777" w:rsidR="00AB2199" w:rsidRDefault="00AB2199" w:rsidP="003D3443">
      <w:pPr>
        <w:pStyle w:val="FootnoteText"/>
      </w:pPr>
      <w:r>
        <w:rPr>
          <w:rStyle w:val="FootnoteReference"/>
        </w:rPr>
        <w:footnoteRef/>
      </w:r>
      <w:r>
        <w:t xml:space="preserve"> </w:t>
      </w:r>
      <w:r w:rsidRPr="00655AAC">
        <w:t>A bespoke definition of cultural and creative employment, based on industries and occupations, has yet to be finalised.</w:t>
      </w:r>
    </w:p>
  </w:footnote>
  <w:footnote w:id="5">
    <w:p w14:paraId="22501B77" w14:textId="77777777" w:rsidR="00AB2199" w:rsidRDefault="00AB2199" w:rsidP="003D3443">
      <w:pPr>
        <w:pStyle w:val="FootnoteText"/>
      </w:pPr>
      <w:r>
        <w:rPr>
          <w:rStyle w:val="FootnoteReference"/>
        </w:rPr>
        <w:footnoteRef/>
      </w:r>
      <w:r>
        <w:t xml:space="preserve"> </w:t>
      </w:r>
      <w:r w:rsidRPr="00655AAC">
        <w:t>From May 2019 to May 2020.</w:t>
      </w:r>
    </w:p>
  </w:footnote>
  <w:footnote w:id="6">
    <w:p w14:paraId="763A6890" w14:textId="77777777" w:rsidR="00AB2199" w:rsidRDefault="00AB2199" w:rsidP="003D3443">
      <w:pPr>
        <w:pStyle w:val="FootnoteText"/>
      </w:pPr>
      <w:r>
        <w:rPr>
          <w:rStyle w:val="FootnoteReference"/>
        </w:rPr>
        <w:footnoteRef/>
      </w:r>
      <w:r>
        <w:t xml:space="preserve"> </w:t>
      </w:r>
      <w:r w:rsidRPr="00655AAC">
        <w:t>Including attending theatre, concerts of other performing arts, visiting museums or art galleries, visiting art or craft workshops or studios or attending festivals, fairs or cultural events, or experiencing First Nations art, craft and cultural displays during their visit.</w:t>
      </w:r>
    </w:p>
  </w:footnote>
  <w:footnote w:id="7">
    <w:p w14:paraId="39CA4F54" w14:textId="77777777" w:rsidR="00AB2199" w:rsidRDefault="00AB2199" w:rsidP="003D3443">
      <w:pPr>
        <w:pStyle w:val="FootnoteText"/>
      </w:pPr>
      <w:r>
        <w:rPr>
          <w:rStyle w:val="FootnoteReference"/>
        </w:rPr>
        <w:footnoteRef/>
      </w:r>
      <w:r>
        <w:t xml:space="preserve"> </w:t>
      </w:r>
      <w:r w:rsidRPr="00655AAC">
        <w:t>Employment data published in the Census for 2021 is more granular and provides a better match for the cultural and creative industries, but does not provide an annual time series. Australian Bureau of Statistics labour force data, which is less granular but more frequent, is used to approximate change in employment for the cultural and creative industries over time. It is noted that some of Australia’s largest cities were in lockdown at the time of the 2021 Census.</w:t>
      </w:r>
    </w:p>
  </w:footnote>
  <w:footnote w:id="8">
    <w:p w14:paraId="21521C77" w14:textId="77777777" w:rsidR="00AB2199" w:rsidRDefault="00AB2199" w:rsidP="003D3443">
      <w:pPr>
        <w:pStyle w:val="FootnoteText"/>
      </w:pPr>
      <w:r>
        <w:rPr>
          <w:rStyle w:val="FootnoteReference"/>
        </w:rPr>
        <w:footnoteRef/>
      </w:r>
      <w:r>
        <w:t xml:space="preserve"> </w:t>
      </w:r>
      <w:r w:rsidRPr="00484838">
        <w:t>Gross Domestic Product information is nominal and includes changes in prices.</w:t>
      </w:r>
    </w:p>
  </w:footnote>
  <w:footnote w:id="9">
    <w:p w14:paraId="661AB7A0" w14:textId="77777777" w:rsidR="00AB2199" w:rsidRDefault="00AB2199" w:rsidP="003D3443">
      <w:pPr>
        <w:pStyle w:val="FootnoteText"/>
      </w:pPr>
      <w:r>
        <w:rPr>
          <w:rStyle w:val="FootnoteReference"/>
        </w:rPr>
        <w:footnoteRef/>
      </w:r>
      <w:r>
        <w:t xml:space="preserve"> </w:t>
      </w:r>
      <w:r w:rsidRPr="00816CDC">
        <w:t>Which is much broader than cultural and creative activities, but may be indicative of trends within the sector.</w:t>
      </w:r>
    </w:p>
  </w:footnote>
  <w:footnote w:id="10">
    <w:p w14:paraId="2A037062" w14:textId="77777777" w:rsidR="00AB2199" w:rsidRDefault="00AB2199" w:rsidP="003D3443">
      <w:pPr>
        <w:pStyle w:val="FootnoteText"/>
      </w:pPr>
      <w:r>
        <w:rPr>
          <w:rStyle w:val="FootnoteReference"/>
        </w:rPr>
        <w:footnoteRef/>
      </w:r>
      <w:r>
        <w:t xml:space="preserve"> </w:t>
      </w:r>
      <w:r w:rsidRPr="00816CDC">
        <w:t>This section applies business counts by detailed (class/4-digit) Australian and New Zealand Standard Industrial Classification industries from the Australian Bureau of Statistics. This data captures information only on businesses within the cultural and creative industries. As such, the businesses profiled in this section are referred to as businesses within cultural and creative industries.</w:t>
      </w:r>
    </w:p>
  </w:footnote>
  <w:footnote w:id="11">
    <w:p w14:paraId="60FB31B9" w14:textId="460814AF" w:rsidR="00AB2199" w:rsidRDefault="00AB2199" w:rsidP="003D3443">
      <w:pPr>
        <w:pStyle w:val="FootnoteText"/>
      </w:pPr>
      <w:r>
        <w:rPr>
          <w:rStyle w:val="FootnoteReference"/>
        </w:rPr>
        <w:footnoteRef/>
      </w:r>
      <w:r>
        <w:t xml:space="preserve"> </w:t>
      </w:r>
      <w:r w:rsidRPr="00F46821">
        <w:t xml:space="preserve">This section applies business counts by high-level industries from the Office of </w:t>
      </w:r>
      <w:r>
        <w:t xml:space="preserve">the </w:t>
      </w:r>
      <w:r w:rsidRPr="00F46821">
        <w:t>Registrar of Indigenous Corporations. This data captures information only on businesses within the arts and heritage and culture industries. As such, the businesses profiled in this section are referred to as businesses within arts and heritage industries, and do not capture the full scope of either the cultural and creative sector or the businesses in cultural and creative industries as outlined in the previous section. The Office of the Registrar of Indigenous Corporations database allocates businesses to classifications of size (large, medium and small) based on each organisation’s income, assets and number of employees. This size classification differs from the employment and turnover analysis provided in other sections of this report.</w:t>
      </w:r>
    </w:p>
  </w:footnote>
  <w:footnote w:id="12">
    <w:p w14:paraId="1FAF630C" w14:textId="77777777" w:rsidR="00AB2199" w:rsidRDefault="00AB2199" w:rsidP="003D3443">
      <w:pPr>
        <w:pStyle w:val="FootnoteText"/>
      </w:pPr>
      <w:r>
        <w:rPr>
          <w:rStyle w:val="FootnoteReference"/>
        </w:rPr>
        <w:footnoteRef/>
      </w:r>
      <w:r>
        <w:t xml:space="preserve"> </w:t>
      </w:r>
      <w:r w:rsidRPr="00F46821">
        <w:t xml:space="preserve">This section applies employment information published by detailed level (group/4-digit) </w:t>
      </w:r>
      <w:r>
        <w:t>Australian and New Zealand Standard Industrial Classification</w:t>
      </w:r>
      <w:r w:rsidRPr="00F46821">
        <w:t xml:space="preserve"> industries from the Australian Bureau of Statistics. Due to the nature of the data published, this section of the report considers employment in creative and cultural industries.</w:t>
      </w:r>
    </w:p>
  </w:footnote>
  <w:footnote w:id="13">
    <w:p w14:paraId="267778DC" w14:textId="77777777" w:rsidR="00AB2199" w:rsidRDefault="00AB2199" w:rsidP="003D3443">
      <w:pPr>
        <w:pStyle w:val="FootnoteText"/>
      </w:pPr>
      <w:r>
        <w:rPr>
          <w:rStyle w:val="FootnoteReference"/>
        </w:rPr>
        <w:footnoteRef/>
      </w:r>
      <w:r>
        <w:t xml:space="preserve"> </w:t>
      </w:r>
      <w:r w:rsidRPr="00F46821">
        <w:t xml:space="preserve">This section applies employment information published by detailed level (group/3-digit) </w:t>
      </w:r>
      <w:r>
        <w:t>Australian and New Zealand Standard Industrial Classification</w:t>
      </w:r>
      <w:r w:rsidRPr="00F46821">
        <w:t xml:space="preserve"> industries from the Australian Bureau of Statistics. Due to the nature of the data published, this section of the report considers employment in creative and cultural industries. The estimates provided for the employment domains should be considered as indicative in nature, due to the inclusion of other activities beyond that of the cultural and creative sector due to the paucity of detailed data.</w:t>
      </w:r>
    </w:p>
  </w:footnote>
  <w:footnote w:id="14">
    <w:p w14:paraId="50645DEC" w14:textId="77777777" w:rsidR="00AB2199" w:rsidRDefault="00AB2199" w:rsidP="003D3443">
      <w:pPr>
        <w:pStyle w:val="FootnoteText"/>
      </w:pPr>
      <w:r>
        <w:rPr>
          <w:rStyle w:val="FootnoteReference"/>
        </w:rPr>
        <w:footnoteRef/>
      </w:r>
      <w:r>
        <w:t xml:space="preserve"> </w:t>
      </w:r>
      <w:r w:rsidRPr="00484838">
        <w:t>Gross Domestic Product information is nominal and includes changes in prices.</w:t>
      </w:r>
    </w:p>
  </w:footnote>
  <w:footnote w:id="15">
    <w:p w14:paraId="357403F2" w14:textId="77777777" w:rsidR="00AB2199" w:rsidRDefault="00AB2199" w:rsidP="003D3443">
      <w:pPr>
        <w:pStyle w:val="FootnoteText"/>
      </w:pPr>
      <w:r>
        <w:rPr>
          <w:rStyle w:val="FootnoteReference"/>
        </w:rPr>
        <w:footnoteRef/>
      </w:r>
      <w:r>
        <w:t xml:space="preserve"> </w:t>
      </w:r>
      <w:r w:rsidRPr="00484838">
        <w:t>Due to the inclusion of other activities within each domain’s employment estimate, these trends should be considered indicative in nature.</w:t>
      </w:r>
    </w:p>
  </w:footnote>
  <w:footnote w:id="16">
    <w:p w14:paraId="3EC83341" w14:textId="77777777" w:rsidR="00AB2199" w:rsidRDefault="00AB2199" w:rsidP="003D3443">
      <w:pPr>
        <w:pStyle w:val="FootnoteText"/>
      </w:pPr>
      <w:r>
        <w:rPr>
          <w:rStyle w:val="FootnoteReference"/>
        </w:rPr>
        <w:footnoteRef/>
      </w:r>
      <w:r>
        <w:t xml:space="preserve"> </w:t>
      </w:r>
      <w:r w:rsidRPr="00484838">
        <w:t>Payroll data reports the number of payroll jobholders in the Single Touch Payroll system. As such, it does not capture all jobs in the Australian labour market.</w:t>
      </w:r>
    </w:p>
  </w:footnote>
  <w:footnote w:id="17">
    <w:p w14:paraId="21632460" w14:textId="6404C62F" w:rsidR="00AB2199" w:rsidRDefault="00AB2199" w:rsidP="003D3443">
      <w:pPr>
        <w:pStyle w:val="FootnoteText"/>
      </w:pPr>
      <w:r>
        <w:rPr>
          <w:rStyle w:val="FootnoteReference"/>
        </w:rPr>
        <w:footnoteRef/>
      </w:r>
      <w:r>
        <w:t xml:space="preserve"> </w:t>
      </w:r>
      <w:r w:rsidRPr="00484838">
        <w:t xml:space="preserve">Data is available for February of each year only. Data to February 2024 shows a similar trend and is included in </w:t>
      </w:r>
      <w:hyperlink w:anchor="_Appendix_A—Detailed_analysis" w:history="1">
        <w:r w:rsidRPr="00E026A4">
          <w:rPr>
            <w:rStyle w:val="Hyperlink"/>
            <w:i/>
          </w:rPr>
          <w:t>Appendix A—Detailed analysis</w:t>
        </w:r>
      </w:hyperlink>
      <w:r w:rsidRPr="00484838">
        <w:t>.</w:t>
      </w:r>
    </w:p>
  </w:footnote>
  <w:footnote w:id="18">
    <w:p w14:paraId="73772F98" w14:textId="77777777" w:rsidR="00AB2199" w:rsidRDefault="00AB2199" w:rsidP="003D3443">
      <w:pPr>
        <w:pStyle w:val="FootnoteText"/>
      </w:pPr>
      <w:r>
        <w:rPr>
          <w:rStyle w:val="FootnoteReference"/>
        </w:rPr>
        <w:footnoteRef/>
      </w:r>
      <w:r>
        <w:t xml:space="preserve"> </w:t>
      </w:r>
      <w:r w:rsidRPr="006119F3">
        <w:t>Census data is considered an undercount of the Australian population. In the month of August 2021, Australian Bureau of Statistics labour force estimates suggest there were 12.5 million Australian workers. On the night of the Australian Census, some of Australia’s largest cities were in lockdown, which may impact on these estimates.</w:t>
      </w:r>
    </w:p>
  </w:footnote>
  <w:footnote w:id="19">
    <w:p w14:paraId="3E69C751" w14:textId="77777777" w:rsidR="00AB2199" w:rsidRDefault="00AB2199" w:rsidP="003D3443">
      <w:pPr>
        <w:pStyle w:val="FootnoteText"/>
      </w:pPr>
      <w:r>
        <w:rPr>
          <w:rStyle w:val="FootnoteReference"/>
        </w:rPr>
        <w:footnoteRef/>
      </w:r>
      <w:r>
        <w:t xml:space="preserve"> </w:t>
      </w:r>
      <w:r w:rsidRPr="007E4DC7">
        <w:t>To identify whether a person has a particular type of limitation or restriction, the survey collects information on their: (1) need for assistance, (2) difficulty experienced and (3) use of aids or equipment, to perform selected tasks.</w:t>
      </w:r>
    </w:p>
  </w:footnote>
  <w:footnote w:id="20">
    <w:p w14:paraId="7B1033E2" w14:textId="77777777" w:rsidR="00AB2199" w:rsidRDefault="00AB2199" w:rsidP="003D3443">
      <w:pPr>
        <w:pStyle w:val="FootnoteText"/>
      </w:pPr>
      <w:r>
        <w:rPr>
          <w:rStyle w:val="FootnoteReference"/>
        </w:rPr>
        <w:footnoteRef/>
      </w:r>
      <w:r>
        <w:t xml:space="preserve"> </w:t>
      </w:r>
      <w:r w:rsidRPr="007E4DC7">
        <w:t>A person with a profound core activity limitation is unable to do, or always needs help with a core activity task. A person with a severe core activity limitation sometimes needs help with a core activity task, and/or has difficulty understanding or being understood by family or friends, or can communicate more easily using sign language or other non-spoken forms of communication.</w:t>
      </w:r>
    </w:p>
  </w:footnote>
  <w:footnote w:id="21">
    <w:p w14:paraId="37A34D8D" w14:textId="2633E187" w:rsidR="00AB2199" w:rsidRDefault="00AB2199" w:rsidP="003D3443">
      <w:pPr>
        <w:pStyle w:val="FootnoteText"/>
      </w:pPr>
      <w:r>
        <w:rPr>
          <w:rStyle w:val="FootnoteReference"/>
        </w:rPr>
        <w:footnoteRef/>
      </w:r>
      <w:r>
        <w:t xml:space="preserve"> See </w:t>
      </w:r>
      <w:hyperlink r:id="rId1" w:history="1">
        <w:r w:rsidRPr="00AA3AC9">
          <w:rPr>
            <w:rStyle w:val="Hyperlink"/>
          </w:rPr>
          <w:t>Cultural and creative activities methodology</w:t>
        </w:r>
      </w:hyperlink>
      <w:r>
        <w:t>, 2023.</w:t>
      </w:r>
    </w:p>
  </w:footnote>
  <w:footnote w:id="22">
    <w:p w14:paraId="0EE2FC28" w14:textId="77777777" w:rsidR="00AB2199" w:rsidRDefault="00AB2199" w:rsidP="003D3443">
      <w:pPr>
        <w:pStyle w:val="FootnoteText"/>
      </w:pPr>
      <w:r>
        <w:rPr>
          <w:rStyle w:val="FootnoteReference"/>
        </w:rPr>
        <w:footnoteRef/>
      </w:r>
      <w:r>
        <w:t xml:space="preserve"> </w:t>
      </w:r>
      <w:r w:rsidRPr="002C50BF">
        <w:t>Defined as a person aged 15 years and over.</w:t>
      </w:r>
    </w:p>
  </w:footnote>
  <w:footnote w:id="23">
    <w:p w14:paraId="34F04D85" w14:textId="77777777" w:rsidR="00AB2199" w:rsidRDefault="00AB2199" w:rsidP="003D3443">
      <w:pPr>
        <w:pStyle w:val="FootnoteText"/>
      </w:pPr>
      <w:r>
        <w:rPr>
          <w:rStyle w:val="FootnoteReference"/>
        </w:rPr>
        <w:footnoteRef/>
      </w:r>
      <w:r>
        <w:t xml:space="preserve"> </w:t>
      </w:r>
      <w:r w:rsidRPr="002C50BF">
        <w:t>Aged between 5 and 14 years.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5267A" w14:textId="67A42153" w:rsidR="00AB2199" w:rsidRPr="00D56936" w:rsidRDefault="00AB2199" w:rsidP="00C817A5">
    <w:pPr>
      <w:pStyle w:val="Header"/>
      <w:tabs>
        <w:tab w:val="clear" w:pos="4678"/>
      </w:tabs>
      <w:spacing w:after="100" w:afterAutospacing="1"/>
      <w:jc w:val="right"/>
      <w:rPr>
        <w:rFonts w:cs="Segoe UI Light"/>
        <w:color w:val="001C40"/>
        <w:sz w:val="20"/>
        <w:szCs w:val="20"/>
      </w:rPr>
    </w:pPr>
    <w:r>
      <w:rPr>
        <w:rFonts w:cs="Segoe UI Light"/>
        <w:color w:val="001C40"/>
        <w:sz w:val="20"/>
        <w:szCs w:val="20"/>
      </w:rPr>
      <w:fldChar w:fldCharType="begin"/>
    </w:r>
    <w:r>
      <w:rPr>
        <w:rFonts w:cs="Segoe UI Light"/>
        <w:color w:val="001C40"/>
        <w:sz w:val="20"/>
        <w:szCs w:val="20"/>
      </w:rPr>
      <w:instrText xml:space="preserve"> STYLEREF  "Heading 2—not showing"  \* MERGEFORMAT </w:instrText>
    </w:r>
    <w:r>
      <w:rPr>
        <w:rFonts w:cs="Segoe UI Light"/>
        <w:color w:val="001C40"/>
        <w:sz w:val="20"/>
        <w:szCs w:val="20"/>
      </w:rPr>
      <w:fldChar w:fldCharType="separate"/>
    </w:r>
    <w:r w:rsidR="003C2F6D">
      <w:rPr>
        <w:rFonts w:cs="Segoe UI Light"/>
        <w:noProof/>
        <w:color w:val="001C40"/>
        <w:sz w:val="20"/>
        <w:szCs w:val="20"/>
      </w:rPr>
      <w:t>Table of contents</w:t>
    </w:r>
    <w:r>
      <w:rPr>
        <w:rFonts w:cs="Segoe UI Light"/>
        <w:color w:val="001C40"/>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E6BF5" w14:textId="06A6ED2D" w:rsidR="00AB2199" w:rsidRPr="00D56936" w:rsidRDefault="00AB2199" w:rsidP="00C817A5">
    <w:pPr>
      <w:pStyle w:val="Header"/>
      <w:tabs>
        <w:tab w:val="clear" w:pos="4678"/>
      </w:tabs>
      <w:spacing w:after="240"/>
      <w:jc w:val="right"/>
      <w:rPr>
        <w:rFonts w:cs="Segoe UI Light"/>
        <w:color w:val="001C40"/>
        <w:sz w:val="20"/>
        <w:szCs w:val="20"/>
      </w:rPr>
    </w:pPr>
    <w:r>
      <w:rPr>
        <w:rFonts w:cs="Segoe UI Light"/>
        <w:color w:val="001C40"/>
        <w:sz w:val="20"/>
        <w:szCs w:val="20"/>
      </w:rPr>
      <w:fldChar w:fldCharType="begin"/>
    </w:r>
    <w:r>
      <w:rPr>
        <w:rFonts w:cs="Segoe UI Light"/>
        <w:color w:val="001C40"/>
        <w:sz w:val="20"/>
        <w:szCs w:val="20"/>
      </w:rPr>
      <w:instrText xml:space="preserve"> STYLEREF  "Heading 2"  \* MERGEFORMAT </w:instrText>
    </w:r>
    <w:r>
      <w:rPr>
        <w:rFonts w:cs="Segoe UI Light"/>
        <w:color w:val="001C40"/>
        <w:sz w:val="20"/>
        <w:szCs w:val="20"/>
      </w:rPr>
      <w:fldChar w:fldCharType="separate"/>
    </w:r>
    <w:r w:rsidR="003C2F6D">
      <w:rPr>
        <w:rFonts w:cs="Segoe UI Light"/>
        <w:noProof/>
        <w:color w:val="001C40"/>
        <w:sz w:val="20"/>
        <w:szCs w:val="20"/>
      </w:rPr>
      <w:t>Appendix A—Detailed analysis</w:t>
    </w:r>
    <w:r>
      <w:rPr>
        <w:rFonts w:cs="Segoe UI Light"/>
        <w:color w:val="001C40"/>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47153" w14:textId="17096C79" w:rsidR="00AB2199" w:rsidRPr="00D56936" w:rsidRDefault="00AB2199" w:rsidP="00C817A5">
    <w:pPr>
      <w:pStyle w:val="Header"/>
      <w:tabs>
        <w:tab w:val="clear" w:pos="4678"/>
      </w:tabs>
      <w:spacing w:after="240"/>
      <w:jc w:val="right"/>
      <w:rPr>
        <w:rFonts w:cs="Segoe UI Light"/>
        <w:color w:val="001C40"/>
        <w:sz w:val="20"/>
        <w:szCs w:val="20"/>
      </w:rPr>
    </w:pPr>
    <w:r w:rsidRPr="00D56936">
      <w:rPr>
        <w:rFonts w:cs="Segoe UI Light"/>
        <w:color w:val="001C40"/>
        <w:sz w:val="20"/>
        <w:szCs w:val="20"/>
      </w:rPr>
      <w:fldChar w:fldCharType="begin"/>
    </w:r>
    <w:r w:rsidRPr="00D56936">
      <w:rPr>
        <w:rFonts w:cs="Segoe UI Light"/>
        <w:color w:val="001C40"/>
        <w:sz w:val="20"/>
        <w:szCs w:val="20"/>
      </w:rPr>
      <w:instrText xml:space="preserve"> STYLEREF  "Heading 2"  \* MERGEFORMAT </w:instrText>
    </w:r>
    <w:r w:rsidRPr="00D56936">
      <w:rPr>
        <w:rFonts w:cs="Segoe UI Light"/>
        <w:color w:val="001C40"/>
        <w:sz w:val="20"/>
        <w:szCs w:val="20"/>
      </w:rPr>
      <w:fldChar w:fldCharType="separate"/>
    </w:r>
    <w:r w:rsidR="00D90AF8">
      <w:rPr>
        <w:rFonts w:cs="Segoe UI Light"/>
        <w:noProof/>
        <w:color w:val="001C40"/>
        <w:sz w:val="20"/>
        <w:szCs w:val="20"/>
      </w:rPr>
      <w:t>Introduction</w:t>
    </w:r>
    <w:r w:rsidRPr="00D56936">
      <w:rPr>
        <w:rFonts w:cs="Segoe UI Light"/>
        <w:color w:val="001C4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DA50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A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C7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E0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0D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C6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466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94C1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621AED"/>
    <w:multiLevelType w:val="multilevel"/>
    <w:tmpl w:val="C2EED61A"/>
    <w:numStyleLink w:val="NumberedHeadings"/>
  </w:abstractNum>
  <w:abstractNum w:abstractNumId="12" w15:restartNumberingAfterBreak="0">
    <w:nsid w:val="0D937613"/>
    <w:multiLevelType w:val="hybridMultilevel"/>
    <w:tmpl w:val="2B48B512"/>
    <w:lvl w:ilvl="0" w:tplc="69AC7252">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11965E38"/>
    <w:multiLevelType w:val="hybridMultilevel"/>
    <w:tmpl w:val="E66AEF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4E92756"/>
    <w:multiLevelType w:val="hybridMultilevel"/>
    <w:tmpl w:val="513A850A"/>
    <w:lvl w:ilvl="0" w:tplc="5112A3F8">
      <w:start w:val="1"/>
      <w:numFmt w:val="bullet"/>
      <w:pStyle w:val="Listparagraphbullets"/>
      <w:lvlText w:val=""/>
      <w:lvlJc w:val="left"/>
      <w:pPr>
        <w:ind w:left="1494"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AA51938"/>
    <w:multiLevelType w:val="multilevel"/>
    <w:tmpl w:val="298C34E4"/>
    <w:numStyleLink w:val="AppendixNumbers"/>
  </w:abstractNum>
  <w:abstractNum w:abstractNumId="17"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9"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45B01A1"/>
    <w:multiLevelType w:val="hybridMultilevel"/>
    <w:tmpl w:val="4AEEF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8827E7D"/>
    <w:multiLevelType w:val="hybridMultilevel"/>
    <w:tmpl w:val="79D0BA36"/>
    <w:lvl w:ilvl="0" w:tplc="446AE6B6">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B4F7A69"/>
    <w:multiLevelType w:val="hybridMultilevel"/>
    <w:tmpl w:val="459E21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E554E84"/>
    <w:multiLevelType w:val="multilevel"/>
    <w:tmpl w:val="A5F2DDB2"/>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23"/>
  </w:num>
  <w:num w:numId="2">
    <w:abstractNumId w:val="14"/>
  </w:num>
  <w:num w:numId="3">
    <w:abstractNumId w:val="19"/>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5"/>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2"/>
    <w:lvlOverride w:ilvl="0">
      <w:startOverride w:val="1"/>
    </w:lvlOverride>
  </w:num>
  <w:num w:numId="18">
    <w:abstractNumId w:val="18"/>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5"/>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1">
      <w:lvl w:ilvl="1">
        <w:start w:val="1"/>
        <w:numFmt w:val="decimal"/>
        <w:pStyle w:val="AppendixHeading2"/>
        <w:lvlText w:val="%1.%2"/>
        <w:lvlJc w:val="left"/>
        <w:pPr>
          <w:ind w:left="851" w:hanging="851"/>
        </w:pPr>
        <w:rPr>
          <w:rFonts w:hint="default"/>
        </w:rPr>
      </w:lvl>
    </w:lvlOverride>
  </w:num>
  <w:num w:numId="27">
    <w:abstractNumId w:val="21"/>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24"/>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6"/>
    <w:rsid w:val="0000270B"/>
    <w:rsid w:val="0001156C"/>
    <w:rsid w:val="00012D3A"/>
    <w:rsid w:val="00015D7E"/>
    <w:rsid w:val="00017429"/>
    <w:rsid w:val="000240F1"/>
    <w:rsid w:val="0003502E"/>
    <w:rsid w:val="00045701"/>
    <w:rsid w:val="00051B57"/>
    <w:rsid w:val="000522EB"/>
    <w:rsid w:val="000546C7"/>
    <w:rsid w:val="000613BC"/>
    <w:rsid w:val="00064E54"/>
    <w:rsid w:val="00072195"/>
    <w:rsid w:val="000740FB"/>
    <w:rsid w:val="0007640E"/>
    <w:rsid w:val="0007671C"/>
    <w:rsid w:val="00086ABD"/>
    <w:rsid w:val="00087B26"/>
    <w:rsid w:val="00087F94"/>
    <w:rsid w:val="00090E62"/>
    <w:rsid w:val="00091587"/>
    <w:rsid w:val="00093E11"/>
    <w:rsid w:val="000967AD"/>
    <w:rsid w:val="00097ECC"/>
    <w:rsid w:val="000A4493"/>
    <w:rsid w:val="000A71EF"/>
    <w:rsid w:val="000A7BEE"/>
    <w:rsid w:val="000B1E86"/>
    <w:rsid w:val="000C0244"/>
    <w:rsid w:val="000C2B12"/>
    <w:rsid w:val="000C6A1E"/>
    <w:rsid w:val="000D4B3B"/>
    <w:rsid w:val="000D6FE4"/>
    <w:rsid w:val="000E29BE"/>
    <w:rsid w:val="000E6D7F"/>
    <w:rsid w:val="00105204"/>
    <w:rsid w:val="00105CDD"/>
    <w:rsid w:val="00105DA4"/>
    <w:rsid w:val="00113A03"/>
    <w:rsid w:val="001172BD"/>
    <w:rsid w:val="00130558"/>
    <w:rsid w:val="001306D8"/>
    <w:rsid w:val="00133645"/>
    <w:rsid w:val="00133A45"/>
    <w:rsid w:val="00134DAE"/>
    <w:rsid w:val="00140104"/>
    <w:rsid w:val="00143894"/>
    <w:rsid w:val="00157CAC"/>
    <w:rsid w:val="0016165B"/>
    <w:rsid w:val="00172932"/>
    <w:rsid w:val="00175DD8"/>
    <w:rsid w:val="00180D91"/>
    <w:rsid w:val="00190A0C"/>
    <w:rsid w:val="001C52B2"/>
    <w:rsid w:val="001D2E5C"/>
    <w:rsid w:val="001D583B"/>
    <w:rsid w:val="001D7D65"/>
    <w:rsid w:val="001E4471"/>
    <w:rsid w:val="001E7AC4"/>
    <w:rsid w:val="001F1BBD"/>
    <w:rsid w:val="001F69D4"/>
    <w:rsid w:val="00204A64"/>
    <w:rsid w:val="0021506F"/>
    <w:rsid w:val="00217BCD"/>
    <w:rsid w:val="00217C11"/>
    <w:rsid w:val="00226A6F"/>
    <w:rsid w:val="00230B20"/>
    <w:rsid w:val="00232F4E"/>
    <w:rsid w:val="0023479F"/>
    <w:rsid w:val="002361AC"/>
    <w:rsid w:val="00236F1B"/>
    <w:rsid w:val="00261FFA"/>
    <w:rsid w:val="0026595C"/>
    <w:rsid w:val="002706FF"/>
    <w:rsid w:val="002718C8"/>
    <w:rsid w:val="00272982"/>
    <w:rsid w:val="00277B15"/>
    <w:rsid w:val="00281520"/>
    <w:rsid w:val="00287C7E"/>
    <w:rsid w:val="002A5AB5"/>
    <w:rsid w:val="002B2010"/>
    <w:rsid w:val="002B4586"/>
    <w:rsid w:val="002B6BEB"/>
    <w:rsid w:val="002B6F88"/>
    <w:rsid w:val="002C2C77"/>
    <w:rsid w:val="002C2FBB"/>
    <w:rsid w:val="002C6BD7"/>
    <w:rsid w:val="002D7A6E"/>
    <w:rsid w:val="002E14A3"/>
    <w:rsid w:val="002E5C71"/>
    <w:rsid w:val="002F1A23"/>
    <w:rsid w:val="00300077"/>
    <w:rsid w:val="0030029E"/>
    <w:rsid w:val="00310148"/>
    <w:rsid w:val="00323710"/>
    <w:rsid w:val="00331889"/>
    <w:rsid w:val="00331F10"/>
    <w:rsid w:val="00332706"/>
    <w:rsid w:val="0033754F"/>
    <w:rsid w:val="00342348"/>
    <w:rsid w:val="003508A8"/>
    <w:rsid w:val="003508E1"/>
    <w:rsid w:val="00357C49"/>
    <w:rsid w:val="00363F81"/>
    <w:rsid w:val="00365247"/>
    <w:rsid w:val="00370D76"/>
    <w:rsid w:val="00374D6D"/>
    <w:rsid w:val="00380AE0"/>
    <w:rsid w:val="00381BDA"/>
    <w:rsid w:val="00385429"/>
    <w:rsid w:val="003B4139"/>
    <w:rsid w:val="003B6D01"/>
    <w:rsid w:val="003C2F2C"/>
    <w:rsid w:val="003C2F6D"/>
    <w:rsid w:val="003C575A"/>
    <w:rsid w:val="003D3443"/>
    <w:rsid w:val="003D71C5"/>
    <w:rsid w:val="003F3CB7"/>
    <w:rsid w:val="00405672"/>
    <w:rsid w:val="00411914"/>
    <w:rsid w:val="00416734"/>
    <w:rsid w:val="00421355"/>
    <w:rsid w:val="00436898"/>
    <w:rsid w:val="0044290C"/>
    <w:rsid w:val="00443BC8"/>
    <w:rsid w:val="00445017"/>
    <w:rsid w:val="00445D52"/>
    <w:rsid w:val="00454323"/>
    <w:rsid w:val="00457AB9"/>
    <w:rsid w:val="004729CA"/>
    <w:rsid w:val="00496C5A"/>
    <w:rsid w:val="00496F2D"/>
    <w:rsid w:val="004A3207"/>
    <w:rsid w:val="004C74FB"/>
    <w:rsid w:val="004C7C12"/>
    <w:rsid w:val="004D68A7"/>
    <w:rsid w:val="00521544"/>
    <w:rsid w:val="005413E7"/>
    <w:rsid w:val="00547FEC"/>
    <w:rsid w:val="0055323C"/>
    <w:rsid w:val="00555749"/>
    <w:rsid w:val="00561318"/>
    <w:rsid w:val="005618C2"/>
    <w:rsid w:val="005702E9"/>
    <w:rsid w:val="005730F0"/>
    <w:rsid w:val="00586159"/>
    <w:rsid w:val="005905ED"/>
    <w:rsid w:val="005941FC"/>
    <w:rsid w:val="005A56D3"/>
    <w:rsid w:val="005B52D6"/>
    <w:rsid w:val="005C0459"/>
    <w:rsid w:val="005C37D2"/>
    <w:rsid w:val="005C4E70"/>
    <w:rsid w:val="005C5B2E"/>
    <w:rsid w:val="005D038B"/>
    <w:rsid w:val="005D2B62"/>
    <w:rsid w:val="005D3849"/>
    <w:rsid w:val="005D74CE"/>
    <w:rsid w:val="005E2BF8"/>
    <w:rsid w:val="005E2EE3"/>
    <w:rsid w:val="005E55BD"/>
    <w:rsid w:val="005E77F2"/>
    <w:rsid w:val="005E7929"/>
    <w:rsid w:val="00610225"/>
    <w:rsid w:val="00622AB1"/>
    <w:rsid w:val="00630D43"/>
    <w:rsid w:val="00642F0C"/>
    <w:rsid w:val="006452B1"/>
    <w:rsid w:val="006463EC"/>
    <w:rsid w:val="006521D2"/>
    <w:rsid w:val="006542FA"/>
    <w:rsid w:val="00654F9E"/>
    <w:rsid w:val="006577E3"/>
    <w:rsid w:val="00660BCD"/>
    <w:rsid w:val="00670726"/>
    <w:rsid w:val="00676EF8"/>
    <w:rsid w:val="006829E2"/>
    <w:rsid w:val="00691FA2"/>
    <w:rsid w:val="006B1F9C"/>
    <w:rsid w:val="006B4CB4"/>
    <w:rsid w:val="006C2AF3"/>
    <w:rsid w:val="006D43C7"/>
    <w:rsid w:val="006D6513"/>
    <w:rsid w:val="006E139E"/>
    <w:rsid w:val="006E351F"/>
    <w:rsid w:val="006E5952"/>
    <w:rsid w:val="006E7F30"/>
    <w:rsid w:val="006F05D9"/>
    <w:rsid w:val="00706066"/>
    <w:rsid w:val="0071765A"/>
    <w:rsid w:val="00717EF5"/>
    <w:rsid w:val="00720047"/>
    <w:rsid w:val="007227DB"/>
    <w:rsid w:val="00731351"/>
    <w:rsid w:val="007367BB"/>
    <w:rsid w:val="00740B15"/>
    <w:rsid w:val="00744CD2"/>
    <w:rsid w:val="007462BA"/>
    <w:rsid w:val="00750908"/>
    <w:rsid w:val="00751E85"/>
    <w:rsid w:val="0075390E"/>
    <w:rsid w:val="00767199"/>
    <w:rsid w:val="00772C27"/>
    <w:rsid w:val="00775D5D"/>
    <w:rsid w:val="00790F25"/>
    <w:rsid w:val="00793843"/>
    <w:rsid w:val="00796AB4"/>
    <w:rsid w:val="0079788A"/>
    <w:rsid w:val="007A3810"/>
    <w:rsid w:val="007B6646"/>
    <w:rsid w:val="007B68AB"/>
    <w:rsid w:val="007B6AA7"/>
    <w:rsid w:val="007C4974"/>
    <w:rsid w:val="007C7E28"/>
    <w:rsid w:val="007D3D51"/>
    <w:rsid w:val="007E0E06"/>
    <w:rsid w:val="00820324"/>
    <w:rsid w:val="00820E43"/>
    <w:rsid w:val="00822DBF"/>
    <w:rsid w:val="00827064"/>
    <w:rsid w:val="00833D1A"/>
    <w:rsid w:val="00834969"/>
    <w:rsid w:val="00837848"/>
    <w:rsid w:val="008404A5"/>
    <w:rsid w:val="008518BF"/>
    <w:rsid w:val="0086095C"/>
    <w:rsid w:val="0086554C"/>
    <w:rsid w:val="00866E2F"/>
    <w:rsid w:val="00880956"/>
    <w:rsid w:val="00881195"/>
    <w:rsid w:val="008847A1"/>
    <w:rsid w:val="00890D62"/>
    <w:rsid w:val="0089408C"/>
    <w:rsid w:val="008A4FBD"/>
    <w:rsid w:val="008A7B93"/>
    <w:rsid w:val="008B7158"/>
    <w:rsid w:val="008D4156"/>
    <w:rsid w:val="008E534F"/>
    <w:rsid w:val="008F24DE"/>
    <w:rsid w:val="008F2870"/>
    <w:rsid w:val="00900E18"/>
    <w:rsid w:val="00904B87"/>
    <w:rsid w:val="00907A9B"/>
    <w:rsid w:val="00912D17"/>
    <w:rsid w:val="009276A3"/>
    <w:rsid w:val="009279AE"/>
    <w:rsid w:val="00935A30"/>
    <w:rsid w:val="009420BD"/>
    <w:rsid w:val="00943F1C"/>
    <w:rsid w:val="00944067"/>
    <w:rsid w:val="00953B97"/>
    <w:rsid w:val="00953CCD"/>
    <w:rsid w:val="00964225"/>
    <w:rsid w:val="00985DD5"/>
    <w:rsid w:val="009B33BE"/>
    <w:rsid w:val="009C1ECD"/>
    <w:rsid w:val="009C4495"/>
    <w:rsid w:val="009C495F"/>
    <w:rsid w:val="009C65A4"/>
    <w:rsid w:val="009E4676"/>
    <w:rsid w:val="009E5B72"/>
    <w:rsid w:val="009E7D75"/>
    <w:rsid w:val="009F7AFE"/>
    <w:rsid w:val="00A01D2C"/>
    <w:rsid w:val="00A0764F"/>
    <w:rsid w:val="00A11C3F"/>
    <w:rsid w:val="00A13AB6"/>
    <w:rsid w:val="00A21536"/>
    <w:rsid w:val="00A24200"/>
    <w:rsid w:val="00A32D82"/>
    <w:rsid w:val="00A37E41"/>
    <w:rsid w:val="00A44E4B"/>
    <w:rsid w:val="00A4759C"/>
    <w:rsid w:val="00A54027"/>
    <w:rsid w:val="00A5600C"/>
    <w:rsid w:val="00A63390"/>
    <w:rsid w:val="00A63771"/>
    <w:rsid w:val="00A66AA3"/>
    <w:rsid w:val="00A73BE0"/>
    <w:rsid w:val="00A740A3"/>
    <w:rsid w:val="00A768D6"/>
    <w:rsid w:val="00A76BF5"/>
    <w:rsid w:val="00A82DAF"/>
    <w:rsid w:val="00A86AF3"/>
    <w:rsid w:val="00A9155C"/>
    <w:rsid w:val="00A938FB"/>
    <w:rsid w:val="00A9792D"/>
    <w:rsid w:val="00AA419F"/>
    <w:rsid w:val="00AB2199"/>
    <w:rsid w:val="00AC0B2A"/>
    <w:rsid w:val="00AC32F8"/>
    <w:rsid w:val="00AC6195"/>
    <w:rsid w:val="00AD4D4F"/>
    <w:rsid w:val="00AE61A6"/>
    <w:rsid w:val="00AF417F"/>
    <w:rsid w:val="00AF711C"/>
    <w:rsid w:val="00B041CB"/>
    <w:rsid w:val="00B1124C"/>
    <w:rsid w:val="00B12FC1"/>
    <w:rsid w:val="00B15442"/>
    <w:rsid w:val="00B30E2F"/>
    <w:rsid w:val="00B3497A"/>
    <w:rsid w:val="00B3785F"/>
    <w:rsid w:val="00B43F55"/>
    <w:rsid w:val="00B460E4"/>
    <w:rsid w:val="00B5393D"/>
    <w:rsid w:val="00B53FAC"/>
    <w:rsid w:val="00B57595"/>
    <w:rsid w:val="00B71EFA"/>
    <w:rsid w:val="00B74715"/>
    <w:rsid w:val="00B75995"/>
    <w:rsid w:val="00B76D03"/>
    <w:rsid w:val="00B77C56"/>
    <w:rsid w:val="00B93944"/>
    <w:rsid w:val="00BB3D46"/>
    <w:rsid w:val="00BB7EB5"/>
    <w:rsid w:val="00BC0598"/>
    <w:rsid w:val="00BF5FA4"/>
    <w:rsid w:val="00C02452"/>
    <w:rsid w:val="00C06C01"/>
    <w:rsid w:val="00C104C4"/>
    <w:rsid w:val="00C151C7"/>
    <w:rsid w:val="00C21514"/>
    <w:rsid w:val="00C31031"/>
    <w:rsid w:val="00C32353"/>
    <w:rsid w:val="00C33541"/>
    <w:rsid w:val="00C36594"/>
    <w:rsid w:val="00C36E40"/>
    <w:rsid w:val="00C47F2C"/>
    <w:rsid w:val="00C50BED"/>
    <w:rsid w:val="00C558A3"/>
    <w:rsid w:val="00C62177"/>
    <w:rsid w:val="00C65220"/>
    <w:rsid w:val="00C7254D"/>
    <w:rsid w:val="00C73CE9"/>
    <w:rsid w:val="00C75511"/>
    <w:rsid w:val="00C76811"/>
    <w:rsid w:val="00C80929"/>
    <w:rsid w:val="00C817A5"/>
    <w:rsid w:val="00C87D86"/>
    <w:rsid w:val="00CA5147"/>
    <w:rsid w:val="00CB1A55"/>
    <w:rsid w:val="00CD0046"/>
    <w:rsid w:val="00CE53D0"/>
    <w:rsid w:val="00CF5078"/>
    <w:rsid w:val="00CF6475"/>
    <w:rsid w:val="00D07985"/>
    <w:rsid w:val="00D10954"/>
    <w:rsid w:val="00D178B1"/>
    <w:rsid w:val="00D178B7"/>
    <w:rsid w:val="00D27951"/>
    <w:rsid w:val="00D307A0"/>
    <w:rsid w:val="00D31FD2"/>
    <w:rsid w:val="00D32E5A"/>
    <w:rsid w:val="00D36B96"/>
    <w:rsid w:val="00D45B5F"/>
    <w:rsid w:val="00D478C3"/>
    <w:rsid w:val="00D47BFD"/>
    <w:rsid w:val="00D56936"/>
    <w:rsid w:val="00D64922"/>
    <w:rsid w:val="00D7095F"/>
    <w:rsid w:val="00D800A7"/>
    <w:rsid w:val="00D81BD7"/>
    <w:rsid w:val="00D840F9"/>
    <w:rsid w:val="00D85DEB"/>
    <w:rsid w:val="00D90AF8"/>
    <w:rsid w:val="00D9137E"/>
    <w:rsid w:val="00D9186A"/>
    <w:rsid w:val="00DA0767"/>
    <w:rsid w:val="00DB1346"/>
    <w:rsid w:val="00DB2F8A"/>
    <w:rsid w:val="00DC5DC8"/>
    <w:rsid w:val="00DD030A"/>
    <w:rsid w:val="00DD1443"/>
    <w:rsid w:val="00DD77BE"/>
    <w:rsid w:val="00DF0A93"/>
    <w:rsid w:val="00DF5D13"/>
    <w:rsid w:val="00DF673A"/>
    <w:rsid w:val="00DF79F2"/>
    <w:rsid w:val="00DF7FAA"/>
    <w:rsid w:val="00E0256F"/>
    <w:rsid w:val="00E026A4"/>
    <w:rsid w:val="00E05CA6"/>
    <w:rsid w:val="00E17BB3"/>
    <w:rsid w:val="00E2037E"/>
    <w:rsid w:val="00E2457E"/>
    <w:rsid w:val="00E27095"/>
    <w:rsid w:val="00E37F6B"/>
    <w:rsid w:val="00E40CB6"/>
    <w:rsid w:val="00E40CFE"/>
    <w:rsid w:val="00E45970"/>
    <w:rsid w:val="00E4611C"/>
    <w:rsid w:val="00E5186E"/>
    <w:rsid w:val="00E7227D"/>
    <w:rsid w:val="00E72A3F"/>
    <w:rsid w:val="00E76BC6"/>
    <w:rsid w:val="00E77261"/>
    <w:rsid w:val="00E80E04"/>
    <w:rsid w:val="00E86E44"/>
    <w:rsid w:val="00E968AF"/>
    <w:rsid w:val="00EA22C7"/>
    <w:rsid w:val="00EA415A"/>
    <w:rsid w:val="00EB5C5D"/>
    <w:rsid w:val="00EC1CD6"/>
    <w:rsid w:val="00EC2C5B"/>
    <w:rsid w:val="00ED761D"/>
    <w:rsid w:val="00EE498A"/>
    <w:rsid w:val="00EE6EE8"/>
    <w:rsid w:val="00EF5B98"/>
    <w:rsid w:val="00F10A83"/>
    <w:rsid w:val="00F33E42"/>
    <w:rsid w:val="00F35217"/>
    <w:rsid w:val="00F41576"/>
    <w:rsid w:val="00F45829"/>
    <w:rsid w:val="00F4658E"/>
    <w:rsid w:val="00F54268"/>
    <w:rsid w:val="00F60041"/>
    <w:rsid w:val="00F60D22"/>
    <w:rsid w:val="00F61FA1"/>
    <w:rsid w:val="00F76F3D"/>
    <w:rsid w:val="00F80D5D"/>
    <w:rsid w:val="00F814AD"/>
    <w:rsid w:val="00F86824"/>
    <w:rsid w:val="00FA064B"/>
    <w:rsid w:val="00FA49B7"/>
    <w:rsid w:val="00FA64C7"/>
    <w:rsid w:val="00FC2920"/>
    <w:rsid w:val="00FC413F"/>
    <w:rsid w:val="00FD3DAB"/>
    <w:rsid w:val="00FD4242"/>
    <w:rsid w:val="00FE68E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FF8E8A"/>
  <w15:chartTrackingRefBased/>
  <w15:docId w15:val="{DE9ED889-C8A3-47DF-8C41-980D2528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3443"/>
    <w:pPr>
      <w:spacing w:line="240" w:lineRule="auto"/>
    </w:pPr>
    <w:rPr>
      <w:rFonts w:ascii="Calibri" w:hAnsi="Calibri"/>
    </w:rPr>
  </w:style>
  <w:style w:type="paragraph" w:styleId="Heading1">
    <w:name w:val="heading 1"/>
    <w:basedOn w:val="Normal"/>
    <w:next w:val="Normal"/>
    <w:link w:val="Heading1Char"/>
    <w:uiPriority w:val="9"/>
    <w:qFormat/>
    <w:rsid w:val="00C817A5"/>
    <w:pPr>
      <w:numPr>
        <w:ilvl w:val="1"/>
      </w:numPr>
      <w:suppressAutoHyphens/>
      <w:spacing w:before="240"/>
      <w:ind w:left="1134"/>
      <w:outlineLvl w:val="0"/>
    </w:pPr>
    <w:rPr>
      <w:rFonts w:eastAsia="SimSun" w:cs="Times New Roman"/>
      <w:b/>
      <w:color w:val="081E3E"/>
      <w:kern w:val="12"/>
      <w:sz w:val="52"/>
      <w:szCs w:val="52"/>
    </w:rPr>
  </w:style>
  <w:style w:type="paragraph" w:styleId="Heading2">
    <w:name w:val="heading 2"/>
    <w:basedOn w:val="Normal"/>
    <w:next w:val="Normal"/>
    <w:link w:val="Heading2Char"/>
    <w:uiPriority w:val="9"/>
    <w:unhideWhenUsed/>
    <w:qFormat/>
    <w:rsid w:val="00D56936"/>
    <w:pPr>
      <w:keepNext/>
      <w:keepLines/>
      <w:suppressAutoHyphens/>
      <w:spacing w:before="320"/>
      <w:outlineLvl w:val="1"/>
    </w:pPr>
    <w:rPr>
      <w:rFonts w:eastAsia="SimSun" w:cs="Times New Roman"/>
      <w:color w:val="081E3E"/>
      <w:kern w:val="12"/>
      <w:sz w:val="36"/>
      <w:szCs w:val="26"/>
    </w:rPr>
  </w:style>
  <w:style w:type="paragraph" w:styleId="Heading3">
    <w:name w:val="heading 3"/>
    <w:basedOn w:val="Normal"/>
    <w:next w:val="Normal"/>
    <w:link w:val="Heading3Char"/>
    <w:uiPriority w:val="9"/>
    <w:unhideWhenUsed/>
    <w:qFormat/>
    <w:rsid w:val="00D56936"/>
    <w:pPr>
      <w:keepNext/>
      <w:keepLines/>
      <w:suppressAutoHyphens/>
      <w:spacing w:before="240"/>
      <w:outlineLvl w:val="2"/>
    </w:pPr>
    <w:rPr>
      <w:rFonts w:eastAsia="SimSun" w:cs="Times New Roman"/>
      <w:b/>
      <w:color w:val="595C6E"/>
      <w:kern w:val="12"/>
      <w:sz w:val="32"/>
      <w:szCs w:val="24"/>
    </w:rPr>
  </w:style>
  <w:style w:type="paragraph" w:styleId="Heading4">
    <w:name w:val="heading 4"/>
    <w:basedOn w:val="Normal"/>
    <w:next w:val="Normal"/>
    <w:link w:val="Heading4Char"/>
    <w:uiPriority w:val="9"/>
    <w:unhideWhenUsed/>
    <w:qFormat/>
    <w:rsid w:val="00654F9E"/>
    <w:pPr>
      <w:keepNext/>
      <w:keepLines/>
      <w:suppressAutoHyphens/>
      <w:spacing w:before="240"/>
      <w:outlineLvl w:val="3"/>
    </w:pPr>
    <w:rPr>
      <w:rFonts w:eastAsia="SimSun" w:cs="Times New Roman"/>
      <w:b/>
      <w:iCs/>
      <w:color w:val="595C6E"/>
      <w:kern w:val="12"/>
      <w:sz w:val="26"/>
      <w:szCs w:val="20"/>
    </w:rPr>
  </w:style>
  <w:style w:type="paragraph" w:styleId="Heading5">
    <w:name w:val="heading 5"/>
    <w:basedOn w:val="Normal"/>
    <w:next w:val="Normal"/>
    <w:link w:val="Heading5Char"/>
    <w:uiPriority w:val="9"/>
    <w:unhideWhenUsed/>
    <w:qFormat/>
    <w:rsid w:val="00190A0C"/>
    <w:pPr>
      <w:keepNext/>
      <w:spacing w:before="120" w:after="120"/>
      <w:outlineLvl w:val="4"/>
    </w:pPr>
    <w:rPr>
      <w:rFonts w:eastAsia="MingLiU" w:cs="Segoe UI Semibold"/>
      <w:b/>
      <w:color w:val="4C5564"/>
      <w:sz w:val="24"/>
      <w:szCs w:val="24"/>
    </w:rPr>
  </w:style>
  <w:style w:type="paragraph" w:styleId="Heading6">
    <w:name w:val="heading 6"/>
    <w:basedOn w:val="Normal"/>
    <w:next w:val="Normal"/>
    <w:link w:val="Heading6Char"/>
    <w:uiPriority w:val="9"/>
    <w:unhideWhenUsed/>
    <w:qFormat/>
    <w:rsid w:val="00190A0C"/>
    <w:pPr>
      <w:keepNext/>
      <w:spacing w:before="120" w:after="120"/>
      <w:outlineLvl w:val="5"/>
    </w:pPr>
    <w:rPr>
      <w:rFonts w:eastAsia="MingLiU" w:cs="Segoe UI Semibold"/>
      <w:b/>
      <w:color w:val="4C5564"/>
    </w:rPr>
  </w:style>
  <w:style w:type="paragraph" w:styleId="Heading7">
    <w:name w:val="heading 7"/>
    <w:basedOn w:val="Normal"/>
    <w:next w:val="Normal"/>
    <w:link w:val="Heading7Char"/>
    <w:uiPriority w:val="9"/>
    <w:unhideWhenUsed/>
    <w:qFormat/>
    <w:rsid w:val="00190A0C"/>
    <w:pPr>
      <w:keepNext/>
      <w:keepLines/>
      <w:spacing w:before="40" w:after="0"/>
      <w:outlineLvl w:val="6"/>
    </w:pPr>
    <w:rPr>
      <w:rFonts w:eastAsiaTheme="majorEastAsia" w:cs="Segoe UI Semibold"/>
      <w:b/>
      <w:iCs/>
      <w:color w:val="4C5564"/>
      <w:sz w:val="20"/>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F60041"/>
    <w:pPr>
      <w:numPr>
        <w:numId w:val="1"/>
      </w:numPr>
      <w:spacing w:before="80"/>
      <w:ind w:left="1134" w:hanging="567"/>
    </w:pPr>
    <w:rPr>
      <w:szCs w:val="20"/>
    </w:r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60041"/>
    <w:rPr>
      <w:color w:val="0046FF"/>
      <w:u w:val="single"/>
    </w:rPr>
  </w:style>
  <w:style w:type="character" w:customStyle="1" w:styleId="Heading1Char">
    <w:name w:val="Heading 1 Char"/>
    <w:basedOn w:val="DefaultParagraphFont"/>
    <w:link w:val="Heading1"/>
    <w:uiPriority w:val="9"/>
    <w:rsid w:val="00C817A5"/>
    <w:rPr>
      <w:rFonts w:ascii="Calibri" w:eastAsia="SimSun" w:hAnsi="Calibri" w:cs="Times New Roman"/>
      <w:b/>
      <w:color w:val="081E3E"/>
      <w:kern w:val="12"/>
      <w:sz w:val="52"/>
      <w:szCs w:val="52"/>
    </w:rPr>
  </w:style>
  <w:style w:type="character" w:customStyle="1" w:styleId="Heading2Char">
    <w:name w:val="Heading 2 Char"/>
    <w:basedOn w:val="DefaultParagraphFont"/>
    <w:link w:val="Heading2"/>
    <w:uiPriority w:val="9"/>
    <w:rsid w:val="00D56936"/>
    <w:rPr>
      <w:rFonts w:ascii="Calibri" w:eastAsia="SimSun" w:hAnsi="Calibri" w:cs="Times New Roman"/>
      <w:color w:val="081E3E"/>
      <w:kern w:val="12"/>
      <w:sz w:val="36"/>
      <w:szCs w:val="26"/>
    </w:rPr>
  </w:style>
  <w:style w:type="character" w:customStyle="1" w:styleId="Heading3Char">
    <w:name w:val="Heading 3 Char"/>
    <w:basedOn w:val="DefaultParagraphFont"/>
    <w:link w:val="Heading3"/>
    <w:uiPriority w:val="9"/>
    <w:rsid w:val="00D56936"/>
    <w:rPr>
      <w:rFonts w:ascii="Calibri" w:eastAsia="SimSun" w:hAnsi="Calibri" w:cs="Times New Roman"/>
      <w:b/>
      <w:color w:val="595C6E"/>
      <w:kern w:val="12"/>
      <w:sz w:val="32"/>
      <w:szCs w:val="24"/>
    </w:rPr>
  </w:style>
  <w:style w:type="character" w:customStyle="1" w:styleId="Heading4Char">
    <w:name w:val="Heading 4 Char"/>
    <w:basedOn w:val="DefaultParagraphFont"/>
    <w:link w:val="Heading4"/>
    <w:uiPriority w:val="9"/>
    <w:rsid w:val="00654F9E"/>
    <w:rPr>
      <w:rFonts w:ascii="Calibri" w:eastAsia="SimSun" w:hAnsi="Calibri" w:cs="Times New Roman"/>
      <w:b/>
      <w:iCs/>
      <w:color w:val="595C6E"/>
      <w:kern w:val="12"/>
      <w:sz w:val="26"/>
      <w:szCs w:val="20"/>
    </w:rPr>
  </w:style>
  <w:style w:type="character" w:customStyle="1" w:styleId="Heading5Char">
    <w:name w:val="Heading 5 Char"/>
    <w:basedOn w:val="DefaultParagraphFont"/>
    <w:link w:val="Heading5"/>
    <w:uiPriority w:val="9"/>
    <w:rsid w:val="00190A0C"/>
    <w:rPr>
      <w:rFonts w:ascii="Calibri" w:eastAsia="MingLiU" w:hAnsi="Calibri" w:cs="Segoe UI Semibold"/>
      <w:b/>
      <w:color w:val="4C5564"/>
      <w:sz w:val="24"/>
      <w:szCs w:val="24"/>
    </w:rPr>
  </w:style>
  <w:style w:type="character" w:customStyle="1" w:styleId="Heading6Char">
    <w:name w:val="Heading 6 Char"/>
    <w:basedOn w:val="DefaultParagraphFont"/>
    <w:link w:val="Heading6"/>
    <w:uiPriority w:val="9"/>
    <w:rsid w:val="00190A0C"/>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paragraph" w:customStyle="1" w:styleId="Heading2notshowing">
    <w:name w:val="Heading 2—not showing"/>
    <w:basedOn w:val="ImprintHeading"/>
    <w:next w:val="Normal"/>
    <w:qFormat/>
    <w:rsid w:val="00277B15"/>
    <w:pPr>
      <w:spacing w:before="120" w:after="80"/>
    </w:pPr>
  </w:style>
  <w:style w:type="paragraph" w:customStyle="1" w:styleId="Heading3notshowing">
    <w:name w:val="Heading 3—not showing"/>
    <w:basedOn w:val="Normal"/>
    <w:next w:val="Normal"/>
    <w:qFormat/>
    <w:rsid w:val="00190A0C"/>
    <w:pPr>
      <w:keepNext/>
      <w:spacing w:after="120"/>
      <w:outlineLvl w:val="2"/>
    </w:pPr>
    <w:rPr>
      <w:rFonts w:eastAsia="MingLiU" w:cs="Segoe UI Semibold"/>
      <w:b/>
      <w:color w:val="4C5564"/>
      <w:sz w:val="24"/>
      <w:szCs w:val="30"/>
    </w:rPr>
  </w:style>
  <w:style w:type="paragraph" w:styleId="Quote">
    <w:name w:val="Quote"/>
    <w:basedOn w:val="Normal"/>
    <w:next w:val="Normal"/>
    <w:link w:val="QuoteChar"/>
    <w:uiPriority w:val="29"/>
    <w:qFormat/>
    <w:rsid w:val="003B4139"/>
    <w:pPr>
      <w:pBdr>
        <w:left w:val="single" w:sz="48" w:space="22" w:color="4BB3B5"/>
      </w:pBdr>
      <w:suppressAutoHyphens/>
      <w:spacing w:before="160"/>
      <w:ind w:left="567" w:right="567"/>
    </w:pPr>
    <w:rPr>
      <w:rFonts w:eastAsia="Calibri" w:cs="Times New Roman"/>
      <w:b/>
      <w:iCs/>
      <w:color w:val="404040"/>
    </w:rPr>
  </w:style>
  <w:style w:type="character" w:customStyle="1" w:styleId="QuoteChar">
    <w:name w:val="Quote Char"/>
    <w:basedOn w:val="DefaultParagraphFont"/>
    <w:link w:val="Quote"/>
    <w:uiPriority w:val="29"/>
    <w:rsid w:val="003B4139"/>
    <w:rPr>
      <w:rFonts w:ascii="Calibri" w:eastAsia="Calibri" w:hAnsi="Calibri" w:cs="Times New Roman"/>
      <w:b/>
      <w:iCs/>
      <w:color w:val="40404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pPr>
    <w:rPr>
      <w:lang w:eastAsia="zh-TW"/>
    </w:rPr>
  </w:style>
  <w:style w:type="paragraph" w:styleId="ListParagraph">
    <w:name w:val="List Paragraph"/>
    <w:basedOn w:val="Normal"/>
    <w:uiPriority w:val="99"/>
    <w:qFormat/>
    <w:rsid w:val="00B5393D"/>
    <w:pPr>
      <w:numPr>
        <w:numId w:val="3"/>
      </w:numPr>
      <w:ind w:left="567" w:hanging="567"/>
      <w:contextualSpacing/>
    </w:pPr>
  </w:style>
  <w:style w:type="paragraph" w:customStyle="1" w:styleId="Tabletext">
    <w:name w:val="Table text"/>
    <w:basedOn w:val="Normal"/>
    <w:qFormat/>
    <w:rsid w:val="008B7158"/>
    <w:pPr>
      <w:spacing w:before="40" w:after="40"/>
    </w:pPr>
    <w:rPr>
      <w:rFonts w:eastAsia="Times New Roman" w:cs="Times New Roman"/>
      <w:szCs w:val="20"/>
    </w:rPr>
  </w:style>
  <w:style w:type="paragraph" w:customStyle="1" w:styleId="Tablerowcolumnheading">
    <w:name w:val="Table row/column heading"/>
    <w:basedOn w:val="Normal"/>
    <w:next w:val="Normal"/>
    <w:rsid w:val="00AC6195"/>
    <w:pPr>
      <w:shd w:val="clear" w:color="auto" w:fill="081E3E"/>
      <w:spacing w:before="60" w:after="60"/>
    </w:pPr>
    <w:rPr>
      <w:b/>
      <w:color w:val="FFFFFF" w:themeColor="background1"/>
      <w:szCs w:val="20"/>
    </w:rPr>
  </w:style>
  <w:style w:type="paragraph" w:styleId="FootnoteText">
    <w:name w:val="footnote text"/>
    <w:basedOn w:val="Normal"/>
    <w:link w:val="FootnoteTextChar"/>
    <w:uiPriority w:val="99"/>
    <w:unhideWhenUsed/>
    <w:rsid w:val="00217C11"/>
    <w:pPr>
      <w:spacing w:after="0"/>
    </w:pPr>
    <w:rPr>
      <w:sz w:val="20"/>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aliases w:val="Appel note de bas de p,Appel note de bas de p + 11 pt,Italic,Appel note de bas de p1,Appel note de bas de p2,Appel note de bas de p3,Footnote Reference/,Footnote,Style 12,(NECG) Footnote Reference,Style 124,o,fr,Style 3,Style 13,FR"/>
    <w:basedOn w:val="DefaultParagraphFont"/>
    <w:uiPriority w:val="99"/>
    <w:unhideWhenUsed/>
    <w:qFormat/>
    <w:rsid w:val="00217C11"/>
    <w:rPr>
      <w:vertAlign w:val="superscript"/>
    </w:rPr>
  </w:style>
  <w:style w:type="paragraph" w:customStyle="1" w:styleId="Tablefigureheading">
    <w:name w:val="Table/figure heading"/>
    <w:basedOn w:val="Normal"/>
    <w:next w:val="Normal"/>
    <w:qFormat/>
    <w:rsid w:val="00190A0C"/>
    <w:pPr>
      <w:keepNext/>
      <w:spacing w:after="0"/>
    </w:pPr>
    <w:rPr>
      <w:b/>
      <w:color w:val="002D72"/>
    </w:rPr>
  </w:style>
  <w:style w:type="paragraph" w:customStyle="1" w:styleId="Tabletextcentred">
    <w:name w:val="Table text—centred"/>
    <w:basedOn w:val="Tabletext"/>
    <w:next w:val="NoSpacing"/>
    <w:rsid w:val="008B7158"/>
    <w:pPr>
      <w:jc w:val="center"/>
    </w:p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654F9E"/>
    <w:rPr>
      <w:rFonts w:eastAsia="PMingLiU" w:cs="Mangal"/>
      <w:color w:val="595C6E"/>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9E5B72"/>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6E5952"/>
    <w:pPr>
      <w:keepNext/>
      <w:tabs>
        <w:tab w:val="right" w:leader="underscore" w:pos="9072"/>
      </w:tabs>
      <w:spacing w:before="120" w:after="0"/>
      <w:ind w:left="567" w:right="567" w:hanging="567"/>
    </w:pPr>
    <w:rPr>
      <w:b/>
      <w:color w:val="000000" w:themeColor="text1"/>
      <w:u w:val="single" w:color="4BB3B5"/>
    </w:rPr>
  </w:style>
  <w:style w:type="paragraph" w:styleId="TOC2">
    <w:name w:val="toc 2"/>
    <w:basedOn w:val="Normal"/>
    <w:next w:val="Normal"/>
    <w:autoRedefine/>
    <w:uiPriority w:val="39"/>
    <w:unhideWhenUsed/>
    <w:rsid w:val="006E5952"/>
    <w:pPr>
      <w:tabs>
        <w:tab w:val="right" w:leader="dot" w:pos="9072"/>
      </w:tabs>
      <w:spacing w:after="0"/>
      <w:ind w:left="567" w:right="567" w:hanging="567"/>
    </w:pPr>
    <w:rPr>
      <w:sz w:val="20"/>
    </w:rPr>
  </w:style>
  <w:style w:type="paragraph" w:styleId="TOC3">
    <w:name w:val="toc 3"/>
    <w:basedOn w:val="Normal"/>
    <w:next w:val="Normal"/>
    <w:autoRedefine/>
    <w:uiPriority w:val="39"/>
    <w:unhideWhenUsed/>
    <w:rsid w:val="006E5952"/>
    <w:pPr>
      <w:tabs>
        <w:tab w:val="right" w:leader="dot" w:pos="9072"/>
      </w:tabs>
      <w:spacing w:after="0"/>
      <w:ind w:left="1134" w:right="567" w:hanging="567"/>
    </w:pPr>
    <w:rPr>
      <w:sz w:val="20"/>
    </w:rPr>
  </w:style>
  <w:style w:type="paragraph" w:customStyle="1" w:styleId="Normaldisclaimerpage">
    <w:name w:val="Normal—disclaimer page"/>
    <w:basedOn w:val="Normal"/>
    <w:qFormat/>
    <w:rsid w:val="002F1A23"/>
    <w:pPr>
      <w:spacing w:after="120"/>
    </w:pPr>
    <w:rPr>
      <w:sz w:val="20"/>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81BDA"/>
    <w:pPr>
      <w:spacing w:before="60" w:after="60"/>
      <w:ind w:left="284" w:hanging="284"/>
    </w:pPr>
    <w:rPr>
      <w:color w:val="000000" w:themeColor="text1"/>
      <w:sz w:val="20"/>
      <w:szCs w:val="20"/>
    </w:rPr>
  </w:style>
  <w:style w:type="paragraph" w:styleId="Subtitle">
    <w:name w:val="Subtitle"/>
    <w:basedOn w:val="Normal"/>
    <w:next w:val="Normal"/>
    <w:link w:val="SubtitleChar"/>
    <w:uiPriority w:val="18"/>
    <w:qFormat/>
    <w:rsid w:val="00C817A5"/>
    <w:pPr>
      <w:numPr>
        <w:ilvl w:val="1"/>
      </w:numPr>
      <w:suppressAutoHyphens/>
      <w:spacing w:before="240"/>
      <w:ind w:left="1134"/>
    </w:pPr>
    <w:rPr>
      <w:rFonts w:eastAsia="SimSun" w:cs="Times New Roman"/>
      <w:color w:val="377B88"/>
      <w:kern w:val="12"/>
      <w:sz w:val="44"/>
    </w:rPr>
  </w:style>
  <w:style w:type="character" w:customStyle="1" w:styleId="SubtitleChar">
    <w:name w:val="Subtitle Char"/>
    <w:basedOn w:val="DefaultParagraphFont"/>
    <w:link w:val="Subtitle"/>
    <w:uiPriority w:val="18"/>
    <w:rsid w:val="00C817A5"/>
    <w:rPr>
      <w:rFonts w:ascii="Calibri" w:eastAsia="SimSun" w:hAnsi="Calibri" w:cs="Times New Roman"/>
      <w:color w:val="377B88"/>
      <w:kern w:val="12"/>
      <w:sz w:val="44"/>
    </w:rPr>
  </w:style>
  <w:style w:type="paragraph" w:customStyle="1" w:styleId="AreaHeading">
    <w:name w:val="Area Heading"/>
    <w:basedOn w:val="Normal"/>
    <w:qFormat/>
    <w:rsid w:val="00B041CB"/>
    <w:pPr>
      <w:suppressAutoHyphens/>
      <w:spacing w:after="80"/>
      <w:ind w:left="-1020" w:firstLine="1020"/>
    </w:pPr>
    <w:rPr>
      <w:rFonts w:asciiTheme="minorHAnsi" w:hAnsiTheme="minorHAnsi" w:cs="Times New Roman (Body CS)"/>
      <w:caps/>
      <w:color w:val="BF8F00" w:themeColor="accent4" w:themeShade="BF"/>
      <w:kern w:val="12"/>
      <w:sz w:val="21"/>
      <w:szCs w:val="20"/>
    </w:rPr>
  </w:style>
  <w:style w:type="character" w:styleId="UnresolvedMention">
    <w:name w:val="Unresolved Mention"/>
    <w:basedOn w:val="DefaultParagraphFont"/>
    <w:uiPriority w:val="99"/>
    <w:semiHidden/>
    <w:unhideWhenUsed/>
    <w:rsid w:val="00B041CB"/>
    <w:rPr>
      <w:color w:val="605E5C"/>
      <w:shd w:val="clear" w:color="auto" w:fill="E1DFDD"/>
    </w:rPr>
  </w:style>
  <w:style w:type="paragraph" w:customStyle="1" w:styleId="ListLegal1">
    <w:name w:val="List Legal 1"/>
    <w:basedOn w:val="Normal"/>
    <w:uiPriority w:val="3"/>
    <w:qFormat/>
    <w:rsid w:val="004729CA"/>
    <w:pPr>
      <w:numPr>
        <w:numId w:val="14"/>
      </w:numPr>
      <w:suppressAutoHyphens/>
      <w:ind w:left="567" w:hanging="567"/>
    </w:pPr>
    <w:rPr>
      <w:color w:val="000000"/>
      <w:kern w:val="12"/>
      <w:szCs w:val="20"/>
      <w:lang w:val="x-none"/>
    </w:rPr>
  </w:style>
  <w:style w:type="paragraph" w:customStyle="1" w:styleId="ListLegal2">
    <w:name w:val="List Legal 2"/>
    <w:basedOn w:val="ListLegal1"/>
    <w:uiPriority w:val="3"/>
    <w:rsid w:val="004729CA"/>
    <w:pPr>
      <w:numPr>
        <w:ilvl w:val="1"/>
      </w:numPr>
      <w:ind w:left="1134" w:hanging="567"/>
    </w:pPr>
  </w:style>
  <w:style w:type="paragraph" w:customStyle="1" w:styleId="ListLegal3">
    <w:name w:val="List Legal 3"/>
    <w:basedOn w:val="ListLegal2"/>
    <w:uiPriority w:val="3"/>
    <w:rsid w:val="00B041CB"/>
    <w:pPr>
      <w:numPr>
        <w:ilvl w:val="2"/>
      </w:numPr>
      <w:ind w:left="1701" w:hanging="567"/>
    </w:pPr>
  </w:style>
  <w:style w:type="numbering" w:customStyle="1" w:styleId="ListLegal">
    <w:name w:val="List Legal"/>
    <w:uiPriority w:val="99"/>
    <w:rsid w:val="00B041CB"/>
    <w:pPr>
      <w:numPr>
        <w:numId w:val="14"/>
      </w:numPr>
    </w:pPr>
  </w:style>
  <w:style w:type="table" w:customStyle="1" w:styleId="DefaultTable11">
    <w:name w:val="Default Table 11"/>
    <w:basedOn w:val="TableNormal"/>
    <w:uiPriority w:val="99"/>
    <w:rsid w:val="00654F9E"/>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53CCD"/>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styleId="TableGrid">
    <w:name w:val="Table Grid"/>
    <w:basedOn w:val="TableNormal"/>
    <w:uiPriority w:val="39"/>
    <w:rsid w:val="00AC6195"/>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rintHeading">
    <w:name w:val="Imprint Heading"/>
    <w:basedOn w:val="Normal"/>
    <w:uiPriority w:val="12"/>
    <w:rsid w:val="009C1ECD"/>
    <w:pPr>
      <w:suppressAutoHyphens/>
      <w:spacing w:before="240"/>
      <w:outlineLvl w:val="1"/>
    </w:pPr>
    <w:rPr>
      <w:rFonts w:asciiTheme="minorHAnsi" w:hAnsiTheme="minorHAnsi"/>
      <w:b/>
      <w:color w:val="000000" w:themeColor="text1"/>
      <w:kern w:val="12"/>
      <w:lang w:val="x-none"/>
    </w:rPr>
  </w:style>
  <w:style w:type="paragraph" w:styleId="TOCHeading">
    <w:name w:val="TOC Heading"/>
    <w:basedOn w:val="Heading1"/>
    <w:next w:val="Normal"/>
    <w:uiPriority w:val="38"/>
    <w:unhideWhenUsed/>
    <w:qFormat/>
    <w:rsid w:val="00BF5FA4"/>
    <w:pPr>
      <w:keepNext/>
      <w:keepLines/>
      <w:numPr>
        <w:ilvl w:val="0"/>
      </w:numPr>
      <w:suppressAutoHyphens w:val="0"/>
      <w:spacing w:after="0"/>
      <w:ind w:left="1134"/>
      <w:outlineLvl w:val="9"/>
    </w:pPr>
    <w:rPr>
      <w:rFonts w:asciiTheme="majorHAnsi" w:eastAsiaTheme="majorEastAsia" w:hAnsiTheme="majorHAnsi" w:cstheme="majorBidi"/>
      <w:b w:val="0"/>
      <w:color w:val="2E74B5" w:themeColor="accent1" w:themeShade="BF"/>
      <w:kern w:val="0"/>
      <w:sz w:val="32"/>
      <w:szCs w:val="32"/>
    </w:rPr>
  </w:style>
  <w:style w:type="paragraph" w:styleId="TableofFigures">
    <w:name w:val="table of figures"/>
    <w:basedOn w:val="Normal"/>
    <w:next w:val="Normal"/>
    <w:uiPriority w:val="99"/>
    <w:unhideWhenUsed/>
    <w:rsid w:val="009E5B72"/>
    <w:pPr>
      <w:tabs>
        <w:tab w:val="left" w:pos="9072"/>
      </w:tabs>
      <w:suppressAutoHyphens/>
      <w:spacing w:after="120"/>
      <w:ind w:left="567" w:right="567" w:hanging="567"/>
    </w:pPr>
    <w:rPr>
      <w:rFonts w:asciiTheme="minorHAnsi" w:hAnsiTheme="minorHAnsi"/>
      <w:color w:val="000000" w:themeColor="text1"/>
      <w:kern w:val="12"/>
      <w:szCs w:val="20"/>
    </w:rPr>
  </w:style>
  <w:style w:type="paragraph" w:styleId="Caption">
    <w:name w:val="caption"/>
    <w:basedOn w:val="Normal"/>
    <w:next w:val="Normal"/>
    <w:uiPriority w:val="14"/>
    <w:unhideWhenUsed/>
    <w:qFormat/>
    <w:rsid w:val="00A32D82"/>
    <w:pPr>
      <w:spacing w:after="200"/>
    </w:pPr>
    <w:rPr>
      <w:i/>
      <w:iCs/>
      <w:color w:val="44546A" w:themeColor="text2"/>
      <w:sz w:val="18"/>
      <w:szCs w:val="18"/>
    </w:rPr>
  </w:style>
  <w:style w:type="character" w:styleId="FollowedHyperlink">
    <w:name w:val="FollowedHyperlink"/>
    <w:basedOn w:val="DefaultParagraphFont"/>
    <w:uiPriority w:val="99"/>
    <w:semiHidden/>
    <w:unhideWhenUsed/>
    <w:rsid w:val="00C76811"/>
    <w:rPr>
      <w:color w:val="954F72" w:themeColor="followedHyperlink"/>
      <w:u w:val="single"/>
    </w:rPr>
  </w:style>
  <w:style w:type="paragraph" w:customStyle="1" w:styleId="Introduction">
    <w:name w:val="Introduction"/>
    <w:basedOn w:val="Normal"/>
    <w:uiPriority w:val="2"/>
    <w:qFormat/>
    <w:rsid w:val="00B75995"/>
    <w:pPr>
      <w:suppressAutoHyphens/>
      <w:spacing w:before="240" w:after="240"/>
    </w:pPr>
    <w:rPr>
      <w:rFonts w:asciiTheme="minorHAnsi" w:hAnsiTheme="minorHAnsi"/>
      <w:color w:val="377B88"/>
      <w:sz w:val="26"/>
      <w:lang w:val="x-none"/>
    </w:rPr>
  </w:style>
  <w:style w:type="character" w:styleId="CommentReference">
    <w:name w:val="annotation reference"/>
    <w:basedOn w:val="DefaultParagraphFont"/>
    <w:uiPriority w:val="99"/>
    <w:semiHidden/>
    <w:unhideWhenUsed/>
    <w:rsid w:val="00277B15"/>
    <w:rPr>
      <w:sz w:val="16"/>
      <w:szCs w:val="16"/>
    </w:rPr>
  </w:style>
  <w:style w:type="paragraph" w:styleId="CommentText">
    <w:name w:val="annotation text"/>
    <w:basedOn w:val="Normal"/>
    <w:link w:val="CommentTextChar"/>
    <w:uiPriority w:val="99"/>
    <w:semiHidden/>
    <w:unhideWhenUsed/>
    <w:rsid w:val="00277B15"/>
    <w:pPr>
      <w:suppressAutoHyphens/>
      <w:spacing w:before="160" w:after="80"/>
    </w:pPr>
    <w:rPr>
      <w:rFonts w:asciiTheme="minorHAnsi" w:hAnsiTheme="minorHAnsi"/>
      <w:color w:val="000000" w:themeColor="text1"/>
      <w:sz w:val="20"/>
      <w:szCs w:val="20"/>
    </w:rPr>
  </w:style>
  <w:style w:type="character" w:customStyle="1" w:styleId="CommentTextChar">
    <w:name w:val="Comment Text Char"/>
    <w:basedOn w:val="DefaultParagraphFont"/>
    <w:link w:val="CommentText"/>
    <w:uiPriority w:val="99"/>
    <w:semiHidden/>
    <w:rsid w:val="00277B15"/>
    <w:rPr>
      <w:color w:val="000000" w:themeColor="text1"/>
      <w:sz w:val="20"/>
      <w:szCs w:val="20"/>
    </w:rPr>
  </w:style>
  <w:style w:type="paragraph" w:styleId="BalloonText">
    <w:name w:val="Balloon Text"/>
    <w:basedOn w:val="Normal"/>
    <w:link w:val="BalloonTextChar"/>
    <w:uiPriority w:val="99"/>
    <w:semiHidden/>
    <w:unhideWhenUsed/>
    <w:rsid w:val="00277B1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7B15"/>
    <w:rPr>
      <w:rFonts w:ascii="Segoe UI" w:hAnsi="Segoe UI" w:cs="Segoe UI"/>
      <w:sz w:val="18"/>
      <w:szCs w:val="18"/>
    </w:rPr>
  </w:style>
  <w:style w:type="character" w:styleId="PlaceholderText">
    <w:name w:val="Placeholder Text"/>
    <w:basedOn w:val="DefaultParagraphFont"/>
    <w:uiPriority w:val="99"/>
    <w:semiHidden/>
    <w:rsid w:val="003D3443"/>
    <w:rPr>
      <w:color w:val="808080"/>
    </w:rPr>
  </w:style>
  <w:style w:type="paragraph" w:styleId="Title">
    <w:name w:val="Title"/>
    <w:basedOn w:val="Normal"/>
    <w:next w:val="Normal"/>
    <w:link w:val="TitleChar"/>
    <w:uiPriority w:val="17"/>
    <w:qFormat/>
    <w:rsid w:val="003D3443"/>
    <w:pPr>
      <w:suppressAutoHyphens/>
      <w:spacing w:before="1680" w:after="480"/>
    </w:pPr>
    <w:rPr>
      <w:rFonts w:asciiTheme="majorHAnsi" w:eastAsiaTheme="majorEastAsia" w:hAnsiTheme="majorHAnsi" w:cstheme="majorBidi"/>
      <w:b/>
      <w:color w:val="000000" w:themeColor="text1"/>
      <w:sz w:val="60"/>
      <w:szCs w:val="56"/>
    </w:rPr>
  </w:style>
  <w:style w:type="character" w:customStyle="1" w:styleId="TitleChar">
    <w:name w:val="Title Char"/>
    <w:basedOn w:val="DefaultParagraphFont"/>
    <w:link w:val="Title"/>
    <w:uiPriority w:val="17"/>
    <w:rsid w:val="003D3443"/>
    <w:rPr>
      <w:rFonts w:asciiTheme="majorHAnsi" w:eastAsiaTheme="majorEastAsia" w:hAnsiTheme="majorHAnsi" w:cstheme="majorBidi"/>
      <w:b/>
      <w:color w:val="000000" w:themeColor="text1"/>
      <w:sz w:val="60"/>
      <w:szCs w:val="56"/>
    </w:rPr>
  </w:style>
  <w:style w:type="paragraph" w:customStyle="1" w:styleId="CoverDate">
    <w:name w:val="Cover Date"/>
    <w:basedOn w:val="Normal"/>
    <w:uiPriority w:val="19"/>
    <w:qFormat/>
    <w:rsid w:val="003D3443"/>
    <w:pPr>
      <w:suppressAutoHyphens/>
      <w:spacing w:before="160" w:after="80"/>
    </w:pPr>
    <w:rPr>
      <w:rFonts w:asciiTheme="minorHAnsi" w:hAnsiTheme="minorHAnsi"/>
      <w:b/>
      <w:color w:val="000000" w:themeColor="text1"/>
    </w:rPr>
  </w:style>
  <w:style w:type="character" w:styleId="PageNumber">
    <w:name w:val="page number"/>
    <w:basedOn w:val="DefaultParagraphFont"/>
    <w:uiPriority w:val="99"/>
    <w:semiHidden/>
    <w:rsid w:val="003D3443"/>
    <w:rPr>
      <w:b/>
      <w:sz w:val="20"/>
    </w:rPr>
  </w:style>
  <w:style w:type="paragraph" w:customStyle="1" w:styleId="CoverPhoto">
    <w:name w:val="Cover Photo"/>
    <w:basedOn w:val="Normal"/>
    <w:uiPriority w:val="19"/>
    <w:qFormat/>
    <w:rsid w:val="003D3443"/>
    <w:pPr>
      <w:suppressAutoHyphens/>
      <w:spacing w:before="1240"/>
    </w:pPr>
    <w:rPr>
      <w:rFonts w:asciiTheme="minorHAnsi" w:hAnsiTheme="minorHAnsi"/>
      <w:color w:val="000000" w:themeColor="text1"/>
    </w:rPr>
  </w:style>
  <w:style w:type="paragraph" w:customStyle="1" w:styleId="Sourcenotes">
    <w:name w:val="Source notes"/>
    <w:basedOn w:val="Normal"/>
    <w:uiPriority w:val="15"/>
    <w:qFormat/>
    <w:rsid w:val="00E968AF"/>
    <w:pPr>
      <w:suppressAutoHyphens/>
    </w:pPr>
    <w:rPr>
      <w:rFonts w:asciiTheme="minorHAnsi" w:hAnsiTheme="minorHAnsi"/>
      <w:color w:val="000000" w:themeColor="text1"/>
      <w:sz w:val="20"/>
      <w:lang w:val="x-none"/>
    </w:rPr>
  </w:style>
  <w:style w:type="paragraph" w:customStyle="1" w:styleId="Sourcenotesnumbered">
    <w:name w:val="Source notes numbered"/>
    <w:basedOn w:val="Sourcenotes"/>
    <w:uiPriority w:val="15"/>
    <w:qFormat/>
    <w:rsid w:val="003D3443"/>
    <w:pPr>
      <w:spacing w:before="80"/>
    </w:pPr>
  </w:style>
  <w:style w:type="paragraph" w:customStyle="1" w:styleId="ListNumbered1">
    <w:name w:val="List Numbered 1"/>
    <w:basedOn w:val="Normal"/>
    <w:uiPriority w:val="3"/>
    <w:qFormat/>
    <w:rsid w:val="003D3443"/>
    <w:pPr>
      <w:numPr>
        <w:numId w:val="20"/>
      </w:numPr>
      <w:suppressAutoHyphens/>
      <w:spacing w:before="80" w:after="80"/>
    </w:pPr>
    <w:rPr>
      <w:rFonts w:asciiTheme="minorHAnsi" w:hAnsiTheme="minorHAnsi"/>
      <w:color w:val="000000" w:themeColor="text1"/>
      <w:lang w:val="x-none"/>
    </w:rPr>
  </w:style>
  <w:style w:type="paragraph" w:customStyle="1" w:styleId="ListNumbered21">
    <w:name w:val="List Numbered 2.1"/>
    <w:basedOn w:val="ListNumbered1"/>
    <w:uiPriority w:val="3"/>
    <w:rsid w:val="003D3443"/>
    <w:pPr>
      <w:numPr>
        <w:ilvl w:val="1"/>
      </w:numPr>
    </w:pPr>
  </w:style>
  <w:style w:type="paragraph" w:customStyle="1" w:styleId="ListNumbered311">
    <w:name w:val="List Numbered 3.1.1"/>
    <w:basedOn w:val="ListNumbered21"/>
    <w:uiPriority w:val="3"/>
    <w:rsid w:val="003D3443"/>
    <w:pPr>
      <w:numPr>
        <w:ilvl w:val="2"/>
      </w:numPr>
    </w:pPr>
  </w:style>
  <w:style w:type="paragraph" w:customStyle="1" w:styleId="Bullet1">
    <w:name w:val="Bullet 1"/>
    <w:basedOn w:val="Normal"/>
    <w:uiPriority w:val="3"/>
    <w:qFormat/>
    <w:rsid w:val="003D3443"/>
    <w:pPr>
      <w:numPr>
        <w:numId w:val="18"/>
      </w:numPr>
      <w:suppressAutoHyphens/>
      <w:spacing w:before="80" w:after="80"/>
    </w:pPr>
    <w:rPr>
      <w:rFonts w:asciiTheme="minorHAnsi" w:hAnsiTheme="minorHAnsi"/>
      <w:color w:val="000000" w:themeColor="text1"/>
      <w:lang w:val="x-none"/>
    </w:rPr>
  </w:style>
  <w:style w:type="paragraph" w:customStyle="1" w:styleId="Bullet2">
    <w:name w:val="Bullet 2"/>
    <w:basedOn w:val="Bullet1"/>
    <w:uiPriority w:val="3"/>
    <w:rsid w:val="003D3443"/>
    <w:pPr>
      <w:numPr>
        <w:ilvl w:val="1"/>
      </w:numPr>
    </w:pPr>
  </w:style>
  <w:style w:type="paragraph" w:customStyle="1" w:styleId="Bullet3">
    <w:name w:val="Bullet 3"/>
    <w:basedOn w:val="Bullet2"/>
    <w:uiPriority w:val="3"/>
    <w:rsid w:val="003D3443"/>
    <w:pPr>
      <w:numPr>
        <w:ilvl w:val="2"/>
      </w:numPr>
    </w:pPr>
  </w:style>
  <w:style w:type="paragraph" w:customStyle="1" w:styleId="Box1Text">
    <w:name w:val="Box 1 Text"/>
    <w:basedOn w:val="Normal"/>
    <w:link w:val="Box1TextChar"/>
    <w:uiPriority w:val="23"/>
    <w:qFormat/>
    <w:rsid w:val="003D3443"/>
    <w:pPr>
      <w:pBdr>
        <w:top w:val="single" w:sz="4" w:space="14" w:color="ED7D31" w:themeColor="accent2"/>
        <w:left w:val="single" w:sz="4" w:space="14" w:color="ED7D31" w:themeColor="accent2"/>
        <w:bottom w:val="single" w:sz="4" w:space="14" w:color="ED7D31" w:themeColor="accent2"/>
        <w:right w:val="single" w:sz="4" w:space="14" w:color="ED7D31" w:themeColor="accent2"/>
      </w:pBdr>
      <w:suppressAutoHyphens/>
      <w:spacing w:before="160" w:after="80"/>
      <w:ind w:left="284" w:right="284"/>
    </w:pPr>
    <w:rPr>
      <w:rFonts w:asciiTheme="minorHAnsi" w:hAnsiTheme="minorHAnsi"/>
      <w:color w:val="000000" w:themeColor="text1"/>
      <w:lang w:val="x-none"/>
    </w:rPr>
  </w:style>
  <w:style w:type="paragraph" w:customStyle="1" w:styleId="Box1Heading">
    <w:name w:val="Box 1 Heading"/>
    <w:basedOn w:val="Box1Text"/>
    <w:uiPriority w:val="23"/>
    <w:qFormat/>
    <w:rsid w:val="003D3443"/>
    <w:rPr>
      <w:b/>
    </w:rPr>
  </w:style>
  <w:style w:type="paragraph" w:customStyle="1" w:styleId="Box1Bullet1">
    <w:name w:val="Box 1 Bullet 1"/>
    <w:basedOn w:val="Box1Text"/>
    <w:uiPriority w:val="24"/>
    <w:qFormat/>
    <w:rsid w:val="003D3443"/>
    <w:pPr>
      <w:numPr>
        <w:numId w:val="29"/>
      </w:numPr>
      <w:spacing w:before="80"/>
      <w:ind w:left="0" w:firstLine="0"/>
    </w:pPr>
    <w:rPr>
      <w:kern w:val="12"/>
      <w:sz w:val="20"/>
      <w:szCs w:val="20"/>
    </w:rPr>
  </w:style>
  <w:style w:type="paragraph" w:customStyle="1" w:styleId="Box2Text">
    <w:name w:val="Box 2 Text"/>
    <w:basedOn w:val="Normal"/>
    <w:uiPriority w:val="24"/>
    <w:qFormat/>
    <w:rsid w:val="003D3443"/>
    <w:pPr>
      <w:pBdr>
        <w:top w:val="single" w:sz="4" w:space="14" w:color="D9E2F3" w:themeColor="accent5" w:themeTint="33"/>
        <w:left w:val="single" w:sz="4" w:space="14" w:color="D9E2F3" w:themeColor="accent5" w:themeTint="33"/>
        <w:bottom w:val="single" w:sz="4" w:space="14" w:color="D9E2F3" w:themeColor="accent5" w:themeTint="33"/>
        <w:right w:val="single" w:sz="4" w:space="14" w:color="D9E2F3" w:themeColor="accent5" w:themeTint="33"/>
      </w:pBdr>
      <w:shd w:val="clear" w:color="auto" w:fill="D9E2F3" w:themeFill="accent5" w:themeFillTint="33"/>
      <w:suppressAutoHyphens/>
      <w:spacing w:before="160" w:after="80"/>
      <w:ind w:left="284" w:right="284"/>
    </w:pPr>
    <w:rPr>
      <w:rFonts w:asciiTheme="minorHAnsi" w:hAnsiTheme="minorHAnsi"/>
      <w:color w:val="000000" w:themeColor="text1"/>
      <w:lang w:val="x-none"/>
    </w:rPr>
  </w:style>
  <w:style w:type="paragraph" w:customStyle="1" w:styleId="Box2Heading">
    <w:name w:val="Box 2 Heading"/>
    <w:basedOn w:val="Box2Text"/>
    <w:uiPriority w:val="24"/>
    <w:qFormat/>
    <w:rsid w:val="00660BCD"/>
    <w:pPr>
      <w:keepNext/>
    </w:pPr>
    <w:rPr>
      <w:b/>
    </w:rPr>
  </w:style>
  <w:style w:type="paragraph" w:customStyle="1" w:styleId="Box2Bullet1">
    <w:name w:val="Box 2 Bullet 1"/>
    <w:basedOn w:val="Box2Text"/>
    <w:uiPriority w:val="25"/>
    <w:qFormat/>
    <w:rsid w:val="003D3443"/>
    <w:pPr>
      <w:numPr>
        <w:ilvl w:val="1"/>
        <w:numId w:val="29"/>
      </w:numPr>
      <w:spacing w:before="80"/>
    </w:pPr>
    <w:rPr>
      <w:kern w:val="12"/>
      <w:sz w:val="20"/>
      <w:szCs w:val="20"/>
    </w:rPr>
  </w:style>
  <w:style w:type="table" w:customStyle="1" w:styleId="IconBoxTable">
    <w:name w:val="Icon Box Table"/>
    <w:basedOn w:val="TableNormal"/>
    <w:uiPriority w:val="99"/>
    <w:rsid w:val="003D3443"/>
    <w:pPr>
      <w:spacing w:before="80" w:after="80" w:line="240" w:lineRule="auto"/>
    </w:pPr>
    <w:rPr>
      <w:color w:val="000000" w:themeColor="text1"/>
    </w:r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3D3443"/>
    <w:pPr>
      <w:numPr>
        <w:numId w:val="18"/>
      </w:numPr>
    </w:pPr>
  </w:style>
  <w:style w:type="numbering" w:customStyle="1" w:styleId="ListNumbered">
    <w:name w:val="List Numbered"/>
    <w:uiPriority w:val="99"/>
    <w:rsid w:val="003D3443"/>
    <w:pPr>
      <w:numPr>
        <w:numId w:val="20"/>
      </w:numPr>
    </w:pPr>
  </w:style>
  <w:style w:type="paragraph" w:customStyle="1" w:styleId="Heading1Numbered">
    <w:name w:val="Heading 1 Numbered"/>
    <w:basedOn w:val="Heading1"/>
    <w:uiPriority w:val="10"/>
    <w:rsid w:val="003D3443"/>
    <w:pPr>
      <w:keepNext/>
      <w:keepLines/>
      <w:numPr>
        <w:ilvl w:val="0"/>
        <w:numId w:val="23"/>
      </w:numPr>
      <w:spacing w:before="480"/>
      <w:contextualSpacing/>
    </w:pPr>
    <w:rPr>
      <w:rFonts w:asciiTheme="majorHAnsi" w:eastAsiaTheme="majorEastAsia" w:hAnsiTheme="majorHAnsi" w:cstheme="majorBidi"/>
      <w:b w:val="0"/>
      <w:color w:val="44546A" w:themeColor="text2"/>
      <w:kern w:val="0"/>
      <w:sz w:val="44"/>
      <w:szCs w:val="32"/>
    </w:rPr>
  </w:style>
  <w:style w:type="paragraph" w:customStyle="1" w:styleId="Heading2Numbered">
    <w:name w:val="Heading 2 Numbered"/>
    <w:basedOn w:val="Heading2"/>
    <w:uiPriority w:val="10"/>
    <w:rsid w:val="003D3443"/>
    <w:pPr>
      <w:numPr>
        <w:ilvl w:val="1"/>
        <w:numId w:val="23"/>
      </w:numPr>
    </w:pPr>
    <w:rPr>
      <w:rFonts w:asciiTheme="majorHAnsi" w:eastAsiaTheme="majorEastAsia" w:hAnsiTheme="majorHAnsi" w:cstheme="majorBidi"/>
      <w:color w:val="44546A" w:themeColor="text2"/>
      <w:kern w:val="0"/>
    </w:rPr>
  </w:style>
  <w:style w:type="paragraph" w:customStyle="1" w:styleId="Heading3Numbered">
    <w:name w:val="Heading 3 Numbered"/>
    <w:basedOn w:val="Heading3"/>
    <w:uiPriority w:val="10"/>
    <w:rsid w:val="003D3443"/>
    <w:pPr>
      <w:numPr>
        <w:ilvl w:val="2"/>
        <w:numId w:val="23"/>
      </w:numPr>
    </w:pPr>
    <w:rPr>
      <w:rFonts w:asciiTheme="majorHAnsi" w:eastAsiaTheme="majorEastAsia" w:hAnsiTheme="majorHAnsi" w:cstheme="majorBidi"/>
      <w:color w:val="BF8F00" w:themeColor="accent4" w:themeShade="BF"/>
      <w:kern w:val="0"/>
    </w:rPr>
  </w:style>
  <w:style w:type="paragraph" w:customStyle="1" w:styleId="Heading4Numbered">
    <w:name w:val="Heading 4 Numbered"/>
    <w:basedOn w:val="Heading4"/>
    <w:uiPriority w:val="10"/>
    <w:rsid w:val="003D3443"/>
    <w:pPr>
      <w:numPr>
        <w:ilvl w:val="3"/>
        <w:numId w:val="23"/>
      </w:numPr>
    </w:pPr>
    <w:rPr>
      <w:rFonts w:asciiTheme="majorHAnsi" w:eastAsiaTheme="majorEastAsia" w:hAnsiTheme="majorHAnsi" w:cstheme="majorBidi"/>
      <w:color w:val="806000" w:themeColor="accent4" w:themeShade="80"/>
      <w:kern w:val="0"/>
      <w:szCs w:val="22"/>
    </w:rPr>
  </w:style>
  <w:style w:type="paragraph" w:customStyle="1" w:styleId="Heading5Numbered">
    <w:name w:val="Heading 5 Numbered"/>
    <w:basedOn w:val="Heading5"/>
    <w:uiPriority w:val="10"/>
    <w:rsid w:val="003D3443"/>
    <w:pPr>
      <w:keepLines/>
      <w:numPr>
        <w:ilvl w:val="4"/>
        <w:numId w:val="23"/>
      </w:numPr>
      <w:suppressAutoHyphens/>
      <w:spacing w:before="240" w:after="160"/>
    </w:pPr>
    <w:rPr>
      <w:rFonts w:asciiTheme="majorHAnsi" w:eastAsiaTheme="majorEastAsia" w:hAnsiTheme="majorHAnsi" w:cstheme="majorBidi"/>
      <w:color w:val="44546A" w:themeColor="text2"/>
      <w:sz w:val="22"/>
      <w:szCs w:val="22"/>
    </w:rPr>
  </w:style>
  <w:style w:type="numbering" w:customStyle="1" w:styleId="NumberedHeadings">
    <w:name w:val="Numbered Headings"/>
    <w:uiPriority w:val="99"/>
    <w:rsid w:val="003D3443"/>
    <w:pPr>
      <w:numPr>
        <w:numId w:val="22"/>
      </w:numPr>
    </w:pPr>
  </w:style>
  <w:style w:type="paragraph" w:customStyle="1" w:styleId="AppendixHeading1">
    <w:name w:val="Appendix Heading 1"/>
    <w:basedOn w:val="Heading1"/>
    <w:uiPriority w:val="11"/>
    <w:qFormat/>
    <w:rsid w:val="003D3443"/>
    <w:pPr>
      <w:keepNext/>
      <w:keepLines/>
      <w:numPr>
        <w:ilvl w:val="0"/>
        <w:numId w:val="26"/>
      </w:numPr>
      <w:spacing w:before="480"/>
      <w:contextualSpacing/>
    </w:pPr>
    <w:rPr>
      <w:rFonts w:asciiTheme="majorHAnsi" w:eastAsiaTheme="majorEastAsia" w:hAnsiTheme="majorHAnsi" w:cstheme="majorBidi"/>
      <w:b w:val="0"/>
      <w:color w:val="44546A" w:themeColor="text2"/>
      <w:kern w:val="0"/>
      <w:sz w:val="44"/>
      <w:szCs w:val="32"/>
    </w:rPr>
  </w:style>
  <w:style w:type="paragraph" w:customStyle="1" w:styleId="AppendixHeading2">
    <w:name w:val="Appendix Heading 2"/>
    <w:basedOn w:val="Heading2"/>
    <w:uiPriority w:val="11"/>
    <w:rsid w:val="003D3443"/>
    <w:pPr>
      <w:numPr>
        <w:ilvl w:val="1"/>
        <w:numId w:val="26"/>
      </w:numPr>
    </w:pPr>
    <w:rPr>
      <w:rFonts w:asciiTheme="majorHAnsi" w:eastAsiaTheme="majorEastAsia" w:hAnsiTheme="majorHAnsi" w:cstheme="majorBidi"/>
      <w:color w:val="44546A" w:themeColor="text2"/>
      <w:kern w:val="0"/>
    </w:rPr>
  </w:style>
  <w:style w:type="paragraph" w:customStyle="1" w:styleId="AttachmentHeading1">
    <w:name w:val="Attachment Heading 1"/>
    <w:basedOn w:val="Heading1"/>
    <w:uiPriority w:val="11"/>
    <w:qFormat/>
    <w:rsid w:val="003D3443"/>
    <w:pPr>
      <w:keepNext/>
      <w:keepLines/>
      <w:numPr>
        <w:ilvl w:val="0"/>
        <w:numId w:val="27"/>
      </w:numPr>
      <w:spacing w:before="480"/>
      <w:contextualSpacing/>
    </w:pPr>
    <w:rPr>
      <w:rFonts w:asciiTheme="majorHAnsi" w:eastAsiaTheme="majorEastAsia" w:hAnsiTheme="majorHAnsi" w:cstheme="majorBidi"/>
      <w:b w:val="0"/>
      <w:color w:val="44546A" w:themeColor="text2"/>
      <w:kern w:val="0"/>
      <w:sz w:val="44"/>
      <w:szCs w:val="32"/>
    </w:rPr>
  </w:style>
  <w:style w:type="paragraph" w:customStyle="1" w:styleId="AttachmentHeading2">
    <w:name w:val="Attachment Heading 2"/>
    <w:basedOn w:val="Heading2"/>
    <w:uiPriority w:val="11"/>
    <w:rsid w:val="003D3443"/>
    <w:pPr>
      <w:numPr>
        <w:ilvl w:val="1"/>
        <w:numId w:val="27"/>
      </w:numPr>
    </w:pPr>
    <w:rPr>
      <w:rFonts w:asciiTheme="majorHAnsi" w:eastAsiaTheme="majorEastAsia" w:hAnsiTheme="majorHAnsi" w:cstheme="majorBidi"/>
      <w:color w:val="44546A" w:themeColor="text2"/>
      <w:kern w:val="0"/>
    </w:rPr>
  </w:style>
  <w:style w:type="numbering" w:customStyle="1" w:styleId="AppendixNumbers">
    <w:name w:val="Appendix Numbers"/>
    <w:uiPriority w:val="99"/>
    <w:rsid w:val="003D3443"/>
    <w:pPr>
      <w:numPr>
        <w:numId w:val="24"/>
      </w:numPr>
    </w:pPr>
  </w:style>
  <w:style w:type="numbering" w:customStyle="1" w:styleId="AttachmentNumbers">
    <w:name w:val="Attachment Numbers"/>
    <w:uiPriority w:val="99"/>
    <w:rsid w:val="003D3443"/>
    <w:pPr>
      <w:numPr>
        <w:numId w:val="27"/>
      </w:numPr>
    </w:pPr>
  </w:style>
  <w:style w:type="paragraph" w:customStyle="1" w:styleId="Box2Checklist">
    <w:name w:val="Box 2 Checklist"/>
    <w:basedOn w:val="Box2Text"/>
    <w:uiPriority w:val="26"/>
    <w:qFormat/>
    <w:rsid w:val="003D3443"/>
    <w:pPr>
      <w:numPr>
        <w:ilvl w:val="2"/>
        <w:numId w:val="29"/>
      </w:numPr>
    </w:pPr>
    <w:rPr>
      <w:kern w:val="12"/>
      <w:sz w:val="20"/>
      <w:szCs w:val="20"/>
    </w:rPr>
  </w:style>
  <w:style w:type="numbering" w:customStyle="1" w:styleId="BoxedBullets">
    <w:name w:val="Boxed Bullets"/>
    <w:uiPriority w:val="99"/>
    <w:rsid w:val="003D3443"/>
    <w:pPr>
      <w:numPr>
        <w:numId w:val="29"/>
      </w:numPr>
    </w:pPr>
  </w:style>
  <w:style w:type="paragraph" w:customStyle="1" w:styleId="SecurityMarker">
    <w:name w:val="Security Marker"/>
    <w:basedOn w:val="Normal"/>
    <w:qFormat/>
    <w:rsid w:val="003D3443"/>
    <w:pPr>
      <w:suppressAutoHyphens/>
      <w:spacing w:before="60" w:after="60"/>
      <w:ind w:left="-1247"/>
      <w:jc w:val="center"/>
    </w:pPr>
    <w:rPr>
      <w:rFonts w:asciiTheme="minorHAnsi" w:hAnsiTheme="minorHAnsi"/>
      <w:b/>
      <w:bCs/>
      <w:caps/>
      <w:color w:val="E10000"/>
      <w:sz w:val="28"/>
      <w:szCs w:val="28"/>
    </w:rPr>
  </w:style>
  <w:style w:type="paragraph" w:styleId="CommentSubject">
    <w:name w:val="annotation subject"/>
    <w:basedOn w:val="CommentText"/>
    <w:next w:val="CommentText"/>
    <w:link w:val="CommentSubjectChar"/>
    <w:uiPriority w:val="99"/>
    <w:semiHidden/>
    <w:unhideWhenUsed/>
    <w:rsid w:val="003D3443"/>
    <w:rPr>
      <w:b/>
      <w:bCs/>
    </w:rPr>
  </w:style>
  <w:style w:type="character" w:customStyle="1" w:styleId="CommentSubjectChar">
    <w:name w:val="Comment Subject Char"/>
    <w:basedOn w:val="CommentTextChar"/>
    <w:link w:val="CommentSubject"/>
    <w:uiPriority w:val="99"/>
    <w:semiHidden/>
    <w:rsid w:val="003D3443"/>
    <w:rPr>
      <w:b/>
      <w:bCs/>
      <w:color w:val="000000" w:themeColor="text1"/>
      <w:sz w:val="20"/>
      <w:szCs w:val="20"/>
    </w:rPr>
  </w:style>
  <w:style w:type="character" w:customStyle="1" w:styleId="Box1TextChar">
    <w:name w:val="Box 1 Text Char"/>
    <w:basedOn w:val="DefaultParagraphFont"/>
    <w:link w:val="Box1Text"/>
    <w:uiPriority w:val="23"/>
    <w:rsid w:val="003D3443"/>
    <w:rPr>
      <w:color w:val="000000" w:themeColor="text1"/>
      <w:lang w:val="x-none"/>
    </w:rPr>
  </w:style>
  <w:style w:type="paragraph" w:styleId="EndnoteText">
    <w:name w:val="endnote text"/>
    <w:basedOn w:val="Normal"/>
    <w:link w:val="EndnoteTextChar"/>
    <w:uiPriority w:val="99"/>
    <w:semiHidden/>
    <w:unhideWhenUsed/>
    <w:rsid w:val="00AB2199"/>
    <w:pPr>
      <w:spacing w:after="0"/>
    </w:pPr>
    <w:rPr>
      <w:sz w:val="20"/>
      <w:szCs w:val="20"/>
    </w:rPr>
  </w:style>
  <w:style w:type="character" w:customStyle="1" w:styleId="EndnoteTextChar">
    <w:name w:val="Endnote Text Char"/>
    <w:basedOn w:val="DefaultParagraphFont"/>
    <w:link w:val="EndnoteText"/>
    <w:uiPriority w:val="99"/>
    <w:semiHidden/>
    <w:rsid w:val="00AB2199"/>
    <w:rPr>
      <w:rFonts w:ascii="Calibri" w:hAnsi="Calibri"/>
      <w:sz w:val="20"/>
      <w:szCs w:val="20"/>
    </w:rPr>
  </w:style>
  <w:style w:type="character" w:styleId="EndnoteReference">
    <w:name w:val="endnote reference"/>
    <w:basedOn w:val="DefaultParagraphFont"/>
    <w:uiPriority w:val="99"/>
    <w:semiHidden/>
    <w:unhideWhenUsed/>
    <w:rsid w:val="00AB21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044826">
      <w:bodyDiv w:val="1"/>
      <w:marLeft w:val="0"/>
      <w:marRight w:val="0"/>
      <w:marTop w:val="0"/>
      <w:marBottom w:val="0"/>
      <w:divBdr>
        <w:top w:val="none" w:sz="0" w:space="0" w:color="auto"/>
        <w:left w:val="none" w:sz="0" w:space="0" w:color="auto"/>
        <w:bottom w:val="none" w:sz="0" w:space="0" w:color="auto"/>
        <w:right w:val="none" w:sz="0" w:space="0" w:color="auto"/>
      </w:divBdr>
    </w:div>
    <w:div w:id="1595896528">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mc.gov.au/resources/commonwealth-coat-arms-information-and-guidelines" TargetMode="External"/><Relationship Id="rId18" Type="http://schemas.openxmlformats.org/officeDocument/2006/relationships/image" Target="media/image5.png"/><Relationship Id="rId26" Type="http://schemas.openxmlformats.org/officeDocument/2006/relationships/image" Target="media/image13.png"/><Relationship Id="rId39" Type="http://schemas.openxmlformats.org/officeDocument/2006/relationships/image" Target="media/image26.png"/><Relationship Id="rId21" Type="http://schemas.openxmlformats.org/officeDocument/2006/relationships/image" Target="media/image8.png"/><Relationship Id="rId34" Type="http://schemas.openxmlformats.org/officeDocument/2006/relationships/image" Target="media/image21.png"/><Relationship Id="rId42" Type="http://schemas.openxmlformats.org/officeDocument/2006/relationships/hyperlink" Target="https://www.abs.gov.au/articles/economic-gains-and-losses-over-covid-19-pandemic" TargetMode="External"/><Relationship Id="rId47" Type="http://schemas.openxmlformats.org/officeDocument/2006/relationships/hyperlink" Target="https://www.abs.gov.au/statistics/labour/employment-and-unemployment/labour-force-australia-detailed/latest-release" TargetMode="External"/><Relationship Id="rId50" Type="http://schemas.openxmlformats.org/officeDocument/2006/relationships/hyperlink" Target="https://www.abs.gov.au/statistics/labour/jobs/job-mobility/latest-release" TargetMode="External"/><Relationship Id="rId55" Type="http://schemas.openxmlformats.org/officeDocument/2006/relationships/hyperlink" Target="https://creative.gov.au/advocacy-and-research/domestic-arts-tourism-connecting-the-country/"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7.png"/><Relationship Id="rId29" Type="http://schemas.openxmlformats.org/officeDocument/2006/relationships/image" Target="media/image16.png"/><Relationship Id="rId41" Type="http://schemas.openxmlformats.org/officeDocument/2006/relationships/hyperlink" Target="https://www.abs.gov.au/census/about-census/census-statistical-independent-assurance-panel-report/4-covid-19-and-2021-census" TargetMode="External"/><Relationship Id="rId54" Type="http://schemas.openxmlformats.org/officeDocument/2006/relationships/hyperlink" Target="https://www.accc.gov.au/system/files/Digital%20platforms%20inquiry%20-%20final%20report.pdf" TargetMode="External"/><Relationship Id="rId62"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image" Target="media/image24.png"/><Relationship Id="rId40" Type="http://schemas.openxmlformats.org/officeDocument/2006/relationships/image" Target="media/image27.png"/><Relationship Id="rId45" Type="http://schemas.openxmlformats.org/officeDocument/2006/relationships/hyperlink" Target="https://www.abs.gov.au/statistics/economy/national-accounts/australian-national-accounts-tourism-satellite-account/latest-release" TargetMode="External"/><Relationship Id="rId53" Type="http://schemas.openxmlformats.org/officeDocument/2006/relationships/hyperlink" Target="https://www.abs.gov.au/statistics/health/disability/disability-ageing-and-carers-australia-summary-findings/latest-release" TargetMode="External"/><Relationship Id="rId58" Type="http://schemas.openxmlformats.org/officeDocument/2006/relationships/hyperlink" Target="https://data.gov.au/data/dataset/aboriginal-and-torres-strait-islander-corporations-oric" TargetMode="External"/><Relationship Id="rId5" Type="http://schemas.openxmlformats.org/officeDocument/2006/relationships/webSettings" Target="webSettings.xml"/><Relationship Id="rId15" Type="http://schemas.openxmlformats.org/officeDocument/2006/relationships/hyperlink" Target="http://www.infrastructure.gov.au/" TargetMode="External"/><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3.png"/><Relationship Id="rId49" Type="http://schemas.openxmlformats.org/officeDocument/2006/relationships/hyperlink" Target="https://www.abs.gov.au/statistics/labour/jobs/payroll-jobs/latest-release" TargetMode="External"/><Relationship Id="rId57" Type="http://schemas.openxmlformats.org/officeDocument/2006/relationships/hyperlink" Target="https://www.arts.gov.au/publications/national-cultural-policy-revive-place-every-story-story-every-place" TargetMode="External"/><Relationship Id="rId61" Type="http://schemas.openxmlformats.org/officeDocument/2006/relationships/header" Target="header3.xml"/><Relationship Id="rId10" Type="http://schemas.openxmlformats.org/officeDocument/2006/relationships/footer" Target="footer1.xml"/><Relationship Id="rId19" Type="http://schemas.openxmlformats.org/officeDocument/2006/relationships/image" Target="media/image6.png"/><Relationship Id="rId31" Type="http://schemas.openxmlformats.org/officeDocument/2006/relationships/image" Target="media/image18.png"/><Relationship Id="rId44" Type="http://schemas.openxmlformats.org/officeDocument/2006/relationships/hyperlink" Target="https://www.abs.gov.au/statistics/economy/business-indicators/counts-australian-businesses-including-entries-and-exits/latest-release" TargetMode="External"/><Relationship Id="rId52" Type="http://schemas.openxmlformats.org/officeDocument/2006/relationships/hyperlink" Target="https://www.abs.gov.au/statistics/labour/jobs/multiple-job-holders/latest-release" TargetMode="External"/><Relationship Id="rId60" Type="http://schemas.openxmlformats.org/officeDocument/2006/relationships/header" Target="header2.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publishing@infrastructure.gov.au" TargetMode="Externa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 Id="rId43" Type="http://schemas.openxmlformats.org/officeDocument/2006/relationships/hyperlink" Target="https://www.abs.gov.au/statistics/microdata-tablebuilder/tablebuilder" TargetMode="External"/><Relationship Id="rId48" Type="http://schemas.openxmlformats.org/officeDocument/2006/relationships/hyperlink" Target="https://www.abs.gov.au/statistics/economy/national-accounts/australian-national-accounts-national-income-expenditure-and-product/latest-release" TargetMode="External"/><Relationship Id="rId56" Type="http://schemas.openxmlformats.org/officeDocument/2006/relationships/hyperlink" Target="https://creative.gov.au/advocacy-and-research/creating-value/" TargetMode="External"/><Relationship Id="rId64" Type="http://schemas.openxmlformats.org/officeDocument/2006/relationships/glossaryDocument" Target="glossary/document.xml"/><Relationship Id="rId8" Type="http://schemas.openxmlformats.org/officeDocument/2006/relationships/image" Target="media/image1.png"/><Relationship Id="rId51" Type="http://schemas.openxmlformats.org/officeDocument/2006/relationships/hyperlink" Target="https://www.abs.gov.au/statistics/labour/jobs/job-vacancies-australia/latest-release" TargetMode="Externa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hyperlink" Target="https://www.arts.gov.au/publications/national-cultural-policy-revive-place-every-story-story-every-place" TargetMode="External"/><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image" Target="media/image25.png"/><Relationship Id="rId46" Type="http://schemas.openxmlformats.org/officeDocument/2006/relationships/hyperlink" Target="https://www.abs.gov.au/statistics/people/people-and-communities/cultural-and-creative-activities/latest-release" TargetMode="External"/><Relationship Id="rId59" Type="http://schemas.openxmlformats.org/officeDocument/2006/relationships/hyperlink" Target="https://www.rba.gov.au/publications/bulletin/2024/jan/developments-in-income-and-consumption-across-household-groups.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abs.gov.au/methodologies/cultural-and-creative-activities-methodology/2021-2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DDA5A4E14B54FB2B713E8E1F9F2F369"/>
        <w:category>
          <w:name w:val="General"/>
          <w:gallery w:val="placeholder"/>
        </w:category>
        <w:types>
          <w:type w:val="bbPlcHdr"/>
        </w:types>
        <w:behaviors>
          <w:behavior w:val="content"/>
        </w:behaviors>
        <w:guid w:val="{F8BB7F67-579E-4946-8236-504F9D82E409}"/>
      </w:docPartPr>
      <w:docPartBody>
        <w:p w:rsidR="00ED323A" w:rsidRDefault="00ED323A" w:rsidP="00ED323A">
          <w:pPr>
            <w:pStyle w:val="3DDA5A4E14B54FB2B713E8E1F9F2F369"/>
          </w:pPr>
          <w:r w:rsidRPr="00650DDB">
            <w:rPr>
              <w:highlight w:val="yellow"/>
              <w:lang w:val="x-none"/>
            </w:rPr>
            <w:t>[select format option]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23A"/>
    <w:rsid w:val="001636D1"/>
    <w:rsid w:val="00201B53"/>
    <w:rsid w:val="00865B93"/>
    <w:rsid w:val="008D338C"/>
    <w:rsid w:val="008D7556"/>
    <w:rsid w:val="00C96C90"/>
    <w:rsid w:val="00ED32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DDA5A4E14B54FB2B713E8E1F9F2F369">
    <w:name w:val="3DDA5A4E14B54FB2B713E8E1F9F2F369"/>
    <w:rsid w:val="00ED32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183FD-2BCF-4236-BD95-FEF9B1B66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35</Pages>
  <Words>11490</Words>
  <Characters>64922</Characters>
  <Application>Microsoft Office Word</Application>
  <DocSecurity>0</DocSecurity>
  <Lines>1967</Lines>
  <Paragraphs>658</Paragraphs>
  <ScaleCrop>false</ScaleCrop>
  <HeadingPairs>
    <vt:vector size="2" baseType="variant">
      <vt:variant>
        <vt:lpstr>Title</vt:lpstr>
      </vt:variant>
      <vt:variant>
        <vt:i4>1</vt:i4>
      </vt:variant>
    </vt:vector>
  </HeadingPairs>
  <TitlesOfParts>
    <vt:vector size="1" baseType="lpstr">
      <vt:lpstr>Analysis of the Cultural and Creative Sector—Revive: Sectoral Analysis—December 2024</vt:lpstr>
    </vt:vector>
  </TitlesOfParts>
  <Company>Department of Infrastructure, Transport, Regional Development, Communications and the Arts</Company>
  <LinksUpToDate>false</LinksUpToDate>
  <CharactersWithSpaces>75754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Analysis of the Cultural and Creative Sector—Revive: Sectoral Analysis—December 2024</dc:title>
  <dc:subject/>
  <dc:creator>Department of Infrastructure, Transport, Regional Development, Communications and the Arts</dc:creator>
  <cp:keywords/>
  <dc:description>6 February 2024</dc:description>
  <cp:lastModifiedBy>Hall, Theresa</cp:lastModifiedBy>
  <cp:revision>3</cp:revision>
  <cp:lastPrinted>2025-09-11T03:30:00Z</cp:lastPrinted>
  <dcterms:created xsi:type="dcterms:W3CDTF">2025-09-11T06:29:00Z</dcterms:created>
  <dcterms:modified xsi:type="dcterms:W3CDTF">2025-09-11T06:30:00Z</dcterms:modified>
</cp:coreProperties>
</file>