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jc w:val="center"/>
        <w:tblLook w:val="0000" w:firstRow="0" w:lastRow="0" w:firstColumn="0" w:lastColumn="0" w:noHBand="0" w:noVBand="0"/>
      </w:tblPr>
      <w:tblGrid>
        <w:gridCol w:w="5387"/>
        <w:gridCol w:w="4678"/>
      </w:tblGrid>
      <w:tr w:rsidR="009E3283" w14:paraId="18846B3A" w14:textId="77777777" w:rsidTr="00773CE2">
        <w:trPr>
          <w:trHeight w:val="98"/>
          <w:jc w:val="center"/>
        </w:trPr>
        <w:tc>
          <w:tcPr>
            <w:tcW w:w="5387" w:type="dxa"/>
          </w:tcPr>
          <w:p w14:paraId="0BBF6981" w14:textId="1C914BC0" w:rsidR="00773CE2" w:rsidRPr="0026356C" w:rsidRDefault="00B67C9F" w:rsidP="0026356C">
            <w:pPr>
              <w:pStyle w:val="Title"/>
              <w:rPr>
                <w:sz w:val="28"/>
                <w:szCs w:val="28"/>
              </w:rPr>
            </w:pPr>
            <w:r>
              <w:t>Advanced Emergency Braking Systems</w:t>
            </w:r>
          </w:p>
        </w:tc>
        <w:tc>
          <w:tcPr>
            <w:tcW w:w="4678" w:type="dxa"/>
          </w:tcPr>
          <w:p w14:paraId="493F3295" w14:textId="4C619044" w:rsidR="009E3283" w:rsidRPr="009B641D" w:rsidRDefault="00123BE8" w:rsidP="005E23C4">
            <w:pPr>
              <w:spacing w:before="0" w:after="120"/>
              <w:ind w:left="284"/>
              <w:rPr>
                <w:sz w:val="28"/>
                <w:szCs w:val="28"/>
              </w:rPr>
            </w:pPr>
            <w:r>
              <w:rPr>
                <w:b/>
                <w:color w:val="081E3E" w:themeColor="text2"/>
                <w:sz w:val="28"/>
                <w:szCs w:val="28"/>
              </w:rPr>
              <w:t xml:space="preserve">                               </w:t>
            </w:r>
            <w:r w:rsidR="00C620D1">
              <w:rPr>
                <w:b/>
                <w:color w:val="081E3E" w:themeColor="text2"/>
                <w:sz w:val="28"/>
                <w:szCs w:val="28"/>
              </w:rPr>
              <w:t>Consultation</w:t>
            </w:r>
            <w:r w:rsidR="00566C6B">
              <w:rPr>
                <w:b/>
                <w:color w:val="081E3E" w:themeColor="text2"/>
                <w:sz w:val="28"/>
                <w:szCs w:val="28"/>
              </w:rPr>
              <w:t xml:space="preserve"> Paper</w:t>
            </w:r>
          </w:p>
        </w:tc>
      </w:tr>
    </w:tbl>
    <w:p w14:paraId="4B1D82BC" w14:textId="77777777" w:rsidR="00C0625E" w:rsidRDefault="00C0625E" w:rsidP="00A356DE">
      <w:pPr>
        <w:pStyle w:val="Heading2"/>
        <w:spacing w:before="120" w:after="0"/>
      </w:pPr>
      <w:bookmarkStart w:id="0" w:name="_Toc49855349"/>
      <w:bookmarkEnd w:id="0"/>
      <w:r>
        <w:t>What is the problem?</w:t>
      </w:r>
    </w:p>
    <w:p w14:paraId="4C3EE03F" w14:textId="5B9398D1" w:rsidR="00C0625E" w:rsidRDefault="00F27FA4" w:rsidP="00C0625E">
      <w:r>
        <w:t>According to t</w:t>
      </w:r>
      <w:r w:rsidR="00C0625E" w:rsidRPr="00C0625E">
        <w:t xml:space="preserve">he </w:t>
      </w:r>
      <w:r w:rsidR="00C0625E" w:rsidRPr="00C827A6">
        <w:rPr>
          <w:i/>
        </w:rPr>
        <w:t>National Crash Dashboard</w:t>
      </w:r>
      <w:r>
        <w:t xml:space="preserve">, </w:t>
      </w:r>
      <w:r w:rsidR="00C0625E" w:rsidRPr="00E9382E">
        <w:t>there has been an average of 39 cyclist fatalities per year on Australia’s roads from 2018 to 2022</w:t>
      </w:r>
      <w:r w:rsidR="00C0625E">
        <w:rPr>
          <w:rStyle w:val="FootnoteReference"/>
        </w:rPr>
        <w:footnoteReference w:id="1"/>
      </w:r>
      <w:r w:rsidR="00C0625E" w:rsidRPr="00E9382E">
        <w:t xml:space="preserve">. </w:t>
      </w:r>
      <w:r w:rsidR="00491E36">
        <w:t>Of these 195 cyclist fatalities, i</w:t>
      </w:r>
      <w:r>
        <w:t>t is estimated that approximately</w:t>
      </w:r>
      <w:r w:rsidR="00C0625E" w:rsidRPr="00C0625E">
        <w:t xml:space="preserve"> 51%</w:t>
      </w:r>
      <w:r w:rsidR="00A16964">
        <w:rPr>
          <w:rStyle w:val="FootnoteReference"/>
        </w:rPr>
        <w:footnoteReference w:id="2"/>
      </w:r>
      <w:r w:rsidR="00C0625E" w:rsidRPr="00C0625E">
        <w:t xml:space="preserve"> occurred </w:t>
      </w:r>
      <w:r>
        <w:t>on roads with</w:t>
      </w:r>
      <w:r w:rsidR="00C0625E" w:rsidRPr="00C0625E">
        <w:t xml:space="preserve"> speed limits </w:t>
      </w:r>
      <w:r w:rsidR="00552176">
        <w:t xml:space="preserve">where an </w:t>
      </w:r>
      <w:r w:rsidR="00552176" w:rsidRPr="00C0625E">
        <w:t>Advanced Emergency Braking System (AEBS</w:t>
      </w:r>
      <w:r w:rsidR="00552176">
        <w:t>) would have been active</w:t>
      </w:r>
      <w:r>
        <w:t xml:space="preserve">. </w:t>
      </w:r>
      <w:r w:rsidR="00D73B1A">
        <w:t xml:space="preserve">Furthermore, </w:t>
      </w:r>
      <w:r w:rsidR="001B6763">
        <w:t xml:space="preserve">the </w:t>
      </w:r>
      <w:r w:rsidR="00C0625E" w:rsidRPr="00B72D01">
        <w:rPr>
          <w:i/>
        </w:rPr>
        <w:t xml:space="preserve">Hospitalised Injuries from </w:t>
      </w:r>
      <w:r w:rsidR="001575EC" w:rsidRPr="00B72D01">
        <w:rPr>
          <w:i/>
        </w:rPr>
        <w:t>R</w:t>
      </w:r>
      <w:r w:rsidR="00C0625E" w:rsidRPr="00B72D01">
        <w:rPr>
          <w:i/>
        </w:rPr>
        <w:t xml:space="preserve">oad </w:t>
      </w:r>
      <w:r w:rsidR="001575EC" w:rsidRPr="00B72D01">
        <w:rPr>
          <w:i/>
        </w:rPr>
        <w:t>C</w:t>
      </w:r>
      <w:r w:rsidR="00C0625E" w:rsidRPr="00B72D01">
        <w:rPr>
          <w:i/>
        </w:rPr>
        <w:t>rashes Dashboard</w:t>
      </w:r>
      <w:r w:rsidR="00C0625E" w:rsidRPr="00E9382E">
        <w:t xml:space="preserve"> reported that</w:t>
      </w:r>
      <w:r w:rsidR="000C1AA6">
        <w:t xml:space="preserve"> in Australia,</w:t>
      </w:r>
      <w:r w:rsidR="00C0625E" w:rsidRPr="00E9382E">
        <w:t xml:space="preserve"> 8,163 cyclists were admitted to hospital resulting from a</w:t>
      </w:r>
      <w:r w:rsidR="00D73B1A">
        <w:t xml:space="preserve"> road</w:t>
      </w:r>
      <w:r w:rsidR="00C0625E" w:rsidRPr="00E9382E">
        <w:t xml:space="preserve"> crash in 2021</w:t>
      </w:r>
      <w:r>
        <w:t xml:space="preserve"> alone</w:t>
      </w:r>
      <w:r w:rsidR="00C0625E">
        <w:rPr>
          <w:rStyle w:val="FootnoteReference"/>
        </w:rPr>
        <w:footnoteReference w:id="3"/>
      </w:r>
      <w:r w:rsidR="00C0625E" w:rsidRPr="00E9382E">
        <w:t>.</w:t>
      </w:r>
      <w:r w:rsidR="00552176">
        <w:t xml:space="preserve"> </w:t>
      </w:r>
      <w:r>
        <w:t xml:space="preserve">An </w:t>
      </w:r>
      <w:r w:rsidR="00552176" w:rsidRPr="00C0625E">
        <w:t>AEBS automatically detects an imminent forward collision and activates the vehicle braking system to decelerate the vehicle with the purpose of avoiding or mitigating a collision.</w:t>
      </w:r>
      <w:r w:rsidR="00552176">
        <w:t xml:space="preserve"> </w:t>
      </w:r>
      <w:r w:rsidR="00C0625E" w:rsidRPr="00E9382E">
        <w:t xml:space="preserve"> </w:t>
      </w:r>
    </w:p>
    <w:p w14:paraId="33862F53" w14:textId="6A41FD64" w:rsidR="00B52530" w:rsidRDefault="00B52530" w:rsidP="00C0625E">
      <w:r w:rsidRPr="00B52530">
        <w:t>The department currently mandates th</w:t>
      </w:r>
      <w:bookmarkStart w:id="1" w:name="_GoBack"/>
      <w:bookmarkEnd w:id="1"/>
      <w:r w:rsidRPr="00B52530">
        <w:t xml:space="preserve">e fitment of an AEBS </w:t>
      </w:r>
      <w:r w:rsidR="00740B0A">
        <w:t xml:space="preserve">for passenger vehicles and light goods vehicles </w:t>
      </w:r>
      <w:r w:rsidRPr="00B52530">
        <w:t>through Vehicle Standard (Australian Design Rule 98/00 – Advanced Emergency Braking for Passenger Vehicles and Light Goods Vehicles) 2021 (ADR 98/00) and Vehicle Standard (Australian Design Rule 98/01 – Advanced Emergency Braking for Passenger Vehicles and Light Goods Vehicles) 2021 (ADR 98/01).</w:t>
      </w:r>
      <w:r>
        <w:t xml:space="preserve"> However, both ADR 98/00 and ADR 98/01 do not include </w:t>
      </w:r>
      <w:r w:rsidR="00F8308D">
        <w:t>requirements for the fitment of AEBS tested to car-to-bicycle scenarios.</w:t>
      </w:r>
    </w:p>
    <w:p w14:paraId="2D7259FA" w14:textId="1E92B983" w:rsidR="0033579F" w:rsidRDefault="0033579F" w:rsidP="00A356DE">
      <w:pPr>
        <w:pStyle w:val="Introduction"/>
        <w:spacing w:before="120" w:after="0"/>
        <w:rPr>
          <w:rFonts w:asciiTheme="majorHAnsi" w:eastAsiaTheme="majorEastAsia" w:hAnsiTheme="majorHAnsi" w:cstheme="majorBidi"/>
          <w:color w:val="081E3E" w:themeColor="text2"/>
          <w:sz w:val="32"/>
          <w:szCs w:val="26"/>
          <w:lang w:val="en-AU"/>
        </w:rPr>
      </w:pPr>
      <w:r>
        <w:rPr>
          <w:rFonts w:asciiTheme="majorHAnsi" w:eastAsiaTheme="majorEastAsia" w:hAnsiTheme="majorHAnsi" w:cstheme="majorBidi"/>
          <w:color w:val="081E3E" w:themeColor="text2"/>
          <w:sz w:val="32"/>
          <w:szCs w:val="26"/>
          <w:lang w:val="en-AU"/>
        </w:rPr>
        <w:t>The Case for Government Intervention</w:t>
      </w:r>
    </w:p>
    <w:p w14:paraId="7DE3AA0E" w14:textId="3AE3C14A" w:rsidR="0033579F" w:rsidRPr="0033579F" w:rsidRDefault="008607F9" w:rsidP="00A356DE">
      <w:pPr>
        <w:pStyle w:val="Introduction"/>
        <w:spacing w:before="120" w:after="120"/>
        <w:rPr>
          <w:lang w:val="en-US"/>
        </w:rPr>
      </w:pPr>
      <w:r>
        <w:rPr>
          <w:lang w:val="en-US"/>
        </w:rPr>
        <w:t xml:space="preserve">Objectives  </w:t>
      </w:r>
    </w:p>
    <w:p w14:paraId="68321855" w14:textId="794B0C67" w:rsidR="00AE0827" w:rsidRDefault="00AE0827" w:rsidP="00AE0827">
      <w:r>
        <w:t xml:space="preserve">Government intervention is an essential tool when the market fails to provide the most efficient and effective solution to a problem. In the case of road safety, significant levels of road trauma remain in Australia. With recent developments in vehicle technology, mandating technologies that will provide substantial safety measures </w:t>
      </w:r>
      <w:r w:rsidR="00ED1FC0">
        <w:t>are</w:t>
      </w:r>
      <w:r>
        <w:t xml:space="preserve"> necessary to achieve Vision Zero – that is zero deaths and serious injuries on the roads by 2050.</w:t>
      </w:r>
    </w:p>
    <w:p w14:paraId="11AE9C35" w14:textId="19EA7CFB" w:rsidR="00AE0827" w:rsidRPr="00AE0827" w:rsidRDefault="00AE0827" w:rsidP="00AE0827">
      <w:pPr>
        <w:rPr>
          <w:kern w:val="0"/>
          <w:sz w:val="20"/>
        </w:rPr>
      </w:pPr>
      <w:r>
        <w:t xml:space="preserve">It has been a longstanding policy to harmonise the ADRs with international standards where possible, through the adoption of international regulations developed by United Nations </w:t>
      </w:r>
      <w:r w:rsidR="00BC3155">
        <w:t xml:space="preserve">(UN) </w:t>
      </w:r>
      <w:r>
        <w:t xml:space="preserve">World Forum for the Harmonization of Vehicle Regulations (WP.29). The UN Regulations are recognised as the peak international standards available for vehicle safety performance requirements and forms part of the vehicle standards framework in many countries and regions, including the EU and Japan. Harmonising with UN requirements provides consumers with access to vehicles meeting the latest levels of safety and innovation, at the lowest possible cost. </w:t>
      </w:r>
    </w:p>
    <w:p w14:paraId="12A18A2C" w14:textId="61E432BF" w:rsidR="00B934E2" w:rsidRDefault="00B934E2" w:rsidP="00B934E2">
      <w:pPr>
        <w:suppressAutoHyphens w:val="0"/>
      </w:pPr>
      <w:r>
        <w:t xml:space="preserve">On 30 September 2021, a new </w:t>
      </w:r>
      <w:r w:rsidR="00D368AE">
        <w:t xml:space="preserve">02 </w:t>
      </w:r>
      <w:r>
        <w:t xml:space="preserve">series of amendments to </w:t>
      </w:r>
      <w:r w:rsidR="00BC3155">
        <w:t>UN</w:t>
      </w:r>
      <w:r w:rsidR="001575EC" w:rsidRPr="00F0472D">
        <w:t xml:space="preserve"> Regulation No. 152 – Uniform provisions concerning the approval of motor vehicles with regard to the Advanced Emergency Braking System (AEBS) for M</w:t>
      </w:r>
      <w:r w:rsidR="001575EC" w:rsidRPr="00BD6999">
        <w:rPr>
          <w:vertAlign w:val="subscript"/>
        </w:rPr>
        <w:t>1</w:t>
      </w:r>
      <w:r w:rsidR="001575EC" w:rsidRPr="00F0472D">
        <w:t xml:space="preserve"> and N</w:t>
      </w:r>
      <w:r w:rsidR="001575EC" w:rsidRPr="00BD6999">
        <w:rPr>
          <w:vertAlign w:val="subscript"/>
        </w:rPr>
        <w:t>1</w:t>
      </w:r>
      <w:r w:rsidR="001575EC" w:rsidRPr="00F0472D">
        <w:t xml:space="preserve"> vehicles (UN R152)</w:t>
      </w:r>
      <w:r w:rsidR="001575EC">
        <w:t xml:space="preserve"> </w:t>
      </w:r>
      <w:r w:rsidR="0045541D">
        <w:t>commenced</w:t>
      </w:r>
      <w:r>
        <w:t xml:space="preserve">, </w:t>
      </w:r>
      <w:r w:rsidR="0045541D">
        <w:t>providing a set of</w:t>
      </w:r>
      <w:r>
        <w:t xml:space="preserve"> requirements </w:t>
      </w:r>
      <w:r w:rsidR="0045541D">
        <w:t xml:space="preserve">for UN type approval </w:t>
      </w:r>
      <w:r>
        <w:t>of an on-board system (AEBS) to:</w:t>
      </w:r>
    </w:p>
    <w:p w14:paraId="5A3E7EFE" w14:textId="77777777" w:rsidR="00B934E2" w:rsidRDefault="00B934E2" w:rsidP="00B934E2">
      <w:pPr>
        <w:pStyle w:val="ListParagraph"/>
        <w:numPr>
          <w:ilvl w:val="0"/>
          <w:numId w:val="29"/>
        </w:numPr>
        <w:suppressAutoHyphens w:val="0"/>
      </w:pPr>
      <w:r>
        <w:t xml:space="preserve">avoid or mitigate the severity of a rear-end in lane collision with a passenger car; </w:t>
      </w:r>
    </w:p>
    <w:p w14:paraId="2A9ABB47" w14:textId="77777777" w:rsidR="00B934E2" w:rsidRDefault="00B934E2" w:rsidP="00B934E2">
      <w:pPr>
        <w:pStyle w:val="ListParagraph"/>
        <w:numPr>
          <w:ilvl w:val="0"/>
          <w:numId w:val="29"/>
        </w:numPr>
        <w:suppressAutoHyphens w:val="0"/>
      </w:pPr>
      <w:r>
        <w:t>avoid or mitigate the severity of an impact with a pedestrian; and</w:t>
      </w:r>
    </w:p>
    <w:p w14:paraId="13581A90" w14:textId="78993853" w:rsidR="00B934E2" w:rsidRDefault="00B934E2" w:rsidP="00C0625E">
      <w:pPr>
        <w:pStyle w:val="ListParagraph"/>
        <w:numPr>
          <w:ilvl w:val="0"/>
          <w:numId w:val="29"/>
        </w:numPr>
        <w:suppressAutoHyphens w:val="0"/>
      </w:pPr>
      <w:r>
        <w:t>avoid or mitigate the severity of an impact with a bicycle.</w:t>
      </w:r>
    </w:p>
    <w:p w14:paraId="4F248DAC" w14:textId="2AD57A76" w:rsidR="00B934E2" w:rsidRDefault="00C0625E" w:rsidP="00C0625E">
      <w:r>
        <w:lastRenderedPageBreak/>
        <w:t xml:space="preserve">The Australian Government is examining the case </w:t>
      </w:r>
      <w:r w:rsidRPr="00C64F8C">
        <w:t>to introduce a new Vehicle Standard (Australian Design Rule 98/02 – Advanced Emergency Braking for Passenger Vehicles and Light Goods Vehicles) (ADR 98/02) to align with the regulatory changes in the 02 series of amendments to</w:t>
      </w:r>
      <w:r w:rsidR="001575EC">
        <w:t xml:space="preserve"> UN R152</w:t>
      </w:r>
      <w:r w:rsidRPr="00C64F8C">
        <w:t>.</w:t>
      </w:r>
      <w:r>
        <w:t xml:space="preserve"> This mandates the fitment of AEBS</w:t>
      </w:r>
      <w:r w:rsidR="001575EC" w:rsidRPr="001575EC">
        <w:t xml:space="preserve"> </w:t>
      </w:r>
      <w:r w:rsidR="001575EC">
        <w:t>in passenger vehicles and light goods vehicles,</w:t>
      </w:r>
      <w:r>
        <w:t xml:space="preserve"> </w:t>
      </w:r>
      <w:r w:rsidR="0033579F">
        <w:t>that can a</w:t>
      </w:r>
      <w:r w:rsidR="0033579F" w:rsidRPr="00C0625E">
        <w:t>void or mitigate the severity of an impact with a bicycle</w:t>
      </w:r>
      <w:r w:rsidR="001575EC">
        <w:t>. Th</w:t>
      </w:r>
      <w:r w:rsidR="0023151B">
        <w:t>e requirement</w:t>
      </w:r>
      <w:r w:rsidR="001575EC">
        <w:t xml:space="preserve"> seeks </w:t>
      </w:r>
      <w:r w:rsidR="00920A81">
        <w:t xml:space="preserve">to </w:t>
      </w:r>
      <w:r w:rsidR="00920A81" w:rsidRPr="00F0472D">
        <w:t>reduce the number of cyclist fatalities and injuries from crashes</w:t>
      </w:r>
      <w:r w:rsidR="00920A81">
        <w:t xml:space="preserve"> on Australian roads.</w:t>
      </w:r>
      <w:r w:rsidR="00AD2D53">
        <w:t xml:space="preserve"> </w:t>
      </w:r>
      <w:r w:rsidR="00A16964">
        <w:t>Harmonising with the latest version of UN R152 facilitates the rapid introduction of technological advances into the Australian market.</w:t>
      </w:r>
    </w:p>
    <w:p w14:paraId="4F17A251" w14:textId="4E7B03FB" w:rsidR="0033579F" w:rsidRPr="0033579F" w:rsidRDefault="0033579F" w:rsidP="00A356DE">
      <w:pPr>
        <w:pStyle w:val="Introduction"/>
        <w:spacing w:before="120" w:after="120"/>
        <w:rPr>
          <w:lang w:val="en-US"/>
        </w:rPr>
      </w:pPr>
      <w:r>
        <w:rPr>
          <w:lang w:val="en-US"/>
        </w:rPr>
        <w:t xml:space="preserve">Justification </w:t>
      </w:r>
    </w:p>
    <w:p w14:paraId="5554404C" w14:textId="0A7BA600" w:rsidR="00C0625E" w:rsidRDefault="004F5F02" w:rsidP="00222465">
      <w:pPr>
        <w:suppressAutoHyphens w:val="0"/>
      </w:pPr>
      <w:r>
        <w:t>The introduction of ADR 98/02</w:t>
      </w:r>
      <w:r w:rsidRPr="00F0472D">
        <w:t xml:space="preserve"> is </w:t>
      </w:r>
      <w:r w:rsidR="00512E24">
        <w:t xml:space="preserve">in line with </w:t>
      </w:r>
      <w:r w:rsidR="00512E24" w:rsidRPr="00F0472D">
        <w:t>the Australian Government’s National Road Safety Strategy 2021–30 (NRSS 2021-30)</w:t>
      </w:r>
      <w:r w:rsidR="00BB2CE0">
        <w:t>,</w:t>
      </w:r>
      <w:r w:rsidR="00512E24" w:rsidRPr="00F0472D">
        <w:t xml:space="preserve"> that is committed to deliver significant reductions in road trauma over the next decade. Specifically, this addresses two key priorities under the NRSS 2021-30 namely: ‘pursuing technological improvements and uptake of safer vehicles’ and the ‘protection of vulnerable </w:t>
      </w:r>
      <w:r w:rsidR="008A1E65">
        <w:t xml:space="preserve">road </w:t>
      </w:r>
      <w:r w:rsidR="00512E24" w:rsidRPr="00F0472D">
        <w:t>users’</w:t>
      </w:r>
      <w:r w:rsidR="000F5F89">
        <w:t xml:space="preserve">. ADR 98/02 </w:t>
      </w:r>
      <w:r w:rsidR="00BB2CE0">
        <w:t>will</w:t>
      </w:r>
      <w:r w:rsidR="00512E24" w:rsidRPr="00F0472D">
        <w:t xml:space="preserve"> </w:t>
      </w:r>
      <w:r w:rsidR="00BB2CE0">
        <w:t>ensure</w:t>
      </w:r>
      <w:r w:rsidR="00512E24" w:rsidRPr="00F0472D">
        <w:t xml:space="preserve"> vehicles</w:t>
      </w:r>
      <w:r w:rsidR="00FD4A08">
        <w:t xml:space="preserve"> </w:t>
      </w:r>
      <w:r w:rsidR="00BB2CE0">
        <w:t xml:space="preserve">are fitted </w:t>
      </w:r>
      <w:r w:rsidR="00FD4A08">
        <w:t xml:space="preserve">with </w:t>
      </w:r>
      <w:r w:rsidR="00BB2CE0">
        <w:t>AEBS technology</w:t>
      </w:r>
      <w:r w:rsidR="00FD4A08">
        <w:t xml:space="preserve"> </w:t>
      </w:r>
      <w:r w:rsidR="000F5F89">
        <w:t xml:space="preserve">to </w:t>
      </w:r>
      <w:r w:rsidR="00FD4A08">
        <w:t>reduc</w:t>
      </w:r>
      <w:r w:rsidR="00BB2CE0">
        <w:t>e</w:t>
      </w:r>
      <w:r w:rsidR="00512E24" w:rsidRPr="00F0472D">
        <w:t xml:space="preserve"> cyclist fatalities and injuries resulting from road </w:t>
      </w:r>
      <w:r w:rsidR="008A1E65" w:rsidRPr="00F0472D">
        <w:t>crash</w:t>
      </w:r>
      <w:r w:rsidR="008A1E65">
        <w:t>es</w:t>
      </w:r>
      <w:r w:rsidR="00512E24" w:rsidRPr="00F0472D">
        <w:t>.</w:t>
      </w:r>
      <w:r w:rsidR="008A1E65">
        <w:t xml:space="preserve"> </w:t>
      </w:r>
    </w:p>
    <w:p w14:paraId="564ABBA9" w14:textId="3B9803D2" w:rsidR="008759FE" w:rsidRDefault="002849F2" w:rsidP="00A356DE">
      <w:pPr>
        <w:pStyle w:val="Heading2"/>
        <w:spacing w:before="120" w:after="0"/>
      </w:pPr>
      <w:r>
        <w:t>Impacts of the</w:t>
      </w:r>
      <w:r w:rsidR="00096B3A">
        <w:t xml:space="preserve"> Australian</w:t>
      </w:r>
      <w:r>
        <w:t xml:space="preserve"> Government’s Proposal</w:t>
      </w:r>
    </w:p>
    <w:p w14:paraId="6573A8EF" w14:textId="225495D6" w:rsidR="00BC7290" w:rsidRDefault="00BC7290" w:rsidP="00A356DE">
      <w:pPr>
        <w:pStyle w:val="Introduction"/>
        <w:spacing w:before="120" w:after="120"/>
        <w:rPr>
          <w:lang w:val="en-US"/>
        </w:rPr>
      </w:pPr>
      <w:r>
        <w:rPr>
          <w:lang w:val="en-US"/>
        </w:rPr>
        <w:t>Impacts on Businesses</w:t>
      </w:r>
    </w:p>
    <w:p w14:paraId="617F703B" w14:textId="2D5CCEEF" w:rsidR="008537E3" w:rsidRDefault="00BC7290" w:rsidP="00BC7290">
      <w:r w:rsidRPr="002849F2">
        <w:t xml:space="preserve">Introducing a new ADR 98/02 will </w:t>
      </w:r>
      <w:r>
        <w:t>require</w:t>
      </w:r>
      <w:r w:rsidRPr="002849F2">
        <w:t xml:space="preserve"> manufacturers to certify their vehicle</w:t>
      </w:r>
      <w:r w:rsidR="008537E3">
        <w:t>s</w:t>
      </w:r>
      <w:r w:rsidRPr="002849F2">
        <w:t xml:space="preserve"> using the latest series of amendments to UN R152. This is expected to have a minor regulatory impact as the Australian Government already mandates the fitment of an AEBS through the existing </w:t>
      </w:r>
      <w:r>
        <w:t xml:space="preserve">ADR 98/00 and ADR 98/01. </w:t>
      </w:r>
      <w:r w:rsidRPr="002849F2">
        <w:t xml:space="preserve">Additional testing scenarios will be required, but </w:t>
      </w:r>
      <w:r w:rsidR="00A16964">
        <w:t>certification</w:t>
      </w:r>
      <w:r w:rsidR="00A16964" w:rsidRPr="002849F2">
        <w:t xml:space="preserve"> </w:t>
      </w:r>
      <w:r w:rsidRPr="002849F2">
        <w:t>costs should not increase substantially</w:t>
      </w:r>
      <w:r w:rsidR="00B36AFF">
        <w:t xml:space="preserve"> </w:t>
      </w:r>
      <w:r w:rsidR="00914B5B">
        <w:t>relative to</w:t>
      </w:r>
      <w:r w:rsidR="00B36AFF">
        <w:t xml:space="preserve"> </w:t>
      </w:r>
      <w:r w:rsidR="001E1DA4">
        <w:t>overall vehicle costs</w:t>
      </w:r>
      <w:r w:rsidRPr="002849F2">
        <w:t>.</w:t>
      </w:r>
      <w:r>
        <w:t xml:space="preserve"> </w:t>
      </w:r>
    </w:p>
    <w:p w14:paraId="44B90356" w14:textId="19B9B93E" w:rsidR="00BC7290" w:rsidRPr="004A09EA" w:rsidRDefault="000F5F89" w:rsidP="00592488">
      <w:pPr>
        <w:rPr>
          <w:lang w:val="en-US"/>
        </w:rPr>
      </w:pPr>
      <w:r>
        <w:t xml:space="preserve">However, </w:t>
      </w:r>
      <w:r w:rsidR="008537E3">
        <w:t xml:space="preserve">those </w:t>
      </w:r>
      <w:r w:rsidR="00BC7290" w:rsidRPr="00BC7290">
        <w:t xml:space="preserve">manufacturers </w:t>
      </w:r>
      <w:r w:rsidR="002529B5" w:rsidRPr="00BC7290">
        <w:t>w</w:t>
      </w:r>
      <w:r w:rsidR="002529B5">
        <w:t>hose</w:t>
      </w:r>
      <w:r w:rsidR="002529B5" w:rsidRPr="00BC7290">
        <w:t xml:space="preserve"> </w:t>
      </w:r>
      <w:r w:rsidR="00BC7290" w:rsidRPr="00BC7290">
        <w:t>systems currently do not meet the technical requirements of the 02 series to UN R152</w:t>
      </w:r>
      <w:r w:rsidR="008537E3">
        <w:t xml:space="preserve">, </w:t>
      </w:r>
      <w:r w:rsidR="00BC7290" w:rsidRPr="00BC7290">
        <w:t>will need to update their systems.</w:t>
      </w:r>
      <w:r w:rsidR="008537E3">
        <w:t xml:space="preserve"> </w:t>
      </w:r>
      <w:r w:rsidR="008A1E65">
        <w:rPr>
          <w:lang w:val="en-US"/>
        </w:rPr>
        <w:t>A</w:t>
      </w:r>
      <w:r w:rsidR="00BC7290" w:rsidRPr="003F366E">
        <w:rPr>
          <w:lang w:val="en-US"/>
        </w:rPr>
        <w:t xml:space="preserve">s there are no major Australian vehicle manufacturers </w:t>
      </w:r>
      <w:r w:rsidR="008A1E65">
        <w:rPr>
          <w:lang w:val="en-US"/>
        </w:rPr>
        <w:t>of</w:t>
      </w:r>
      <w:r w:rsidR="00BC7290" w:rsidRPr="003F366E">
        <w:rPr>
          <w:lang w:val="en-US"/>
        </w:rPr>
        <w:t xml:space="preserve"> passenger or light commercial vehicles in Australia,</w:t>
      </w:r>
      <w:r>
        <w:rPr>
          <w:lang w:val="en-US"/>
        </w:rPr>
        <w:t xml:space="preserve"> and </w:t>
      </w:r>
      <w:r w:rsidRPr="003F366E">
        <w:rPr>
          <w:lang w:val="en-US"/>
        </w:rPr>
        <w:t xml:space="preserve">given the small size of the Australian </w:t>
      </w:r>
      <w:r>
        <w:rPr>
          <w:lang w:val="en-US"/>
        </w:rPr>
        <w:t xml:space="preserve">new vehicle </w:t>
      </w:r>
      <w:r w:rsidRPr="003F366E">
        <w:rPr>
          <w:lang w:val="en-US"/>
        </w:rPr>
        <w:t>market</w:t>
      </w:r>
      <w:r>
        <w:rPr>
          <w:lang w:val="en-US"/>
        </w:rPr>
        <w:t>,</w:t>
      </w:r>
      <w:r w:rsidR="00BC7290" w:rsidRPr="003F366E">
        <w:rPr>
          <w:lang w:val="en-US"/>
        </w:rPr>
        <w:t xml:space="preserve"> the </w:t>
      </w:r>
      <w:r w:rsidR="008537E3">
        <w:rPr>
          <w:lang w:val="en-US"/>
        </w:rPr>
        <w:t xml:space="preserve">development </w:t>
      </w:r>
      <w:r w:rsidR="008C4A09">
        <w:rPr>
          <w:lang w:val="en-US"/>
        </w:rPr>
        <w:t xml:space="preserve">and certification </w:t>
      </w:r>
      <w:r w:rsidR="00BC7290" w:rsidRPr="003F366E">
        <w:rPr>
          <w:lang w:val="en-US"/>
        </w:rPr>
        <w:t xml:space="preserve">costs </w:t>
      </w:r>
      <w:r>
        <w:rPr>
          <w:lang w:val="en-US"/>
        </w:rPr>
        <w:t>can</w:t>
      </w:r>
      <w:r w:rsidR="00BC7290" w:rsidRPr="003F366E">
        <w:rPr>
          <w:lang w:val="en-US"/>
        </w:rPr>
        <w:t xml:space="preserve"> be amortised globally </w:t>
      </w:r>
      <w:r>
        <w:rPr>
          <w:lang w:val="en-US"/>
        </w:rPr>
        <w:t>over a number of markets by</w:t>
      </w:r>
      <w:r w:rsidR="00BC7290" w:rsidRPr="003F366E">
        <w:rPr>
          <w:lang w:val="en-US"/>
        </w:rPr>
        <w:t xml:space="preserve"> the </w:t>
      </w:r>
      <w:r w:rsidRPr="003F366E">
        <w:rPr>
          <w:lang w:val="en-US"/>
        </w:rPr>
        <w:t>manufacturer.</w:t>
      </w:r>
      <w:r w:rsidR="00BC7290" w:rsidRPr="003F366E">
        <w:rPr>
          <w:lang w:val="en-US"/>
        </w:rPr>
        <w:t xml:space="preserve"> </w:t>
      </w:r>
      <w:r>
        <w:rPr>
          <w:lang w:val="en-US"/>
        </w:rPr>
        <w:t xml:space="preserve">Furthermore, </w:t>
      </w:r>
      <w:r w:rsidR="00ED1FC0">
        <w:rPr>
          <w:lang w:val="en-US"/>
        </w:rPr>
        <w:t>t</w:t>
      </w:r>
      <w:r w:rsidR="00BC7290" w:rsidRPr="003F366E">
        <w:rPr>
          <w:lang w:val="en-US"/>
        </w:rPr>
        <w:t xml:space="preserve">he 02 series of amendments to UN R152 </w:t>
      </w:r>
      <w:r w:rsidR="008D1332">
        <w:rPr>
          <w:lang w:val="en-US"/>
        </w:rPr>
        <w:t>will be mandatory</w:t>
      </w:r>
      <w:r w:rsidR="00D2533F">
        <w:rPr>
          <w:lang w:val="en-US"/>
        </w:rPr>
        <w:t xml:space="preserve"> in the European Union</w:t>
      </w:r>
      <w:r w:rsidR="006C3835">
        <w:rPr>
          <w:lang w:val="en-US"/>
        </w:rPr>
        <w:t xml:space="preserve"> </w:t>
      </w:r>
      <w:r w:rsidR="000B335D">
        <w:rPr>
          <w:lang w:val="en-US"/>
        </w:rPr>
        <w:t xml:space="preserve">for all </w:t>
      </w:r>
      <w:r w:rsidR="001B0C77" w:rsidRPr="00F0472D">
        <w:t>M</w:t>
      </w:r>
      <w:r w:rsidR="001B0C77" w:rsidRPr="00BD6999">
        <w:rPr>
          <w:vertAlign w:val="subscript"/>
        </w:rPr>
        <w:t>1</w:t>
      </w:r>
      <w:r w:rsidR="001B0C77" w:rsidRPr="00F0472D">
        <w:t xml:space="preserve"> and N</w:t>
      </w:r>
      <w:r w:rsidR="001B0C77" w:rsidRPr="00BD6999">
        <w:rPr>
          <w:vertAlign w:val="subscript"/>
        </w:rPr>
        <w:t>1</w:t>
      </w:r>
      <w:r w:rsidR="001B0C77" w:rsidRPr="00F0472D">
        <w:t xml:space="preserve"> vehicle</w:t>
      </w:r>
      <w:r w:rsidR="001B0C77">
        <w:t xml:space="preserve"> types </w:t>
      </w:r>
      <w:r w:rsidR="006C3835">
        <w:rPr>
          <w:lang w:val="en-US"/>
        </w:rPr>
        <w:t>from July 2026</w:t>
      </w:r>
      <w:r w:rsidR="00D2533F">
        <w:rPr>
          <w:rStyle w:val="FootnoteReference"/>
          <w:lang w:val="en-US"/>
        </w:rPr>
        <w:footnoteReference w:id="4"/>
      </w:r>
      <w:r w:rsidR="005D7D1B">
        <w:rPr>
          <w:lang w:val="en-US"/>
        </w:rPr>
        <w:t>.</w:t>
      </w:r>
      <w:r w:rsidR="009D674B">
        <w:rPr>
          <w:lang w:val="en-US"/>
        </w:rPr>
        <w:t xml:space="preserve"> </w:t>
      </w:r>
      <w:r w:rsidR="00BC7290" w:rsidRPr="003F366E">
        <w:rPr>
          <w:lang w:val="en-US"/>
        </w:rPr>
        <w:t xml:space="preserve">Therefore, as Europe is a key market for sourcing vehicles into the Australian market, manufacturers providing vehicles </w:t>
      </w:r>
      <w:r>
        <w:rPr>
          <w:lang w:val="en-US"/>
        </w:rPr>
        <w:t xml:space="preserve">there should </w:t>
      </w:r>
      <w:r w:rsidR="008A1E65">
        <w:rPr>
          <w:lang w:val="en-US"/>
        </w:rPr>
        <w:t xml:space="preserve">have </w:t>
      </w:r>
      <w:r w:rsidR="00BC7290" w:rsidRPr="003F366E">
        <w:rPr>
          <w:lang w:val="en-US"/>
        </w:rPr>
        <w:t>already develop</w:t>
      </w:r>
      <w:r w:rsidR="008A1E65">
        <w:rPr>
          <w:lang w:val="en-US"/>
        </w:rPr>
        <w:t>ed</w:t>
      </w:r>
      <w:r w:rsidR="00BC7290" w:rsidRPr="003F366E">
        <w:rPr>
          <w:lang w:val="en-US"/>
        </w:rPr>
        <w:t xml:space="preserve"> these systems, </w:t>
      </w:r>
      <w:r w:rsidR="00A92627">
        <w:rPr>
          <w:lang w:val="en-US"/>
        </w:rPr>
        <w:t xml:space="preserve">again, </w:t>
      </w:r>
      <w:r w:rsidR="008537E3">
        <w:rPr>
          <w:lang w:val="en-US"/>
        </w:rPr>
        <w:t xml:space="preserve">minimising </w:t>
      </w:r>
      <w:r w:rsidR="00BC7290" w:rsidRPr="003F366E">
        <w:rPr>
          <w:lang w:val="en-US"/>
        </w:rPr>
        <w:t>costs.</w:t>
      </w:r>
      <w:r w:rsidR="00592488" w:rsidRPr="003F366E">
        <w:rPr>
          <w:lang w:val="en-US"/>
        </w:rPr>
        <w:t xml:space="preserve"> </w:t>
      </w:r>
    </w:p>
    <w:p w14:paraId="51D766BB" w14:textId="0B34036A" w:rsidR="00BC7290" w:rsidRPr="00BC7290" w:rsidRDefault="00BC7290" w:rsidP="00A356DE">
      <w:pPr>
        <w:pStyle w:val="Introduction"/>
        <w:spacing w:before="120" w:after="120"/>
        <w:rPr>
          <w:lang w:val="en-US"/>
        </w:rPr>
      </w:pPr>
      <w:r>
        <w:rPr>
          <w:lang w:val="en-US"/>
        </w:rPr>
        <w:t>Impacts on the Community</w:t>
      </w:r>
    </w:p>
    <w:p w14:paraId="42D1D242" w14:textId="60AE5F87" w:rsidR="008759FE" w:rsidRPr="008759FE" w:rsidRDefault="00A92627" w:rsidP="00C0625E">
      <w:r>
        <w:t>Any</w:t>
      </w:r>
      <w:r w:rsidR="002849F2">
        <w:t xml:space="preserve"> reduction of cyclist fatalities and hospitalisations will have a significant social and financial benefit to the Australian community</w:t>
      </w:r>
      <w:r w:rsidR="002849F2" w:rsidRPr="00AA71D7">
        <w:t>.</w:t>
      </w:r>
      <w:r w:rsidR="002849F2">
        <w:t xml:space="preserve"> A 2022 Australian National University study (on behalf of the </w:t>
      </w:r>
      <w:r w:rsidR="002849F2" w:rsidRPr="00622585">
        <w:t>Bureau of Infrastructure and Transport Research Economics</w:t>
      </w:r>
      <w:r w:rsidR="002849F2">
        <w:t>) looked at the social cost of road crashes in Australia. It estimated that “</w:t>
      </w:r>
      <w:r w:rsidR="002849F2" w:rsidRPr="00622585">
        <w:t>social losses were approximately $2.9 million per fatality, losses for a hospitalised injury were approximately $241,100 per injury (including disability-related costs), and</w:t>
      </w:r>
      <w:r w:rsidR="002849F2">
        <w:t xml:space="preserve"> losses for non-hospitalised in</w:t>
      </w:r>
      <w:r w:rsidR="002849F2" w:rsidRPr="00622585">
        <w:t>jury were approximately $26,000 per injury</w:t>
      </w:r>
      <w:r w:rsidR="002849F2">
        <w:t>”</w:t>
      </w:r>
      <w:r w:rsidR="002849F2">
        <w:rPr>
          <w:rStyle w:val="FootnoteReference"/>
          <w:sz w:val="20"/>
        </w:rPr>
        <w:footnoteReference w:id="5"/>
      </w:r>
      <w:r w:rsidR="002849F2" w:rsidRPr="00622585">
        <w:t>.</w:t>
      </w:r>
      <w:r w:rsidR="002A470E">
        <w:t xml:space="preserve"> </w:t>
      </w:r>
      <w:r w:rsidR="002D5499">
        <w:t xml:space="preserve">The Office of Impact Analysis </w:t>
      </w:r>
      <w:r w:rsidR="003B2E03">
        <w:t xml:space="preserve">(OIA) recommends </w:t>
      </w:r>
      <w:r w:rsidR="00A2178F">
        <w:t xml:space="preserve">a </w:t>
      </w:r>
      <w:r w:rsidR="003B2E03">
        <w:t xml:space="preserve">willingness to pay based value, </w:t>
      </w:r>
      <w:r w:rsidR="0091000C">
        <w:t>otherwise known as the</w:t>
      </w:r>
      <w:r w:rsidR="003B2E03">
        <w:t xml:space="preserve"> value of statistical life, as the most appropriate way to estimate the </w:t>
      </w:r>
      <w:r w:rsidR="00BA08AA">
        <w:t>cost per fatality</w:t>
      </w:r>
      <w:r w:rsidR="003B2E03">
        <w:t>. Based on international and Australian research</w:t>
      </w:r>
      <w:r w:rsidR="000618B9">
        <w:t>,</w:t>
      </w:r>
      <w:r w:rsidR="003B2E03">
        <w:t xml:space="preserve"> the value of statistical life recommended by the OIA is $5.7</w:t>
      </w:r>
      <w:r w:rsidR="00B15AF7">
        <w:t> </w:t>
      </w:r>
      <w:r w:rsidR="003B2E03">
        <w:t>million in 2024 dollars</w:t>
      </w:r>
      <w:r w:rsidR="00D603F0">
        <w:rPr>
          <w:rStyle w:val="FootnoteReference"/>
        </w:rPr>
        <w:footnoteReference w:id="6"/>
      </w:r>
      <w:r w:rsidR="003B2E03">
        <w:t>.</w:t>
      </w:r>
    </w:p>
    <w:sectPr w:rsidR="008759FE" w:rsidRPr="008759FE" w:rsidSect="00A1486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37" w:right="1021" w:bottom="737" w:left="102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12547" w14:textId="77777777" w:rsidR="002C1379" w:rsidRDefault="002C1379" w:rsidP="008456D5">
      <w:pPr>
        <w:spacing w:before="0" w:after="0"/>
      </w:pPr>
      <w:r>
        <w:separator/>
      </w:r>
    </w:p>
  </w:endnote>
  <w:endnote w:type="continuationSeparator" w:id="0">
    <w:p w14:paraId="1D3FF261" w14:textId="77777777" w:rsidR="002C1379" w:rsidRDefault="002C1379"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FF69E" w14:textId="77777777" w:rsidR="00180B5B" w:rsidRDefault="00180B5B" w:rsidP="00180B5B">
    <w:pPr>
      <w:pStyle w:val="Footer"/>
      <w:spacing w:before="720"/>
      <w:jc w:val="right"/>
    </w:pPr>
    <w:r>
      <w:rPr>
        <w:noProof/>
        <w:lang w:eastAsia="en-AU"/>
      </w:rPr>
      <mc:AlternateContent>
        <mc:Choice Requires="wps">
          <w:drawing>
            <wp:anchor distT="0" distB="0" distL="114300" distR="114300" simplePos="0" relativeHeight="251658752" behindDoc="1" locked="1" layoutInCell="1" allowOverlap="1" wp14:anchorId="3E42980E" wp14:editId="1BD019D8">
              <wp:simplePos x="0" y="0"/>
              <wp:positionH relativeFrom="page">
                <wp:align>left</wp:align>
              </wp:positionH>
              <wp:positionV relativeFrom="page">
                <wp:align>bottom</wp:align>
              </wp:positionV>
              <wp:extent cx="1007280" cy="539280"/>
              <wp:effectExtent l="0" t="0" r="2540" b="0"/>
              <wp:wrapNone/>
              <wp:docPr id="16" name="Text Box 16" descr="background" title="background"/>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5ED4049C"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42980E" id="_x0000_t202" coordsize="21600,21600" o:spt="202" path="m,l,21600r21600,l21600,xe">
              <v:stroke joinstyle="miter"/>
              <v:path gradientshapeok="t" o:connecttype="rect"/>
            </v:shapetype>
            <v:shape id="Text Box 16" o:spid="_x0000_s1026" type="#_x0000_t202" alt="Title: background - Description: background" style="position:absolute;left:0;text-align:left;margin-left:0;margin-top:0;width:79.3pt;height:42.45pt;z-index:-25165772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" filled="f" stroked="f" strokeweight=".5pt">
              <v:textbox inset="18mm,0,0,10mm">
                <w:txbxContent>
                  <w:p w14:paraId="5ED4049C"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wrap anchorx="page" anchory="page"/>
              <w10:anchorlock/>
            </v:shape>
          </w:pict>
        </mc:Fallback>
      </mc:AlternateContent>
    </w:r>
    <w:r>
      <w:rPr>
        <w:noProof/>
        <w:lang w:eastAsia="en-AU"/>
      </w:rPr>
      <mc:AlternateContent>
        <mc:Choice Requires="wps">
          <w:drawing>
            <wp:anchor distT="0" distB="0" distL="114300" distR="114300" simplePos="0" relativeHeight="251657728" behindDoc="1" locked="1" layoutInCell="1" allowOverlap="1" wp14:anchorId="197C3542" wp14:editId="23EA74E0">
              <wp:simplePos x="0" y="0"/>
              <wp:positionH relativeFrom="page">
                <wp:align>left</wp:align>
              </wp:positionH>
              <wp:positionV relativeFrom="page">
                <wp:align>bottom</wp:align>
              </wp:positionV>
              <wp:extent cx="4320000" cy="539280"/>
              <wp:effectExtent l="0" t="0" r="4445" b="0"/>
              <wp:wrapNone/>
              <wp:docPr id="18" name="Text Box 18" descr="background" title="background"/>
              <wp:cNvGraphicFramePr/>
              <a:graphic xmlns:a="http://schemas.openxmlformats.org/drawingml/2006/main">
                <a:graphicData uri="http://schemas.microsoft.com/office/word/2010/wordprocessingShape">
                  <wps:wsp>
                    <wps:cNvSpPr txBox="1"/>
                    <wps:spPr>
                      <a:xfrm>
                        <a:off x="0" y="0"/>
                        <a:ext cx="4320000" cy="539280"/>
                      </a:xfrm>
                      <a:prstGeom prst="rect">
                        <a:avLst/>
                      </a:prstGeom>
                      <a:noFill/>
                      <a:ln w="6350">
                        <a:noFill/>
                      </a:ln>
                    </wps:spPr>
                    <wps:txbx>
                      <w:txbxContent>
                        <w:p w14:paraId="79A44FA4" w14:textId="77777777" w:rsidR="00180B5B" w:rsidRDefault="007B25DF" w:rsidP="00180B5B">
                          <w:pPr>
                            <w:pStyle w:val="Footer"/>
                          </w:pPr>
                          <w:r>
                            <w:t>note</w:t>
                          </w:r>
                        </w:p>
                      </w:txbxContent>
                    </wps:txbx>
                    <wps:bodyPr rot="0" spcFirstLastPara="0" vertOverflow="overflow" horzOverflow="overflow" vert="horz" wrap="square" lIns="100800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C3542" id="Text Box 18" o:spid="_x0000_s1027" type="#_x0000_t202" alt="Title: background - Description: background" style="position:absolute;left:0;text-align:left;margin-left:0;margin-top:0;width:340.15pt;height:42.45pt;z-index:-25165875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" filled="f" stroked="f" strokeweight=".5pt">
              <v:textbox inset="28mm,0,0,10mm">
                <w:txbxContent>
                  <w:p w14:paraId="79A44FA4" w14:textId="77777777" w:rsidR="00180B5B" w:rsidRDefault="007B25DF" w:rsidP="00180B5B">
                    <w:pPr>
                      <w:pStyle w:val="Footer"/>
                    </w:pPr>
                    <w:r>
                      <w:t>note</w:t>
                    </w:r>
                  </w:p>
                </w:txbxContent>
              </v:textbox>
              <w10:wrap anchorx="page" anchory="page"/>
              <w10:anchorlock/>
            </v:shape>
          </w:pict>
        </mc:Fallback>
      </mc:AlternateContent>
    </w:r>
    <w:r>
      <w:rPr>
        <w:noProof/>
        <w:lang w:eastAsia="en-AU"/>
      </w:rPr>
      <w:drawing>
        <wp:anchor distT="0" distB="0" distL="114300" distR="114300" simplePos="0" relativeHeight="251656704" behindDoc="1" locked="1" layoutInCell="1" allowOverlap="1" wp14:anchorId="1026CC00" wp14:editId="3B6CE50E">
          <wp:simplePos x="0" y="0"/>
          <wp:positionH relativeFrom="page">
            <wp:align>right</wp:align>
          </wp:positionH>
          <wp:positionV relativeFrom="page">
            <wp:align>bottom</wp:align>
          </wp:positionV>
          <wp:extent cx="10692000" cy="183240"/>
          <wp:effectExtent l="0" t="0" r="0" b="7620"/>
          <wp:wrapNone/>
          <wp:docPr id="24" name="Picture 24"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A44F3" w14:textId="3FCC8A83" w:rsidR="008456D5" w:rsidRDefault="00BD61E1" w:rsidP="00BD61E1">
    <w:pPr>
      <w:pStyle w:val="Footer"/>
      <w:tabs>
        <w:tab w:val="clear" w:pos="4513"/>
        <w:tab w:val="clear" w:pos="9026"/>
        <w:tab w:val="left" w:pos="4440"/>
      </w:tabs>
      <w:spacing w:before="720"/>
    </w:pPr>
    <w:r w:rsidRPr="00E85DB3">
      <w:rPr>
        <w:b/>
        <w:noProof/>
        <w:sz w:val="28"/>
        <w:szCs w:val="28"/>
        <w:lang w:eastAsia="en-AU"/>
      </w:rPr>
      <mc:AlternateContent>
        <mc:Choice Requires="wps">
          <w:drawing>
            <wp:anchor distT="45720" distB="45720" distL="114300" distR="114300" simplePos="0" relativeHeight="251661824" behindDoc="0" locked="0" layoutInCell="1" allowOverlap="1" wp14:anchorId="2B52A023" wp14:editId="2A7A0176">
              <wp:simplePos x="0" y="0"/>
              <wp:positionH relativeFrom="margin">
                <wp:align>center</wp:align>
              </wp:positionH>
              <wp:positionV relativeFrom="paragraph">
                <wp:posOffset>-113665</wp:posOffset>
              </wp:positionV>
              <wp:extent cx="2360930"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alpha val="0"/>
                        </a:srgbClr>
                      </a:solidFill>
                      <a:ln w="9525">
                        <a:noFill/>
                        <a:miter lim="800000"/>
                        <a:headEnd/>
                        <a:tailEnd/>
                      </a:ln>
                    </wps:spPr>
                    <wps:txbx>
                      <w:txbxContent>
                        <w:p w14:paraId="2C85F69A" w14:textId="77777777" w:rsidR="00BD61E1" w:rsidRPr="00E85DB3" w:rsidRDefault="00BD61E1" w:rsidP="00BD61E1">
                          <w:pPr>
                            <w:jc w:val="center"/>
                            <w:rPr>
                              <w:b/>
                              <w:color w:val="FF0000"/>
                              <w:sz w:val="32"/>
                            </w:rPr>
                          </w:pPr>
                          <w:r>
                            <w:rPr>
                              <w:b/>
                              <w:color w:val="FF0000"/>
                              <w:sz w:val="32"/>
                            </w:rPr>
                            <w:t>OFFICIAL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B52A023" id="_x0000_t202" coordsize="21600,21600" o:spt="202" path="m,l,21600r21600,l21600,xe">
              <v:stroke joinstyle="miter"/>
              <v:path gradientshapeok="t" o:connecttype="rect"/>
            </v:shapetype>
            <v:shape id="Text Box 2" o:spid="_x0000_s1028" type="#_x0000_t202" style="position:absolute;margin-left:0;margin-top:-8.95pt;width:185.9pt;height:110.6pt;z-index:2516618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" stroked="f">
              <v:fill opacity="0"/>
              <v:textbox style="mso-fit-shape-to-text:t">
                <w:txbxContent>
                  <w:p w14:paraId="2C85F69A" w14:textId="77777777" w:rsidR="00BD61E1" w:rsidRPr="00E85DB3" w:rsidRDefault="00BD61E1" w:rsidP="00BD61E1">
                    <w:pPr>
                      <w:jc w:val="center"/>
                      <w:rPr>
                        <w:b/>
                        <w:color w:val="FF0000"/>
                        <w:sz w:val="32"/>
                      </w:rPr>
                    </w:pPr>
                    <w:r>
                      <w:rPr>
                        <w:b/>
                        <w:color w:val="FF0000"/>
                        <w:sz w:val="32"/>
                      </w:rPr>
                      <w:t>OFFICIAL</w:t>
                    </w:r>
                  </w:p>
                </w:txbxContent>
              </v:textbox>
              <w10:wrap anchorx="margin"/>
            </v:shape>
          </w:pict>
        </mc:Fallback>
      </mc:AlternateContent>
    </w:r>
    <w:r w:rsidR="007A05BE">
      <w:rPr>
        <w:noProof/>
        <w:lang w:eastAsia="en-AU"/>
      </w:rPr>
      <mc:AlternateContent>
        <mc:Choice Requires="wps">
          <w:drawing>
            <wp:anchor distT="0" distB="0" distL="114300" distR="114300" simplePos="0" relativeHeight="251653632" behindDoc="1" locked="1" layoutInCell="1" allowOverlap="1" wp14:anchorId="5B9C27BF" wp14:editId="10ADA62D">
              <wp:simplePos x="0" y="0"/>
              <wp:positionH relativeFrom="page">
                <wp:align>right</wp:align>
              </wp:positionH>
              <wp:positionV relativeFrom="page">
                <wp:align>bottom</wp:align>
              </wp:positionV>
              <wp:extent cx="1007640" cy="539640"/>
              <wp:effectExtent l="0" t="0" r="0" b="0"/>
              <wp:wrapNone/>
              <wp:docPr id="4" name="Text Box 4" descr="background" title="background"/>
              <wp:cNvGraphicFramePr/>
              <a:graphic xmlns:a="http://schemas.openxmlformats.org/drawingml/2006/main">
                <a:graphicData uri="http://schemas.microsoft.com/office/word/2010/wordprocessingShape">
                  <wps:wsp>
                    <wps:cNvSpPr txBox="1"/>
                    <wps:spPr>
                      <a:xfrm>
                        <a:off x="0" y="0"/>
                        <a:ext cx="1007640" cy="539640"/>
                      </a:xfrm>
                      <a:prstGeom prst="rect">
                        <a:avLst/>
                      </a:prstGeom>
                      <a:noFill/>
                      <a:ln w="6350">
                        <a:noFill/>
                      </a:ln>
                    </wps:spPr>
                    <wps:txbx>
                      <w:txbxContent>
                        <w:p w14:paraId="6E10392D" w14:textId="4DECCEEA" w:rsidR="007A05BE" w:rsidRPr="007A05BE" w:rsidRDefault="007A05BE" w:rsidP="007A05BE">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sidR="0033712C">
                            <w:rPr>
                              <w:rStyle w:val="PageNumber"/>
                              <w:noProof/>
                            </w:rPr>
                            <w:t>2</w:t>
                          </w:r>
                          <w:r w:rsidRPr="007A05BE">
                            <w:rPr>
                              <w:rStyle w:val="PageNumber"/>
                            </w:rPr>
                            <w:fldChar w:fldCharType="end"/>
                          </w:r>
                        </w:p>
                      </w:txbxContent>
                    </wps:txbx>
                    <wps:bodyPr rot="0" spcFirstLastPara="0" vertOverflow="overflow" horzOverflow="overflow" vert="horz" wrap="square" lIns="0" tIns="0" rIns="648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C27BF" id="Text Box 4" o:spid="_x0000_s1029" type="#_x0000_t202" alt="Title: background - Description: background" style="position:absolute;margin-left:28.15pt;margin-top:0;width:79.35pt;height:42.5pt;z-index:-25166284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" filled="f" stroked="f" strokeweight=".5pt">
              <v:textbox inset="0,0,18mm,10mm">
                <w:txbxContent>
                  <w:p w14:paraId="6E10392D" w14:textId="4DECCEEA" w:rsidR="007A05BE" w:rsidRPr="007A05BE" w:rsidRDefault="007A05BE" w:rsidP="007A05BE">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sidR="0033712C">
                      <w:rPr>
                        <w:rStyle w:val="PageNumber"/>
                        <w:noProof/>
                      </w:rPr>
                      <w:t>2</w:t>
                    </w:r>
                    <w:r w:rsidRPr="007A05BE">
                      <w:rPr>
                        <w:rStyle w:val="PageNumber"/>
                      </w:rPr>
                      <w:fldChar w:fldCharType="end"/>
                    </w:r>
                  </w:p>
                </w:txbxContent>
              </v:textbox>
              <w10:wrap anchorx="page" anchory="page"/>
              <w10:anchorlock/>
            </v:shape>
          </w:pict>
        </mc:Fallback>
      </mc:AlternateContent>
    </w:r>
    <w:r w:rsidR="007A05BE">
      <w:rPr>
        <w:noProof/>
        <w:lang w:eastAsia="en-AU"/>
      </w:rPr>
      <w:drawing>
        <wp:anchor distT="0" distB="0" distL="114300" distR="114300" simplePos="0" relativeHeight="251652608" behindDoc="1" locked="1" layoutInCell="1" allowOverlap="1" wp14:anchorId="3B6CE615" wp14:editId="72AC4A12">
          <wp:simplePos x="0" y="0"/>
          <wp:positionH relativeFrom="page">
            <wp:align>right</wp:align>
          </wp:positionH>
          <wp:positionV relativeFrom="page">
            <wp:align>bottom</wp:align>
          </wp:positionV>
          <wp:extent cx="10692000" cy="183240"/>
          <wp:effectExtent l="0" t="0" r="0" b="7620"/>
          <wp:wrapNone/>
          <wp:docPr id="25" name="Picture 2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7950A" w14:textId="24E18C84" w:rsidR="00D02062" w:rsidRDefault="00BD61E1" w:rsidP="00D02062">
    <w:pPr>
      <w:pStyle w:val="Footer"/>
      <w:spacing w:before="720"/>
    </w:pPr>
    <w:r w:rsidRPr="00E85DB3">
      <w:rPr>
        <w:b/>
        <w:noProof/>
        <w:sz w:val="28"/>
        <w:szCs w:val="28"/>
        <w:lang w:eastAsia="en-AU"/>
      </w:rPr>
      <mc:AlternateContent>
        <mc:Choice Requires="wps">
          <w:drawing>
            <wp:anchor distT="45720" distB="45720" distL="114300" distR="114300" simplePos="0" relativeHeight="251660800" behindDoc="0" locked="0" layoutInCell="1" allowOverlap="1" wp14:anchorId="1FF57F12" wp14:editId="7A381622">
              <wp:simplePos x="0" y="0"/>
              <wp:positionH relativeFrom="margin">
                <wp:align>center</wp:align>
              </wp:positionH>
              <wp:positionV relativeFrom="paragraph">
                <wp:posOffset>-97790</wp:posOffset>
              </wp:positionV>
              <wp:extent cx="2360930" cy="14046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alpha val="0"/>
                        </a:srgbClr>
                      </a:solidFill>
                      <a:ln w="9525">
                        <a:noFill/>
                        <a:miter lim="800000"/>
                        <a:headEnd/>
                        <a:tailEnd/>
                      </a:ln>
                    </wps:spPr>
                    <wps:txbx>
                      <w:txbxContent>
                        <w:p w14:paraId="75B519A7" w14:textId="77777777" w:rsidR="00BD61E1" w:rsidRPr="00E85DB3" w:rsidRDefault="00BD61E1" w:rsidP="00BD61E1">
                          <w:pPr>
                            <w:jc w:val="center"/>
                            <w:rPr>
                              <w:b/>
                              <w:color w:val="FF0000"/>
                              <w:sz w:val="32"/>
                            </w:rPr>
                          </w:pPr>
                          <w:r>
                            <w:rPr>
                              <w:b/>
                              <w:color w:val="FF0000"/>
                              <w:sz w:val="32"/>
                            </w:rPr>
                            <w:t>OFFICIAL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FF57F12" id="_x0000_t202" coordsize="21600,21600" o:spt="202" path="m,l,21600r21600,l21600,xe">
              <v:stroke joinstyle="miter"/>
              <v:path gradientshapeok="t" o:connecttype="rect"/>
            </v:shapetype>
            <v:shape id="_x0000_s1031" type="#_x0000_t202" style="position:absolute;margin-left:0;margin-top:-7.7pt;width:185.9pt;height:110.6pt;z-index:2516608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" stroked="f">
              <v:fill opacity="0"/>
              <v:textbox style="mso-fit-shape-to-text:t">
                <w:txbxContent>
                  <w:p w14:paraId="75B519A7" w14:textId="77777777" w:rsidR="00BD61E1" w:rsidRPr="00E85DB3" w:rsidRDefault="00BD61E1" w:rsidP="00BD61E1">
                    <w:pPr>
                      <w:jc w:val="center"/>
                      <w:rPr>
                        <w:b/>
                        <w:color w:val="FF0000"/>
                        <w:sz w:val="32"/>
                      </w:rPr>
                    </w:pPr>
                    <w:r>
                      <w:rPr>
                        <w:b/>
                        <w:color w:val="FF0000"/>
                        <w:sz w:val="32"/>
                      </w:rPr>
                      <w:t>OFFICIAL</w:t>
                    </w:r>
                  </w:p>
                </w:txbxContent>
              </v:textbox>
              <w10:wrap anchorx="margin"/>
            </v:shape>
          </w:pict>
        </mc:Fallback>
      </mc:AlternateContent>
    </w:r>
    <w:r w:rsidR="00D02062">
      <w:rPr>
        <w:noProof/>
        <w:lang w:eastAsia="en-AU"/>
      </w:rPr>
      <mc:AlternateContent>
        <mc:Choice Requires="wps">
          <w:drawing>
            <wp:anchor distT="0" distB="0" distL="114300" distR="114300" simplePos="0" relativeHeight="251655680" behindDoc="1" locked="1" layoutInCell="1" allowOverlap="1" wp14:anchorId="5E6143CF" wp14:editId="3A924BB8">
              <wp:simplePos x="0" y="0"/>
              <wp:positionH relativeFrom="page">
                <wp:align>right</wp:align>
              </wp:positionH>
              <wp:positionV relativeFrom="page">
                <wp:align>bottom</wp:align>
              </wp:positionV>
              <wp:extent cx="1007640" cy="539640"/>
              <wp:effectExtent l="0" t="0" r="0" b="0"/>
              <wp:wrapNone/>
              <wp:docPr id="6" name="Text Box 6" descr="background" title="background"/>
              <wp:cNvGraphicFramePr/>
              <a:graphic xmlns:a="http://schemas.openxmlformats.org/drawingml/2006/main">
                <a:graphicData uri="http://schemas.microsoft.com/office/word/2010/wordprocessingShape">
                  <wps:wsp>
                    <wps:cNvSpPr txBox="1"/>
                    <wps:spPr>
                      <a:xfrm>
                        <a:off x="0" y="0"/>
                        <a:ext cx="1007640" cy="539640"/>
                      </a:xfrm>
                      <a:prstGeom prst="rect">
                        <a:avLst/>
                      </a:prstGeom>
                      <a:noFill/>
                      <a:ln w="6350">
                        <a:noFill/>
                      </a:ln>
                    </wps:spPr>
                    <wps:txbx>
                      <w:txbxContent>
                        <w:p w14:paraId="71003514" w14:textId="6B2A5BF4" w:rsidR="00D02062" w:rsidRPr="007A05BE" w:rsidRDefault="00D02062" w:rsidP="00D02062">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sidR="0033712C">
                            <w:rPr>
                              <w:rStyle w:val="PageNumber"/>
                              <w:noProof/>
                            </w:rPr>
                            <w:t>1</w:t>
                          </w:r>
                          <w:r w:rsidRPr="007A05BE">
                            <w:rPr>
                              <w:rStyle w:val="PageNumber"/>
                            </w:rPr>
                            <w:fldChar w:fldCharType="end"/>
                          </w:r>
                        </w:p>
                      </w:txbxContent>
                    </wps:txbx>
                    <wps:bodyPr rot="0" spcFirstLastPara="0" vertOverflow="overflow" horzOverflow="overflow" vert="horz" wrap="square" lIns="0" tIns="0" rIns="648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143CF" id="Text Box 6" o:spid="_x0000_s1032" type="#_x0000_t202" alt="Title: background - Description: background" style="position:absolute;margin-left:28.15pt;margin-top:0;width:79.35pt;height:42.5pt;z-index:-25166080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" filled="f" stroked="f" strokeweight=".5pt">
              <v:textbox inset="0,0,18mm,10mm">
                <w:txbxContent>
                  <w:p w14:paraId="71003514" w14:textId="6B2A5BF4" w:rsidR="00D02062" w:rsidRPr="007A05BE" w:rsidRDefault="00D02062" w:rsidP="00D02062">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sidR="0033712C">
                      <w:rPr>
                        <w:rStyle w:val="PageNumber"/>
                        <w:noProof/>
                      </w:rPr>
                      <w:t>1</w:t>
                    </w:r>
                    <w:r w:rsidRPr="007A05BE">
                      <w:rPr>
                        <w:rStyle w:val="PageNumber"/>
                      </w:rPr>
                      <w:fldChar w:fldCharType="end"/>
                    </w:r>
                  </w:p>
                </w:txbxContent>
              </v:textbox>
              <w10:wrap anchorx="page" anchory="page"/>
              <w10:anchorlock/>
            </v:shape>
          </w:pict>
        </mc:Fallback>
      </mc:AlternateContent>
    </w:r>
    <w:r w:rsidR="00D02062">
      <w:rPr>
        <w:noProof/>
        <w:lang w:eastAsia="en-AU"/>
      </w:rPr>
      <w:drawing>
        <wp:anchor distT="0" distB="0" distL="114300" distR="114300" simplePos="0" relativeHeight="251654656" behindDoc="1" locked="1" layoutInCell="1" allowOverlap="1" wp14:anchorId="16626A13" wp14:editId="66D6E841">
          <wp:simplePos x="0" y="0"/>
          <wp:positionH relativeFrom="page">
            <wp:align>right</wp:align>
          </wp:positionH>
          <wp:positionV relativeFrom="page">
            <wp:align>bottom</wp:align>
          </wp:positionV>
          <wp:extent cx="10692000" cy="183240"/>
          <wp:effectExtent l="0" t="0" r="0" b="7620"/>
          <wp:wrapNone/>
          <wp:docPr id="27" name="Picture 27"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1445E" w14:textId="77777777" w:rsidR="002C1379" w:rsidRPr="005912BE" w:rsidRDefault="002C1379" w:rsidP="005912BE">
      <w:pPr>
        <w:spacing w:before="300"/>
        <w:rPr>
          <w:color w:val="4BB3B5" w:themeColor="accent2"/>
        </w:rPr>
      </w:pPr>
      <w:r>
        <w:rPr>
          <w:color w:val="4BB3B5" w:themeColor="accent2"/>
        </w:rPr>
        <w:t>----------</w:t>
      </w:r>
    </w:p>
  </w:footnote>
  <w:footnote w:type="continuationSeparator" w:id="0">
    <w:p w14:paraId="3BA8869E" w14:textId="77777777" w:rsidR="002C1379" w:rsidRDefault="002C1379" w:rsidP="008456D5">
      <w:pPr>
        <w:spacing w:before="0" w:after="0"/>
      </w:pPr>
      <w:r>
        <w:continuationSeparator/>
      </w:r>
    </w:p>
  </w:footnote>
  <w:footnote w:id="1">
    <w:p w14:paraId="7618F70A" w14:textId="379BF5E3" w:rsidR="00C0625E" w:rsidRPr="00C0625E" w:rsidRDefault="00C0625E">
      <w:pPr>
        <w:pStyle w:val="FootnoteText"/>
        <w:rPr>
          <w:lang w:val="en-US"/>
        </w:rPr>
      </w:pPr>
      <w:r>
        <w:rPr>
          <w:rStyle w:val="FootnoteReference"/>
        </w:rPr>
        <w:footnoteRef/>
      </w:r>
      <w:r>
        <w:t xml:space="preserve"> </w:t>
      </w:r>
      <w:r w:rsidRPr="00C0625E">
        <w:t xml:space="preserve">Bureau of Infrastructure and Transport Research Economics (BITRE), National Crash Dashboard, Australian Government, accessed </w:t>
      </w:r>
      <w:r w:rsidR="001510BD">
        <w:t>16</w:t>
      </w:r>
      <w:r w:rsidRPr="00C0625E">
        <w:t xml:space="preserve"> </w:t>
      </w:r>
      <w:r w:rsidR="001510BD">
        <w:t>July</w:t>
      </w:r>
      <w:r w:rsidRPr="00C0625E">
        <w:t xml:space="preserve"> 202</w:t>
      </w:r>
      <w:r w:rsidR="001510BD">
        <w:t>5</w:t>
      </w:r>
      <w:r w:rsidR="00A07E76">
        <w:t>,</w:t>
      </w:r>
      <w:r w:rsidRPr="00C0625E">
        <w:t xml:space="preserve"> &lt;</w:t>
      </w:r>
      <w:r w:rsidR="00491E36" w:rsidRPr="00491E36">
        <w:t>www.bitre.gov.au/dashboards</w:t>
      </w:r>
      <w:r w:rsidRPr="00C0625E">
        <w:t>&gt;</w:t>
      </w:r>
    </w:p>
  </w:footnote>
  <w:footnote w:id="2">
    <w:p w14:paraId="5EDBFEDA" w14:textId="41E0E9FC" w:rsidR="00A16964" w:rsidRPr="00DD4BB6" w:rsidRDefault="00A16964">
      <w:pPr>
        <w:pStyle w:val="FootnoteText"/>
        <w:rPr>
          <w:lang w:val="en-US"/>
        </w:rPr>
      </w:pPr>
      <w:r>
        <w:rPr>
          <w:rStyle w:val="FootnoteReference"/>
        </w:rPr>
        <w:footnoteRef/>
      </w:r>
      <w:r>
        <w:t xml:space="preserve"> This considers</w:t>
      </w:r>
      <w:r w:rsidR="00DD4BB6">
        <w:t xml:space="preserve"> cyclist</w:t>
      </w:r>
      <w:r>
        <w:t xml:space="preserve"> </w:t>
      </w:r>
      <w:r>
        <w:rPr>
          <w:lang w:val="en-US"/>
        </w:rPr>
        <w:t xml:space="preserve">fatalities at vehicle speeds of 60km/h or under </w:t>
      </w:r>
      <w:r w:rsidR="00552176">
        <w:rPr>
          <w:lang w:val="en-US"/>
        </w:rPr>
        <w:t>divided by</w:t>
      </w:r>
      <w:r>
        <w:rPr>
          <w:lang w:val="en-US"/>
        </w:rPr>
        <w:t xml:space="preserve"> the total </w:t>
      </w:r>
      <w:r w:rsidR="00DD4BB6">
        <w:rPr>
          <w:lang w:val="en-US"/>
        </w:rPr>
        <w:t xml:space="preserve">cyclist </w:t>
      </w:r>
      <w:r>
        <w:rPr>
          <w:lang w:val="en-US"/>
        </w:rPr>
        <w:t xml:space="preserve">fatalities reported in the National Crash Dashboard, noting that </w:t>
      </w:r>
      <w:r w:rsidR="00DD4BB6" w:rsidRPr="00512E24">
        <w:t xml:space="preserve">AEBS shall be active at least within the vehicle speed range between </w:t>
      </w:r>
      <w:r w:rsidR="00DD4BB6">
        <w:t>2</w:t>
      </w:r>
      <w:r w:rsidR="00DD4BB6" w:rsidRPr="00512E24">
        <w:t>0 km/h and 60 km/h</w:t>
      </w:r>
      <w:r w:rsidR="00DD4BB6">
        <w:t xml:space="preserve">. </w:t>
      </w:r>
    </w:p>
  </w:footnote>
  <w:footnote w:id="3">
    <w:p w14:paraId="3C3F4D1A" w14:textId="12BB648C" w:rsidR="00C0625E" w:rsidRPr="00C0625E" w:rsidRDefault="00C0625E">
      <w:pPr>
        <w:pStyle w:val="FootnoteText"/>
        <w:rPr>
          <w:lang w:val="en-US"/>
        </w:rPr>
      </w:pPr>
      <w:r>
        <w:rPr>
          <w:rStyle w:val="FootnoteReference"/>
        </w:rPr>
        <w:footnoteRef/>
      </w:r>
      <w:r>
        <w:t xml:space="preserve"> </w:t>
      </w:r>
      <w:r w:rsidRPr="00C0625E">
        <w:t xml:space="preserve">Bureau of Infrastructure and Transport Research Economics (BITRE), Hospitalised Injuries from road crashes dashboard, Australian Government, accessed </w:t>
      </w:r>
      <w:r w:rsidR="001510BD">
        <w:t xml:space="preserve">16 July </w:t>
      </w:r>
      <w:r w:rsidRPr="00C0625E">
        <w:t>202</w:t>
      </w:r>
      <w:r w:rsidR="001510BD">
        <w:t>5</w:t>
      </w:r>
      <w:r w:rsidRPr="00C0625E">
        <w:t>, &lt;www.bitre.gov.au/statistics/safety&gt;</w:t>
      </w:r>
    </w:p>
  </w:footnote>
  <w:footnote w:id="4">
    <w:p w14:paraId="641555FF" w14:textId="6CDB51D9" w:rsidR="00D2533F" w:rsidRPr="00D2533F" w:rsidRDefault="00D2533F">
      <w:pPr>
        <w:pStyle w:val="FootnoteText"/>
      </w:pPr>
      <w:r>
        <w:rPr>
          <w:rStyle w:val="FootnoteReference"/>
        </w:rPr>
        <w:footnoteRef/>
      </w:r>
      <w:r>
        <w:t xml:space="preserve"> E</w:t>
      </w:r>
      <w:r w:rsidR="00561187">
        <w:t>UR-Lex</w:t>
      </w:r>
      <w:r>
        <w:t xml:space="preserve">, </w:t>
      </w:r>
      <w:r w:rsidRPr="00D2533F">
        <w:rPr>
          <w:i/>
        </w:rPr>
        <w:t>Regulation (EU) 2019/2144 of the European Parliament and of the Council</w:t>
      </w:r>
      <w:r>
        <w:t xml:space="preserve">, </w:t>
      </w:r>
      <w:r w:rsidR="00561187">
        <w:t xml:space="preserve">European Union, </w:t>
      </w:r>
      <w:r w:rsidR="00561187">
        <w:br/>
      </w:r>
      <w:r>
        <w:t>accessed 2 October 2025, &lt;</w:t>
      </w:r>
      <w:r w:rsidRPr="00D2533F">
        <w:t>eur-lex.europa.eu/legal-content/EN/TXT/?uri=CELEX%3A02019R2144-20250901</w:t>
      </w:r>
      <w:r>
        <w:t>&gt;</w:t>
      </w:r>
    </w:p>
  </w:footnote>
  <w:footnote w:id="5">
    <w:p w14:paraId="0826197F" w14:textId="4B83B948" w:rsidR="002849F2" w:rsidRDefault="002849F2" w:rsidP="002849F2">
      <w:pPr>
        <w:pStyle w:val="FootnoteText"/>
      </w:pPr>
      <w:r>
        <w:rPr>
          <w:rStyle w:val="FootnoteReference"/>
        </w:rPr>
        <w:footnoteRef/>
      </w:r>
      <w:r>
        <w:t xml:space="preserve"> The Australian National University, September 2022, p.4,</w:t>
      </w:r>
      <w:r w:rsidRPr="00F66DEE">
        <w:t xml:space="preserve"> </w:t>
      </w:r>
      <w:r w:rsidRPr="00622585">
        <w:rPr>
          <w:i/>
        </w:rPr>
        <w:t>Social Cost of Road Crashes</w:t>
      </w:r>
      <w:r w:rsidRPr="00785481">
        <w:t>, Bureau of Infrastructure and Transport Research Economics (BITRE), access</w:t>
      </w:r>
      <w:r>
        <w:t>ed</w:t>
      </w:r>
      <w:r w:rsidRPr="00785481">
        <w:t xml:space="preserve"> </w:t>
      </w:r>
      <w:r w:rsidR="008537E3">
        <w:t>16</w:t>
      </w:r>
      <w:r w:rsidRPr="00785481">
        <w:t xml:space="preserve"> </w:t>
      </w:r>
      <w:r w:rsidR="008537E3">
        <w:t>July</w:t>
      </w:r>
      <w:r w:rsidRPr="00785481">
        <w:t xml:space="preserve"> 202</w:t>
      </w:r>
      <w:r w:rsidR="008537E3">
        <w:t>5</w:t>
      </w:r>
      <w:r>
        <w:t xml:space="preserve">, </w:t>
      </w:r>
      <w:r w:rsidRPr="00785481">
        <w:t>&lt;</w:t>
      </w:r>
      <w:r w:rsidRPr="00622585">
        <w:t>www.bitre.gov.au/sites/default/files/documents/social-cost-of-road-crashes.pdf</w:t>
      </w:r>
      <w:r w:rsidRPr="00785481">
        <w:t>&gt;</w:t>
      </w:r>
    </w:p>
  </w:footnote>
  <w:footnote w:id="6">
    <w:p w14:paraId="1C93AC6A" w14:textId="404DDCF1" w:rsidR="00D603F0" w:rsidRDefault="00D603F0">
      <w:pPr>
        <w:pStyle w:val="FootnoteText"/>
      </w:pPr>
      <w:r>
        <w:rPr>
          <w:rStyle w:val="FootnoteReference"/>
        </w:rPr>
        <w:footnoteRef/>
      </w:r>
      <w:r>
        <w:t xml:space="preserve"> The Office of Impact Analysis, November 2024, </w:t>
      </w:r>
      <w:r w:rsidRPr="00D2533F">
        <w:rPr>
          <w:i/>
        </w:rPr>
        <w:t>Guidance Note, Value of Statistical Life</w:t>
      </w:r>
      <w:r>
        <w:t>, accessed 2 October 2025, &lt;</w:t>
      </w:r>
      <w:r w:rsidRPr="00D603F0">
        <w:t>oia.pmc.gov.au/sites/default/files/2024-11/value-statistical-life-guidance-note.pdf</w:t>
      </w:r>
      <w: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804C9" w14:textId="7641DA89" w:rsidR="00180B5B" w:rsidRDefault="00A146EE" w:rsidP="00180B5B">
    <w:pPr>
      <w:pStyle w:val="Header"/>
      <w:spacing w:after="1320"/>
      <w:jc w:val="left"/>
    </w:pPr>
    <w:r>
      <w:fldChar w:fldCharType="begin"/>
    </w:r>
    <w:r>
      <w:instrText xml:space="preserve"> STYLEREF  "Heading 1" \l  \* MERGEFORMAT </w:instrText>
    </w:r>
    <w:r w:rsidR="00190CEE">
      <w:fldChar w:fldCharType="separate"/>
    </w:r>
    <w:r w:rsidR="00190CEE">
      <w:rPr>
        <w:b/>
        <w:bCs/>
        <w:noProof/>
        <w:lang w:val="en-US"/>
      </w:rPr>
      <w:t>Error! No text of specified style in document.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2BF12" w14:textId="30A1C3B1" w:rsidR="007A05BE" w:rsidRPr="00BD61E1" w:rsidRDefault="00BD61E1" w:rsidP="00BD61E1">
    <w:pPr>
      <w:pStyle w:val="Header"/>
      <w:jc w:val="center"/>
      <w:rPr>
        <w:b/>
      </w:rPr>
    </w:pPr>
    <w:r w:rsidRPr="00BD61E1">
      <w:rPr>
        <w:b/>
        <w:color w:val="FF0000"/>
        <w:sz w:val="32"/>
      </w:rPr>
      <w:t>OFFICIAL</w:t>
    </w:r>
  </w:p>
  <w:p w14:paraId="6908F525" w14:textId="4420F7BB" w:rsidR="007B25DF" w:rsidRPr="007B25DF" w:rsidRDefault="007B25DF" w:rsidP="007B25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9034E" w14:textId="4B42E296" w:rsidR="00C620D1" w:rsidRDefault="00BD61E1" w:rsidP="005E23C4">
    <w:pPr>
      <w:pStyle w:val="Header"/>
      <w:jc w:val="left"/>
      <w:rPr>
        <w:noProof/>
      </w:rPr>
    </w:pPr>
    <w:r w:rsidRPr="00E85DB3">
      <w:rPr>
        <w:b/>
        <w:noProof/>
        <w:sz w:val="28"/>
        <w:szCs w:val="28"/>
        <w:lang w:eastAsia="en-AU"/>
      </w:rPr>
      <mc:AlternateContent>
        <mc:Choice Requires="wps">
          <w:drawing>
            <wp:anchor distT="45720" distB="45720" distL="114300" distR="114300" simplePos="0" relativeHeight="251659776" behindDoc="0" locked="0" layoutInCell="1" allowOverlap="1" wp14:anchorId="3CD680CD" wp14:editId="7DB1249C">
              <wp:simplePos x="0" y="0"/>
              <wp:positionH relativeFrom="margin">
                <wp:align>center</wp:align>
              </wp:positionH>
              <wp:positionV relativeFrom="paragraph">
                <wp:posOffset>-252095</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alpha val="0"/>
                        </a:srgbClr>
                      </a:solidFill>
                      <a:ln w="9525">
                        <a:noFill/>
                        <a:miter lim="800000"/>
                        <a:headEnd/>
                        <a:tailEnd/>
                      </a:ln>
                    </wps:spPr>
                    <wps:txbx>
                      <w:txbxContent>
                        <w:p w14:paraId="465D049C" w14:textId="77777777" w:rsidR="00BD61E1" w:rsidRPr="00E85DB3" w:rsidRDefault="00BD61E1" w:rsidP="00BD61E1">
                          <w:pPr>
                            <w:jc w:val="center"/>
                            <w:rPr>
                              <w:b/>
                              <w:color w:val="FF0000"/>
                              <w:sz w:val="32"/>
                            </w:rPr>
                          </w:pPr>
                          <w:r>
                            <w:rPr>
                              <w:b/>
                              <w:color w:val="FF0000"/>
                              <w:sz w:val="32"/>
                            </w:rPr>
                            <w:t>OFFICIAL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CD680CD" id="_x0000_t202" coordsize="21600,21600" o:spt="202" path="m,l,21600r21600,l21600,xe">
              <v:stroke joinstyle="miter"/>
              <v:path gradientshapeok="t" o:connecttype="rect"/>
            </v:shapetype>
            <v:shape id="_x0000_s1030" type="#_x0000_t202" style="position:absolute;margin-left:0;margin-top:-19.85pt;width:185.9pt;height:110.6pt;z-index:2516597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" stroked="f">
              <v:fill opacity="0"/>
              <v:textbox style="mso-fit-shape-to-text:t">
                <w:txbxContent>
                  <w:p w14:paraId="465D049C" w14:textId="77777777" w:rsidR="00BD61E1" w:rsidRPr="00E85DB3" w:rsidRDefault="00BD61E1" w:rsidP="00BD61E1">
                    <w:pPr>
                      <w:jc w:val="center"/>
                      <w:rPr>
                        <w:b/>
                        <w:color w:val="FF0000"/>
                        <w:sz w:val="32"/>
                      </w:rPr>
                    </w:pPr>
                    <w:r>
                      <w:rPr>
                        <w:b/>
                        <w:color w:val="FF0000"/>
                        <w:sz w:val="32"/>
                      </w:rPr>
                      <w:t>OFFICIAL</w:t>
                    </w:r>
                  </w:p>
                </w:txbxContent>
              </v:textbox>
              <w10:wrap anchorx="margin"/>
            </v:shape>
          </w:pict>
        </mc:Fallback>
      </mc:AlternateContent>
    </w:r>
  </w:p>
  <w:p w14:paraId="6C883684" w14:textId="77777777" w:rsidR="00C620D1" w:rsidRDefault="00C620D1" w:rsidP="005E23C4">
    <w:pPr>
      <w:pStyle w:val="Header"/>
      <w:jc w:val="left"/>
      <w:rPr>
        <w:noProof/>
      </w:rPr>
    </w:pPr>
  </w:p>
  <w:p w14:paraId="4423F7BD" w14:textId="5EE0AE36" w:rsidR="005E23C4" w:rsidRDefault="00C620D1" w:rsidP="005E23C4">
    <w:pPr>
      <w:pStyle w:val="Header"/>
      <w:jc w:val="left"/>
    </w:pPr>
    <w:r>
      <w:rPr>
        <w:noProof/>
      </w:rPr>
      <w:drawing>
        <wp:inline distT="0" distB="0" distL="0" distR="0" wp14:anchorId="1E633B49" wp14:editId="5FE62EF1">
          <wp:extent cx="4068000" cy="669600"/>
          <wp:effectExtent l="0" t="0" r="0" b="0"/>
          <wp:docPr id="3" name="Picture 3" descr="Australian Government&#10;Department of Infrastructure, Transport, Regional Development, Communications, Sport and the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68000" cy="669600"/>
                  </a:xfrm>
                  <a:prstGeom prst="rect">
                    <a:avLst/>
                  </a:prstGeom>
                  <a:noFill/>
                  <a:ln>
                    <a:noFill/>
                  </a:ln>
                </pic:spPr>
              </pic:pic>
            </a:graphicData>
          </a:graphic>
        </wp:inline>
      </w:drawing>
    </w:r>
  </w:p>
  <w:p w14:paraId="32E3E2EE" w14:textId="5DD46D13" w:rsidR="005E23C4" w:rsidRDefault="005E23C4" w:rsidP="005E23C4">
    <w:pPr>
      <w:pStyle w:val="AreaHeading"/>
      <w:spacing w:before="120" w:after="120"/>
    </w:pPr>
    <w:r w:rsidRPr="006F1ADD">
      <w:t>Vehicle Safety Policy and Partnerships</w:t>
    </w:r>
    <w:r w:rsidR="00EA6FB1">
      <w:t xml:space="preserve"> BRANCH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D5BE4"/>
    <w:multiLevelType w:val="hybridMultilevel"/>
    <w:tmpl w:val="AACA98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D621AED"/>
    <w:multiLevelType w:val="multilevel"/>
    <w:tmpl w:val="C2EED61A"/>
    <w:numStyleLink w:val="NumberedHeadings"/>
  </w:abstractNum>
  <w:abstractNum w:abstractNumId="13"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A51938"/>
    <w:multiLevelType w:val="multilevel"/>
    <w:tmpl w:val="298C34E4"/>
    <w:numStyleLink w:val="AppendixNumbers"/>
  </w:abstractNum>
  <w:abstractNum w:abstractNumId="15"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4F831F73"/>
    <w:multiLevelType w:val="hybridMultilevel"/>
    <w:tmpl w:val="596625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D72190C"/>
    <w:multiLevelType w:val="hybridMultilevel"/>
    <w:tmpl w:val="9166704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7754CC"/>
    <w:multiLevelType w:val="hybridMultilevel"/>
    <w:tmpl w:val="9F3891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D9A0F21"/>
    <w:multiLevelType w:val="hybridMultilevel"/>
    <w:tmpl w:val="5300A2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0C61B56"/>
    <w:multiLevelType w:val="hybridMultilevel"/>
    <w:tmpl w:val="F5D8100C"/>
    <w:lvl w:ilvl="0" w:tplc="9848AB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B9D7894"/>
    <w:multiLevelType w:val="hybridMultilevel"/>
    <w:tmpl w:val="3FDC5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2"/>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1"/>
  </w:num>
  <w:num w:numId="26">
    <w:abstractNumId w:val="20"/>
  </w:num>
  <w:num w:numId="27">
    <w:abstractNumId w:val="19"/>
  </w:num>
  <w:num w:numId="28">
    <w:abstractNumId w:val="17"/>
  </w:num>
  <w:num w:numId="29">
    <w:abstractNumId w:val="2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AF8"/>
    <w:rsid w:val="0001430B"/>
    <w:rsid w:val="000302D0"/>
    <w:rsid w:val="000376CB"/>
    <w:rsid w:val="00044390"/>
    <w:rsid w:val="000521CD"/>
    <w:rsid w:val="000618B9"/>
    <w:rsid w:val="00096B3A"/>
    <w:rsid w:val="000A4DCF"/>
    <w:rsid w:val="000B335D"/>
    <w:rsid w:val="000C127C"/>
    <w:rsid w:val="000C1AA6"/>
    <w:rsid w:val="000D38FA"/>
    <w:rsid w:val="000E24BA"/>
    <w:rsid w:val="000E5674"/>
    <w:rsid w:val="000F1FFA"/>
    <w:rsid w:val="000F5F89"/>
    <w:rsid w:val="000F623D"/>
    <w:rsid w:val="001202D2"/>
    <w:rsid w:val="00123BE8"/>
    <w:rsid w:val="001349C6"/>
    <w:rsid w:val="001418A8"/>
    <w:rsid w:val="001510BD"/>
    <w:rsid w:val="001571BE"/>
    <w:rsid w:val="001575EC"/>
    <w:rsid w:val="0016127B"/>
    <w:rsid w:val="001638D0"/>
    <w:rsid w:val="00180B5B"/>
    <w:rsid w:val="00181319"/>
    <w:rsid w:val="00190CEE"/>
    <w:rsid w:val="001B0C77"/>
    <w:rsid w:val="001B2AED"/>
    <w:rsid w:val="001B509B"/>
    <w:rsid w:val="001B6763"/>
    <w:rsid w:val="001B6F49"/>
    <w:rsid w:val="001D3BE5"/>
    <w:rsid w:val="001E1DA4"/>
    <w:rsid w:val="001E56E0"/>
    <w:rsid w:val="00216D30"/>
    <w:rsid w:val="00222465"/>
    <w:rsid w:val="002254D5"/>
    <w:rsid w:val="0022611D"/>
    <w:rsid w:val="0023151B"/>
    <w:rsid w:val="002464D9"/>
    <w:rsid w:val="002529B5"/>
    <w:rsid w:val="002545B9"/>
    <w:rsid w:val="002620D7"/>
    <w:rsid w:val="0026356C"/>
    <w:rsid w:val="0026422D"/>
    <w:rsid w:val="00264EE1"/>
    <w:rsid w:val="00283C79"/>
    <w:rsid w:val="00284164"/>
    <w:rsid w:val="002849F2"/>
    <w:rsid w:val="002973EB"/>
    <w:rsid w:val="002A470E"/>
    <w:rsid w:val="002B3569"/>
    <w:rsid w:val="002B7197"/>
    <w:rsid w:val="002C0285"/>
    <w:rsid w:val="002C1379"/>
    <w:rsid w:val="002D4581"/>
    <w:rsid w:val="002D5499"/>
    <w:rsid w:val="002D5E5D"/>
    <w:rsid w:val="002E1ADA"/>
    <w:rsid w:val="002F485F"/>
    <w:rsid w:val="0033579F"/>
    <w:rsid w:val="0033712C"/>
    <w:rsid w:val="003442A3"/>
    <w:rsid w:val="00345955"/>
    <w:rsid w:val="003720E9"/>
    <w:rsid w:val="0037581A"/>
    <w:rsid w:val="003A41A8"/>
    <w:rsid w:val="003A4998"/>
    <w:rsid w:val="003B2E03"/>
    <w:rsid w:val="003C4A7D"/>
    <w:rsid w:val="003C625A"/>
    <w:rsid w:val="003D1668"/>
    <w:rsid w:val="003E3160"/>
    <w:rsid w:val="003E69B5"/>
    <w:rsid w:val="003F366E"/>
    <w:rsid w:val="003F775D"/>
    <w:rsid w:val="0040157E"/>
    <w:rsid w:val="00420F04"/>
    <w:rsid w:val="00424ADD"/>
    <w:rsid w:val="00450D0E"/>
    <w:rsid w:val="0045541D"/>
    <w:rsid w:val="00463A9D"/>
    <w:rsid w:val="00475B39"/>
    <w:rsid w:val="00477E77"/>
    <w:rsid w:val="00491E36"/>
    <w:rsid w:val="00493C8F"/>
    <w:rsid w:val="00497A47"/>
    <w:rsid w:val="004A01EB"/>
    <w:rsid w:val="004A09EA"/>
    <w:rsid w:val="004A4FE2"/>
    <w:rsid w:val="004C5EEE"/>
    <w:rsid w:val="004D0A84"/>
    <w:rsid w:val="004E7F6C"/>
    <w:rsid w:val="004F48EE"/>
    <w:rsid w:val="004F5F02"/>
    <w:rsid w:val="004F77AA"/>
    <w:rsid w:val="00512E24"/>
    <w:rsid w:val="00523A74"/>
    <w:rsid w:val="00525224"/>
    <w:rsid w:val="00526000"/>
    <w:rsid w:val="00534016"/>
    <w:rsid w:val="00541213"/>
    <w:rsid w:val="00542F13"/>
    <w:rsid w:val="00546218"/>
    <w:rsid w:val="00552176"/>
    <w:rsid w:val="00561187"/>
    <w:rsid w:val="005653A9"/>
    <w:rsid w:val="00566C6B"/>
    <w:rsid w:val="00586E60"/>
    <w:rsid w:val="005912BE"/>
    <w:rsid w:val="00592488"/>
    <w:rsid w:val="00594910"/>
    <w:rsid w:val="005B1B54"/>
    <w:rsid w:val="005C6407"/>
    <w:rsid w:val="005D2A98"/>
    <w:rsid w:val="005D7D1B"/>
    <w:rsid w:val="005E23C4"/>
    <w:rsid w:val="005F654A"/>
    <w:rsid w:val="005F794B"/>
    <w:rsid w:val="006061EB"/>
    <w:rsid w:val="00611CC1"/>
    <w:rsid w:val="006121FF"/>
    <w:rsid w:val="0064633E"/>
    <w:rsid w:val="00686A7B"/>
    <w:rsid w:val="00692524"/>
    <w:rsid w:val="00696C06"/>
    <w:rsid w:val="006A266A"/>
    <w:rsid w:val="006A5D00"/>
    <w:rsid w:val="006B70F4"/>
    <w:rsid w:val="006C2F7C"/>
    <w:rsid w:val="006C3835"/>
    <w:rsid w:val="006E1ECA"/>
    <w:rsid w:val="006F026E"/>
    <w:rsid w:val="006F1ADD"/>
    <w:rsid w:val="006F3568"/>
    <w:rsid w:val="006F53A7"/>
    <w:rsid w:val="007062F9"/>
    <w:rsid w:val="007278C0"/>
    <w:rsid w:val="007310C5"/>
    <w:rsid w:val="00737342"/>
    <w:rsid w:val="00740B0A"/>
    <w:rsid w:val="00745DBD"/>
    <w:rsid w:val="00763807"/>
    <w:rsid w:val="007721B2"/>
    <w:rsid w:val="00773CE2"/>
    <w:rsid w:val="00790FD1"/>
    <w:rsid w:val="00797CFE"/>
    <w:rsid w:val="007A05BE"/>
    <w:rsid w:val="007B0964"/>
    <w:rsid w:val="007B1D95"/>
    <w:rsid w:val="007B25DF"/>
    <w:rsid w:val="007E7AF8"/>
    <w:rsid w:val="007F66C1"/>
    <w:rsid w:val="008045AE"/>
    <w:rsid w:val="008067A1"/>
    <w:rsid w:val="00816298"/>
    <w:rsid w:val="008456D5"/>
    <w:rsid w:val="0084634B"/>
    <w:rsid w:val="00850073"/>
    <w:rsid w:val="008537E3"/>
    <w:rsid w:val="008607F9"/>
    <w:rsid w:val="008759FE"/>
    <w:rsid w:val="008853FB"/>
    <w:rsid w:val="00886CB3"/>
    <w:rsid w:val="008A1887"/>
    <w:rsid w:val="008A1E65"/>
    <w:rsid w:val="008B5CF1"/>
    <w:rsid w:val="008B6A81"/>
    <w:rsid w:val="008B6F09"/>
    <w:rsid w:val="008C4A09"/>
    <w:rsid w:val="008D1332"/>
    <w:rsid w:val="008E2944"/>
    <w:rsid w:val="008E2A0D"/>
    <w:rsid w:val="008E4411"/>
    <w:rsid w:val="008E5154"/>
    <w:rsid w:val="00900340"/>
    <w:rsid w:val="0091000C"/>
    <w:rsid w:val="00911101"/>
    <w:rsid w:val="00914B5B"/>
    <w:rsid w:val="00917696"/>
    <w:rsid w:val="00920A81"/>
    <w:rsid w:val="0092679E"/>
    <w:rsid w:val="0093489E"/>
    <w:rsid w:val="00944F2D"/>
    <w:rsid w:val="00963F92"/>
    <w:rsid w:val="009701F0"/>
    <w:rsid w:val="00985CAD"/>
    <w:rsid w:val="009909EC"/>
    <w:rsid w:val="009930CD"/>
    <w:rsid w:val="00996B8C"/>
    <w:rsid w:val="009B00F2"/>
    <w:rsid w:val="009B5AAA"/>
    <w:rsid w:val="009B641D"/>
    <w:rsid w:val="009C096E"/>
    <w:rsid w:val="009C2AFA"/>
    <w:rsid w:val="009D674B"/>
    <w:rsid w:val="009E3283"/>
    <w:rsid w:val="009E7BB1"/>
    <w:rsid w:val="009F226B"/>
    <w:rsid w:val="009F4844"/>
    <w:rsid w:val="00A070A2"/>
    <w:rsid w:val="00A07E76"/>
    <w:rsid w:val="00A146EE"/>
    <w:rsid w:val="00A1486D"/>
    <w:rsid w:val="00A16964"/>
    <w:rsid w:val="00A2178F"/>
    <w:rsid w:val="00A319FD"/>
    <w:rsid w:val="00A355AC"/>
    <w:rsid w:val="00A356DE"/>
    <w:rsid w:val="00A55479"/>
    <w:rsid w:val="00A66A8E"/>
    <w:rsid w:val="00A70989"/>
    <w:rsid w:val="00A92627"/>
    <w:rsid w:val="00A95970"/>
    <w:rsid w:val="00A95E57"/>
    <w:rsid w:val="00AB6408"/>
    <w:rsid w:val="00AD2D53"/>
    <w:rsid w:val="00AD7703"/>
    <w:rsid w:val="00AE0827"/>
    <w:rsid w:val="00AE630C"/>
    <w:rsid w:val="00AF0503"/>
    <w:rsid w:val="00B0484D"/>
    <w:rsid w:val="00B15AF7"/>
    <w:rsid w:val="00B3239B"/>
    <w:rsid w:val="00B36AFF"/>
    <w:rsid w:val="00B42AC2"/>
    <w:rsid w:val="00B47A8F"/>
    <w:rsid w:val="00B52530"/>
    <w:rsid w:val="00B572A6"/>
    <w:rsid w:val="00B67C9F"/>
    <w:rsid w:val="00B72D01"/>
    <w:rsid w:val="00B7693E"/>
    <w:rsid w:val="00B83DDC"/>
    <w:rsid w:val="00B934E2"/>
    <w:rsid w:val="00B94236"/>
    <w:rsid w:val="00BA08AA"/>
    <w:rsid w:val="00BA5837"/>
    <w:rsid w:val="00BB2CE0"/>
    <w:rsid w:val="00BB3AAC"/>
    <w:rsid w:val="00BB541C"/>
    <w:rsid w:val="00BC3155"/>
    <w:rsid w:val="00BC7290"/>
    <w:rsid w:val="00BD5EAC"/>
    <w:rsid w:val="00BD61E1"/>
    <w:rsid w:val="00BD6203"/>
    <w:rsid w:val="00BD6999"/>
    <w:rsid w:val="00BE3AD8"/>
    <w:rsid w:val="00BF3B02"/>
    <w:rsid w:val="00C0625E"/>
    <w:rsid w:val="00C11424"/>
    <w:rsid w:val="00C41C06"/>
    <w:rsid w:val="00C55FF8"/>
    <w:rsid w:val="00C57791"/>
    <w:rsid w:val="00C620D1"/>
    <w:rsid w:val="00C64F8C"/>
    <w:rsid w:val="00C813B1"/>
    <w:rsid w:val="00C827A6"/>
    <w:rsid w:val="00C92059"/>
    <w:rsid w:val="00C93AEC"/>
    <w:rsid w:val="00CA1F44"/>
    <w:rsid w:val="00CB295B"/>
    <w:rsid w:val="00CB2CA4"/>
    <w:rsid w:val="00CD233E"/>
    <w:rsid w:val="00CE7F46"/>
    <w:rsid w:val="00CF6CFD"/>
    <w:rsid w:val="00D02062"/>
    <w:rsid w:val="00D15DF7"/>
    <w:rsid w:val="00D24748"/>
    <w:rsid w:val="00D2533F"/>
    <w:rsid w:val="00D368AE"/>
    <w:rsid w:val="00D36D07"/>
    <w:rsid w:val="00D547C0"/>
    <w:rsid w:val="00D5655E"/>
    <w:rsid w:val="00D603F0"/>
    <w:rsid w:val="00D7071A"/>
    <w:rsid w:val="00D73B1A"/>
    <w:rsid w:val="00D9161D"/>
    <w:rsid w:val="00DB35DF"/>
    <w:rsid w:val="00DB79E1"/>
    <w:rsid w:val="00DC0184"/>
    <w:rsid w:val="00DD26D0"/>
    <w:rsid w:val="00DD4BB6"/>
    <w:rsid w:val="00DE4362"/>
    <w:rsid w:val="00DE4FE2"/>
    <w:rsid w:val="00DF62B8"/>
    <w:rsid w:val="00E00D32"/>
    <w:rsid w:val="00E04908"/>
    <w:rsid w:val="00E2218A"/>
    <w:rsid w:val="00E305C9"/>
    <w:rsid w:val="00E30F12"/>
    <w:rsid w:val="00E42258"/>
    <w:rsid w:val="00E4231C"/>
    <w:rsid w:val="00E500B9"/>
    <w:rsid w:val="00E56D12"/>
    <w:rsid w:val="00E6519D"/>
    <w:rsid w:val="00E809C3"/>
    <w:rsid w:val="00E83617"/>
    <w:rsid w:val="00E9382E"/>
    <w:rsid w:val="00E94FDD"/>
    <w:rsid w:val="00E95714"/>
    <w:rsid w:val="00E95BA5"/>
    <w:rsid w:val="00EA6FB1"/>
    <w:rsid w:val="00EB2081"/>
    <w:rsid w:val="00EC4028"/>
    <w:rsid w:val="00EC5B0A"/>
    <w:rsid w:val="00ED1FC0"/>
    <w:rsid w:val="00EE4B8B"/>
    <w:rsid w:val="00F0472D"/>
    <w:rsid w:val="00F1092A"/>
    <w:rsid w:val="00F11869"/>
    <w:rsid w:val="00F1428D"/>
    <w:rsid w:val="00F1750D"/>
    <w:rsid w:val="00F216CF"/>
    <w:rsid w:val="00F271B2"/>
    <w:rsid w:val="00F27FA4"/>
    <w:rsid w:val="00F52797"/>
    <w:rsid w:val="00F655C2"/>
    <w:rsid w:val="00F67CDB"/>
    <w:rsid w:val="00F7191C"/>
    <w:rsid w:val="00F74D07"/>
    <w:rsid w:val="00F7602F"/>
    <w:rsid w:val="00F7683C"/>
    <w:rsid w:val="00F8308D"/>
    <w:rsid w:val="00FC20EE"/>
    <w:rsid w:val="00FC288E"/>
    <w:rsid w:val="00FC2EAC"/>
    <w:rsid w:val="00FC32B2"/>
    <w:rsid w:val="00FC34AF"/>
    <w:rsid w:val="00FD4A08"/>
    <w:rsid w:val="00FD60B5"/>
    <w:rsid w:val="00FF1FFC"/>
    <w:rsid w:val="00FF572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150F0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lang w:val="en-AU" w:eastAsia="en-US" w:bidi="ar-SA"/>
      </w:rPr>
    </w:rPrDefault>
    <w:pPrDefault>
      <w:pPr>
        <w:spacing w:before="16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7342"/>
    <w:pPr>
      <w:suppressAutoHyphens/>
    </w:pPr>
    <w:rPr>
      <w:kern w:val="12"/>
      <w:sz w:val="22"/>
    </w:rPr>
  </w:style>
  <w:style w:type="paragraph" w:styleId="Heading1">
    <w:name w:val="heading 1"/>
    <w:basedOn w:val="Normal"/>
    <w:next w:val="Normal"/>
    <w:link w:val="Heading1Char"/>
    <w:uiPriority w:val="9"/>
    <w:qFormat/>
    <w:rsid w:val="002620D7"/>
    <w:pPr>
      <w:keepNext/>
      <w:keepLines/>
      <w:spacing w:before="480" w:after="160"/>
      <w:contextualSpacing/>
      <w:outlineLvl w:val="0"/>
    </w:pPr>
    <w:rPr>
      <w:rFonts w:asciiTheme="majorHAnsi" w:eastAsiaTheme="majorEastAsia" w:hAnsiTheme="majorHAnsi" w:cstheme="majorBidi"/>
      <w:color w:val="081E3E" w:themeColor="text2"/>
      <w:sz w:val="36"/>
      <w:szCs w:val="32"/>
    </w:rPr>
  </w:style>
  <w:style w:type="paragraph" w:styleId="Heading2">
    <w:name w:val="heading 2"/>
    <w:basedOn w:val="Normal"/>
    <w:next w:val="Normal"/>
    <w:link w:val="Heading2Char"/>
    <w:uiPriority w:val="9"/>
    <w:unhideWhenUsed/>
    <w:qFormat/>
    <w:rsid w:val="00773CE2"/>
    <w:pPr>
      <w:keepNext/>
      <w:keepLines/>
      <w:spacing w:after="160"/>
      <w:outlineLvl w:val="1"/>
    </w:pPr>
    <w:rPr>
      <w:rFonts w:asciiTheme="majorHAnsi" w:eastAsiaTheme="majorEastAsia" w:hAnsiTheme="majorHAnsi" w:cstheme="majorBidi"/>
      <w:color w:val="081E3E" w:themeColor="text2"/>
      <w:sz w:val="32"/>
      <w:szCs w:val="26"/>
    </w:rPr>
  </w:style>
  <w:style w:type="paragraph" w:styleId="Heading3">
    <w:name w:val="heading 3"/>
    <w:basedOn w:val="Normal"/>
    <w:next w:val="Normal"/>
    <w:link w:val="Heading3Char"/>
    <w:uiPriority w:val="9"/>
    <w:unhideWhenUsed/>
    <w:qFormat/>
    <w:rsid w:val="002620D7"/>
    <w:pPr>
      <w:keepNext/>
      <w:keepLines/>
      <w:spacing w:before="240" w:after="160"/>
      <w:outlineLvl w:val="2"/>
    </w:pPr>
    <w:rPr>
      <w:rFonts w:asciiTheme="majorHAnsi" w:eastAsiaTheme="majorEastAsia" w:hAnsiTheme="majorHAnsi" w:cstheme="majorBidi"/>
      <w:b/>
      <w:color w:val="6D7989" w:themeColor="accent4" w:themeShade="BF"/>
      <w:sz w:val="28"/>
      <w:szCs w:val="24"/>
    </w:rPr>
  </w:style>
  <w:style w:type="paragraph" w:styleId="Heading4">
    <w:name w:val="heading 4"/>
    <w:basedOn w:val="Normal"/>
    <w:next w:val="Normal"/>
    <w:link w:val="Heading4Char"/>
    <w:uiPriority w:val="9"/>
    <w:unhideWhenUsed/>
    <w:rsid w:val="00996B8C"/>
    <w:pPr>
      <w:keepNext/>
      <w:keepLines/>
      <w:spacing w:before="240" w:after="160"/>
      <w:outlineLvl w:val="3"/>
    </w:pPr>
    <w:rPr>
      <w:rFonts w:asciiTheme="majorHAnsi" w:eastAsiaTheme="majorEastAsia" w:hAnsiTheme="majorHAnsi" w:cstheme="majorBidi"/>
      <w:b/>
      <w:iCs/>
      <w:color w:val="6D7989" w:themeColor="accent4" w:themeShade="BF"/>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5E23C4"/>
    <w:pPr>
      <w:spacing w:before="0" w:after="0"/>
    </w:pPr>
    <w:rPr>
      <w:rFonts w:asciiTheme="majorHAnsi" w:eastAsiaTheme="majorEastAsia" w:hAnsiTheme="majorHAnsi" w:cstheme="majorBidi"/>
      <w:b/>
      <w:color w:val="081E3E" w:themeColor="text2"/>
      <w:sz w:val="32"/>
      <w:szCs w:val="56"/>
    </w:rPr>
  </w:style>
  <w:style w:type="character" w:customStyle="1" w:styleId="TitleChar">
    <w:name w:val="Title Char"/>
    <w:basedOn w:val="DefaultParagraphFont"/>
    <w:link w:val="Title"/>
    <w:uiPriority w:val="17"/>
    <w:rsid w:val="005E23C4"/>
    <w:rPr>
      <w:rFonts w:asciiTheme="majorHAnsi" w:eastAsiaTheme="majorEastAsia" w:hAnsiTheme="majorHAnsi" w:cstheme="majorBidi"/>
      <w:b/>
      <w:color w:val="081E3E" w:themeColor="text2"/>
      <w:kern w:val="12"/>
      <w:sz w:val="32"/>
      <w:szCs w:val="56"/>
    </w:rPr>
  </w:style>
  <w:style w:type="paragraph" w:styleId="Subtitle">
    <w:name w:val="Subtitle"/>
    <w:basedOn w:val="Normal"/>
    <w:next w:val="Normal"/>
    <w:link w:val="SubtitleChar"/>
    <w:uiPriority w:val="18"/>
    <w:qFormat/>
    <w:rsid w:val="00996B8C"/>
    <w:pPr>
      <w:numPr>
        <w:ilvl w:val="1"/>
      </w:numPr>
      <w:spacing w:before="240" w:after="160"/>
    </w:pPr>
    <w:rPr>
      <w:rFonts w:asciiTheme="majorHAnsi" w:eastAsiaTheme="minorEastAsia" w:hAnsiTheme="majorHAnsi"/>
      <w:color w:val="377B88"/>
      <w:sz w:val="44"/>
      <w:szCs w:val="22"/>
    </w:rPr>
  </w:style>
  <w:style w:type="character" w:customStyle="1" w:styleId="SubtitleChar">
    <w:name w:val="Subtitle Char"/>
    <w:basedOn w:val="DefaultParagraphFont"/>
    <w:link w:val="Subtitle"/>
    <w:uiPriority w:val="18"/>
    <w:rsid w:val="00996B8C"/>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D02062"/>
    <w:rPr>
      <w:b/>
      <w:color w:val="081E3E" w:themeColor="text2"/>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szCs w:val="22"/>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aliases w:val="none,McLL Table General Text,SGS Numeric Table,GTA"/>
    <w:basedOn w:val="TableNormal"/>
    <w:uiPriority w:val="5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qFormat/>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unhideWhenUsed/>
    <w:rsid w:val="005F794B"/>
    <w:rPr>
      <w:vertAlign w:val="superscript"/>
    </w:rPr>
  </w:style>
  <w:style w:type="character" w:customStyle="1" w:styleId="Heading1Char">
    <w:name w:val="Heading 1 Char"/>
    <w:basedOn w:val="DefaultParagraphFont"/>
    <w:link w:val="Heading1"/>
    <w:uiPriority w:val="9"/>
    <w:rsid w:val="002620D7"/>
    <w:rPr>
      <w:rFonts w:asciiTheme="majorHAnsi" w:eastAsiaTheme="majorEastAsia" w:hAnsiTheme="majorHAnsi" w:cstheme="majorBidi"/>
      <w:color w:val="081E3E" w:themeColor="text2"/>
      <w:kern w:val="12"/>
      <w:sz w:val="36"/>
      <w:szCs w:val="32"/>
    </w:rPr>
  </w:style>
  <w:style w:type="character" w:customStyle="1" w:styleId="Heading2Char">
    <w:name w:val="Heading 2 Char"/>
    <w:basedOn w:val="DefaultParagraphFont"/>
    <w:link w:val="Heading2"/>
    <w:uiPriority w:val="9"/>
    <w:rsid w:val="00773CE2"/>
    <w:rPr>
      <w:rFonts w:asciiTheme="majorHAnsi" w:eastAsiaTheme="majorEastAsia" w:hAnsiTheme="majorHAnsi" w:cstheme="majorBidi"/>
      <w:color w:val="081E3E" w:themeColor="text2"/>
      <w:kern w:val="12"/>
      <w:sz w:val="32"/>
      <w:szCs w:val="26"/>
    </w:rPr>
  </w:style>
  <w:style w:type="paragraph" w:customStyle="1" w:styleId="Introduction">
    <w:name w:val="Introduction"/>
    <w:basedOn w:val="Normal"/>
    <w:uiPriority w:val="2"/>
    <w:qFormat/>
    <w:rsid w:val="00996B8C"/>
    <w:pPr>
      <w:spacing w:before="240" w:after="240"/>
    </w:pPr>
    <w:rPr>
      <w:color w:val="377B88"/>
      <w:sz w:val="26"/>
      <w:lang w:val="x-none"/>
    </w:rPr>
  </w:style>
  <w:style w:type="character" w:customStyle="1" w:styleId="Heading3Char">
    <w:name w:val="Heading 3 Char"/>
    <w:basedOn w:val="DefaultParagraphFont"/>
    <w:link w:val="Heading3"/>
    <w:uiPriority w:val="9"/>
    <w:rsid w:val="002620D7"/>
    <w:rPr>
      <w:rFonts w:asciiTheme="majorHAnsi" w:eastAsiaTheme="majorEastAsia" w:hAnsiTheme="majorHAnsi" w:cstheme="majorBidi"/>
      <w:b/>
      <w:color w:val="6D7989" w:themeColor="accent4" w:themeShade="BF"/>
      <w:kern w:val="12"/>
      <w:sz w:val="28"/>
      <w:szCs w:val="24"/>
    </w:rPr>
  </w:style>
  <w:style w:type="character" w:customStyle="1" w:styleId="Heading4Char">
    <w:name w:val="Heading 4 Char"/>
    <w:basedOn w:val="DefaultParagraphFont"/>
    <w:link w:val="Heading4"/>
    <w:uiPriority w:val="9"/>
    <w:rsid w:val="00996B8C"/>
    <w:rPr>
      <w:rFonts w:asciiTheme="majorHAnsi" w:eastAsiaTheme="majorEastAsia" w:hAnsiTheme="majorHAnsi" w:cstheme="majorBidi"/>
      <w:b/>
      <w:iCs/>
      <w:color w:val="6D7989" w:themeColor="accent4" w:themeShade="BF"/>
      <w:kern w:val="12"/>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4BB3B5" w:themeColor="accent2"/>
        <w:bottom w:val="single" w:sz="4" w:space="0" w:color="4BB3B5" w:themeColor="accent2"/>
        <w:insideH w:val="single" w:sz="4" w:space="0" w:color="4BB3B5"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4BB3B5" w:themeColor="accent2"/>
        <w:left w:val="single" w:sz="4" w:space="14" w:color="4BB3B5" w:themeColor="accent2"/>
        <w:bottom w:val="single" w:sz="4" w:space="14" w:color="4BB3B5" w:themeColor="accent2"/>
        <w:right w:val="single" w:sz="4" w:space="14" w:color="4BB3B5" w:themeColor="accent2"/>
      </w:pBdr>
      <w:ind w:left="284" w:right="284"/>
    </w:pPr>
    <w:rPr>
      <w:lang w:val="x-none"/>
    </w:rPr>
  </w:style>
  <w:style w:type="paragraph" w:customStyle="1" w:styleId="Box1Heading">
    <w:name w:val="Box 1 Heading"/>
    <w:basedOn w:val="Box1Text"/>
    <w:uiPriority w:val="23"/>
    <w:qFormat/>
    <w:rsid w:val="00CF6CFD"/>
    <w:rPr>
      <w:b/>
      <w:szCs w:val="22"/>
    </w:rPr>
  </w:style>
  <w:style w:type="paragraph" w:customStyle="1" w:styleId="Moreinformation">
    <w:name w:val="More information"/>
    <w:basedOn w:val="Box1Text"/>
    <w:uiPriority w:val="24"/>
    <w:qFormat/>
    <w:rsid w:val="00CF6CFD"/>
    <w:pPr>
      <w:spacing w:before="80"/>
    </w:pPr>
  </w:style>
  <w:style w:type="paragraph" w:customStyle="1" w:styleId="Box2Text">
    <w:name w:val="Box 2 Text"/>
    <w:basedOn w:val="Normal"/>
    <w:uiPriority w:val="24"/>
    <w:qFormat/>
    <w:rsid w:val="00CF6CFD"/>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3" w:right="283"/>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CF6CFD"/>
    <w:pPr>
      <w:spacing w:before="80"/>
    </w:p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E04908"/>
    <w:pPr>
      <w:pBdr>
        <w:left w:val="single" w:sz="48" w:space="22" w:color="4BB3B5" w:themeColor="accent2"/>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E04908"/>
    <w:rPr>
      <w:b/>
      <w:iCs/>
      <w:color w:val="404040" w:themeColor="text1" w:themeTint="BF"/>
      <w:kern w:val="12"/>
    </w:rPr>
  </w:style>
  <w:style w:type="paragraph" w:styleId="TOC1">
    <w:name w:val="toc 1"/>
    <w:basedOn w:val="Normal"/>
    <w:next w:val="Normal"/>
    <w:autoRedefine/>
    <w:uiPriority w:val="39"/>
    <w:rsid w:val="00A95970"/>
    <w:pPr>
      <w:keepLines/>
      <w:tabs>
        <w:tab w:val="right" w:pos="9854"/>
      </w:tabs>
      <w:ind w:left="567" w:hanging="567"/>
    </w:pPr>
    <w:rPr>
      <w:b/>
      <w:sz w:val="24"/>
      <w:u w:val="single" w:color="4BB3B5"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9E3283"/>
    <w:pPr>
      <w:spacing w:before="0"/>
    </w:pPr>
    <w:rPr>
      <w:rFonts w:cs="Times New Roman (Body CS)"/>
      <w:caps/>
      <w:color w:val="6D7989" w:themeColor="accent4" w:themeShade="BF"/>
      <w:sz w:val="21"/>
    </w:rPr>
  </w:style>
  <w:style w:type="paragraph" w:styleId="BalloonText">
    <w:name w:val="Balloon Text"/>
    <w:basedOn w:val="Normal"/>
    <w:link w:val="BalloonTextChar"/>
    <w:uiPriority w:val="99"/>
    <w:semiHidden/>
    <w:unhideWhenUsed/>
    <w:rsid w:val="009E32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283"/>
    <w:rPr>
      <w:rFonts w:ascii="Segoe UI" w:hAnsi="Segoe UI" w:cs="Segoe UI"/>
      <w:kern w:val="12"/>
      <w:sz w:val="18"/>
      <w:szCs w:val="18"/>
    </w:rPr>
  </w:style>
  <w:style w:type="paragraph" w:styleId="ListParagraph">
    <w:name w:val="List Paragraph"/>
    <w:basedOn w:val="Normal"/>
    <w:uiPriority w:val="99"/>
    <w:unhideWhenUsed/>
    <w:qFormat/>
    <w:rsid w:val="00B47A8F"/>
    <w:pPr>
      <w:ind w:left="720"/>
      <w:contextualSpacing/>
    </w:pPr>
  </w:style>
  <w:style w:type="character" w:styleId="CommentReference">
    <w:name w:val="annotation reference"/>
    <w:basedOn w:val="DefaultParagraphFont"/>
    <w:uiPriority w:val="99"/>
    <w:semiHidden/>
    <w:unhideWhenUsed/>
    <w:rsid w:val="0064633E"/>
    <w:rPr>
      <w:sz w:val="16"/>
      <w:szCs w:val="16"/>
    </w:rPr>
  </w:style>
  <w:style w:type="paragraph" w:styleId="CommentText">
    <w:name w:val="annotation text"/>
    <w:basedOn w:val="Normal"/>
    <w:link w:val="CommentTextChar"/>
    <w:uiPriority w:val="99"/>
    <w:semiHidden/>
    <w:unhideWhenUsed/>
    <w:rsid w:val="0064633E"/>
    <w:rPr>
      <w:sz w:val="20"/>
    </w:rPr>
  </w:style>
  <w:style w:type="character" w:customStyle="1" w:styleId="CommentTextChar">
    <w:name w:val="Comment Text Char"/>
    <w:basedOn w:val="DefaultParagraphFont"/>
    <w:link w:val="CommentText"/>
    <w:uiPriority w:val="99"/>
    <w:semiHidden/>
    <w:rsid w:val="0064633E"/>
    <w:rPr>
      <w:kern w:val="12"/>
    </w:rPr>
  </w:style>
  <w:style w:type="paragraph" w:styleId="CommentSubject">
    <w:name w:val="annotation subject"/>
    <w:basedOn w:val="CommentText"/>
    <w:next w:val="CommentText"/>
    <w:link w:val="CommentSubjectChar"/>
    <w:uiPriority w:val="99"/>
    <w:semiHidden/>
    <w:unhideWhenUsed/>
    <w:rsid w:val="0064633E"/>
    <w:rPr>
      <w:b/>
      <w:bCs/>
    </w:rPr>
  </w:style>
  <w:style w:type="character" w:customStyle="1" w:styleId="CommentSubjectChar">
    <w:name w:val="Comment Subject Char"/>
    <w:basedOn w:val="CommentTextChar"/>
    <w:link w:val="CommentSubject"/>
    <w:uiPriority w:val="99"/>
    <w:semiHidden/>
    <w:rsid w:val="0064633E"/>
    <w:rPr>
      <w:b/>
      <w:bCs/>
      <w:kern w:val="12"/>
    </w:rPr>
  </w:style>
  <w:style w:type="character" w:styleId="UnresolvedMention">
    <w:name w:val="Unresolved Mention"/>
    <w:basedOn w:val="DefaultParagraphFont"/>
    <w:uiPriority w:val="99"/>
    <w:semiHidden/>
    <w:unhideWhenUsed/>
    <w:rsid w:val="00EC4028"/>
    <w:rPr>
      <w:color w:val="605E5C"/>
      <w:shd w:val="clear" w:color="auto" w:fill="E1DFDD"/>
    </w:rPr>
  </w:style>
  <w:style w:type="paragraph" w:customStyle="1" w:styleId="query-text-line">
    <w:name w:val="query-text-line"/>
    <w:basedOn w:val="Normal"/>
    <w:rsid w:val="00CB2CA4"/>
    <w:pPr>
      <w:suppressAutoHyphens w:val="0"/>
      <w:spacing w:before="100" w:beforeAutospacing="1" w:after="100" w:afterAutospacing="1"/>
    </w:pPr>
    <w:rPr>
      <w:rFonts w:ascii="Times New Roman" w:eastAsia="Times New Roman" w:hAnsi="Times New Roman" w:cs="Times New Roman"/>
      <w:color w:val="auto"/>
      <w:kern w:val="0"/>
      <w:sz w:val="24"/>
      <w:szCs w:val="24"/>
      <w:lang w:eastAsia="en-AU"/>
    </w:rPr>
  </w:style>
  <w:style w:type="paragraph" w:customStyle="1" w:styleId="TBLText">
    <w:name w:val="TBL Text"/>
    <w:basedOn w:val="Normal"/>
    <w:uiPriority w:val="9"/>
    <w:qFormat/>
    <w:rsid w:val="002849F2"/>
    <w:pPr>
      <w:suppressAutoHyphens w:val="0"/>
      <w:spacing w:before="0" w:after="0"/>
    </w:pPr>
    <w:rPr>
      <w:rFonts w:eastAsiaTheme="minorEastAsia"/>
      <w:color w:val="auto"/>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79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oITRDC Interim Branding 2020">
      <a:dk1>
        <a:srgbClr val="000000"/>
      </a:dk1>
      <a:lt1>
        <a:srgbClr val="FFFFFF"/>
      </a:lt1>
      <a:dk2>
        <a:srgbClr val="081E3E"/>
      </a:dk2>
      <a:lt2>
        <a:srgbClr val="E7E7E7"/>
      </a:lt2>
      <a:accent1>
        <a:srgbClr val="081E3E"/>
      </a:accent1>
      <a:accent2>
        <a:srgbClr val="4BB3B5"/>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BED01B-25B6-4F50-96D2-6002BC505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Emergency Braking Systems - Consultation Paper</dc:title>
  <dc:subject/>
  <dc:creator>Australian Government, Department of Infrastructure, Transport, Regional Development, Communications, Sport and the Arts</dc:creator>
  <cp:keywords/>
  <dc:description/>
  <cp:lastModifiedBy/>
  <cp:revision>1</cp:revision>
  <dcterms:created xsi:type="dcterms:W3CDTF">2025-10-02T00:02:00Z</dcterms:created>
  <dcterms:modified xsi:type="dcterms:W3CDTF">2025-10-07T20:22:00Z</dcterms:modified>
</cp:coreProperties>
</file>