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505B0" w14:textId="77777777" w:rsidR="00F25EF3" w:rsidRDefault="00F25EF3" w:rsidP="00F25EF3">
      <w:pPr>
        <w:jc w:val="center"/>
        <w:outlineLvl w:val="0"/>
        <w:rPr>
          <w:rFonts w:ascii="Calibri" w:hAnsi="Calibri"/>
        </w:rPr>
      </w:pPr>
      <w:bookmarkStart w:id="0" w:name="_Hlk116657684"/>
      <w:bookmarkStart w:id="1" w:name="_GoBack"/>
      <w:bookmarkEnd w:id="1"/>
      <w:r>
        <w:rPr>
          <w:b/>
          <w:noProof/>
          <w:color w:val="2B579A"/>
          <w:shd w:val="clear" w:color="auto" w:fill="E6E6E6"/>
          <w:lang w:eastAsia="en-AU"/>
        </w:rPr>
        <w:drawing>
          <wp:inline distT="0" distB="0" distL="0" distR="0" wp14:anchorId="5881CEF9" wp14:editId="06EDFF07">
            <wp:extent cx="81915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19150" cy="638175"/>
                    </a:xfrm>
                    <a:prstGeom prst="rect">
                      <a:avLst/>
                    </a:prstGeom>
                    <a:noFill/>
                    <a:ln>
                      <a:noFill/>
                    </a:ln>
                  </pic:spPr>
                </pic:pic>
              </a:graphicData>
            </a:graphic>
          </wp:inline>
        </w:drawing>
      </w:r>
    </w:p>
    <w:p w14:paraId="2BE7FFB0" w14:textId="77777777" w:rsidR="00F25EF3" w:rsidRDefault="00F25EF3" w:rsidP="00F25EF3">
      <w:pPr>
        <w:jc w:val="center"/>
        <w:outlineLvl w:val="0"/>
        <w:rPr>
          <w:b/>
          <w:lang w:val="en-GB" w:eastAsia="en-AU"/>
        </w:rPr>
      </w:pPr>
    </w:p>
    <w:p w14:paraId="7E48D91A" w14:textId="77777777" w:rsidR="00F25EF3" w:rsidRDefault="00F25EF3" w:rsidP="00F25EF3">
      <w:pPr>
        <w:jc w:val="center"/>
        <w:outlineLvl w:val="0"/>
        <w:rPr>
          <w:b/>
        </w:rPr>
      </w:pPr>
      <w:r w:rsidRPr="00B12584">
        <w:rPr>
          <w:b/>
        </w:rPr>
        <w:t>COMMONWEALTH OF AUSTRALIA</w:t>
      </w:r>
    </w:p>
    <w:p w14:paraId="4BBDB64D" w14:textId="77777777" w:rsidR="00F25EF3" w:rsidRDefault="00F25EF3" w:rsidP="00F25EF3">
      <w:pPr>
        <w:rPr>
          <w:b/>
        </w:rPr>
      </w:pPr>
    </w:p>
    <w:p w14:paraId="48078B8D" w14:textId="4F4F1504" w:rsidR="00F25EF3" w:rsidRPr="00FC1FE0" w:rsidRDefault="00F25EF3" w:rsidP="00F25EF3">
      <w:pPr>
        <w:jc w:val="center"/>
        <w:outlineLvl w:val="0"/>
        <w:rPr>
          <w:b/>
          <w:sz w:val="32"/>
          <w:szCs w:val="32"/>
        </w:rPr>
      </w:pPr>
      <w:r>
        <w:rPr>
          <w:b/>
          <w:sz w:val="32"/>
          <w:szCs w:val="32"/>
        </w:rPr>
        <w:t>Australian Communications and Media Authority</w:t>
      </w:r>
    </w:p>
    <w:p w14:paraId="6481896C" w14:textId="77777777" w:rsidR="00F25EF3" w:rsidRPr="00FC1FE0" w:rsidRDefault="00F25EF3" w:rsidP="00F25EF3">
      <w:pPr>
        <w:jc w:val="center"/>
        <w:outlineLvl w:val="0"/>
        <w:rPr>
          <w:sz w:val="32"/>
          <w:szCs w:val="32"/>
        </w:rPr>
      </w:pPr>
      <w:r w:rsidRPr="00FC1FE0">
        <w:rPr>
          <w:b/>
          <w:sz w:val="32"/>
          <w:szCs w:val="32"/>
        </w:rPr>
        <w:t>Statement of Expectations</w:t>
      </w:r>
    </w:p>
    <w:p w14:paraId="6C37A655" w14:textId="77777777" w:rsidR="00F25EF3" w:rsidRDefault="00F25EF3">
      <w:pPr>
        <w:rPr>
          <w:b/>
          <w:lang w:val="en-US"/>
        </w:rPr>
      </w:pPr>
    </w:p>
    <w:p w14:paraId="58801DC4" w14:textId="77777777" w:rsidR="009A3869" w:rsidRDefault="009A3869" w:rsidP="00E350CC">
      <w:pPr>
        <w:rPr>
          <w:highlight w:val="lightGray"/>
        </w:rPr>
      </w:pPr>
      <w:r w:rsidRPr="00E350CC">
        <w:rPr>
          <w:lang w:val="en-US"/>
        </w:rPr>
        <w:t>This Statement of Expectations (</w:t>
      </w:r>
      <w:proofErr w:type="spellStart"/>
      <w:r w:rsidRPr="00E350CC">
        <w:rPr>
          <w:lang w:val="en-US"/>
        </w:rPr>
        <w:t>SoE</w:t>
      </w:r>
      <w:proofErr w:type="spellEnd"/>
      <w:r w:rsidRPr="00E350CC">
        <w:rPr>
          <w:lang w:val="en-US"/>
        </w:rPr>
        <w:t xml:space="preserve">) outlines </w:t>
      </w:r>
      <w:r w:rsidR="00611A10">
        <w:rPr>
          <w:lang w:val="en-US"/>
        </w:rPr>
        <w:t>the Australian Government’s</w:t>
      </w:r>
      <w:r w:rsidRPr="00E350CC">
        <w:rPr>
          <w:lang w:val="en-US"/>
        </w:rPr>
        <w:t xml:space="preserve"> expectations </w:t>
      </w:r>
      <w:r w:rsidR="00611A10">
        <w:rPr>
          <w:lang w:val="en-US"/>
        </w:rPr>
        <w:t>for the</w:t>
      </w:r>
      <w:r w:rsidRPr="00E350CC">
        <w:rPr>
          <w:lang w:val="en-US"/>
        </w:rPr>
        <w:t xml:space="preserve"> Australian Communications and Media Authority (ACMA).</w:t>
      </w:r>
      <w:r w:rsidR="00611A10">
        <w:rPr>
          <w:lang w:val="en-US"/>
        </w:rPr>
        <w:t xml:space="preserve"> </w:t>
      </w:r>
    </w:p>
    <w:p w14:paraId="4602D30E" w14:textId="77777777" w:rsidR="00685EA6" w:rsidRDefault="00C206E5" w:rsidP="00E350CC">
      <w:r>
        <w:t>T</w:t>
      </w:r>
      <w:r w:rsidRPr="001219C1">
        <w:t xml:space="preserve">he communications </w:t>
      </w:r>
      <w:r w:rsidR="003B3D36">
        <w:t xml:space="preserve">and media </w:t>
      </w:r>
      <w:r w:rsidRPr="001219C1">
        <w:t>sector</w:t>
      </w:r>
      <w:r w:rsidR="00A227A3">
        <w:t>s</w:t>
      </w:r>
      <w:r w:rsidR="00B338E3">
        <w:tab/>
      </w:r>
      <w:r>
        <w:t>are</w:t>
      </w:r>
      <w:r w:rsidRPr="00C206E5">
        <w:t xml:space="preserve"> </w:t>
      </w:r>
      <w:r w:rsidR="00B338E3">
        <w:t xml:space="preserve">integral to an inclusive, </w:t>
      </w:r>
      <w:r w:rsidR="006958A8">
        <w:t xml:space="preserve">connected, </w:t>
      </w:r>
      <w:r w:rsidR="00B338E3">
        <w:t>productive</w:t>
      </w:r>
      <w:r w:rsidR="00DE2904">
        <w:t xml:space="preserve">, </w:t>
      </w:r>
      <w:r w:rsidR="00B338E3">
        <w:t xml:space="preserve">cohesive </w:t>
      </w:r>
      <w:r w:rsidR="00DE2904">
        <w:t xml:space="preserve">and creative </w:t>
      </w:r>
      <w:r w:rsidR="00B338E3">
        <w:t>society</w:t>
      </w:r>
      <w:r w:rsidR="006958A8">
        <w:t>, and</w:t>
      </w:r>
      <w:r w:rsidR="00B338E3">
        <w:t xml:space="preserve"> </w:t>
      </w:r>
      <w:r w:rsidR="006A4006">
        <w:t>are essential</w:t>
      </w:r>
      <w:r w:rsidR="00B338E3">
        <w:t xml:space="preserve"> </w:t>
      </w:r>
      <w:r w:rsidR="006A4006">
        <w:t>for</w:t>
      </w:r>
      <w:r w:rsidR="00B338E3">
        <w:t xml:space="preserve"> government and </w:t>
      </w:r>
      <w:r w:rsidR="00991EB0">
        <w:t>businesses</w:t>
      </w:r>
      <w:r w:rsidR="0053733D">
        <w:t>, as well as communities</w:t>
      </w:r>
      <w:r w:rsidR="00B338E3">
        <w:t xml:space="preserve">. </w:t>
      </w:r>
      <w:r w:rsidR="003B6076">
        <w:t>Communications</w:t>
      </w:r>
      <w:r w:rsidR="001A336C">
        <w:t xml:space="preserve"> </w:t>
      </w:r>
      <w:r w:rsidR="006A4006">
        <w:t xml:space="preserve">networks </w:t>
      </w:r>
      <w:r w:rsidR="00685EA6">
        <w:t xml:space="preserve">are </w:t>
      </w:r>
      <w:r w:rsidR="006A4006">
        <w:t>a key component of Australia’s critical infrastructure</w:t>
      </w:r>
      <w:r w:rsidR="00166F10">
        <w:t>, and COVID-19</w:t>
      </w:r>
      <w:r w:rsidR="006A4006">
        <w:t xml:space="preserve"> and r</w:t>
      </w:r>
      <w:r w:rsidR="00B338E3">
        <w:t>ecent natural disasters and emergencies have highlighted increasing community reliance on communications and connectivity</w:t>
      </w:r>
      <w:r w:rsidR="00685EA6">
        <w:t xml:space="preserve"> to respond and recover</w:t>
      </w:r>
      <w:r w:rsidR="006A4006">
        <w:t>.</w:t>
      </w:r>
      <w:r w:rsidR="00685EA6">
        <w:t xml:space="preserve"> Digital services continue to grow and expand into more aspects of life and business. </w:t>
      </w:r>
      <w:r w:rsidR="00BD6BB0">
        <w:t xml:space="preserve">Innovative technologies </w:t>
      </w:r>
      <w:r w:rsidR="00685EA6">
        <w:t>continue to emerge and disrupt or transform industries, including the media sector.</w:t>
      </w:r>
    </w:p>
    <w:p w14:paraId="75678B50" w14:textId="77777777" w:rsidR="00DE2904" w:rsidRDefault="006A4006" w:rsidP="00DE2904">
      <w:pPr>
        <w:spacing w:after="120"/>
        <w:rPr>
          <w:rFonts w:ascii="Calibri" w:hAnsi="Calibri" w:cs="Calibri"/>
        </w:rPr>
      </w:pPr>
      <w:r w:rsidRPr="001219C1">
        <w:t xml:space="preserve">The ACMA </w:t>
      </w:r>
      <w:r w:rsidR="00DE2904">
        <w:t>has</w:t>
      </w:r>
      <w:r w:rsidRPr="001219C1">
        <w:t xml:space="preserve"> an important role </w:t>
      </w:r>
      <w:r w:rsidR="00DE2904">
        <w:t>to support industry and consumers in delivering and accessing essential communications services</w:t>
      </w:r>
      <w:r>
        <w:t>.</w:t>
      </w:r>
      <w:r w:rsidR="00DE2904" w:rsidRPr="00DE2904">
        <w:rPr>
          <w:rFonts w:ascii="Calibri" w:hAnsi="Calibri" w:cs="Calibri"/>
        </w:rPr>
        <w:t xml:space="preserve"> </w:t>
      </w:r>
      <w:r w:rsidR="00DE2904">
        <w:rPr>
          <w:rFonts w:ascii="Calibri" w:hAnsi="Calibri" w:cs="Calibri"/>
        </w:rPr>
        <w:t>T</w:t>
      </w:r>
      <w:r w:rsidR="00DE2904" w:rsidRPr="00454AF1">
        <w:rPr>
          <w:rFonts w:ascii="Calibri" w:hAnsi="Calibri" w:cs="Calibri"/>
        </w:rPr>
        <w:t xml:space="preserve">he </w:t>
      </w:r>
      <w:r w:rsidR="00DE2904">
        <w:rPr>
          <w:rFonts w:ascii="Calibri" w:hAnsi="Calibri" w:cs="Calibri"/>
        </w:rPr>
        <w:t xml:space="preserve">Government expects </w:t>
      </w:r>
      <w:r w:rsidR="00DE2904" w:rsidRPr="00454AF1">
        <w:rPr>
          <w:rFonts w:ascii="Calibri" w:hAnsi="Calibri" w:cs="Calibri"/>
        </w:rPr>
        <w:t xml:space="preserve">ACMA </w:t>
      </w:r>
      <w:r w:rsidR="00DE2904">
        <w:rPr>
          <w:rFonts w:ascii="Calibri" w:hAnsi="Calibri" w:cs="Calibri"/>
        </w:rPr>
        <w:t>to</w:t>
      </w:r>
      <w:r w:rsidR="00DE2904" w:rsidRPr="00454AF1">
        <w:rPr>
          <w:rFonts w:ascii="Calibri" w:hAnsi="Calibri" w:cs="Calibri"/>
        </w:rPr>
        <w:t xml:space="preserve"> </w:t>
      </w:r>
      <w:r w:rsidR="001F76C7" w:rsidRPr="0024100A">
        <w:rPr>
          <w:lang w:val="en-US"/>
        </w:rPr>
        <w:t>actively execute its powers and functions</w:t>
      </w:r>
      <w:r w:rsidR="001F76C7" w:rsidRPr="001F76C7">
        <w:rPr>
          <w:rFonts w:ascii="Calibri" w:hAnsi="Calibri" w:cs="Calibri"/>
        </w:rPr>
        <w:t xml:space="preserve"> taking account of the </w:t>
      </w:r>
      <w:r w:rsidR="001F76C7">
        <w:rPr>
          <w:rFonts w:ascii="Calibri" w:hAnsi="Calibri" w:cs="Calibri"/>
        </w:rPr>
        <w:t>matters set out below</w:t>
      </w:r>
      <w:r w:rsidR="001F76C7" w:rsidRPr="001F76C7">
        <w:rPr>
          <w:rFonts w:ascii="Calibri" w:hAnsi="Calibri" w:cs="Calibri"/>
        </w:rPr>
        <w:t>.</w:t>
      </w:r>
      <w:r w:rsidR="00DE2904" w:rsidRPr="00454AF1">
        <w:rPr>
          <w:rFonts w:ascii="Calibri" w:hAnsi="Calibri" w:cs="Calibri"/>
        </w:rPr>
        <w:t xml:space="preserve"> </w:t>
      </w:r>
    </w:p>
    <w:p w14:paraId="205863FE" w14:textId="46712C39" w:rsidR="00A20C60" w:rsidRPr="00E350CC" w:rsidRDefault="00A20C60" w:rsidP="00A20C60">
      <w:pPr>
        <w:rPr>
          <w:lang w:val="en-US"/>
        </w:rPr>
      </w:pPr>
      <w:r w:rsidRPr="00E350CC">
        <w:rPr>
          <w:lang w:val="en-US"/>
        </w:rPr>
        <w:t xml:space="preserve">The Government expects that the ACMA will respond with a Statement of Intent </w:t>
      </w:r>
      <w:r w:rsidR="004E742F">
        <w:rPr>
          <w:lang w:val="en-US"/>
        </w:rPr>
        <w:t>(</w:t>
      </w:r>
      <w:proofErr w:type="spellStart"/>
      <w:r w:rsidR="004E742F">
        <w:rPr>
          <w:lang w:val="en-US"/>
        </w:rPr>
        <w:t>SoI</w:t>
      </w:r>
      <w:proofErr w:type="spellEnd"/>
      <w:r w:rsidR="004E742F">
        <w:rPr>
          <w:lang w:val="en-US"/>
        </w:rPr>
        <w:t xml:space="preserve">) </w:t>
      </w:r>
      <w:r w:rsidRPr="00E350CC">
        <w:rPr>
          <w:lang w:val="en-US"/>
        </w:rPr>
        <w:t xml:space="preserve">within three months from the date of this </w:t>
      </w:r>
      <w:proofErr w:type="spellStart"/>
      <w:r w:rsidRPr="00E350CC">
        <w:rPr>
          <w:lang w:val="en-US"/>
        </w:rPr>
        <w:t>SoE</w:t>
      </w:r>
      <w:proofErr w:type="spellEnd"/>
      <w:r w:rsidRPr="00E350CC">
        <w:rPr>
          <w:lang w:val="en-US"/>
        </w:rPr>
        <w:t>.</w:t>
      </w:r>
    </w:p>
    <w:p w14:paraId="7A00B859" w14:textId="77777777" w:rsidR="001D2644" w:rsidRPr="00F25EF3" w:rsidRDefault="001D2644" w:rsidP="001D2644">
      <w:pPr>
        <w:rPr>
          <w:b/>
          <w:sz w:val="28"/>
          <w:szCs w:val="28"/>
        </w:rPr>
      </w:pPr>
      <w:r w:rsidRPr="00F25EF3">
        <w:rPr>
          <w:b/>
          <w:sz w:val="28"/>
          <w:szCs w:val="28"/>
        </w:rPr>
        <w:t>Role and Responsibilities of ACMA</w:t>
      </w:r>
    </w:p>
    <w:p w14:paraId="08AD2D90" w14:textId="7A46E18E" w:rsidR="001D2644" w:rsidRDefault="001D2644" w:rsidP="001D2644">
      <w:pPr>
        <w:rPr>
          <w:lang w:val="en-US"/>
        </w:rPr>
      </w:pPr>
      <w:r w:rsidRPr="00E350CC">
        <w:rPr>
          <w:lang w:val="en-US"/>
        </w:rPr>
        <w:t xml:space="preserve">The ACMA is responsible for </w:t>
      </w:r>
      <w:r>
        <w:rPr>
          <w:lang w:val="en-US"/>
        </w:rPr>
        <w:t xml:space="preserve">regulating and </w:t>
      </w:r>
      <w:r w:rsidRPr="00156C6E">
        <w:rPr>
          <w:lang w:val="en-US"/>
        </w:rPr>
        <w:t>enforc</w:t>
      </w:r>
      <w:r w:rsidRPr="00245719">
        <w:rPr>
          <w:lang w:val="en-US"/>
        </w:rPr>
        <w:t xml:space="preserve">ing </w:t>
      </w:r>
      <w:r w:rsidRPr="00E350CC">
        <w:rPr>
          <w:lang w:val="en-US"/>
        </w:rPr>
        <w:t>telecommunications, broadcasting, radiocommunications,</w:t>
      </w:r>
      <w:r w:rsidR="00BD6BB0">
        <w:rPr>
          <w:lang w:val="en-US"/>
        </w:rPr>
        <w:t xml:space="preserve"> scams,</w:t>
      </w:r>
      <w:r w:rsidRPr="00E350CC">
        <w:rPr>
          <w:lang w:val="en-US"/>
        </w:rPr>
        <w:t xml:space="preserve"> unsolicited communications</w:t>
      </w:r>
      <w:r w:rsidRPr="00037178">
        <w:rPr>
          <w:lang w:val="en-US"/>
        </w:rPr>
        <w:t xml:space="preserve">, and </w:t>
      </w:r>
      <w:r w:rsidR="009330B1" w:rsidRPr="00037178">
        <w:rPr>
          <w:lang w:val="en-US"/>
        </w:rPr>
        <w:t xml:space="preserve">some </w:t>
      </w:r>
      <w:r w:rsidRPr="00037178">
        <w:rPr>
          <w:lang w:val="en-US"/>
        </w:rPr>
        <w:t>online content. The</w:t>
      </w:r>
      <w:r>
        <w:rPr>
          <w:lang w:val="en-US"/>
        </w:rPr>
        <w:t xml:space="preserve"> A</w:t>
      </w:r>
      <w:r w:rsidRPr="00E350CC">
        <w:rPr>
          <w:lang w:val="en-US"/>
        </w:rPr>
        <w:t xml:space="preserve">CMA </w:t>
      </w:r>
      <w:r>
        <w:rPr>
          <w:lang w:val="en-US"/>
        </w:rPr>
        <w:t xml:space="preserve">is required </w:t>
      </w:r>
      <w:r w:rsidRPr="00E350CC">
        <w:rPr>
          <w:lang w:val="en-US"/>
        </w:rPr>
        <w:t>to perform its functions in accordance with the</w:t>
      </w:r>
      <w:r w:rsidRPr="00E350CC">
        <w:rPr>
          <w:i/>
          <w:lang w:val="en-US"/>
        </w:rPr>
        <w:t xml:space="preserve"> Australian Communications and Media Authority Act</w:t>
      </w:r>
      <w:r>
        <w:rPr>
          <w:i/>
          <w:lang w:val="en-US"/>
        </w:rPr>
        <w:t> </w:t>
      </w:r>
      <w:r w:rsidRPr="00E350CC">
        <w:rPr>
          <w:i/>
          <w:lang w:val="en-US"/>
        </w:rPr>
        <w:t>2005</w:t>
      </w:r>
      <w:r w:rsidRPr="00E350CC">
        <w:rPr>
          <w:lang w:val="en-US"/>
        </w:rPr>
        <w:t xml:space="preserve">, the </w:t>
      </w:r>
      <w:r w:rsidRPr="00E350CC">
        <w:rPr>
          <w:i/>
          <w:lang w:val="en-US"/>
        </w:rPr>
        <w:t>Public Governance, Performance and Accountability Act 2013</w:t>
      </w:r>
      <w:r w:rsidRPr="00E350CC">
        <w:rPr>
          <w:lang w:val="en-US"/>
        </w:rPr>
        <w:t xml:space="preserve">, </w:t>
      </w:r>
      <w:r w:rsidRPr="00E350CC">
        <w:rPr>
          <w:i/>
          <w:lang w:val="en-US"/>
        </w:rPr>
        <w:t>the Public Service Act 1999</w:t>
      </w:r>
      <w:r w:rsidRPr="00E350CC">
        <w:rPr>
          <w:lang w:val="en-US"/>
        </w:rPr>
        <w:t xml:space="preserve"> </w:t>
      </w:r>
      <w:r>
        <w:rPr>
          <w:lang w:val="en-US"/>
        </w:rPr>
        <w:t>and</w:t>
      </w:r>
      <w:r w:rsidRPr="00E350CC">
        <w:rPr>
          <w:lang w:val="en-US"/>
        </w:rPr>
        <w:t xml:space="preserve"> other relevant legislation. </w:t>
      </w:r>
    </w:p>
    <w:p w14:paraId="76B9B145" w14:textId="77777777" w:rsidR="001F76C7" w:rsidRPr="00F25EF3" w:rsidRDefault="001F76C7" w:rsidP="00F25EF3">
      <w:pPr>
        <w:spacing w:before="240"/>
        <w:rPr>
          <w:b/>
          <w:sz w:val="28"/>
          <w:szCs w:val="28"/>
        </w:rPr>
      </w:pPr>
      <w:r w:rsidRPr="00F25EF3">
        <w:rPr>
          <w:b/>
          <w:sz w:val="28"/>
          <w:szCs w:val="28"/>
        </w:rPr>
        <w:t>Regulatory Approach</w:t>
      </w:r>
    </w:p>
    <w:p w14:paraId="4CD29A9A" w14:textId="77777777" w:rsidR="003B3D36" w:rsidRPr="0024100A" w:rsidRDefault="003B3D36" w:rsidP="0024100A">
      <w:r w:rsidRPr="0024100A">
        <w:t>I expect</w:t>
      </w:r>
      <w:r w:rsidR="00FD27D3">
        <w:t xml:space="preserve"> the</w:t>
      </w:r>
      <w:r w:rsidRPr="0024100A">
        <w:t xml:space="preserve"> ACMA, in the performance of its regulatory functions, to be guided by the principles outlined in the Government's Regulator Performance Guide:</w:t>
      </w:r>
    </w:p>
    <w:p w14:paraId="4681ED92" w14:textId="77777777" w:rsidR="003B3D36" w:rsidRPr="0024100A" w:rsidRDefault="003B3D36" w:rsidP="0024100A">
      <w:pPr>
        <w:pStyle w:val="ListParagraph"/>
        <w:numPr>
          <w:ilvl w:val="0"/>
          <w:numId w:val="23"/>
        </w:numPr>
      </w:pPr>
      <w:r w:rsidRPr="0024100A">
        <w:rPr>
          <w:b/>
        </w:rPr>
        <w:t>Continuous improvement and building trust</w:t>
      </w:r>
      <w:r w:rsidRPr="0024100A">
        <w:t> - adopt a whole-of-system perspective, continuously improving ACMA’s performance, capability and culture to build trust and confidence in Australia's communications and media regulatory settings.</w:t>
      </w:r>
    </w:p>
    <w:p w14:paraId="0183DBE6" w14:textId="77777777" w:rsidR="003B3D36" w:rsidRPr="0024100A" w:rsidRDefault="003B3D36" w:rsidP="0024100A">
      <w:pPr>
        <w:pStyle w:val="ListParagraph"/>
        <w:numPr>
          <w:ilvl w:val="0"/>
          <w:numId w:val="23"/>
        </w:numPr>
      </w:pPr>
      <w:r w:rsidRPr="0024100A">
        <w:rPr>
          <w:b/>
        </w:rPr>
        <w:lastRenderedPageBreak/>
        <w:t>Risk based and data driven</w:t>
      </w:r>
      <w:r w:rsidRPr="0024100A">
        <w:t xml:space="preserve"> - manage risks proportionately and maintain essential safeguards while minimising regulatory burden, and leveraging data and digital technology to support </w:t>
      </w:r>
      <w:r w:rsidR="004A21BD">
        <w:t xml:space="preserve">regulated entities </w:t>
      </w:r>
      <w:r w:rsidRPr="0024100A">
        <w:t>comply and grow.</w:t>
      </w:r>
    </w:p>
    <w:p w14:paraId="3A97C293" w14:textId="77777777" w:rsidR="003B3D36" w:rsidRPr="0024100A" w:rsidRDefault="003B3D36" w:rsidP="0024100A">
      <w:pPr>
        <w:pStyle w:val="ListParagraph"/>
        <w:numPr>
          <w:ilvl w:val="0"/>
          <w:numId w:val="23"/>
        </w:numPr>
      </w:pPr>
      <w:r w:rsidRPr="0024100A">
        <w:rPr>
          <w:b/>
        </w:rPr>
        <w:t>Collaboration and engagement</w:t>
      </w:r>
      <w:r w:rsidRPr="0024100A">
        <w:t> - be a transparent and responsive communicator, implementing regulations in a modern and collaborative way.</w:t>
      </w:r>
    </w:p>
    <w:p w14:paraId="32C5A116" w14:textId="1515B940" w:rsidR="006C5202" w:rsidRDefault="00415DDB" w:rsidP="00415DDB">
      <w:r w:rsidRPr="00037178">
        <w:t xml:space="preserve">I expect the ACMA to pursue opportunities to simplify requirements or reduce burden, particularly for parts of industry with lower risk operations, and ensure that requirements are practicable for industry. I support the ACMA </w:t>
      </w:r>
      <w:proofErr w:type="gramStart"/>
      <w:r w:rsidRPr="00037178">
        <w:t>taking into account</w:t>
      </w:r>
      <w:proofErr w:type="gramEnd"/>
      <w:r w:rsidRPr="00037178">
        <w:t xml:space="preserve"> the diverse nature of communications and media businesses, and their consumers, in making regulatory decisions.</w:t>
      </w:r>
    </w:p>
    <w:p w14:paraId="62C19890" w14:textId="3ABA5DD0" w:rsidR="006C5202" w:rsidRDefault="00FD27D3" w:rsidP="0024100A">
      <w:r w:rsidRPr="00037178">
        <w:t xml:space="preserve">I </w:t>
      </w:r>
      <w:r w:rsidR="00D10F19" w:rsidRPr="00037178">
        <w:t xml:space="preserve">support the ACMA </w:t>
      </w:r>
      <w:r w:rsidRPr="00037178">
        <w:t>act</w:t>
      </w:r>
      <w:r w:rsidR="00D10F19" w:rsidRPr="00037178">
        <w:t>ing</w:t>
      </w:r>
      <w:r w:rsidRPr="00037178">
        <w:t xml:space="preserve"> </w:t>
      </w:r>
      <w:r w:rsidR="007A11D0" w:rsidRPr="00037178">
        <w:t xml:space="preserve">proactively and </w:t>
      </w:r>
      <w:r w:rsidRPr="00037178">
        <w:t xml:space="preserve">expediently to minimise harm and foster </w:t>
      </w:r>
      <w:r w:rsidR="00D10F19" w:rsidRPr="00037178">
        <w:t>well-functioning markets that enhance public interests and the Government’s priorities</w:t>
      </w:r>
      <w:r w:rsidRPr="00037178">
        <w:t>.</w:t>
      </w:r>
      <w:r w:rsidR="00D10F19" w:rsidRPr="00037178">
        <w:t xml:space="preserve"> This</w:t>
      </w:r>
      <w:r w:rsidR="00D10F19">
        <w:t xml:space="preserve"> includes </w:t>
      </w:r>
      <w:r w:rsidR="00E84F26">
        <w:t xml:space="preserve">targeted </w:t>
      </w:r>
      <w:r w:rsidR="00D10F19">
        <w:t>industry education and engagement</w:t>
      </w:r>
      <w:r w:rsidR="00694F0B">
        <w:t xml:space="preserve">, </w:t>
      </w:r>
      <w:r w:rsidR="007A11D0">
        <w:t xml:space="preserve">being more directive in setting expectations for the </w:t>
      </w:r>
      <w:r w:rsidR="00694F0B">
        <w:t xml:space="preserve">development of </w:t>
      </w:r>
      <w:r w:rsidR="007A11D0">
        <w:t xml:space="preserve">industry </w:t>
      </w:r>
      <w:r w:rsidR="00694F0B">
        <w:t>codes</w:t>
      </w:r>
      <w:r w:rsidR="007A11D0">
        <w:t xml:space="preserve">, utilising existing powers to make </w:t>
      </w:r>
      <w:r w:rsidR="00694F0B">
        <w:t>standards</w:t>
      </w:r>
      <w:r w:rsidR="007A11D0">
        <w:t xml:space="preserve"> and service provider determinations as appropriate</w:t>
      </w:r>
      <w:r w:rsidR="00694F0B">
        <w:t xml:space="preserve">, and </w:t>
      </w:r>
      <w:r w:rsidR="007A11D0">
        <w:t xml:space="preserve">undertaking </w:t>
      </w:r>
      <w:r w:rsidR="00694F0B">
        <w:t>enforcement action.</w:t>
      </w:r>
      <w:r w:rsidR="006C5202">
        <w:t xml:space="preserve"> </w:t>
      </w:r>
    </w:p>
    <w:p w14:paraId="7750FC17" w14:textId="112682D4" w:rsidR="00A66BE2" w:rsidRDefault="00A66BE2" w:rsidP="0024100A">
      <w:r>
        <w:t xml:space="preserve">I ask that </w:t>
      </w:r>
      <w:r w:rsidR="00415DDB">
        <w:t xml:space="preserve">the </w:t>
      </w:r>
      <w:r>
        <w:t>ACMA report to me each year</w:t>
      </w:r>
      <w:r w:rsidR="007D175F">
        <w:t xml:space="preserve"> </w:t>
      </w:r>
      <w:r w:rsidR="007D175F" w:rsidRPr="006C5202">
        <w:t>in its corporate plan</w:t>
      </w:r>
      <w:r w:rsidR="007D175F">
        <w:t xml:space="preserve"> </w:t>
      </w:r>
      <w:r w:rsidR="004E6123">
        <w:t xml:space="preserve">on its </w:t>
      </w:r>
      <w:r w:rsidR="00BB224E">
        <w:t xml:space="preserve">compliance and </w:t>
      </w:r>
      <w:r w:rsidR="004E6123">
        <w:t xml:space="preserve">enforcement </w:t>
      </w:r>
      <w:r w:rsidR="004E6123" w:rsidRPr="003C6AA2">
        <w:t>priorities</w:t>
      </w:r>
      <w:r w:rsidR="00BB224E" w:rsidRPr="003C6AA2">
        <w:t xml:space="preserve"> and </w:t>
      </w:r>
      <w:r w:rsidR="004E6123" w:rsidRPr="003C6AA2">
        <w:t>its views on the level of compliance</w:t>
      </w:r>
      <w:r w:rsidR="00BB224E" w:rsidRPr="003C6AA2">
        <w:t>.</w:t>
      </w:r>
      <w:r w:rsidR="004E6123">
        <w:t xml:space="preserve"> </w:t>
      </w:r>
    </w:p>
    <w:p w14:paraId="78E3E5FA" w14:textId="77777777" w:rsidR="00415DDB" w:rsidRDefault="00415DDB" w:rsidP="0024100A">
      <w:r w:rsidRPr="00415DDB">
        <w:t xml:space="preserve">Where the ACMA is satisfied existing policy or regulation may </w:t>
      </w:r>
      <w:r w:rsidR="004A21BD">
        <w:t>present</w:t>
      </w:r>
      <w:r w:rsidR="004A21BD" w:rsidRPr="00415DDB">
        <w:t xml:space="preserve"> </w:t>
      </w:r>
      <w:r w:rsidRPr="00415DDB">
        <w:t>a barrier to better outcomes</w:t>
      </w:r>
      <w:r w:rsidR="003419D6">
        <w:t>,</w:t>
      </w:r>
      <w:r w:rsidRPr="00415DDB">
        <w:t xml:space="preserve"> I expect it to draw this to the attention of the Government. Where the Government considers policy or regulatory change is needed, I expect the ACMA to support such change to the best of its ability.     </w:t>
      </w:r>
    </w:p>
    <w:p w14:paraId="59FAB01D" w14:textId="77777777" w:rsidR="00A20C60" w:rsidRPr="00F25EF3" w:rsidRDefault="001F76C7" w:rsidP="00611A10">
      <w:pPr>
        <w:rPr>
          <w:b/>
          <w:sz w:val="28"/>
          <w:szCs w:val="28"/>
        </w:rPr>
      </w:pPr>
      <w:r w:rsidRPr="00F25EF3">
        <w:rPr>
          <w:b/>
          <w:sz w:val="28"/>
          <w:szCs w:val="28"/>
        </w:rPr>
        <w:t xml:space="preserve">The Government’s </w:t>
      </w:r>
      <w:r w:rsidR="00A20C60" w:rsidRPr="00F25EF3">
        <w:rPr>
          <w:b/>
          <w:sz w:val="28"/>
          <w:szCs w:val="28"/>
        </w:rPr>
        <w:t>p</w:t>
      </w:r>
      <w:r w:rsidRPr="00F25EF3">
        <w:rPr>
          <w:b/>
          <w:sz w:val="28"/>
          <w:szCs w:val="28"/>
        </w:rPr>
        <w:t xml:space="preserve">olicy </w:t>
      </w:r>
      <w:r w:rsidR="00A20C60" w:rsidRPr="00F25EF3">
        <w:rPr>
          <w:b/>
          <w:sz w:val="28"/>
          <w:szCs w:val="28"/>
        </w:rPr>
        <w:t>p</w:t>
      </w:r>
      <w:r w:rsidRPr="00F25EF3">
        <w:rPr>
          <w:b/>
          <w:sz w:val="28"/>
          <w:szCs w:val="28"/>
        </w:rPr>
        <w:t>riorities</w:t>
      </w:r>
    </w:p>
    <w:p w14:paraId="014331F7" w14:textId="77777777" w:rsidR="00BB224E" w:rsidRPr="00F4669B" w:rsidRDefault="00BB224E" w:rsidP="00BB224E">
      <w:r w:rsidRPr="00F4669B">
        <w:t>I also expect the ACMA to support particular objectives and priorities with respect to the Government’s communications and media objectives:</w:t>
      </w:r>
    </w:p>
    <w:p w14:paraId="09E073A7" w14:textId="77777777" w:rsidR="00BB224E" w:rsidRPr="006718FB" w:rsidRDefault="00BB224E" w:rsidP="00BB224E">
      <w:pPr>
        <w:pStyle w:val="ListParagraph"/>
        <w:numPr>
          <w:ilvl w:val="0"/>
          <w:numId w:val="24"/>
        </w:numPr>
        <w:spacing w:line="256" w:lineRule="auto"/>
      </w:pPr>
      <w:r w:rsidRPr="006718FB">
        <w:t>promoting investment, innovation and the adoption of new and emerging technologies, while continuing to safeguard the interests</w:t>
      </w:r>
      <w:r w:rsidR="00363EF9" w:rsidRPr="006718FB">
        <w:t xml:space="preserve"> of consumers and small businesses</w:t>
      </w:r>
      <w:r w:rsidRPr="006718FB">
        <w:t>;</w:t>
      </w:r>
    </w:p>
    <w:p w14:paraId="02C17383" w14:textId="77777777" w:rsidR="00363EF9" w:rsidRPr="00F4669B" w:rsidRDefault="002F154D" w:rsidP="00363EF9">
      <w:pPr>
        <w:pStyle w:val="ListParagraph"/>
        <w:numPr>
          <w:ilvl w:val="0"/>
          <w:numId w:val="24"/>
        </w:numPr>
        <w:spacing w:line="256" w:lineRule="auto"/>
      </w:pPr>
      <w:r w:rsidRPr="00F4669B">
        <w:t>working with industry</w:t>
      </w:r>
      <w:r w:rsidR="003205B9" w:rsidRPr="00F4669B">
        <w:t xml:space="preserve"> and regulators</w:t>
      </w:r>
      <w:r w:rsidRPr="00F4669B">
        <w:t xml:space="preserve"> to</w:t>
      </w:r>
      <w:r w:rsidR="004A21BD" w:rsidRPr="00F4669B">
        <w:t xml:space="preserve"> </w:t>
      </w:r>
      <w:r w:rsidRPr="00F4669B">
        <w:t>improve protections for</w:t>
      </w:r>
      <w:r w:rsidR="004D4FB3" w:rsidRPr="00F4669B">
        <w:t xml:space="preserve"> </w:t>
      </w:r>
      <w:r w:rsidR="00BB224E" w:rsidRPr="00F4669B">
        <w:t xml:space="preserve">Australians </w:t>
      </w:r>
      <w:r w:rsidR="004A21BD" w:rsidRPr="00F4669B">
        <w:t>against</w:t>
      </w:r>
      <w:r w:rsidR="00BB224E" w:rsidRPr="00F4669B">
        <w:t xml:space="preserve"> scams</w:t>
      </w:r>
      <w:r w:rsidR="004D4FB3" w:rsidRPr="00F4669B">
        <w:t xml:space="preserve"> </w:t>
      </w:r>
      <w:r w:rsidR="004A21BD" w:rsidRPr="00F4669B">
        <w:t xml:space="preserve">over </w:t>
      </w:r>
      <w:r w:rsidR="00363EF9" w:rsidRPr="00F4669B">
        <w:t>telecommunications and messaging</w:t>
      </w:r>
      <w:r w:rsidR="004A21BD" w:rsidRPr="00F4669B">
        <w:t xml:space="preserve"> </w:t>
      </w:r>
      <w:r w:rsidR="00462B86" w:rsidRPr="00F4669B">
        <w:t>services</w:t>
      </w:r>
      <w:r w:rsidR="004A21BD" w:rsidRPr="00F4669B">
        <w:t>, and to disrupt scam activity</w:t>
      </w:r>
      <w:r w:rsidR="004D4FB3" w:rsidRPr="00F4669B">
        <w:t>;</w:t>
      </w:r>
    </w:p>
    <w:p w14:paraId="52791D27" w14:textId="63C994D7" w:rsidR="00363EF9" w:rsidRPr="00F4669B" w:rsidRDefault="003B2BCF" w:rsidP="00363EF9">
      <w:pPr>
        <w:pStyle w:val="ListParagraph"/>
        <w:numPr>
          <w:ilvl w:val="0"/>
          <w:numId w:val="24"/>
        </w:numPr>
        <w:spacing w:line="256" w:lineRule="auto"/>
      </w:pPr>
      <w:r w:rsidRPr="003C6AA2">
        <w:t xml:space="preserve">supporting whole-of-government initiatives to </w:t>
      </w:r>
      <w:r w:rsidR="003B6076" w:rsidRPr="003C6AA2">
        <w:t>a</w:t>
      </w:r>
      <w:r w:rsidR="00363EF9" w:rsidRPr="003C6AA2">
        <w:t>ddress online misinformation and disinformation to help provide safeguards against the spread of false, misleading or</w:t>
      </w:r>
      <w:r w:rsidR="00363EF9" w:rsidRPr="00F4669B">
        <w:t xml:space="preserve"> deceptive information that can cause harm, while continuing to support free speech.</w:t>
      </w:r>
    </w:p>
    <w:p w14:paraId="0B6037FA" w14:textId="77777777" w:rsidR="00FC44B4" w:rsidRPr="00F4669B" w:rsidRDefault="002761DF" w:rsidP="00BB224E">
      <w:pPr>
        <w:pStyle w:val="ListParagraph"/>
        <w:numPr>
          <w:ilvl w:val="0"/>
          <w:numId w:val="24"/>
        </w:numPr>
        <w:spacing w:line="256" w:lineRule="auto"/>
      </w:pPr>
      <w:r w:rsidRPr="00F4669B">
        <w:t>w</w:t>
      </w:r>
      <w:r w:rsidR="00AE6FDC" w:rsidRPr="00F4669B">
        <w:t>ork</w:t>
      </w:r>
      <w:r w:rsidR="00076F03" w:rsidRPr="00F4669B">
        <w:t>ing</w:t>
      </w:r>
      <w:r w:rsidR="00AE6FDC" w:rsidRPr="00F4669B">
        <w:t xml:space="preserve"> with </w:t>
      </w:r>
      <w:r w:rsidRPr="00F4669B">
        <w:t xml:space="preserve">relevant departments and agencies to </w:t>
      </w:r>
      <w:r w:rsidR="002F154D" w:rsidRPr="00F4669B">
        <w:t>ensur</w:t>
      </w:r>
      <w:r w:rsidRPr="00F4669B">
        <w:t>e</w:t>
      </w:r>
      <w:r w:rsidR="00BB224E" w:rsidRPr="00F4669B">
        <w:t xml:space="preserve"> telecommunications consumer safeguards</w:t>
      </w:r>
      <w:r w:rsidR="002F154D" w:rsidRPr="00F4669B">
        <w:t xml:space="preserve"> are fit for purpose</w:t>
      </w:r>
      <w:r w:rsidR="00363EF9" w:rsidRPr="00F4669B">
        <w:t>, with a focus on vulnerable consumers</w:t>
      </w:r>
      <w:r w:rsidR="003B6076" w:rsidRPr="00F4669B">
        <w:t xml:space="preserve"> and First Nations communities</w:t>
      </w:r>
      <w:r w:rsidR="00BB224E" w:rsidRPr="00F4669B">
        <w:t>;</w:t>
      </w:r>
    </w:p>
    <w:p w14:paraId="0550399B" w14:textId="0F20D8AC" w:rsidR="00C916A1" w:rsidRPr="003B611F" w:rsidRDefault="00363EF9" w:rsidP="00363EF9">
      <w:pPr>
        <w:pStyle w:val="ListParagraph"/>
        <w:numPr>
          <w:ilvl w:val="0"/>
          <w:numId w:val="24"/>
        </w:numPr>
        <w:spacing w:line="256" w:lineRule="auto"/>
      </w:pPr>
      <w:r w:rsidRPr="003B611F">
        <w:t xml:space="preserve">supporting government policies related to regional, rural and remote Australia including </w:t>
      </w:r>
      <w:r w:rsidR="00C916A1" w:rsidRPr="003B611F">
        <w:t xml:space="preserve">by having regard to </w:t>
      </w:r>
      <w:r w:rsidR="00947214" w:rsidRPr="003B611F">
        <w:t>relevant ministerial policy statements</w:t>
      </w:r>
      <w:r w:rsidR="00C916A1" w:rsidRPr="003B611F">
        <w:t xml:space="preserve"> in the planning and allocation of spectrum </w:t>
      </w:r>
      <w:r w:rsidR="00194FAF" w:rsidRPr="003B611F">
        <w:t>to</w:t>
      </w:r>
      <w:r w:rsidR="00C916A1" w:rsidRPr="003B611F">
        <w:t xml:space="preserve"> support innovation and competition in </w:t>
      </w:r>
      <w:r w:rsidR="006C32EE" w:rsidRPr="003B611F">
        <w:t>these</w:t>
      </w:r>
      <w:r w:rsidR="00C916A1" w:rsidRPr="003B611F">
        <w:t xml:space="preserve"> areas</w:t>
      </w:r>
      <w:r w:rsidRPr="003B611F">
        <w:t>;</w:t>
      </w:r>
      <w:r w:rsidR="00BB224E" w:rsidRPr="003B611F">
        <w:t xml:space="preserve"> </w:t>
      </w:r>
    </w:p>
    <w:p w14:paraId="71BEA33B" w14:textId="77777777" w:rsidR="00BB224E" w:rsidRPr="00F4669B" w:rsidRDefault="00BB224E" w:rsidP="00BB224E">
      <w:pPr>
        <w:pStyle w:val="ListParagraph"/>
        <w:numPr>
          <w:ilvl w:val="0"/>
          <w:numId w:val="24"/>
        </w:numPr>
        <w:spacing w:line="256" w:lineRule="auto"/>
      </w:pPr>
      <w:r w:rsidRPr="003B611F">
        <w:t>supporting the work to reform the</w:t>
      </w:r>
      <w:r w:rsidRPr="00F4669B">
        <w:t xml:space="preserve"> media regulatory framework to support a viable, sustainable and diverse media sector that supports the public interest and meets the needs of Australian audiences; </w:t>
      </w:r>
    </w:p>
    <w:p w14:paraId="398909EB" w14:textId="1D12C323" w:rsidR="00BB224E" w:rsidRPr="003B611F" w:rsidRDefault="00BB224E" w:rsidP="00BB224E">
      <w:pPr>
        <w:pStyle w:val="ListParagraph"/>
        <w:numPr>
          <w:ilvl w:val="0"/>
          <w:numId w:val="24"/>
        </w:numPr>
        <w:spacing w:line="256" w:lineRule="auto"/>
      </w:pPr>
      <w:r w:rsidRPr="003B611F">
        <w:t>work</w:t>
      </w:r>
      <w:r w:rsidR="00076F03" w:rsidRPr="003B611F">
        <w:t>ing</w:t>
      </w:r>
      <w:r w:rsidRPr="003B611F">
        <w:t xml:space="preserve"> with my Department, industry and other Government agencies </w:t>
      </w:r>
      <w:r w:rsidR="00186BE5" w:rsidRPr="003B611F">
        <w:t xml:space="preserve">(including the National Emergency Management Agency) </w:t>
      </w:r>
      <w:r w:rsidRPr="003B611F">
        <w:t>to improve the resilience of telecommunications networks to natural and cyber hazards</w:t>
      </w:r>
      <w:r w:rsidR="00872EB6" w:rsidRPr="003B611F">
        <w:t>; and</w:t>
      </w:r>
    </w:p>
    <w:p w14:paraId="594E3D08" w14:textId="77777777" w:rsidR="00BB224E" w:rsidRPr="00F4669B" w:rsidRDefault="00BB224E" w:rsidP="00BB224E">
      <w:pPr>
        <w:pStyle w:val="ListParagraph"/>
        <w:numPr>
          <w:ilvl w:val="0"/>
          <w:numId w:val="24"/>
        </w:numPr>
        <w:spacing w:line="256" w:lineRule="auto"/>
        <w:rPr>
          <w:rFonts w:eastAsia="Times New Roman"/>
        </w:rPr>
      </w:pPr>
      <w:r w:rsidRPr="003B611F">
        <w:rPr>
          <w:rFonts w:eastAsia="Times New Roman"/>
        </w:rPr>
        <w:t>promoting the long</w:t>
      </w:r>
      <w:r w:rsidRPr="003B611F">
        <w:rPr>
          <w:rFonts w:ascii="Cambria Math" w:eastAsia="Times New Roman" w:hAnsi="Cambria Math"/>
        </w:rPr>
        <w:noBreakHyphen/>
      </w:r>
      <w:r w:rsidRPr="003B611F">
        <w:rPr>
          <w:rFonts w:eastAsia="Times New Roman"/>
        </w:rPr>
        <w:t>term public interest derived from spectrum</w:t>
      </w:r>
      <w:r w:rsidRPr="00F4669B">
        <w:rPr>
          <w:rFonts w:eastAsia="Times New Roman"/>
        </w:rPr>
        <w:t xml:space="preserve">, including the benefits of technological developments that improve spectrum utilisation and efficiency. </w:t>
      </w:r>
    </w:p>
    <w:p w14:paraId="298852BF" w14:textId="77777777" w:rsidR="00611A10" w:rsidRPr="0024100A" w:rsidRDefault="00FD27D3" w:rsidP="0024100A">
      <w:r>
        <w:lastRenderedPageBreak/>
        <w:t xml:space="preserve">In exercising its regulatory powers and functions, I expect the ACMA to </w:t>
      </w:r>
      <w:r w:rsidR="009C2315">
        <w:t xml:space="preserve">actively </w:t>
      </w:r>
      <w:r w:rsidR="00611A10">
        <w:t xml:space="preserve">support </w:t>
      </w:r>
      <w:r w:rsidR="00872EB6">
        <w:t xml:space="preserve">the wider </w:t>
      </w:r>
      <w:r w:rsidR="00611A10">
        <w:t xml:space="preserve">Government </w:t>
      </w:r>
      <w:r w:rsidR="00DE2904">
        <w:t xml:space="preserve">policy objectives and </w:t>
      </w:r>
      <w:r w:rsidR="00611A10">
        <w:t>priorities</w:t>
      </w:r>
      <w:r w:rsidR="00991EB0">
        <w:t>.</w:t>
      </w:r>
    </w:p>
    <w:p w14:paraId="6DDB2002" w14:textId="77777777" w:rsidR="00991EB0" w:rsidRDefault="005B2DA6" w:rsidP="00991EB0">
      <w:r>
        <w:t xml:space="preserve">In particular, </w:t>
      </w:r>
      <w:r w:rsidR="00991EB0">
        <w:t>I expect the ACMA to have regard to and contribute to</w:t>
      </w:r>
      <w:r w:rsidR="00C42B7F">
        <w:t>,</w:t>
      </w:r>
      <w:r w:rsidR="00991EB0">
        <w:t xml:space="preserve"> where possible</w:t>
      </w:r>
      <w:r w:rsidR="00C42B7F">
        <w:t>,</w:t>
      </w:r>
      <w:r w:rsidR="00991EB0">
        <w:t xml:space="preserve"> the Government’s policy priorities with respect to:</w:t>
      </w:r>
    </w:p>
    <w:p w14:paraId="0A67D687" w14:textId="77777777" w:rsidR="00991EB0" w:rsidRDefault="00991EB0" w:rsidP="00991EB0">
      <w:pPr>
        <w:pStyle w:val="ListParagraph"/>
        <w:numPr>
          <w:ilvl w:val="0"/>
          <w:numId w:val="24"/>
        </w:numPr>
        <w:spacing w:line="256" w:lineRule="auto"/>
      </w:pPr>
      <w:r>
        <w:t>First Nations Australians and meeting the Closing the Gap targets;</w:t>
      </w:r>
    </w:p>
    <w:p w14:paraId="4C9DBECD" w14:textId="77777777" w:rsidR="00991EB0" w:rsidRDefault="008E5D29" w:rsidP="00991EB0">
      <w:pPr>
        <w:pStyle w:val="ListParagraph"/>
        <w:numPr>
          <w:ilvl w:val="0"/>
          <w:numId w:val="24"/>
        </w:numPr>
        <w:spacing w:line="256" w:lineRule="auto"/>
      </w:pPr>
      <w:r>
        <w:t>t</w:t>
      </w:r>
      <w:r w:rsidR="00991EB0">
        <w:t>he commitment to Net Zero by 2050 and the role that digital infrastructure and services can contribute to this objective; and</w:t>
      </w:r>
    </w:p>
    <w:p w14:paraId="5AAD9C6E" w14:textId="77777777" w:rsidR="00991EB0" w:rsidRDefault="00991EB0" w:rsidP="00991EB0">
      <w:pPr>
        <w:pStyle w:val="ListParagraph"/>
        <w:numPr>
          <w:ilvl w:val="0"/>
          <w:numId w:val="24"/>
        </w:numPr>
        <w:spacing w:line="256" w:lineRule="auto"/>
      </w:pPr>
      <w:r>
        <w:t>deepen</w:t>
      </w:r>
      <w:r w:rsidR="001F5F9F">
        <w:t>ing</w:t>
      </w:r>
      <w:r>
        <w:t xml:space="preserve"> people-to-people links and cooperation between Australia and the Indo-Pacific.</w:t>
      </w:r>
    </w:p>
    <w:p w14:paraId="51571F9F" w14:textId="77777777" w:rsidR="00A4214F" w:rsidRPr="00F25EF3" w:rsidRDefault="00E350CC" w:rsidP="00F25EF3">
      <w:pPr>
        <w:spacing w:before="240"/>
        <w:rPr>
          <w:b/>
          <w:sz w:val="28"/>
          <w:szCs w:val="28"/>
        </w:rPr>
      </w:pPr>
      <w:r w:rsidRPr="00F25EF3">
        <w:rPr>
          <w:b/>
          <w:sz w:val="28"/>
          <w:szCs w:val="28"/>
        </w:rPr>
        <w:t>Relationship with the Minister</w:t>
      </w:r>
      <w:r w:rsidR="008620BC" w:rsidRPr="00F25EF3">
        <w:rPr>
          <w:b/>
          <w:sz w:val="28"/>
          <w:szCs w:val="28"/>
        </w:rPr>
        <w:t xml:space="preserve"> </w:t>
      </w:r>
    </w:p>
    <w:p w14:paraId="1664F3AD" w14:textId="77777777" w:rsidR="006C30ED" w:rsidRDefault="007B3067" w:rsidP="0001629D">
      <w:r w:rsidRPr="004F4047">
        <w:t xml:space="preserve">I expect that </w:t>
      </w:r>
      <w:r w:rsidR="004F4047">
        <w:t xml:space="preserve">the </w:t>
      </w:r>
      <w:r w:rsidRPr="004F4047">
        <w:t>ACMA will provide me with accurate and timely advice on significant issues</w:t>
      </w:r>
      <w:r w:rsidR="00A20C60">
        <w:t>. Examples include</w:t>
      </w:r>
      <w:r w:rsidRPr="004F4047">
        <w:t xml:space="preserve">: </w:t>
      </w:r>
    </w:p>
    <w:p w14:paraId="39E4F051" w14:textId="77777777" w:rsidR="00A20C60" w:rsidRPr="0024100A" w:rsidRDefault="00A20C60" w:rsidP="00A20C60">
      <w:pPr>
        <w:pStyle w:val="ListParagraph"/>
        <w:numPr>
          <w:ilvl w:val="0"/>
          <w:numId w:val="21"/>
        </w:numPr>
        <w:rPr>
          <w:szCs w:val="24"/>
        </w:rPr>
      </w:pPr>
      <w:r>
        <w:t>matters which the Government may be required to discuss in Parliament</w:t>
      </w:r>
      <w:r w:rsidRPr="00A20C60">
        <w:rPr>
          <w:color w:val="000000"/>
        </w:rPr>
        <w:t xml:space="preserve"> </w:t>
      </w:r>
      <w:r>
        <w:rPr>
          <w:color w:val="000000"/>
        </w:rPr>
        <w:t xml:space="preserve">or other important issues for which the </w:t>
      </w:r>
      <w:r w:rsidRPr="0001629D">
        <w:rPr>
          <w:color w:val="000000"/>
        </w:rPr>
        <w:t>Government is accountable to the Parliament</w:t>
      </w:r>
      <w:r>
        <w:t>;</w:t>
      </w:r>
    </w:p>
    <w:p w14:paraId="1EE41D4F" w14:textId="77777777" w:rsidR="006C30ED" w:rsidRPr="00A20C60" w:rsidRDefault="00A20C60">
      <w:pPr>
        <w:pStyle w:val="ListParagraph"/>
        <w:numPr>
          <w:ilvl w:val="0"/>
          <w:numId w:val="21"/>
        </w:numPr>
        <w:rPr>
          <w:szCs w:val="24"/>
        </w:rPr>
      </w:pPr>
      <w:r>
        <w:t xml:space="preserve">important </w:t>
      </w:r>
      <w:r w:rsidR="007B3067" w:rsidRPr="004F4047">
        <w:t>statutory</w:t>
      </w:r>
      <w:r>
        <w:t xml:space="preserve">, </w:t>
      </w:r>
      <w:r w:rsidR="007B3067" w:rsidRPr="004F4047">
        <w:t xml:space="preserve">operational </w:t>
      </w:r>
      <w:r>
        <w:t xml:space="preserve">or </w:t>
      </w:r>
      <w:r w:rsidR="007B3067" w:rsidRPr="004F4047">
        <w:t xml:space="preserve">budgetary issues; </w:t>
      </w:r>
    </w:p>
    <w:p w14:paraId="304516EC" w14:textId="77777777" w:rsidR="006C30ED" w:rsidRPr="006C30ED" w:rsidRDefault="007B3067" w:rsidP="006C30ED">
      <w:pPr>
        <w:pStyle w:val="ListParagraph"/>
        <w:numPr>
          <w:ilvl w:val="0"/>
          <w:numId w:val="21"/>
        </w:numPr>
        <w:rPr>
          <w:szCs w:val="24"/>
        </w:rPr>
      </w:pPr>
      <w:r w:rsidRPr="004F4047">
        <w:t>issues likely to have a significant impact on regulate</w:t>
      </w:r>
      <w:r w:rsidR="00A20C60">
        <w:t>d entities</w:t>
      </w:r>
      <w:r w:rsidR="0001629D">
        <w:t xml:space="preserve">; and </w:t>
      </w:r>
    </w:p>
    <w:p w14:paraId="658D308D" w14:textId="77777777" w:rsidR="00725E47" w:rsidRPr="006C30ED" w:rsidRDefault="0001629D" w:rsidP="0024100A">
      <w:pPr>
        <w:pStyle w:val="ListParagraph"/>
        <w:numPr>
          <w:ilvl w:val="0"/>
          <w:numId w:val="21"/>
        </w:numPr>
        <w:rPr>
          <w:szCs w:val="24"/>
        </w:rPr>
      </w:pPr>
      <w:r w:rsidRPr="006C30ED">
        <w:rPr>
          <w:lang w:val="en-US"/>
        </w:rPr>
        <w:t>e</w:t>
      </w:r>
      <w:r w:rsidR="00725E47" w:rsidRPr="006C30ED">
        <w:rPr>
          <w:lang w:val="en-US"/>
        </w:rPr>
        <w:t xml:space="preserve">merging </w:t>
      </w:r>
      <w:r w:rsidR="00A20C60">
        <w:rPr>
          <w:lang w:val="en-US"/>
        </w:rPr>
        <w:t xml:space="preserve">policy and regulatory </w:t>
      </w:r>
      <w:r w:rsidR="00725E47" w:rsidRPr="006C30ED">
        <w:rPr>
          <w:lang w:val="en-US"/>
        </w:rPr>
        <w:t>is</w:t>
      </w:r>
      <w:r w:rsidR="00725E47" w:rsidRPr="006C30ED">
        <w:rPr>
          <w:szCs w:val="24"/>
        </w:rPr>
        <w:t xml:space="preserve">sues in the communications </w:t>
      </w:r>
      <w:r w:rsidR="00A20C60">
        <w:rPr>
          <w:szCs w:val="24"/>
        </w:rPr>
        <w:t xml:space="preserve">and media </w:t>
      </w:r>
      <w:r w:rsidR="00725E47" w:rsidRPr="006C30ED">
        <w:rPr>
          <w:szCs w:val="24"/>
        </w:rPr>
        <w:t>sector</w:t>
      </w:r>
      <w:r w:rsidR="00A20C60">
        <w:rPr>
          <w:szCs w:val="24"/>
        </w:rPr>
        <w:t>s</w:t>
      </w:r>
      <w:r w:rsidR="00725E47" w:rsidRPr="006C30ED">
        <w:rPr>
          <w:szCs w:val="24"/>
        </w:rPr>
        <w:t>.</w:t>
      </w:r>
    </w:p>
    <w:p w14:paraId="748C82BC" w14:textId="77777777" w:rsidR="006D6414" w:rsidRDefault="0001629D" w:rsidP="0001629D">
      <w:pPr>
        <w:rPr>
          <w:color w:val="000000"/>
        </w:rPr>
      </w:pPr>
      <w:r w:rsidRPr="0001629D">
        <w:rPr>
          <w:color w:val="000000"/>
        </w:rPr>
        <w:t xml:space="preserve">I </w:t>
      </w:r>
      <w:r w:rsidR="0074799C">
        <w:rPr>
          <w:color w:val="000000"/>
        </w:rPr>
        <w:t>ask</w:t>
      </w:r>
      <w:r w:rsidRPr="0001629D">
        <w:rPr>
          <w:color w:val="000000"/>
        </w:rPr>
        <w:t xml:space="preserve"> </w:t>
      </w:r>
      <w:r w:rsidR="0074799C">
        <w:rPr>
          <w:color w:val="000000"/>
        </w:rPr>
        <w:t xml:space="preserve">that the </w:t>
      </w:r>
      <w:r w:rsidRPr="0001629D">
        <w:rPr>
          <w:color w:val="000000"/>
        </w:rPr>
        <w:t xml:space="preserve">ACMA keep me informed </w:t>
      </w:r>
      <w:r w:rsidR="00A20C60">
        <w:rPr>
          <w:color w:val="000000"/>
        </w:rPr>
        <w:t>of</w:t>
      </w:r>
      <w:r w:rsidRPr="0001629D">
        <w:rPr>
          <w:color w:val="000000"/>
        </w:rPr>
        <w:t xml:space="preserve"> </w:t>
      </w:r>
      <w:r w:rsidR="0092468B">
        <w:rPr>
          <w:color w:val="000000"/>
        </w:rPr>
        <w:t>any</w:t>
      </w:r>
      <w:r w:rsidRPr="0001629D">
        <w:rPr>
          <w:color w:val="000000"/>
        </w:rPr>
        <w:t xml:space="preserve"> public submissions</w:t>
      </w:r>
      <w:r w:rsidR="007E12DD">
        <w:rPr>
          <w:color w:val="000000"/>
        </w:rPr>
        <w:t>, statements or speeches</w:t>
      </w:r>
      <w:r w:rsidR="00035B15">
        <w:rPr>
          <w:color w:val="000000"/>
        </w:rPr>
        <w:t>, preferably in advance where significant matters are involved</w:t>
      </w:r>
      <w:r w:rsidRPr="0001629D">
        <w:rPr>
          <w:color w:val="000000"/>
        </w:rPr>
        <w:t>.</w:t>
      </w:r>
      <w:r>
        <w:rPr>
          <w:color w:val="000000"/>
        </w:rPr>
        <w:t xml:space="preserve"> </w:t>
      </w:r>
    </w:p>
    <w:p w14:paraId="4D806D9E" w14:textId="77777777" w:rsidR="0001629D" w:rsidRPr="00F25EF3" w:rsidRDefault="0001629D" w:rsidP="00F25EF3">
      <w:pPr>
        <w:spacing w:before="240"/>
        <w:rPr>
          <w:b/>
          <w:sz w:val="28"/>
          <w:szCs w:val="28"/>
        </w:rPr>
      </w:pPr>
      <w:r w:rsidRPr="00F25EF3">
        <w:rPr>
          <w:b/>
          <w:sz w:val="28"/>
          <w:szCs w:val="28"/>
        </w:rPr>
        <w:t xml:space="preserve">Relationship with the Department of Infrastructure, Transport, Regional Development, Communications and the Arts </w:t>
      </w:r>
      <w:r w:rsidR="00694F0B" w:rsidRPr="00F25EF3">
        <w:rPr>
          <w:b/>
          <w:sz w:val="28"/>
          <w:szCs w:val="28"/>
        </w:rPr>
        <w:t>(the Department)</w:t>
      </w:r>
    </w:p>
    <w:p w14:paraId="52FA2209" w14:textId="77777777" w:rsidR="00694F0B" w:rsidRDefault="007158A6" w:rsidP="00156C6E">
      <w:pPr>
        <w:pStyle w:val="Bullet1"/>
        <w:numPr>
          <w:ilvl w:val="0"/>
          <w:numId w:val="0"/>
        </w:numPr>
        <w:rPr>
          <w:rFonts w:asciiTheme="minorHAnsi" w:eastAsiaTheme="minorHAnsi" w:hAnsiTheme="minorHAnsi" w:cstheme="minorBidi"/>
          <w:color w:val="auto"/>
          <w:kern w:val="0"/>
          <w:sz w:val="22"/>
          <w:szCs w:val="22"/>
          <w:lang w:val="en-AU"/>
        </w:rPr>
      </w:pPr>
      <w:r w:rsidRPr="007158A6">
        <w:rPr>
          <w:rFonts w:asciiTheme="minorHAnsi" w:eastAsiaTheme="minorHAnsi" w:hAnsiTheme="minorHAnsi" w:cstheme="minorBidi"/>
          <w:color w:val="auto"/>
          <w:kern w:val="0"/>
          <w:sz w:val="22"/>
          <w:szCs w:val="22"/>
          <w:lang w:val="en-AU"/>
        </w:rPr>
        <w:t>I expect the Department and the ACMA to maintain a close and productive working relationship</w:t>
      </w:r>
      <w:r w:rsidR="00694F0B">
        <w:rPr>
          <w:rFonts w:asciiTheme="minorHAnsi" w:eastAsiaTheme="minorHAnsi" w:hAnsiTheme="minorHAnsi" w:cstheme="minorBidi"/>
          <w:color w:val="auto"/>
          <w:kern w:val="0"/>
          <w:sz w:val="22"/>
          <w:szCs w:val="22"/>
          <w:lang w:val="en-AU"/>
        </w:rPr>
        <w:t xml:space="preserve"> to support the Department’s role in advising me on policy, budget and other matters</w:t>
      </w:r>
      <w:r w:rsidRPr="007158A6">
        <w:rPr>
          <w:rFonts w:asciiTheme="minorHAnsi" w:eastAsiaTheme="minorHAnsi" w:hAnsiTheme="minorHAnsi" w:cstheme="minorBidi"/>
          <w:color w:val="auto"/>
          <w:kern w:val="0"/>
          <w:sz w:val="22"/>
          <w:szCs w:val="22"/>
          <w:lang w:val="en-AU"/>
        </w:rPr>
        <w:t>.</w:t>
      </w:r>
      <w:r w:rsidR="00694F0B">
        <w:rPr>
          <w:rFonts w:asciiTheme="minorHAnsi" w:eastAsiaTheme="minorHAnsi" w:hAnsiTheme="minorHAnsi" w:cstheme="minorBidi"/>
          <w:color w:val="auto"/>
          <w:kern w:val="0"/>
          <w:sz w:val="22"/>
          <w:szCs w:val="22"/>
          <w:lang w:val="en-AU"/>
        </w:rPr>
        <w:t xml:space="preserve"> </w:t>
      </w:r>
    </w:p>
    <w:p w14:paraId="60F892BA" w14:textId="77777777" w:rsidR="00694F0B" w:rsidRDefault="00694F0B" w:rsidP="00156C6E">
      <w:pPr>
        <w:pStyle w:val="Bullet1"/>
        <w:numPr>
          <w:ilvl w:val="0"/>
          <w:numId w:val="0"/>
        </w:numPr>
        <w:rPr>
          <w:rFonts w:asciiTheme="minorHAnsi" w:eastAsiaTheme="minorHAnsi" w:hAnsiTheme="minorHAnsi" w:cstheme="minorBidi"/>
          <w:color w:val="auto"/>
          <w:kern w:val="0"/>
          <w:sz w:val="22"/>
          <w:szCs w:val="22"/>
          <w:lang w:val="en-AU"/>
        </w:rPr>
      </w:pPr>
      <w:r>
        <w:rPr>
          <w:rFonts w:asciiTheme="minorHAnsi" w:eastAsiaTheme="minorHAnsi" w:hAnsiTheme="minorHAnsi" w:cstheme="minorBidi"/>
          <w:color w:val="auto"/>
          <w:kern w:val="0"/>
          <w:sz w:val="22"/>
          <w:szCs w:val="22"/>
          <w:lang w:val="en-AU"/>
        </w:rPr>
        <w:t xml:space="preserve">In working with the Department, I expect </w:t>
      </w:r>
      <w:r w:rsidR="00DE3442">
        <w:rPr>
          <w:rFonts w:asciiTheme="minorHAnsi" w:eastAsiaTheme="minorHAnsi" w:hAnsiTheme="minorHAnsi" w:cstheme="minorBidi"/>
          <w:color w:val="auto"/>
          <w:kern w:val="0"/>
          <w:sz w:val="22"/>
          <w:szCs w:val="22"/>
          <w:lang w:val="en-AU"/>
        </w:rPr>
        <w:t xml:space="preserve">the </w:t>
      </w:r>
      <w:r>
        <w:rPr>
          <w:rFonts w:asciiTheme="minorHAnsi" w:eastAsiaTheme="minorHAnsi" w:hAnsiTheme="minorHAnsi" w:cstheme="minorBidi"/>
          <w:color w:val="auto"/>
          <w:kern w:val="0"/>
          <w:sz w:val="22"/>
          <w:szCs w:val="22"/>
          <w:lang w:val="en-AU"/>
        </w:rPr>
        <w:t>ACMA to</w:t>
      </w:r>
      <w:r w:rsidR="00DE3442">
        <w:rPr>
          <w:rFonts w:asciiTheme="minorHAnsi" w:eastAsiaTheme="minorHAnsi" w:hAnsiTheme="minorHAnsi" w:cstheme="minorBidi"/>
          <w:color w:val="auto"/>
          <w:kern w:val="0"/>
          <w:sz w:val="22"/>
          <w:szCs w:val="22"/>
          <w:lang w:val="en-AU"/>
        </w:rPr>
        <w:t xml:space="preserve"> be proactive in its approach and responsive to reasonable requests, including to</w:t>
      </w:r>
      <w:r>
        <w:rPr>
          <w:rFonts w:asciiTheme="minorHAnsi" w:eastAsiaTheme="minorHAnsi" w:hAnsiTheme="minorHAnsi" w:cstheme="minorBidi"/>
          <w:color w:val="auto"/>
          <w:kern w:val="0"/>
          <w:sz w:val="22"/>
          <w:szCs w:val="22"/>
          <w:lang w:val="en-AU"/>
        </w:rPr>
        <w:t>:</w:t>
      </w:r>
    </w:p>
    <w:p w14:paraId="3B21D325" w14:textId="77777777" w:rsidR="00A07F7E" w:rsidRDefault="00694F0B" w:rsidP="00A07F7E">
      <w:pPr>
        <w:pStyle w:val="Bullet1"/>
        <w:numPr>
          <w:ilvl w:val="0"/>
          <w:numId w:val="26"/>
        </w:numPr>
        <w:rPr>
          <w:rFonts w:asciiTheme="minorHAnsi" w:eastAsiaTheme="minorHAnsi" w:hAnsiTheme="minorHAnsi" w:cstheme="minorBidi"/>
          <w:color w:val="auto"/>
          <w:kern w:val="0"/>
          <w:sz w:val="22"/>
          <w:szCs w:val="22"/>
          <w:lang w:val="en-AU"/>
        </w:rPr>
      </w:pPr>
      <w:r w:rsidRPr="0024100A">
        <w:rPr>
          <w:rFonts w:asciiTheme="minorHAnsi" w:eastAsiaTheme="minorHAnsi" w:hAnsiTheme="minorHAnsi" w:cstheme="minorBidi"/>
          <w:color w:val="auto"/>
          <w:kern w:val="0"/>
          <w:sz w:val="22"/>
          <w:szCs w:val="22"/>
          <w:lang w:val="en-AU"/>
        </w:rPr>
        <w:t>contribut</w:t>
      </w:r>
      <w:r w:rsidR="00DE3442">
        <w:rPr>
          <w:rFonts w:asciiTheme="minorHAnsi" w:eastAsiaTheme="minorHAnsi" w:hAnsiTheme="minorHAnsi" w:cstheme="minorBidi"/>
          <w:color w:val="auto"/>
          <w:kern w:val="0"/>
          <w:sz w:val="22"/>
          <w:szCs w:val="22"/>
          <w:lang w:val="en-AU"/>
        </w:rPr>
        <w:t>e</w:t>
      </w:r>
      <w:r w:rsidRPr="0024100A">
        <w:rPr>
          <w:rFonts w:asciiTheme="minorHAnsi" w:eastAsiaTheme="minorHAnsi" w:hAnsiTheme="minorHAnsi" w:cstheme="minorBidi"/>
          <w:color w:val="auto"/>
          <w:kern w:val="0"/>
          <w:sz w:val="22"/>
          <w:szCs w:val="22"/>
          <w:lang w:val="en-AU"/>
        </w:rPr>
        <w:t xml:space="preserve"> its </w:t>
      </w:r>
      <w:r w:rsidR="008A4F50">
        <w:rPr>
          <w:rFonts w:asciiTheme="minorHAnsi" w:eastAsiaTheme="minorHAnsi" w:hAnsiTheme="minorHAnsi" w:cstheme="minorBidi"/>
          <w:color w:val="auto"/>
          <w:kern w:val="0"/>
          <w:sz w:val="22"/>
          <w:szCs w:val="22"/>
          <w:lang w:val="en-AU"/>
        </w:rPr>
        <w:t xml:space="preserve">significant </w:t>
      </w:r>
      <w:r w:rsidRPr="0024100A">
        <w:rPr>
          <w:rFonts w:asciiTheme="minorHAnsi" w:eastAsiaTheme="minorHAnsi" w:hAnsiTheme="minorHAnsi" w:cstheme="minorBidi"/>
          <w:color w:val="auto"/>
          <w:kern w:val="0"/>
          <w:sz w:val="22"/>
          <w:szCs w:val="22"/>
          <w:lang w:val="en-AU"/>
        </w:rPr>
        <w:t>expertise</w:t>
      </w:r>
      <w:r w:rsidR="008A4F50">
        <w:rPr>
          <w:rFonts w:asciiTheme="minorHAnsi" w:eastAsiaTheme="minorHAnsi" w:hAnsiTheme="minorHAnsi" w:cstheme="minorBidi"/>
          <w:color w:val="auto"/>
          <w:kern w:val="0"/>
          <w:sz w:val="22"/>
          <w:szCs w:val="22"/>
          <w:lang w:val="en-AU"/>
        </w:rPr>
        <w:t>, data and information</w:t>
      </w:r>
      <w:r w:rsidRPr="0024100A">
        <w:rPr>
          <w:rFonts w:asciiTheme="minorHAnsi" w:eastAsiaTheme="minorHAnsi" w:hAnsiTheme="minorHAnsi" w:cstheme="minorBidi"/>
          <w:color w:val="auto"/>
          <w:kern w:val="0"/>
          <w:sz w:val="22"/>
          <w:szCs w:val="22"/>
          <w:lang w:val="en-AU"/>
        </w:rPr>
        <w:t xml:space="preserve"> to </w:t>
      </w:r>
      <w:r w:rsidR="008A4F50">
        <w:rPr>
          <w:rFonts w:asciiTheme="minorHAnsi" w:eastAsiaTheme="minorHAnsi" w:hAnsiTheme="minorHAnsi" w:cstheme="minorBidi"/>
          <w:color w:val="auto"/>
          <w:kern w:val="0"/>
          <w:sz w:val="22"/>
          <w:szCs w:val="22"/>
          <w:lang w:val="en-AU"/>
        </w:rPr>
        <w:t xml:space="preserve">inform evidence-based </w:t>
      </w:r>
      <w:r w:rsidRPr="0024100A">
        <w:rPr>
          <w:rFonts w:asciiTheme="minorHAnsi" w:eastAsiaTheme="minorHAnsi" w:hAnsiTheme="minorHAnsi" w:cstheme="minorBidi"/>
          <w:color w:val="auto"/>
          <w:kern w:val="0"/>
          <w:sz w:val="22"/>
          <w:szCs w:val="22"/>
          <w:lang w:val="en-AU"/>
        </w:rPr>
        <w:t>policy</w:t>
      </w:r>
      <w:r w:rsidR="00A07F7E" w:rsidRPr="0024100A">
        <w:rPr>
          <w:rFonts w:asciiTheme="minorHAnsi" w:eastAsiaTheme="minorHAnsi" w:hAnsiTheme="minorHAnsi" w:cstheme="minorBidi"/>
          <w:color w:val="auto"/>
          <w:kern w:val="0"/>
          <w:sz w:val="22"/>
          <w:szCs w:val="22"/>
          <w:lang w:val="en-AU"/>
        </w:rPr>
        <w:t xml:space="preserve"> </w:t>
      </w:r>
      <w:r w:rsidRPr="0024100A">
        <w:rPr>
          <w:rFonts w:asciiTheme="minorHAnsi" w:eastAsiaTheme="minorHAnsi" w:hAnsiTheme="minorHAnsi" w:cstheme="minorBidi"/>
          <w:color w:val="auto"/>
          <w:kern w:val="0"/>
          <w:sz w:val="22"/>
          <w:szCs w:val="22"/>
          <w:lang w:val="en-AU"/>
        </w:rPr>
        <w:t>development</w:t>
      </w:r>
      <w:r w:rsidR="00A07F7E" w:rsidRPr="0024100A">
        <w:rPr>
          <w:rFonts w:asciiTheme="minorHAnsi" w:eastAsiaTheme="minorHAnsi" w:hAnsiTheme="minorHAnsi" w:cstheme="minorBidi"/>
          <w:color w:val="auto"/>
          <w:kern w:val="0"/>
          <w:sz w:val="22"/>
          <w:szCs w:val="22"/>
          <w:lang w:val="en-AU"/>
        </w:rPr>
        <w:t>, including</w:t>
      </w:r>
      <w:r w:rsidR="00A07F7E" w:rsidRPr="00A07F7E">
        <w:rPr>
          <w:rFonts w:asciiTheme="minorHAnsi" w:eastAsiaTheme="minorHAnsi" w:hAnsiTheme="minorHAnsi" w:cstheme="minorBidi"/>
          <w:color w:val="auto"/>
          <w:kern w:val="0"/>
          <w:sz w:val="22"/>
          <w:szCs w:val="22"/>
          <w:lang w:val="en-AU"/>
        </w:rPr>
        <w:t xml:space="preserve"> </w:t>
      </w:r>
      <w:r w:rsidR="00A07F7E">
        <w:rPr>
          <w:rFonts w:asciiTheme="minorHAnsi" w:eastAsiaTheme="minorHAnsi" w:hAnsiTheme="minorHAnsi" w:cstheme="minorBidi"/>
          <w:color w:val="auto"/>
          <w:kern w:val="0"/>
          <w:sz w:val="22"/>
          <w:szCs w:val="22"/>
          <w:lang w:val="en-AU"/>
        </w:rPr>
        <w:t xml:space="preserve">on the operational implications </w:t>
      </w:r>
      <w:r w:rsidR="00E175AB">
        <w:rPr>
          <w:rFonts w:asciiTheme="minorHAnsi" w:eastAsiaTheme="minorHAnsi" w:hAnsiTheme="minorHAnsi" w:cstheme="minorBidi"/>
          <w:color w:val="auto"/>
          <w:kern w:val="0"/>
          <w:sz w:val="22"/>
          <w:szCs w:val="22"/>
          <w:lang w:val="en-AU"/>
        </w:rPr>
        <w:t xml:space="preserve">and practical implementation </w:t>
      </w:r>
      <w:r w:rsidR="00A07F7E">
        <w:rPr>
          <w:rFonts w:asciiTheme="minorHAnsi" w:eastAsiaTheme="minorHAnsi" w:hAnsiTheme="minorHAnsi" w:cstheme="minorBidi"/>
          <w:color w:val="auto"/>
          <w:kern w:val="0"/>
          <w:sz w:val="22"/>
          <w:szCs w:val="22"/>
          <w:lang w:val="en-AU"/>
        </w:rPr>
        <w:t>of Government policy initiatives;</w:t>
      </w:r>
    </w:p>
    <w:p w14:paraId="1BAE09A9" w14:textId="77777777" w:rsidR="00694F0B" w:rsidRDefault="00156C6E" w:rsidP="0024100A">
      <w:pPr>
        <w:pStyle w:val="Bullet1"/>
        <w:numPr>
          <w:ilvl w:val="0"/>
          <w:numId w:val="26"/>
        </w:numPr>
        <w:rPr>
          <w:rFonts w:asciiTheme="minorHAnsi" w:eastAsiaTheme="minorHAnsi" w:hAnsiTheme="minorHAnsi" w:cstheme="minorBidi"/>
          <w:color w:val="auto"/>
          <w:kern w:val="0"/>
          <w:sz w:val="22"/>
          <w:szCs w:val="22"/>
          <w:lang w:val="en-AU"/>
        </w:rPr>
      </w:pPr>
      <w:r>
        <w:rPr>
          <w:rFonts w:asciiTheme="minorHAnsi" w:eastAsiaTheme="minorHAnsi" w:hAnsiTheme="minorHAnsi" w:cstheme="minorBidi"/>
          <w:color w:val="auto"/>
          <w:kern w:val="0"/>
          <w:sz w:val="22"/>
          <w:szCs w:val="22"/>
          <w:lang w:val="en-AU"/>
        </w:rPr>
        <w:t>consult with the Department on opportunities to improve regulatory frameworks</w:t>
      </w:r>
      <w:r w:rsidR="00361EB0">
        <w:rPr>
          <w:rFonts w:asciiTheme="minorHAnsi" w:eastAsiaTheme="minorHAnsi" w:hAnsiTheme="minorHAnsi" w:cstheme="minorBidi"/>
          <w:color w:val="auto"/>
          <w:kern w:val="0"/>
          <w:sz w:val="22"/>
          <w:szCs w:val="22"/>
          <w:lang w:val="en-AU"/>
        </w:rPr>
        <w:t>,</w:t>
      </w:r>
      <w:r w:rsidR="00A07F7E">
        <w:rPr>
          <w:rFonts w:asciiTheme="minorHAnsi" w:eastAsiaTheme="minorHAnsi" w:hAnsiTheme="minorHAnsi" w:cstheme="minorBidi"/>
          <w:color w:val="auto"/>
          <w:kern w:val="0"/>
          <w:sz w:val="22"/>
          <w:szCs w:val="22"/>
          <w:lang w:val="en-AU"/>
        </w:rPr>
        <w:t xml:space="preserve"> and remove barriers to</w:t>
      </w:r>
      <w:r w:rsidR="006B0ECA">
        <w:rPr>
          <w:rFonts w:asciiTheme="minorHAnsi" w:eastAsiaTheme="minorHAnsi" w:hAnsiTheme="minorHAnsi" w:cstheme="minorBidi"/>
          <w:color w:val="auto"/>
          <w:kern w:val="0"/>
          <w:sz w:val="22"/>
          <w:szCs w:val="22"/>
          <w:lang w:val="en-AU"/>
        </w:rPr>
        <w:t xml:space="preserve"> industry and </w:t>
      </w:r>
      <w:r w:rsidR="00A07F7E">
        <w:rPr>
          <w:rFonts w:asciiTheme="minorHAnsi" w:eastAsiaTheme="minorHAnsi" w:hAnsiTheme="minorHAnsi" w:cstheme="minorBidi"/>
          <w:color w:val="auto"/>
          <w:kern w:val="0"/>
          <w:sz w:val="22"/>
          <w:szCs w:val="22"/>
          <w:lang w:val="en-AU"/>
        </w:rPr>
        <w:t>effective regulatory responses</w:t>
      </w:r>
      <w:r w:rsidR="00694F0B">
        <w:rPr>
          <w:rFonts w:asciiTheme="minorHAnsi" w:eastAsiaTheme="minorHAnsi" w:hAnsiTheme="minorHAnsi" w:cstheme="minorBidi"/>
          <w:color w:val="auto"/>
          <w:kern w:val="0"/>
          <w:sz w:val="22"/>
          <w:szCs w:val="22"/>
          <w:lang w:val="en-AU"/>
        </w:rPr>
        <w:t>;</w:t>
      </w:r>
      <w:r w:rsidR="00A07F7E">
        <w:rPr>
          <w:rFonts w:asciiTheme="minorHAnsi" w:eastAsiaTheme="minorHAnsi" w:hAnsiTheme="minorHAnsi" w:cstheme="minorBidi"/>
          <w:color w:val="auto"/>
          <w:kern w:val="0"/>
          <w:sz w:val="22"/>
          <w:szCs w:val="22"/>
          <w:lang w:val="en-AU"/>
        </w:rPr>
        <w:t xml:space="preserve"> </w:t>
      </w:r>
    </w:p>
    <w:p w14:paraId="7EB55C5A" w14:textId="77777777" w:rsidR="00156C6E" w:rsidRDefault="00A07F7E" w:rsidP="00694F0B">
      <w:pPr>
        <w:pStyle w:val="Bullet1"/>
        <w:numPr>
          <w:ilvl w:val="0"/>
          <w:numId w:val="26"/>
        </w:numPr>
        <w:rPr>
          <w:rFonts w:asciiTheme="minorHAnsi" w:eastAsiaTheme="minorHAnsi" w:hAnsiTheme="minorHAnsi" w:cstheme="minorBidi"/>
          <w:color w:val="auto"/>
          <w:kern w:val="0"/>
          <w:sz w:val="22"/>
          <w:szCs w:val="22"/>
          <w:lang w:val="en-AU"/>
        </w:rPr>
      </w:pPr>
      <w:r>
        <w:rPr>
          <w:rFonts w:asciiTheme="minorHAnsi" w:eastAsiaTheme="minorHAnsi" w:hAnsiTheme="minorHAnsi" w:cstheme="minorBidi"/>
          <w:color w:val="auto"/>
          <w:kern w:val="0"/>
          <w:sz w:val="22"/>
          <w:szCs w:val="22"/>
          <w:lang w:val="en-AU"/>
        </w:rPr>
        <w:t>advise</w:t>
      </w:r>
      <w:r w:rsidR="007158A6" w:rsidRPr="007158A6">
        <w:rPr>
          <w:rFonts w:asciiTheme="minorHAnsi" w:eastAsiaTheme="minorHAnsi" w:hAnsiTheme="minorHAnsi" w:cstheme="minorBidi"/>
          <w:color w:val="auto"/>
          <w:kern w:val="0"/>
          <w:sz w:val="22"/>
          <w:szCs w:val="22"/>
          <w:lang w:val="en-AU"/>
        </w:rPr>
        <w:t xml:space="preserve"> the Department </w:t>
      </w:r>
      <w:r w:rsidR="00DE3442">
        <w:rPr>
          <w:rFonts w:asciiTheme="minorHAnsi" w:eastAsiaTheme="minorHAnsi" w:hAnsiTheme="minorHAnsi" w:cstheme="minorBidi"/>
          <w:color w:val="auto"/>
          <w:kern w:val="0"/>
          <w:sz w:val="22"/>
          <w:szCs w:val="22"/>
          <w:lang w:val="en-AU"/>
        </w:rPr>
        <w:t xml:space="preserve">in a timely way </w:t>
      </w:r>
      <w:r>
        <w:rPr>
          <w:rFonts w:asciiTheme="minorHAnsi" w:eastAsiaTheme="minorHAnsi" w:hAnsiTheme="minorHAnsi" w:cstheme="minorBidi"/>
          <w:color w:val="auto"/>
          <w:kern w:val="0"/>
          <w:sz w:val="22"/>
          <w:szCs w:val="22"/>
          <w:lang w:val="en-AU"/>
        </w:rPr>
        <w:t>of</w:t>
      </w:r>
      <w:r w:rsidR="007158A6" w:rsidRPr="0024100A">
        <w:rPr>
          <w:rFonts w:asciiTheme="minorHAnsi" w:eastAsiaTheme="minorHAnsi" w:hAnsiTheme="minorHAnsi" w:cstheme="minorBidi"/>
          <w:color w:val="auto"/>
          <w:kern w:val="0"/>
          <w:sz w:val="22"/>
          <w:szCs w:val="22"/>
          <w:lang w:val="en-AU"/>
        </w:rPr>
        <w:t xml:space="preserve"> </w:t>
      </w:r>
      <w:r w:rsidR="00944D44" w:rsidRPr="0024100A">
        <w:rPr>
          <w:rFonts w:asciiTheme="minorHAnsi" w:eastAsiaTheme="minorHAnsi" w:hAnsiTheme="minorHAnsi" w:cstheme="minorBidi"/>
          <w:color w:val="auto"/>
          <w:kern w:val="0"/>
          <w:sz w:val="22"/>
          <w:szCs w:val="22"/>
          <w:lang w:val="en-AU"/>
        </w:rPr>
        <w:t xml:space="preserve">regulatory changes and other </w:t>
      </w:r>
      <w:r w:rsidR="007158A6" w:rsidRPr="0024100A">
        <w:rPr>
          <w:rFonts w:asciiTheme="minorHAnsi" w:eastAsiaTheme="minorHAnsi" w:hAnsiTheme="minorHAnsi" w:cstheme="minorBidi"/>
          <w:color w:val="auto"/>
          <w:kern w:val="0"/>
          <w:sz w:val="22"/>
          <w:szCs w:val="22"/>
          <w:lang w:val="en-AU"/>
        </w:rPr>
        <w:t>significant actions</w:t>
      </w:r>
      <w:r w:rsidR="00325682" w:rsidRPr="0024100A">
        <w:rPr>
          <w:rFonts w:asciiTheme="minorHAnsi" w:eastAsiaTheme="minorHAnsi" w:hAnsiTheme="minorHAnsi" w:cstheme="minorBidi"/>
          <w:color w:val="auto"/>
          <w:kern w:val="0"/>
          <w:sz w:val="22"/>
          <w:szCs w:val="22"/>
          <w:lang w:val="en-AU"/>
        </w:rPr>
        <w:t xml:space="preserve"> or issues </w:t>
      </w:r>
      <w:r w:rsidR="007158A6" w:rsidRPr="00626F31">
        <w:rPr>
          <w:rFonts w:asciiTheme="minorHAnsi" w:eastAsiaTheme="minorHAnsi" w:hAnsiTheme="minorHAnsi" w:cstheme="minorBidi"/>
          <w:color w:val="auto"/>
          <w:kern w:val="0"/>
          <w:sz w:val="22"/>
          <w:szCs w:val="22"/>
          <w:lang w:val="en-AU"/>
        </w:rPr>
        <w:t xml:space="preserve">so </w:t>
      </w:r>
      <w:r w:rsidR="009C2315">
        <w:rPr>
          <w:rFonts w:asciiTheme="minorHAnsi" w:eastAsiaTheme="minorHAnsi" w:hAnsiTheme="minorHAnsi" w:cstheme="minorBidi"/>
          <w:color w:val="auto"/>
          <w:kern w:val="0"/>
          <w:sz w:val="22"/>
          <w:szCs w:val="22"/>
          <w:lang w:val="en-AU"/>
        </w:rPr>
        <w:t xml:space="preserve">that </w:t>
      </w:r>
      <w:r w:rsidR="007158A6" w:rsidRPr="00626F31">
        <w:rPr>
          <w:rFonts w:asciiTheme="minorHAnsi" w:eastAsiaTheme="minorHAnsi" w:hAnsiTheme="minorHAnsi" w:cstheme="minorBidi"/>
          <w:color w:val="auto"/>
          <w:kern w:val="0"/>
          <w:sz w:val="22"/>
          <w:szCs w:val="22"/>
          <w:lang w:val="en-AU"/>
        </w:rPr>
        <w:t>it can advise me</w:t>
      </w:r>
      <w:r>
        <w:rPr>
          <w:rFonts w:asciiTheme="minorHAnsi" w:eastAsiaTheme="minorHAnsi" w:hAnsiTheme="minorHAnsi" w:cstheme="minorBidi"/>
          <w:color w:val="auto"/>
          <w:kern w:val="0"/>
          <w:sz w:val="22"/>
          <w:szCs w:val="22"/>
          <w:lang w:val="en-AU"/>
        </w:rPr>
        <w:t>;</w:t>
      </w:r>
    </w:p>
    <w:p w14:paraId="0EA4DF3C" w14:textId="77777777" w:rsidR="00A07F7E" w:rsidRDefault="00A07F7E" w:rsidP="00694F0B">
      <w:pPr>
        <w:pStyle w:val="Bullet1"/>
        <w:numPr>
          <w:ilvl w:val="0"/>
          <w:numId w:val="26"/>
        </w:numPr>
        <w:rPr>
          <w:rFonts w:asciiTheme="minorHAnsi" w:eastAsiaTheme="minorHAnsi" w:hAnsiTheme="minorHAnsi" w:cstheme="minorBidi"/>
          <w:color w:val="auto"/>
          <w:kern w:val="0"/>
          <w:sz w:val="22"/>
          <w:szCs w:val="22"/>
          <w:lang w:val="en-AU"/>
        </w:rPr>
      </w:pPr>
      <w:r>
        <w:rPr>
          <w:rFonts w:asciiTheme="minorHAnsi" w:eastAsiaTheme="minorHAnsi" w:hAnsiTheme="minorHAnsi" w:cstheme="minorBidi"/>
          <w:color w:val="auto"/>
          <w:kern w:val="0"/>
          <w:sz w:val="22"/>
          <w:szCs w:val="22"/>
          <w:lang w:val="en-AU"/>
        </w:rPr>
        <w:t xml:space="preserve">provide the Department a copy of information, briefings, media release and correspondence </w:t>
      </w:r>
      <w:r w:rsidR="0075432F">
        <w:rPr>
          <w:rFonts w:asciiTheme="minorHAnsi" w:eastAsiaTheme="minorHAnsi" w:hAnsiTheme="minorHAnsi" w:cstheme="minorBidi"/>
          <w:color w:val="auto"/>
          <w:kern w:val="0"/>
          <w:sz w:val="22"/>
          <w:szCs w:val="22"/>
          <w:lang w:val="en-AU"/>
        </w:rPr>
        <w:t xml:space="preserve">provided </w:t>
      </w:r>
      <w:r w:rsidR="004F72FE">
        <w:rPr>
          <w:rFonts w:asciiTheme="minorHAnsi" w:eastAsiaTheme="minorHAnsi" w:hAnsiTheme="minorHAnsi" w:cstheme="minorBidi"/>
          <w:color w:val="auto"/>
          <w:kern w:val="0"/>
          <w:sz w:val="22"/>
          <w:szCs w:val="22"/>
          <w:lang w:val="en-AU"/>
        </w:rPr>
        <w:t>t</w:t>
      </w:r>
      <w:r>
        <w:rPr>
          <w:rFonts w:asciiTheme="minorHAnsi" w:eastAsiaTheme="minorHAnsi" w:hAnsiTheme="minorHAnsi" w:cstheme="minorBidi"/>
          <w:color w:val="auto"/>
          <w:kern w:val="0"/>
          <w:sz w:val="22"/>
          <w:szCs w:val="22"/>
          <w:lang w:val="en-AU"/>
        </w:rPr>
        <w:t xml:space="preserve">o Ministers; and </w:t>
      </w:r>
    </w:p>
    <w:p w14:paraId="6614C20F" w14:textId="77777777" w:rsidR="00A07F7E" w:rsidRPr="006C5202" w:rsidRDefault="00A07F7E" w:rsidP="0024100A">
      <w:pPr>
        <w:pStyle w:val="Bullet1"/>
        <w:numPr>
          <w:ilvl w:val="0"/>
          <w:numId w:val="26"/>
        </w:numPr>
        <w:rPr>
          <w:rFonts w:asciiTheme="minorHAnsi" w:eastAsiaTheme="minorHAnsi" w:hAnsiTheme="minorHAnsi" w:cstheme="minorBidi"/>
          <w:color w:val="auto"/>
          <w:kern w:val="0"/>
          <w:sz w:val="22"/>
          <w:szCs w:val="22"/>
          <w:lang w:val="en-AU"/>
        </w:rPr>
      </w:pPr>
      <w:r>
        <w:rPr>
          <w:rFonts w:asciiTheme="minorHAnsi" w:eastAsiaTheme="minorHAnsi" w:hAnsiTheme="minorHAnsi" w:cstheme="minorBidi"/>
          <w:color w:val="auto"/>
          <w:kern w:val="0"/>
          <w:sz w:val="22"/>
          <w:szCs w:val="22"/>
          <w:lang w:val="en-AU"/>
        </w:rPr>
        <w:t>keep the Department informed of significant meetings between ACMA and Ministers</w:t>
      </w:r>
      <w:r w:rsidR="00A104A0" w:rsidRPr="006C5202">
        <w:rPr>
          <w:rFonts w:asciiTheme="minorHAnsi" w:eastAsiaTheme="minorHAnsi" w:hAnsiTheme="minorHAnsi" w:cstheme="minorBidi"/>
          <w:color w:val="auto"/>
          <w:kern w:val="0"/>
          <w:sz w:val="22"/>
          <w:szCs w:val="22"/>
          <w:lang w:val="en-AU"/>
        </w:rPr>
        <w:t>, where appropriate</w:t>
      </w:r>
      <w:r w:rsidRPr="006C5202">
        <w:rPr>
          <w:rFonts w:asciiTheme="minorHAnsi" w:eastAsiaTheme="minorHAnsi" w:hAnsiTheme="minorHAnsi" w:cstheme="minorBidi"/>
          <w:color w:val="auto"/>
          <w:kern w:val="0"/>
          <w:sz w:val="22"/>
          <w:szCs w:val="22"/>
          <w:lang w:val="en-AU"/>
        </w:rPr>
        <w:t>.</w:t>
      </w:r>
    </w:p>
    <w:p w14:paraId="45659B4E" w14:textId="77777777" w:rsidR="00B338E3" w:rsidRDefault="00B338E3" w:rsidP="0001629D">
      <w:pPr>
        <w:pStyle w:val="Bullet1"/>
        <w:numPr>
          <w:ilvl w:val="0"/>
          <w:numId w:val="0"/>
        </w:numPr>
        <w:rPr>
          <w:rFonts w:asciiTheme="minorHAnsi" w:eastAsiaTheme="minorHAnsi" w:hAnsiTheme="minorHAnsi" w:cstheme="minorBidi"/>
          <w:color w:val="auto"/>
          <w:kern w:val="0"/>
          <w:sz w:val="22"/>
          <w:szCs w:val="22"/>
          <w:lang w:val="en-AU"/>
        </w:rPr>
      </w:pPr>
    </w:p>
    <w:p w14:paraId="6603E1B7" w14:textId="77777777" w:rsidR="0091525F" w:rsidRPr="00F25EF3" w:rsidRDefault="0091525F" w:rsidP="00F25EF3">
      <w:pPr>
        <w:rPr>
          <w:b/>
          <w:sz w:val="28"/>
          <w:szCs w:val="28"/>
        </w:rPr>
      </w:pPr>
      <w:r w:rsidRPr="00F25EF3">
        <w:rPr>
          <w:b/>
          <w:sz w:val="28"/>
          <w:szCs w:val="28"/>
        </w:rPr>
        <w:t>Relationship with the eSafety Commissioner</w:t>
      </w:r>
      <w:r w:rsidR="00E319C4" w:rsidRPr="00F25EF3">
        <w:rPr>
          <w:b/>
          <w:sz w:val="28"/>
          <w:szCs w:val="28"/>
        </w:rPr>
        <w:t xml:space="preserve"> </w:t>
      </w:r>
    </w:p>
    <w:p w14:paraId="36A93D36" w14:textId="72EBD2EA" w:rsidR="005D1A95" w:rsidRDefault="005D1A95" w:rsidP="00E96845">
      <w:pPr>
        <w:keepNext/>
      </w:pPr>
      <w:r>
        <w:t xml:space="preserve">The eSafety Commissioner (the Commissioner) is an independent statutory office holder, but remains an official of the ACMA for the purposes of the finance law. The ACMA provides corporate support services to the Commissioner and also provides staff to enable the functions of the </w:t>
      </w:r>
      <w:r>
        <w:lastRenderedPageBreak/>
        <w:t>Commissioner to be fulfilled. I expect the ACMA to formalise corporate service arrangements with the Commissioner through a memorandum of understanding or a service level agreement within six months of publishing its</w:t>
      </w:r>
      <w:r w:rsidR="004E742F">
        <w:t xml:space="preserve"> </w:t>
      </w:r>
      <w:proofErr w:type="spellStart"/>
      <w:r w:rsidR="004E742F">
        <w:t>SoI</w:t>
      </w:r>
      <w:proofErr w:type="spellEnd"/>
      <w:r>
        <w:t>.</w:t>
      </w:r>
      <w:r>
        <w:rPr>
          <w:lang w:eastAsia="en-AU"/>
        </w:rPr>
        <w:t xml:space="preserve"> </w:t>
      </w:r>
    </w:p>
    <w:p w14:paraId="5D999F80" w14:textId="77777777" w:rsidR="0091525F" w:rsidRPr="00F25EF3" w:rsidRDefault="0091525F" w:rsidP="00F25EF3">
      <w:pPr>
        <w:spacing w:before="240"/>
        <w:rPr>
          <w:b/>
          <w:sz w:val="28"/>
          <w:szCs w:val="28"/>
        </w:rPr>
      </w:pPr>
      <w:r w:rsidRPr="00F25EF3">
        <w:rPr>
          <w:b/>
          <w:sz w:val="28"/>
          <w:szCs w:val="28"/>
        </w:rPr>
        <w:t xml:space="preserve">Relationship with regulated entities and other stakeholders </w:t>
      </w:r>
    </w:p>
    <w:p w14:paraId="6988DAFF" w14:textId="77777777" w:rsidR="00A07F7E" w:rsidRDefault="003B6BEB" w:rsidP="00A4214F">
      <w:r w:rsidRPr="004F4047">
        <w:t xml:space="preserve">To provide confidence to regulated entities and the wider community, I expect that the ACMA will be open and transparent in the conduct of its regulatory functions. </w:t>
      </w:r>
      <w:r w:rsidR="00156C6E">
        <w:t xml:space="preserve">I expect the </w:t>
      </w:r>
      <w:r w:rsidR="00156C6E" w:rsidRPr="004F4047">
        <w:t>ACMA</w:t>
      </w:r>
      <w:r w:rsidR="00156C6E">
        <w:t xml:space="preserve"> to </w:t>
      </w:r>
      <w:r w:rsidR="00156C6E" w:rsidRPr="004F4047">
        <w:t>consult with industry, the Government and other relevant stakeholders</w:t>
      </w:r>
      <w:r w:rsidR="00156C6E">
        <w:t xml:space="preserve"> when exercising p</w:t>
      </w:r>
      <w:r w:rsidRPr="004F4047">
        <w:t xml:space="preserve">owers </w:t>
      </w:r>
      <w:r w:rsidR="00156C6E">
        <w:t xml:space="preserve">that </w:t>
      </w:r>
      <w:r w:rsidRPr="004F4047">
        <w:t>may have significant implications for regulated entities or the markets in which they operate.</w:t>
      </w:r>
    </w:p>
    <w:p w14:paraId="42465F40" w14:textId="24BC400B" w:rsidR="00A07F7E" w:rsidRDefault="00A07F7E" w:rsidP="0024100A">
      <w:r w:rsidRPr="003B611F">
        <w:t>I expect ACMA to engage with its regulated sectors to understand contemporary market practices, more effective ways for ACMA to perform its functions and emerging trends. I expect ACMA to engage proactively with industry in a way that promotes greater compliance with the law.</w:t>
      </w:r>
    </w:p>
    <w:p w14:paraId="20C0E255" w14:textId="2669865C" w:rsidR="001F07E4" w:rsidRPr="00F25EF3" w:rsidRDefault="008620BC" w:rsidP="00F25EF3">
      <w:pPr>
        <w:spacing w:before="240"/>
        <w:rPr>
          <w:b/>
          <w:sz w:val="28"/>
          <w:szCs w:val="28"/>
        </w:rPr>
      </w:pPr>
      <w:bookmarkStart w:id="2" w:name="_Hlk119503021"/>
      <w:r w:rsidRPr="00F25EF3">
        <w:rPr>
          <w:b/>
          <w:sz w:val="28"/>
          <w:szCs w:val="28"/>
        </w:rPr>
        <w:t xml:space="preserve">Cooperation </w:t>
      </w:r>
      <w:r w:rsidR="007322B4" w:rsidRPr="00F25EF3">
        <w:rPr>
          <w:b/>
          <w:sz w:val="28"/>
          <w:szCs w:val="28"/>
        </w:rPr>
        <w:t>with Commonwealth, State and Territory agencies</w:t>
      </w:r>
    </w:p>
    <w:bookmarkEnd w:id="2"/>
    <w:p w14:paraId="22B7A6AE" w14:textId="03AFE705" w:rsidR="0074799C" w:rsidRPr="005B2DA6" w:rsidRDefault="0091525F" w:rsidP="0024100A">
      <w:pPr>
        <w:rPr>
          <w:lang w:val="en-US"/>
        </w:rPr>
      </w:pPr>
      <w:r w:rsidRPr="0091525F">
        <w:rPr>
          <w:lang w:val="en-US"/>
        </w:rPr>
        <w:t>I expect that the ACMA will maintain effective and constructive working relationships with other Commonwealth,</w:t>
      </w:r>
      <w:r w:rsidR="001F07E4">
        <w:rPr>
          <w:lang w:val="en-US"/>
        </w:rPr>
        <w:t xml:space="preserve"> </w:t>
      </w:r>
      <w:r w:rsidRPr="0091525F">
        <w:rPr>
          <w:lang w:val="en-US"/>
        </w:rPr>
        <w:t xml:space="preserve">State and Territory regulatory agencies. </w:t>
      </w:r>
      <w:r w:rsidR="002C2F59">
        <w:rPr>
          <w:lang w:val="en-US"/>
        </w:rPr>
        <w:t xml:space="preserve">In </w:t>
      </w:r>
      <w:proofErr w:type="spellStart"/>
      <w:r w:rsidR="002C2F59">
        <w:rPr>
          <w:lang w:val="en-US"/>
        </w:rPr>
        <w:t>minimising</w:t>
      </w:r>
      <w:proofErr w:type="spellEnd"/>
      <w:r w:rsidR="002C2F59">
        <w:rPr>
          <w:lang w:val="en-US"/>
        </w:rPr>
        <w:t xml:space="preserve"> compliance costs to industry, t</w:t>
      </w:r>
      <w:r w:rsidRPr="0091525F">
        <w:rPr>
          <w:lang w:val="en-US"/>
        </w:rPr>
        <w:t xml:space="preserve">he ACMA should avoid duplication of the </w:t>
      </w:r>
      <w:r w:rsidRPr="003B611F">
        <w:rPr>
          <w:lang w:val="en-US"/>
        </w:rPr>
        <w:t xml:space="preserve">supervisory activities of other regulators and look at opportunities </w:t>
      </w:r>
      <w:r w:rsidR="001F07E4" w:rsidRPr="003B611F">
        <w:rPr>
          <w:lang w:val="en-US"/>
        </w:rPr>
        <w:t xml:space="preserve">to better coordinate </w:t>
      </w:r>
      <w:r w:rsidR="002C2F59" w:rsidRPr="003B611F">
        <w:rPr>
          <w:lang w:val="en-US"/>
        </w:rPr>
        <w:t>enforcement activity</w:t>
      </w:r>
      <w:r w:rsidR="001F07E4" w:rsidRPr="003B611F">
        <w:rPr>
          <w:lang w:val="en-US"/>
        </w:rPr>
        <w:t>.</w:t>
      </w:r>
      <w:r w:rsidR="001F07E4" w:rsidRPr="005B2DA6">
        <w:rPr>
          <w:lang w:val="en-US"/>
        </w:rPr>
        <w:t xml:space="preserve"> </w:t>
      </w:r>
    </w:p>
    <w:p w14:paraId="7A8225D8" w14:textId="77777777" w:rsidR="006D6414" w:rsidRPr="005B2DA6" w:rsidRDefault="00A422C9" w:rsidP="006C5202">
      <w:pPr>
        <w:pStyle w:val="Bullet1"/>
        <w:numPr>
          <w:ilvl w:val="0"/>
          <w:numId w:val="0"/>
        </w:numPr>
      </w:pPr>
      <w:r w:rsidRPr="005B2DA6">
        <w:rPr>
          <w:rFonts w:asciiTheme="minorHAnsi" w:eastAsiaTheme="minorHAnsi" w:hAnsiTheme="minorHAnsi" w:cstheme="minorBidi"/>
          <w:color w:val="auto"/>
          <w:kern w:val="0"/>
          <w:sz w:val="22"/>
          <w:szCs w:val="22"/>
          <w:lang w:val="en-US"/>
        </w:rPr>
        <w:t>I expect the ACMA to work closely with the A</w:t>
      </w:r>
      <w:r w:rsidR="004962A2" w:rsidRPr="005B2DA6">
        <w:rPr>
          <w:rFonts w:asciiTheme="minorHAnsi" w:eastAsiaTheme="minorHAnsi" w:hAnsiTheme="minorHAnsi" w:cstheme="minorBidi"/>
          <w:color w:val="auto"/>
          <w:kern w:val="0"/>
          <w:sz w:val="22"/>
          <w:szCs w:val="22"/>
          <w:lang w:val="en-US"/>
        </w:rPr>
        <w:t xml:space="preserve">ustralian Competition and Consumer Commission (ACCC) </w:t>
      </w:r>
      <w:r w:rsidRPr="005B2DA6">
        <w:rPr>
          <w:rFonts w:asciiTheme="minorHAnsi" w:eastAsiaTheme="minorHAnsi" w:hAnsiTheme="minorHAnsi" w:cstheme="minorBidi"/>
          <w:color w:val="auto"/>
          <w:kern w:val="0"/>
          <w:sz w:val="22"/>
          <w:szCs w:val="22"/>
          <w:lang w:val="en-US"/>
        </w:rPr>
        <w:t xml:space="preserve">to enable both regulators to </w:t>
      </w:r>
      <w:r w:rsidR="002C2F59" w:rsidRPr="005B2DA6">
        <w:rPr>
          <w:rFonts w:asciiTheme="minorHAnsi" w:eastAsiaTheme="minorHAnsi" w:hAnsiTheme="minorHAnsi" w:cstheme="minorBidi"/>
          <w:color w:val="auto"/>
          <w:kern w:val="0"/>
          <w:sz w:val="22"/>
          <w:szCs w:val="22"/>
          <w:lang w:val="en-US"/>
        </w:rPr>
        <w:t>consider</w:t>
      </w:r>
      <w:r w:rsidRPr="005B2DA6">
        <w:rPr>
          <w:rFonts w:asciiTheme="minorHAnsi" w:eastAsiaTheme="minorHAnsi" w:hAnsiTheme="minorHAnsi" w:cstheme="minorBidi"/>
          <w:color w:val="auto"/>
          <w:kern w:val="0"/>
          <w:sz w:val="22"/>
          <w:szCs w:val="22"/>
          <w:lang w:val="en-US"/>
        </w:rPr>
        <w:t xml:space="preserve"> the economic, </w:t>
      </w:r>
      <w:r w:rsidR="002C2F59" w:rsidRPr="005B2DA6">
        <w:rPr>
          <w:rFonts w:asciiTheme="minorHAnsi" w:eastAsiaTheme="minorHAnsi" w:hAnsiTheme="minorHAnsi" w:cstheme="minorBidi"/>
          <w:color w:val="auto"/>
          <w:kern w:val="0"/>
          <w:sz w:val="22"/>
          <w:szCs w:val="22"/>
          <w:lang w:val="en-US"/>
        </w:rPr>
        <w:t xml:space="preserve">competitive </w:t>
      </w:r>
      <w:r w:rsidRPr="005B2DA6">
        <w:rPr>
          <w:rFonts w:asciiTheme="minorHAnsi" w:eastAsiaTheme="minorHAnsi" w:hAnsiTheme="minorHAnsi" w:cstheme="minorBidi"/>
          <w:color w:val="auto"/>
          <w:kern w:val="0"/>
          <w:sz w:val="22"/>
          <w:szCs w:val="22"/>
          <w:lang w:val="en-US"/>
        </w:rPr>
        <w:t xml:space="preserve">and technical impacts of regulatory decisions relating to the telecommunications sector. </w:t>
      </w:r>
      <w:r w:rsidR="003B5F36" w:rsidRPr="005B2DA6">
        <w:rPr>
          <w:color w:val="auto"/>
          <w:sz w:val="22"/>
          <w:szCs w:val="22"/>
          <w:lang w:val="en-US"/>
        </w:rPr>
        <w:t>I also expect the ACMA and ACCC to consult where responsibilities connect</w:t>
      </w:r>
      <w:r w:rsidRPr="005B2DA6">
        <w:rPr>
          <w:rFonts w:asciiTheme="minorHAnsi" w:eastAsiaTheme="minorHAnsi" w:hAnsiTheme="minorHAnsi" w:cstheme="minorBidi"/>
          <w:color w:val="auto"/>
          <w:kern w:val="0"/>
          <w:sz w:val="22"/>
          <w:szCs w:val="22"/>
          <w:lang w:val="en-US"/>
        </w:rPr>
        <w:t xml:space="preserve">.  </w:t>
      </w:r>
    </w:p>
    <w:p w14:paraId="6DF2B7FE" w14:textId="3BB2D822" w:rsidR="00361EB0" w:rsidRDefault="005A7481" w:rsidP="005A7481">
      <w:pPr>
        <w:rPr>
          <w:i/>
        </w:rPr>
      </w:pPr>
      <w:r w:rsidRPr="003B611F">
        <w:t>I expect</w:t>
      </w:r>
      <w:r w:rsidR="003732B5" w:rsidRPr="003B611F">
        <w:t xml:space="preserve"> the </w:t>
      </w:r>
      <w:r w:rsidRPr="003B611F">
        <w:t xml:space="preserve">ACMA to maintain a productive and cooperative relationship with </w:t>
      </w:r>
      <w:r w:rsidR="00A66BE2" w:rsidRPr="003B611F">
        <w:t xml:space="preserve">my Department and other agencies </w:t>
      </w:r>
      <w:r w:rsidRPr="003B611F">
        <w:t xml:space="preserve">in terms of </w:t>
      </w:r>
      <w:r w:rsidR="00740C13" w:rsidRPr="003B611F">
        <w:t>the resilience of critical telecommunications infrastructure to both natural and cyber hazard</w:t>
      </w:r>
      <w:r w:rsidR="006A6D88" w:rsidRPr="003B611F">
        <w:t>s</w:t>
      </w:r>
      <w:r w:rsidR="00740C13" w:rsidRPr="003B611F">
        <w:t xml:space="preserve">. ACMA should provide what assistance it can to these priorities of Government, </w:t>
      </w:r>
      <w:r w:rsidR="00A66BE2" w:rsidRPr="003B611F">
        <w:t xml:space="preserve">including through the </w:t>
      </w:r>
      <w:r w:rsidR="00AC50BE" w:rsidRPr="003B611F">
        <w:t xml:space="preserve">proactive </w:t>
      </w:r>
      <w:r w:rsidR="00A66BE2" w:rsidRPr="003B611F">
        <w:t xml:space="preserve">performance of ACMA’s role in enforcement of the </w:t>
      </w:r>
      <w:r w:rsidR="00A66BE2" w:rsidRPr="003B611F">
        <w:rPr>
          <w:i/>
        </w:rPr>
        <w:t>Telecommunications Act,</w:t>
      </w:r>
      <w:r w:rsidR="00A66BE2" w:rsidRPr="003B611F">
        <w:t xml:space="preserve"> instruments made under that Act, and chapter five of the </w:t>
      </w:r>
      <w:r w:rsidR="00A66BE2" w:rsidRPr="003B611F">
        <w:rPr>
          <w:i/>
        </w:rPr>
        <w:t>Telecommunications (Interception and Access) Act</w:t>
      </w:r>
      <w:r w:rsidR="00361EB0" w:rsidRPr="003B611F">
        <w:rPr>
          <w:i/>
        </w:rPr>
        <w:t>.</w:t>
      </w:r>
    </w:p>
    <w:p w14:paraId="1B37C16B" w14:textId="7336440C" w:rsidR="004962A2" w:rsidRPr="00F25EF3" w:rsidRDefault="004962A2" w:rsidP="00F25EF3">
      <w:pPr>
        <w:spacing w:before="240"/>
        <w:rPr>
          <w:b/>
          <w:sz w:val="28"/>
          <w:szCs w:val="28"/>
        </w:rPr>
      </w:pPr>
      <w:r w:rsidRPr="00F25EF3">
        <w:rPr>
          <w:b/>
          <w:sz w:val="28"/>
          <w:szCs w:val="28"/>
        </w:rPr>
        <w:t>Governance, Transparency and Accountability</w:t>
      </w:r>
      <w:r w:rsidR="000C0406" w:rsidRPr="00F25EF3">
        <w:rPr>
          <w:b/>
          <w:sz w:val="28"/>
          <w:szCs w:val="28"/>
        </w:rPr>
        <w:t xml:space="preserve"> </w:t>
      </w:r>
    </w:p>
    <w:p w14:paraId="4503F3A6" w14:textId="77777777" w:rsidR="005016CD" w:rsidRDefault="00475200" w:rsidP="005016CD">
      <w:pPr>
        <w:spacing w:after="120"/>
      </w:pPr>
      <w:r w:rsidRPr="000C0406">
        <w:t>The ACMA is an independent statutory body established to</w:t>
      </w:r>
      <w:r w:rsidR="00DE6371">
        <w:t xml:space="preserve"> enforce</w:t>
      </w:r>
      <w:r w:rsidRPr="000C0406">
        <w:t xml:space="preserve"> the regulatory frameworks </w:t>
      </w:r>
      <w:r w:rsidR="00A07F7E">
        <w:t>within its remit</w:t>
      </w:r>
      <w:r w:rsidRPr="000C0406">
        <w:t xml:space="preserve">. </w:t>
      </w:r>
      <w:r w:rsidR="00AC3D41">
        <w:t>T</w:t>
      </w:r>
      <w:r w:rsidR="000C0406" w:rsidRPr="000C0406">
        <w:t xml:space="preserve">he </w:t>
      </w:r>
      <w:r w:rsidRPr="000C0406">
        <w:t>ACMA performs its statutory functions as part of the Australian</w:t>
      </w:r>
      <w:r w:rsidR="00AC3D41">
        <w:t> </w:t>
      </w:r>
      <w:r w:rsidRPr="000C0406">
        <w:t xml:space="preserve">Government and is accountable to the Parliament, and ultimately the public, through the responsible Minister, the Parliamentary Committee process, </w:t>
      </w:r>
      <w:r w:rsidR="000C0406" w:rsidRPr="000C0406">
        <w:t xml:space="preserve">the </w:t>
      </w:r>
      <w:r w:rsidRPr="000C0406">
        <w:t>ACMA’s corporate plan and tabling of its annual report.</w:t>
      </w:r>
    </w:p>
    <w:p w14:paraId="43A6EF9C" w14:textId="77777777" w:rsidR="005016CD" w:rsidRPr="005016CD" w:rsidRDefault="005016CD" w:rsidP="0024100A">
      <w:pPr>
        <w:spacing w:after="120"/>
      </w:pPr>
      <w:r w:rsidRPr="0024100A">
        <w:rPr>
          <w:color w:val="000000"/>
        </w:rPr>
        <w:t xml:space="preserve">ACMA staff are employed under the </w:t>
      </w:r>
      <w:r w:rsidRPr="0024100A">
        <w:rPr>
          <w:i/>
          <w:color w:val="000000"/>
        </w:rPr>
        <w:t>Public Service Act 1999</w:t>
      </w:r>
      <w:r w:rsidRPr="0024100A">
        <w:rPr>
          <w:color w:val="000000"/>
        </w:rPr>
        <w:t xml:space="preserve"> which requires them to uphold and promote the Australian Public Service (APS) values and comply with the APS Code of Conduct. This includes staff employed by the ACMA but operating under the direction of the eSafety Commissioner.</w:t>
      </w:r>
      <w:r>
        <w:rPr>
          <w:color w:val="000000"/>
        </w:rPr>
        <w:t xml:space="preserve"> </w:t>
      </w:r>
    </w:p>
    <w:p w14:paraId="7643185F" w14:textId="77777777" w:rsidR="00D10F19" w:rsidRDefault="00475200" w:rsidP="0024100A">
      <w:r w:rsidRPr="000C0406">
        <w:t xml:space="preserve">I expect </w:t>
      </w:r>
      <w:r w:rsidR="000C0406" w:rsidRPr="000C0406">
        <w:t xml:space="preserve">the </w:t>
      </w:r>
      <w:r w:rsidRPr="000C0406">
        <w:t xml:space="preserve">ACMA to be </w:t>
      </w:r>
      <w:r w:rsidR="00D10F19" w:rsidRPr="008C0F55">
        <w:t xml:space="preserve">timely and </w:t>
      </w:r>
      <w:r w:rsidR="00D10F19" w:rsidRPr="002254D4">
        <w:t>transparent in its actions and clearly indicate the priorities and objectives which inform its decision-making to regulated e</w:t>
      </w:r>
      <w:r w:rsidR="00D10F19">
        <w:t>ntities and the broader public.</w:t>
      </w:r>
    </w:p>
    <w:p w14:paraId="070AF983" w14:textId="77777777" w:rsidR="009754BD" w:rsidRPr="004F4047" w:rsidRDefault="00AC3D41" w:rsidP="00F25EF3">
      <w:r>
        <w:t>T</w:t>
      </w:r>
      <w:r w:rsidR="009754BD" w:rsidRPr="004F4047">
        <w:t>he ACMA is also to</w:t>
      </w:r>
    </w:p>
    <w:p w14:paraId="4B12D9F3" w14:textId="77777777" w:rsidR="009754BD" w:rsidRPr="004F4047" w:rsidRDefault="009754BD" w:rsidP="0024100A">
      <w:pPr>
        <w:pStyle w:val="ListParagraph"/>
        <w:numPr>
          <w:ilvl w:val="0"/>
          <w:numId w:val="21"/>
        </w:numPr>
      </w:pPr>
      <w:r w:rsidRPr="004F4047">
        <w:t>Comply with Government and Parliamentary requirements in relation to the provision of information</w:t>
      </w:r>
      <w:r>
        <w:t>;</w:t>
      </w:r>
    </w:p>
    <w:p w14:paraId="2D40246F" w14:textId="77777777" w:rsidR="009754BD" w:rsidRDefault="009754BD" w:rsidP="0024100A">
      <w:pPr>
        <w:pStyle w:val="ListParagraph"/>
        <w:numPr>
          <w:ilvl w:val="0"/>
          <w:numId w:val="21"/>
        </w:numPr>
      </w:pPr>
      <w:r w:rsidRPr="004F4047">
        <w:lastRenderedPageBreak/>
        <w:t>Comply with Ministerial Directions</w:t>
      </w:r>
      <w:r>
        <w:t>;</w:t>
      </w:r>
      <w:r w:rsidRPr="004F4047">
        <w:t xml:space="preserve"> and</w:t>
      </w:r>
    </w:p>
    <w:p w14:paraId="3BEBDBD5" w14:textId="45F505CB" w:rsidR="00F25EF3" w:rsidRDefault="00835106" w:rsidP="00F25EF3">
      <w:pPr>
        <w:pStyle w:val="ListParagraph"/>
        <w:numPr>
          <w:ilvl w:val="0"/>
          <w:numId w:val="21"/>
        </w:numPr>
      </w:pPr>
      <w:r>
        <w:t>Have regard to</w:t>
      </w:r>
      <w:r w:rsidR="009754BD" w:rsidRPr="004F4047">
        <w:t xml:space="preserve"> the Australian Government’s international commitments, including treaties.</w:t>
      </w:r>
      <w:bookmarkEnd w:id="0"/>
    </w:p>
    <w:p w14:paraId="0C06A6AA" w14:textId="77777777" w:rsidR="00F25EF3" w:rsidRDefault="00F25EF3" w:rsidP="00F25EF3"/>
    <w:p w14:paraId="763475B0" w14:textId="77777777" w:rsidR="00F25EF3" w:rsidRDefault="00F25EF3" w:rsidP="00F25EF3"/>
    <w:p w14:paraId="5593C80A" w14:textId="77777777" w:rsidR="00F25EF3" w:rsidRDefault="00F25EF3" w:rsidP="00F25EF3">
      <w:r>
        <w:t>Michelle Rowland</w:t>
      </w:r>
    </w:p>
    <w:p w14:paraId="216DFF14" w14:textId="77777777" w:rsidR="00F25EF3" w:rsidRDefault="00F25EF3" w:rsidP="00F25EF3">
      <w:r>
        <w:t>Minister for Communications</w:t>
      </w:r>
    </w:p>
    <w:p w14:paraId="13DF54C5" w14:textId="722E558B" w:rsidR="00F25EF3" w:rsidRDefault="00F25EF3" w:rsidP="00F25EF3">
      <w:r>
        <w:t>7 December 2022</w:t>
      </w:r>
    </w:p>
    <w:p w14:paraId="2E303FA7" w14:textId="77777777" w:rsidR="00F25EF3" w:rsidRPr="0024100A" w:rsidRDefault="00F25EF3" w:rsidP="00F25EF3"/>
    <w:sectPr w:rsidR="00F25EF3" w:rsidRPr="0024100A" w:rsidSect="006C5202">
      <w:headerReference w:type="default" r:id="rId12"/>
      <w:footerReference w:type="defaul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99E5" w16cex:dateUtc="2022-11-29T21:59:00Z"/>
  <w16cex:commentExtensible w16cex:durableId="27319A0C" w16cex:dateUtc="2022-11-29T21:59:00Z"/>
  <w16cex:commentExtensible w16cex:durableId="27319A7F" w16cex:dateUtc="2022-11-29T22:01:00Z"/>
  <w16cex:commentExtensible w16cex:durableId="2731E7B2" w16cex:dateUtc="2022-11-30T03:31:00Z"/>
  <w16cex:commentExtensible w16cex:durableId="2731E71D" w16cex:dateUtc="2022-11-30T03:28:00Z"/>
  <w16cex:commentExtensible w16cex:durableId="27319CBB" w16cex:dateUtc="2022-11-29T22:11:00Z"/>
  <w16cex:commentExtensible w16cex:durableId="27319DBD" w16cex:dateUtc="2022-11-29T22:15:00Z"/>
  <w16cex:commentExtensible w16cex:durableId="2731A0C7" w16cex:dateUtc="2022-11-29T22:28:00Z"/>
  <w16cex:commentExtensible w16cex:durableId="27319E79" w16cex:dateUtc="2022-11-29T22:18:00Z"/>
  <w16cex:commentExtensible w16cex:durableId="27319F81" w16cex:dateUtc="2022-11-29T22:23:00Z"/>
  <w16cex:commentExtensible w16cex:durableId="27319FE5" w16cex:dateUtc="2022-11-29T2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56BC4" w14:textId="77777777" w:rsidR="00321765" w:rsidRDefault="00321765" w:rsidP="00E858F9">
      <w:pPr>
        <w:spacing w:after="0" w:line="240" w:lineRule="auto"/>
      </w:pPr>
      <w:r>
        <w:separator/>
      </w:r>
    </w:p>
  </w:endnote>
  <w:endnote w:type="continuationSeparator" w:id="0">
    <w:p w14:paraId="3EE451CF" w14:textId="77777777" w:rsidR="00321765" w:rsidRDefault="00321765" w:rsidP="00E858F9">
      <w:pPr>
        <w:spacing w:after="0" w:line="240" w:lineRule="auto"/>
      </w:pPr>
      <w:r>
        <w:continuationSeparator/>
      </w:r>
    </w:p>
  </w:endnote>
  <w:endnote w:type="continuationNotice" w:id="1">
    <w:p w14:paraId="5F289648" w14:textId="77777777" w:rsidR="00321765" w:rsidRDefault="00321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30B8" w14:textId="77777777" w:rsidR="002471A6" w:rsidRDefault="00247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DE0EC" w14:textId="77777777" w:rsidR="00321765" w:rsidRDefault="00321765" w:rsidP="00E858F9">
      <w:pPr>
        <w:spacing w:after="0" w:line="240" w:lineRule="auto"/>
      </w:pPr>
      <w:r>
        <w:separator/>
      </w:r>
    </w:p>
  </w:footnote>
  <w:footnote w:type="continuationSeparator" w:id="0">
    <w:p w14:paraId="4762EAE9" w14:textId="77777777" w:rsidR="00321765" w:rsidRDefault="00321765" w:rsidP="00E858F9">
      <w:pPr>
        <w:spacing w:after="0" w:line="240" w:lineRule="auto"/>
      </w:pPr>
      <w:r>
        <w:continuationSeparator/>
      </w:r>
    </w:p>
  </w:footnote>
  <w:footnote w:type="continuationNotice" w:id="1">
    <w:p w14:paraId="39513380" w14:textId="77777777" w:rsidR="00321765" w:rsidRDefault="003217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34BE4" w14:textId="4F35440F" w:rsidR="002471A6" w:rsidRDefault="00247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17A9"/>
    <w:multiLevelType w:val="hybridMultilevel"/>
    <w:tmpl w:val="B1882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3B12F92"/>
    <w:multiLevelType w:val="hybridMultilevel"/>
    <w:tmpl w:val="692EA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0A3249"/>
    <w:multiLevelType w:val="hybridMultilevel"/>
    <w:tmpl w:val="8A64B3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F51E3C"/>
    <w:multiLevelType w:val="hybridMultilevel"/>
    <w:tmpl w:val="83642CD6"/>
    <w:lvl w:ilvl="0" w:tplc="21867DFA">
      <w:start w:val="2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F49E0"/>
    <w:multiLevelType w:val="hybridMultilevel"/>
    <w:tmpl w:val="D75A4AA4"/>
    <w:lvl w:ilvl="0" w:tplc="B3D6A8B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F104BB"/>
    <w:multiLevelType w:val="hybridMultilevel"/>
    <w:tmpl w:val="03AE7A1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106EFB"/>
    <w:multiLevelType w:val="hybridMultilevel"/>
    <w:tmpl w:val="DE82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D102C9"/>
    <w:multiLevelType w:val="hybridMultilevel"/>
    <w:tmpl w:val="292A7AC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1FD28E3"/>
    <w:multiLevelType w:val="hybridMultilevel"/>
    <w:tmpl w:val="210C468A"/>
    <w:lvl w:ilvl="0" w:tplc="C47A2A8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2F2D20"/>
    <w:multiLevelType w:val="hybridMultilevel"/>
    <w:tmpl w:val="1AC69F2C"/>
    <w:lvl w:ilvl="0" w:tplc="8DEAB1F2">
      <w:start w:val="1"/>
      <w:numFmt w:val="bullet"/>
      <w:pStyle w:val="Bulletlevel1"/>
      <w:lvlText w:val=""/>
      <w:lvlJc w:val="left"/>
      <w:pPr>
        <w:ind w:left="288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0" w15:restartNumberingAfterBreak="0">
    <w:nsid w:val="25DA5C1C"/>
    <w:multiLevelType w:val="hybridMultilevel"/>
    <w:tmpl w:val="E7986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A2E567B"/>
    <w:multiLevelType w:val="hybridMultilevel"/>
    <w:tmpl w:val="6316C3E6"/>
    <w:lvl w:ilvl="0" w:tplc="A6C0AB78">
      <w:start w:val="1"/>
      <w:numFmt w:val="bullet"/>
      <w:lvlText w:val=""/>
      <w:lvlJc w:val="left"/>
      <w:pPr>
        <w:ind w:left="360" w:hanging="360"/>
      </w:pPr>
      <w:rPr>
        <w:rFonts w:ascii="Symbol" w:hAnsi="Symbol" w:hint="default"/>
        <w:sz w:val="16"/>
        <w:szCs w:val="16"/>
      </w:rPr>
    </w:lvl>
    <w:lvl w:ilvl="1" w:tplc="F3E66004">
      <w:start w:val="1"/>
      <w:numFmt w:val="bullet"/>
      <w:lvlText w:val="-"/>
      <w:lvlJc w:val="left"/>
      <w:pPr>
        <w:ind w:left="1440" w:hanging="360"/>
      </w:pPr>
      <w:rPr>
        <w:rFonts w:ascii="Calibri Light" w:eastAsiaTheme="minorHAnsi" w:hAnsi="Calibri Light" w:cs="Calibri Light"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0090E37"/>
    <w:multiLevelType w:val="hybridMultilevel"/>
    <w:tmpl w:val="33BAF14E"/>
    <w:lvl w:ilvl="0" w:tplc="124E9860">
      <w:start w:val="1"/>
      <w:numFmt w:val="upp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7D65B2"/>
    <w:multiLevelType w:val="hybridMultilevel"/>
    <w:tmpl w:val="4A7E4A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4F43B7B"/>
    <w:multiLevelType w:val="hybridMultilevel"/>
    <w:tmpl w:val="5E7084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92F99"/>
    <w:multiLevelType w:val="hybridMultilevel"/>
    <w:tmpl w:val="51B609F2"/>
    <w:lvl w:ilvl="0" w:tplc="6324B68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6325816"/>
    <w:multiLevelType w:val="multilevel"/>
    <w:tmpl w:val="3B629B2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5322FB"/>
    <w:multiLevelType w:val="hybridMultilevel"/>
    <w:tmpl w:val="CDD0270C"/>
    <w:lvl w:ilvl="0" w:tplc="87CE4B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233FEF"/>
    <w:multiLevelType w:val="hybridMultilevel"/>
    <w:tmpl w:val="FDEAA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43C05B74"/>
    <w:multiLevelType w:val="hybridMultilevel"/>
    <w:tmpl w:val="0DEC84DE"/>
    <w:lvl w:ilvl="0" w:tplc="0C090019">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3F4002"/>
    <w:multiLevelType w:val="hybridMultilevel"/>
    <w:tmpl w:val="FBB4EF64"/>
    <w:lvl w:ilvl="0" w:tplc="DE4A3DB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CA13C2"/>
    <w:multiLevelType w:val="hybridMultilevel"/>
    <w:tmpl w:val="427A92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A2D63E3"/>
    <w:multiLevelType w:val="hybridMultilevel"/>
    <w:tmpl w:val="9998D8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BDE3AD4"/>
    <w:multiLevelType w:val="hybridMultilevel"/>
    <w:tmpl w:val="25F6BD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73132B3"/>
    <w:multiLevelType w:val="hybridMultilevel"/>
    <w:tmpl w:val="91724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BE6CF9"/>
    <w:multiLevelType w:val="hybridMultilevel"/>
    <w:tmpl w:val="E52AFC28"/>
    <w:lvl w:ilvl="0" w:tplc="170A30C6">
      <w:start w:val="1"/>
      <w:numFmt w:val="bullet"/>
      <w:lvlText w:val="-"/>
      <w:lvlJc w:val="left"/>
      <w:pPr>
        <w:ind w:left="2628"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7F15030"/>
    <w:multiLevelType w:val="hybridMultilevel"/>
    <w:tmpl w:val="FDB6E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58065F"/>
    <w:multiLevelType w:val="hybridMultilevel"/>
    <w:tmpl w:val="A23A30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F61280C"/>
    <w:multiLevelType w:val="hybridMultilevel"/>
    <w:tmpl w:val="12D4BA6C"/>
    <w:lvl w:ilvl="0" w:tplc="DE4A3DB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28"/>
  </w:num>
  <w:num w:numId="3">
    <w:abstractNumId w:val="19"/>
  </w:num>
  <w:num w:numId="4">
    <w:abstractNumId w:val="26"/>
  </w:num>
  <w:num w:numId="5">
    <w:abstractNumId w:val="12"/>
  </w:num>
  <w:num w:numId="6">
    <w:abstractNumId w:val="14"/>
  </w:num>
  <w:num w:numId="7">
    <w:abstractNumId w:val="15"/>
  </w:num>
  <w:num w:numId="8">
    <w:abstractNumId w:val="2"/>
  </w:num>
  <w:num w:numId="9">
    <w:abstractNumId w:val="18"/>
  </w:num>
  <w:num w:numId="10">
    <w:abstractNumId w:val="9"/>
  </w:num>
  <w:num w:numId="11">
    <w:abstractNumId w:val="3"/>
  </w:num>
  <w:num w:numId="12">
    <w:abstractNumId w:val="0"/>
  </w:num>
  <w:num w:numId="13">
    <w:abstractNumId w:val="22"/>
  </w:num>
  <w:num w:numId="14">
    <w:abstractNumId w:val="23"/>
  </w:num>
  <w:num w:numId="15">
    <w:abstractNumId w:val="24"/>
  </w:num>
  <w:num w:numId="16">
    <w:abstractNumId w:val="20"/>
  </w:num>
  <w:num w:numId="17">
    <w:abstractNumId w:val="5"/>
  </w:num>
  <w:num w:numId="18">
    <w:abstractNumId w:val="10"/>
  </w:num>
  <w:num w:numId="19">
    <w:abstractNumId w:val="17"/>
  </w:num>
  <w:num w:numId="20">
    <w:abstractNumId w:val="4"/>
  </w:num>
  <w:num w:numId="21">
    <w:abstractNumId w:val="27"/>
  </w:num>
  <w:num w:numId="22">
    <w:abstractNumId w:val="16"/>
  </w:num>
  <w:num w:numId="23">
    <w:abstractNumId w:val="6"/>
  </w:num>
  <w:num w:numId="24">
    <w:abstractNumId w:val="1"/>
  </w:num>
  <w:num w:numId="25">
    <w:abstractNumId w:val="11"/>
  </w:num>
  <w:num w:numId="26">
    <w:abstractNumId w:val="25"/>
  </w:num>
  <w:num w:numId="27">
    <w:abstractNumId w:val="19"/>
  </w:num>
  <w:num w:numId="28">
    <w:abstractNumId w:val="19"/>
  </w:num>
  <w:num w:numId="29">
    <w:abstractNumId w:val="21"/>
  </w:num>
  <w:num w:numId="30">
    <w:abstractNumId w:val="29"/>
  </w:num>
  <w:num w:numId="31">
    <w:abstractNumId w:val="13"/>
  </w:num>
  <w:num w:numId="32">
    <w:abstractNumId w:val="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24"/>
    <w:rsid w:val="000000CD"/>
    <w:rsid w:val="0001629D"/>
    <w:rsid w:val="000169F6"/>
    <w:rsid w:val="00024CE9"/>
    <w:rsid w:val="00035B15"/>
    <w:rsid w:val="00037178"/>
    <w:rsid w:val="00051AB7"/>
    <w:rsid w:val="00055BEC"/>
    <w:rsid w:val="000648EB"/>
    <w:rsid w:val="00076F03"/>
    <w:rsid w:val="000852FB"/>
    <w:rsid w:val="0009522B"/>
    <w:rsid w:val="00096B22"/>
    <w:rsid w:val="000C0406"/>
    <w:rsid w:val="000E104A"/>
    <w:rsid w:val="000F612E"/>
    <w:rsid w:val="00105268"/>
    <w:rsid w:val="00114CC2"/>
    <w:rsid w:val="001219C1"/>
    <w:rsid w:val="00127298"/>
    <w:rsid w:val="00137CD0"/>
    <w:rsid w:val="00154B79"/>
    <w:rsid w:val="00156C6E"/>
    <w:rsid w:val="001579D3"/>
    <w:rsid w:val="00166F10"/>
    <w:rsid w:val="00176C66"/>
    <w:rsid w:val="00183604"/>
    <w:rsid w:val="00186BE5"/>
    <w:rsid w:val="00194573"/>
    <w:rsid w:val="001948EF"/>
    <w:rsid w:val="00194FAF"/>
    <w:rsid w:val="001A336C"/>
    <w:rsid w:val="001C24D5"/>
    <w:rsid w:val="001D2644"/>
    <w:rsid w:val="001E0BBB"/>
    <w:rsid w:val="001E2D0A"/>
    <w:rsid w:val="001E49F3"/>
    <w:rsid w:val="001F07E4"/>
    <w:rsid w:val="001F1FFB"/>
    <w:rsid w:val="001F5F9F"/>
    <w:rsid w:val="001F66E1"/>
    <w:rsid w:val="001F76C7"/>
    <w:rsid w:val="00223B52"/>
    <w:rsid w:val="0024100A"/>
    <w:rsid w:val="002471A6"/>
    <w:rsid w:val="00253F55"/>
    <w:rsid w:val="00256716"/>
    <w:rsid w:val="00266FBE"/>
    <w:rsid w:val="00271DDE"/>
    <w:rsid w:val="002761DF"/>
    <w:rsid w:val="00277253"/>
    <w:rsid w:val="00285127"/>
    <w:rsid w:val="00291A37"/>
    <w:rsid w:val="002A4620"/>
    <w:rsid w:val="002C2F59"/>
    <w:rsid w:val="002E4EC8"/>
    <w:rsid w:val="002F154D"/>
    <w:rsid w:val="003205B9"/>
    <w:rsid w:val="00321765"/>
    <w:rsid w:val="00325682"/>
    <w:rsid w:val="00333641"/>
    <w:rsid w:val="003419D6"/>
    <w:rsid w:val="0035692A"/>
    <w:rsid w:val="00361EB0"/>
    <w:rsid w:val="00363397"/>
    <w:rsid w:val="00363C0D"/>
    <w:rsid w:val="00363EF9"/>
    <w:rsid w:val="003732B5"/>
    <w:rsid w:val="0037345B"/>
    <w:rsid w:val="00374492"/>
    <w:rsid w:val="00386FDD"/>
    <w:rsid w:val="003A1789"/>
    <w:rsid w:val="003B001F"/>
    <w:rsid w:val="003B2BCF"/>
    <w:rsid w:val="003B3D36"/>
    <w:rsid w:val="003B5F36"/>
    <w:rsid w:val="003B6076"/>
    <w:rsid w:val="003B611F"/>
    <w:rsid w:val="003B6BEB"/>
    <w:rsid w:val="003C2AD2"/>
    <w:rsid w:val="003C6AA2"/>
    <w:rsid w:val="003D7053"/>
    <w:rsid w:val="003E3108"/>
    <w:rsid w:val="003E4E24"/>
    <w:rsid w:val="003F0DC9"/>
    <w:rsid w:val="003F6F20"/>
    <w:rsid w:val="0040167B"/>
    <w:rsid w:val="004065D8"/>
    <w:rsid w:val="00415DDB"/>
    <w:rsid w:val="00422806"/>
    <w:rsid w:val="0042324C"/>
    <w:rsid w:val="004338E1"/>
    <w:rsid w:val="00447D09"/>
    <w:rsid w:val="00456D5D"/>
    <w:rsid w:val="00462B86"/>
    <w:rsid w:val="00465053"/>
    <w:rsid w:val="00475200"/>
    <w:rsid w:val="00480233"/>
    <w:rsid w:val="004838E7"/>
    <w:rsid w:val="004844AE"/>
    <w:rsid w:val="00490866"/>
    <w:rsid w:val="0049221C"/>
    <w:rsid w:val="0049501B"/>
    <w:rsid w:val="00495F35"/>
    <w:rsid w:val="004962A2"/>
    <w:rsid w:val="004A21BD"/>
    <w:rsid w:val="004A4400"/>
    <w:rsid w:val="004C2B5D"/>
    <w:rsid w:val="004D4FB3"/>
    <w:rsid w:val="004E6123"/>
    <w:rsid w:val="004E7340"/>
    <w:rsid w:val="004E742F"/>
    <w:rsid w:val="004F4047"/>
    <w:rsid w:val="004F72FE"/>
    <w:rsid w:val="004F7527"/>
    <w:rsid w:val="005016CD"/>
    <w:rsid w:val="00523D1E"/>
    <w:rsid w:val="0053733D"/>
    <w:rsid w:val="005606A0"/>
    <w:rsid w:val="00560F9F"/>
    <w:rsid w:val="005754B0"/>
    <w:rsid w:val="005A7481"/>
    <w:rsid w:val="005B2238"/>
    <w:rsid w:val="005B2DA6"/>
    <w:rsid w:val="005D1A95"/>
    <w:rsid w:val="005D48B0"/>
    <w:rsid w:val="005E4B19"/>
    <w:rsid w:val="005E5070"/>
    <w:rsid w:val="005E5ECA"/>
    <w:rsid w:val="006019C4"/>
    <w:rsid w:val="00601AD0"/>
    <w:rsid w:val="00603BBC"/>
    <w:rsid w:val="00611A10"/>
    <w:rsid w:val="0061730F"/>
    <w:rsid w:val="00626F31"/>
    <w:rsid w:val="0064028E"/>
    <w:rsid w:val="00650855"/>
    <w:rsid w:val="00655CBB"/>
    <w:rsid w:val="00665C40"/>
    <w:rsid w:val="006718FB"/>
    <w:rsid w:val="006763EA"/>
    <w:rsid w:val="006768C7"/>
    <w:rsid w:val="00685EA6"/>
    <w:rsid w:val="00694F0B"/>
    <w:rsid w:val="006958A8"/>
    <w:rsid w:val="006A4006"/>
    <w:rsid w:val="006A6D88"/>
    <w:rsid w:val="006B0ECA"/>
    <w:rsid w:val="006B26BA"/>
    <w:rsid w:val="006B4299"/>
    <w:rsid w:val="006C2558"/>
    <w:rsid w:val="006C30ED"/>
    <w:rsid w:val="006C32EE"/>
    <w:rsid w:val="006C5202"/>
    <w:rsid w:val="006D6414"/>
    <w:rsid w:val="006F57A3"/>
    <w:rsid w:val="00700D9B"/>
    <w:rsid w:val="007124AC"/>
    <w:rsid w:val="007158A6"/>
    <w:rsid w:val="007215F8"/>
    <w:rsid w:val="00725E47"/>
    <w:rsid w:val="007322B4"/>
    <w:rsid w:val="00740C13"/>
    <w:rsid w:val="0074799C"/>
    <w:rsid w:val="007516F4"/>
    <w:rsid w:val="0075432F"/>
    <w:rsid w:val="0075488E"/>
    <w:rsid w:val="00754C62"/>
    <w:rsid w:val="00781783"/>
    <w:rsid w:val="00781ACD"/>
    <w:rsid w:val="00783318"/>
    <w:rsid w:val="007834F8"/>
    <w:rsid w:val="0079746B"/>
    <w:rsid w:val="007A11D0"/>
    <w:rsid w:val="007A342D"/>
    <w:rsid w:val="007B3067"/>
    <w:rsid w:val="007C0D17"/>
    <w:rsid w:val="007C34B9"/>
    <w:rsid w:val="007D175F"/>
    <w:rsid w:val="007D21BA"/>
    <w:rsid w:val="007D5505"/>
    <w:rsid w:val="007E12DD"/>
    <w:rsid w:val="007E65EA"/>
    <w:rsid w:val="007F1AFC"/>
    <w:rsid w:val="007F23E4"/>
    <w:rsid w:val="007F7B4A"/>
    <w:rsid w:val="008027B0"/>
    <w:rsid w:val="00835106"/>
    <w:rsid w:val="00850738"/>
    <w:rsid w:val="00854098"/>
    <w:rsid w:val="008620BC"/>
    <w:rsid w:val="00872EB6"/>
    <w:rsid w:val="008777B8"/>
    <w:rsid w:val="0088093A"/>
    <w:rsid w:val="00880BF5"/>
    <w:rsid w:val="00896C8D"/>
    <w:rsid w:val="008976FA"/>
    <w:rsid w:val="008A4F50"/>
    <w:rsid w:val="008E5D29"/>
    <w:rsid w:val="008F2BEA"/>
    <w:rsid w:val="00901666"/>
    <w:rsid w:val="0091525F"/>
    <w:rsid w:val="0092468B"/>
    <w:rsid w:val="009305CA"/>
    <w:rsid w:val="009330B1"/>
    <w:rsid w:val="009339BB"/>
    <w:rsid w:val="00940A2F"/>
    <w:rsid w:val="00944D44"/>
    <w:rsid w:val="009465E4"/>
    <w:rsid w:val="00947214"/>
    <w:rsid w:val="00950D95"/>
    <w:rsid w:val="00961BAE"/>
    <w:rsid w:val="00964A6A"/>
    <w:rsid w:val="009754BD"/>
    <w:rsid w:val="00981E65"/>
    <w:rsid w:val="00991EB0"/>
    <w:rsid w:val="009953BA"/>
    <w:rsid w:val="009A1348"/>
    <w:rsid w:val="009A3869"/>
    <w:rsid w:val="009C0ADB"/>
    <w:rsid w:val="009C2315"/>
    <w:rsid w:val="009D15EB"/>
    <w:rsid w:val="009D36CB"/>
    <w:rsid w:val="009D4537"/>
    <w:rsid w:val="00A06AAF"/>
    <w:rsid w:val="00A07F7E"/>
    <w:rsid w:val="00A104A0"/>
    <w:rsid w:val="00A10955"/>
    <w:rsid w:val="00A20C60"/>
    <w:rsid w:val="00A227A3"/>
    <w:rsid w:val="00A258C9"/>
    <w:rsid w:val="00A2718C"/>
    <w:rsid w:val="00A4214F"/>
    <w:rsid w:val="00A422C9"/>
    <w:rsid w:val="00A43232"/>
    <w:rsid w:val="00A66BE2"/>
    <w:rsid w:val="00A67170"/>
    <w:rsid w:val="00A70AC8"/>
    <w:rsid w:val="00AA1675"/>
    <w:rsid w:val="00AA6D38"/>
    <w:rsid w:val="00AB31A7"/>
    <w:rsid w:val="00AC3D41"/>
    <w:rsid w:val="00AC50BE"/>
    <w:rsid w:val="00AE2ACD"/>
    <w:rsid w:val="00AE6FDC"/>
    <w:rsid w:val="00AF6BFB"/>
    <w:rsid w:val="00B10B59"/>
    <w:rsid w:val="00B132EA"/>
    <w:rsid w:val="00B20008"/>
    <w:rsid w:val="00B2547D"/>
    <w:rsid w:val="00B27A63"/>
    <w:rsid w:val="00B312BF"/>
    <w:rsid w:val="00B338E3"/>
    <w:rsid w:val="00B403F9"/>
    <w:rsid w:val="00B478FB"/>
    <w:rsid w:val="00B56421"/>
    <w:rsid w:val="00B77FFC"/>
    <w:rsid w:val="00B82175"/>
    <w:rsid w:val="00B94FA3"/>
    <w:rsid w:val="00B966B3"/>
    <w:rsid w:val="00BB224E"/>
    <w:rsid w:val="00BD0EE1"/>
    <w:rsid w:val="00BD6BB0"/>
    <w:rsid w:val="00BE3E1F"/>
    <w:rsid w:val="00BF69BE"/>
    <w:rsid w:val="00C00FBC"/>
    <w:rsid w:val="00C206E5"/>
    <w:rsid w:val="00C42B7F"/>
    <w:rsid w:val="00C42FE5"/>
    <w:rsid w:val="00C44B4C"/>
    <w:rsid w:val="00C462BB"/>
    <w:rsid w:val="00C627F9"/>
    <w:rsid w:val="00C6288B"/>
    <w:rsid w:val="00C70C83"/>
    <w:rsid w:val="00C8217B"/>
    <w:rsid w:val="00C8421A"/>
    <w:rsid w:val="00C85216"/>
    <w:rsid w:val="00C916A1"/>
    <w:rsid w:val="00D04A46"/>
    <w:rsid w:val="00D06AA1"/>
    <w:rsid w:val="00D10F19"/>
    <w:rsid w:val="00D12224"/>
    <w:rsid w:val="00D146FB"/>
    <w:rsid w:val="00D15D02"/>
    <w:rsid w:val="00D301E1"/>
    <w:rsid w:val="00D34029"/>
    <w:rsid w:val="00D704B7"/>
    <w:rsid w:val="00D72ADB"/>
    <w:rsid w:val="00D8204F"/>
    <w:rsid w:val="00DA27A7"/>
    <w:rsid w:val="00DB0674"/>
    <w:rsid w:val="00DC5124"/>
    <w:rsid w:val="00DD5BB0"/>
    <w:rsid w:val="00DE2904"/>
    <w:rsid w:val="00DE3442"/>
    <w:rsid w:val="00DE6371"/>
    <w:rsid w:val="00E175AB"/>
    <w:rsid w:val="00E319C4"/>
    <w:rsid w:val="00E350CC"/>
    <w:rsid w:val="00E43366"/>
    <w:rsid w:val="00E52D1A"/>
    <w:rsid w:val="00E5311F"/>
    <w:rsid w:val="00E53FEB"/>
    <w:rsid w:val="00E61F06"/>
    <w:rsid w:val="00E66855"/>
    <w:rsid w:val="00E8385C"/>
    <w:rsid w:val="00E84F26"/>
    <w:rsid w:val="00E858F9"/>
    <w:rsid w:val="00E87CF0"/>
    <w:rsid w:val="00E92C43"/>
    <w:rsid w:val="00E96845"/>
    <w:rsid w:val="00EA08E3"/>
    <w:rsid w:val="00EA2E30"/>
    <w:rsid w:val="00EA4276"/>
    <w:rsid w:val="00EB33C1"/>
    <w:rsid w:val="00EC253E"/>
    <w:rsid w:val="00EC6027"/>
    <w:rsid w:val="00ED06FC"/>
    <w:rsid w:val="00ED36F6"/>
    <w:rsid w:val="00EE6E76"/>
    <w:rsid w:val="00EF3CAF"/>
    <w:rsid w:val="00F05136"/>
    <w:rsid w:val="00F10A29"/>
    <w:rsid w:val="00F13BAB"/>
    <w:rsid w:val="00F21440"/>
    <w:rsid w:val="00F21B3B"/>
    <w:rsid w:val="00F221F5"/>
    <w:rsid w:val="00F24452"/>
    <w:rsid w:val="00F25EF3"/>
    <w:rsid w:val="00F4669B"/>
    <w:rsid w:val="00F51D2A"/>
    <w:rsid w:val="00F86D3A"/>
    <w:rsid w:val="00F91649"/>
    <w:rsid w:val="00F93CF9"/>
    <w:rsid w:val="00F942EF"/>
    <w:rsid w:val="00FB63D6"/>
    <w:rsid w:val="00FC44B4"/>
    <w:rsid w:val="00FC725B"/>
    <w:rsid w:val="00FD27D3"/>
    <w:rsid w:val="00FE4B96"/>
    <w:rsid w:val="00FF523C"/>
    <w:rsid w:val="00FF6E3A"/>
    <w:rsid w:val="00FF7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8DCD12"/>
  <w15:chartTrackingRefBased/>
  <w15:docId w15:val="{CF9D693D-7014-40F0-824B-5300BBF4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B3D3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numbers,Bullet Points,CV text,Dot pt,F5 List Paragraph,Indicator Text,L,List Paragraph Char Char Char,List Paragraph1,List Paragraph11,List Paragraph12,MAIN CONTENT,No Spacing1,Numbered Para 1,Recommendation,列出段,列"/>
    <w:basedOn w:val="Normal"/>
    <w:link w:val="ListParagraphChar"/>
    <w:uiPriority w:val="34"/>
    <w:qFormat/>
    <w:rsid w:val="009A3869"/>
    <w:pPr>
      <w:ind w:left="720"/>
      <w:contextualSpacing/>
    </w:pPr>
  </w:style>
  <w:style w:type="paragraph" w:customStyle="1" w:styleId="Bullet1">
    <w:name w:val="Bullet 1"/>
    <w:basedOn w:val="Normal"/>
    <w:uiPriority w:val="3"/>
    <w:qFormat/>
    <w:rsid w:val="000E104A"/>
    <w:pPr>
      <w:numPr>
        <w:numId w:val="3"/>
      </w:numPr>
      <w:suppressAutoHyphens/>
      <w:spacing w:before="80" w:after="80" w:line="240" w:lineRule="auto"/>
    </w:pPr>
    <w:rPr>
      <w:rFonts w:ascii="Calibri" w:eastAsia="Calibri" w:hAnsi="Calibri" w:cs="Times New Roman"/>
      <w:color w:val="000000"/>
      <w:kern w:val="12"/>
      <w:sz w:val="20"/>
      <w:szCs w:val="20"/>
      <w:lang w:val="x-none"/>
    </w:rPr>
  </w:style>
  <w:style w:type="paragraph" w:customStyle="1" w:styleId="Bullet2">
    <w:name w:val="Bullet 2"/>
    <w:basedOn w:val="Bullet1"/>
    <w:uiPriority w:val="3"/>
    <w:rsid w:val="000E104A"/>
    <w:pPr>
      <w:numPr>
        <w:ilvl w:val="1"/>
      </w:numPr>
    </w:pPr>
  </w:style>
  <w:style w:type="paragraph" w:customStyle="1" w:styleId="Bullet3">
    <w:name w:val="Bullet 3"/>
    <w:basedOn w:val="Bullet2"/>
    <w:uiPriority w:val="3"/>
    <w:rsid w:val="000E104A"/>
    <w:pPr>
      <w:numPr>
        <w:ilvl w:val="2"/>
      </w:numPr>
    </w:pPr>
  </w:style>
  <w:style w:type="numbering" w:customStyle="1" w:styleId="Bullets">
    <w:name w:val="Bullets"/>
    <w:uiPriority w:val="99"/>
    <w:rsid w:val="000E104A"/>
    <w:pPr>
      <w:numPr>
        <w:numId w:val="3"/>
      </w:numPr>
    </w:pPr>
  </w:style>
  <w:style w:type="character" w:styleId="PlaceholderText">
    <w:name w:val="Placeholder Text"/>
    <w:uiPriority w:val="99"/>
    <w:semiHidden/>
    <w:rsid w:val="008620BC"/>
    <w:rPr>
      <w:color w:val="808080"/>
    </w:rPr>
  </w:style>
  <w:style w:type="character" w:customStyle="1" w:styleId="ListParagraphChar">
    <w:name w:val="List Paragraph Char"/>
    <w:aliases w:val="List Paragraph—numbers Char,Bullet Points Char,CV text Char,Dot pt Char,F5 List Paragraph Char,Indicator Text Char,L Char,List Paragraph Char Char Char Char,List Paragraph1 Char,List Paragraph11 Char,List Paragraph12 Char,列出段 Char"/>
    <w:link w:val="ListParagraph"/>
    <w:uiPriority w:val="34"/>
    <w:qFormat/>
    <w:rsid w:val="008620BC"/>
  </w:style>
  <w:style w:type="paragraph" w:customStyle="1" w:styleId="Bulletlevel1">
    <w:name w:val="Bullet level 1"/>
    <w:basedOn w:val="Normal"/>
    <w:qFormat/>
    <w:rsid w:val="0042324C"/>
    <w:pPr>
      <w:numPr>
        <w:numId w:val="10"/>
      </w:numPr>
      <w:spacing w:after="200" w:line="240" w:lineRule="auto"/>
      <w:ind w:left="567" w:hanging="567"/>
      <w:contextualSpacing/>
    </w:pPr>
  </w:style>
  <w:style w:type="character" w:styleId="CommentReference">
    <w:name w:val="annotation reference"/>
    <w:basedOn w:val="DefaultParagraphFont"/>
    <w:uiPriority w:val="99"/>
    <w:semiHidden/>
    <w:unhideWhenUsed/>
    <w:rsid w:val="00C44B4C"/>
    <w:rPr>
      <w:sz w:val="16"/>
      <w:szCs w:val="16"/>
    </w:rPr>
  </w:style>
  <w:style w:type="paragraph" w:styleId="CommentText">
    <w:name w:val="annotation text"/>
    <w:basedOn w:val="Normal"/>
    <w:link w:val="CommentTextChar"/>
    <w:uiPriority w:val="99"/>
    <w:unhideWhenUsed/>
    <w:rsid w:val="00C44B4C"/>
    <w:pPr>
      <w:spacing w:line="240" w:lineRule="auto"/>
    </w:pPr>
    <w:rPr>
      <w:sz w:val="20"/>
      <w:szCs w:val="20"/>
    </w:rPr>
  </w:style>
  <w:style w:type="character" w:customStyle="1" w:styleId="CommentTextChar">
    <w:name w:val="Comment Text Char"/>
    <w:basedOn w:val="DefaultParagraphFont"/>
    <w:link w:val="CommentText"/>
    <w:uiPriority w:val="99"/>
    <w:rsid w:val="00C44B4C"/>
    <w:rPr>
      <w:sz w:val="20"/>
      <w:szCs w:val="20"/>
    </w:rPr>
  </w:style>
  <w:style w:type="paragraph" w:styleId="CommentSubject">
    <w:name w:val="annotation subject"/>
    <w:basedOn w:val="CommentText"/>
    <w:next w:val="CommentText"/>
    <w:link w:val="CommentSubjectChar"/>
    <w:uiPriority w:val="99"/>
    <w:semiHidden/>
    <w:unhideWhenUsed/>
    <w:rsid w:val="00C44B4C"/>
    <w:rPr>
      <w:b/>
      <w:bCs/>
    </w:rPr>
  </w:style>
  <w:style w:type="character" w:customStyle="1" w:styleId="CommentSubjectChar">
    <w:name w:val="Comment Subject Char"/>
    <w:basedOn w:val="CommentTextChar"/>
    <w:link w:val="CommentSubject"/>
    <w:uiPriority w:val="99"/>
    <w:semiHidden/>
    <w:rsid w:val="00C44B4C"/>
    <w:rPr>
      <w:b/>
      <w:bCs/>
      <w:sz w:val="20"/>
      <w:szCs w:val="20"/>
    </w:rPr>
  </w:style>
  <w:style w:type="paragraph" w:styleId="BalloonText">
    <w:name w:val="Balloon Text"/>
    <w:basedOn w:val="Normal"/>
    <w:link w:val="BalloonTextChar"/>
    <w:uiPriority w:val="99"/>
    <w:semiHidden/>
    <w:unhideWhenUsed/>
    <w:rsid w:val="00C44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B4C"/>
    <w:rPr>
      <w:rFonts w:ascii="Segoe UI" w:hAnsi="Segoe UI" w:cs="Segoe UI"/>
      <w:sz w:val="18"/>
      <w:szCs w:val="18"/>
    </w:rPr>
  </w:style>
  <w:style w:type="character" w:customStyle="1" w:styleId="Heading2Char">
    <w:name w:val="Heading 2 Char"/>
    <w:basedOn w:val="DefaultParagraphFont"/>
    <w:link w:val="Heading2"/>
    <w:uiPriority w:val="9"/>
    <w:rsid w:val="003B3D36"/>
    <w:rPr>
      <w:rFonts w:ascii="Times New Roman" w:eastAsia="Times New Roman" w:hAnsi="Times New Roman" w:cs="Times New Roman"/>
      <w:b/>
      <w:bCs/>
      <w:sz w:val="36"/>
      <w:szCs w:val="36"/>
      <w:lang w:eastAsia="en-AU"/>
    </w:rPr>
  </w:style>
  <w:style w:type="character" w:styleId="Strong">
    <w:name w:val="Strong"/>
    <w:basedOn w:val="DefaultParagraphFont"/>
    <w:uiPriority w:val="22"/>
    <w:qFormat/>
    <w:rsid w:val="003B3D36"/>
    <w:rPr>
      <w:b/>
      <w:bCs/>
    </w:rPr>
  </w:style>
  <w:style w:type="paragraph" w:styleId="Header">
    <w:name w:val="header"/>
    <w:basedOn w:val="Normal"/>
    <w:link w:val="HeaderChar"/>
    <w:uiPriority w:val="99"/>
    <w:unhideWhenUsed/>
    <w:rsid w:val="00E85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8F9"/>
  </w:style>
  <w:style w:type="paragraph" w:styleId="Footer">
    <w:name w:val="footer"/>
    <w:basedOn w:val="Normal"/>
    <w:link w:val="FooterChar"/>
    <w:uiPriority w:val="99"/>
    <w:unhideWhenUsed/>
    <w:rsid w:val="00E85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8F9"/>
  </w:style>
  <w:style w:type="character" w:styleId="Hyperlink">
    <w:name w:val="Hyperlink"/>
    <w:basedOn w:val="DefaultParagraphFont"/>
    <w:uiPriority w:val="99"/>
    <w:semiHidden/>
    <w:unhideWhenUsed/>
    <w:rsid w:val="001F1FFB"/>
    <w:rPr>
      <w:color w:val="0000FF"/>
      <w:u w:val="single"/>
    </w:rPr>
  </w:style>
  <w:style w:type="character" w:styleId="FollowedHyperlink">
    <w:name w:val="FollowedHyperlink"/>
    <w:basedOn w:val="DefaultParagraphFont"/>
    <w:uiPriority w:val="99"/>
    <w:semiHidden/>
    <w:unhideWhenUsed/>
    <w:rsid w:val="001F1FFB"/>
    <w:rPr>
      <w:color w:val="954F72" w:themeColor="followedHyperlink"/>
      <w:u w:val="single"/>
    </w:rPr>
  </w:style>
  <w:style w:type="paragraph" w:styleId="Revision">
    <w:name w:val="Revision"/>
    <w:hidden/>
    <w:uiPriority w:val="99"/>
    <w:semiHidden/>
    <w:rsid w:val="00DE3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5752">
      <w:bodyDiv w:val="1"/>
      <w:marLeft w:val="0"/>
      <w:marRight w:val="0"/>
      <w:marTop w:val="0"/>
      <w:marBottom w:val="0"/>
      <w:divBdr>
        <w:top w:val="none" w:sz="0" w:space="0" w:color="auto"/>
        <w:left w:val="none" w:sz="0" w:space="0" w:color="auto"/>
        <w:bottom w:val="none" w:sz="0" w:space="0" w:color="auto"/>
        <w:right w:val="none" w:sz="0" w:space="0" w:color="auto"/>
      </w:divBdr>
    </w:div>
    <w:div w:id="145366566">
      <w:bodyDiv w:val="1"/>
      <w:marLeft w:val="0"/>
      <w:marRight w:val="0"/>
      <w:marTop w:val="0"/>
      <w:marBottom w:val="0"/>
      <w:divBdr>
        <w:top w:val="none" w:sz="0" w:space="0" w:color="auto"/>
        <w:left w:val="none" w:sz="0" w:space="0" w:color="auto"/>
        <w:bottom w:val="none" w:sz="0" w:space="0" w:color="auto"/>
        <w:right w:val="none" w:sz="0" w:space="0" w:color="auto"/>
      </w:divBdr>
    </w:div>
    <w:div w:id="186338695">
      <w:bodyDiv w:val="1"/>
      <w:marLeft w:val="0"/>
      <w:marRight w:val="0"/>
      <w:marTop w:val="0"/>
      <w:marBottom w:val="0"/>
      <w:divBdr>
        <w:top w:val="none" w:sz="0" w:space="0" w:color="auto"/>
        <w:left w:val="none" w:sz="0" w:space="0" w:color="auto"/>
        <w:bottom w:val="none" w:sz="0" w:space="0" w:color="auto"/>
        <w:right w:val="none" w:sz="0" w:space="0" w:color="auto"/>
      </w:divBdr>
    </w:div>
    <w:div w:id="412507011">
      <w:bodyDiv w:val="1"/>
      <w:marLeft w:val="0"/>
      <w:marRight w:val="0"/>
      <w:marTop w:val="0"/>
      <w:marBottom w:val="0"/>
      <w:divBdr>
        <w:top w:val="none" w:sz="0" w:space="0" w:color="auto"/>
        <w:left w:val="none" w:sz="0" w:space="0" w:color="auto"/>
        <w:bottom w:val="none" w:sz="0" w:space="0" w:color="auto"/>
        <w:right w:val="none" w:sz="0" w:space="0" w:color="auto"/>
      </w:divBdr>
    </w:div>
    <w:div w:id="416750258">
      <w:bodyDiv w:val="1"/>
      <w:marLeft w:val="0"/>
      <w:marRight w:val="0"/>
      <w:marTop w:val="0"/>
      <w:marBottom w:val="0"/>
      <w:divBdr>
        <w:top w:val="none" w:sz="0" w:space="0" w:color="auto"/>
        <w:left w:val="none" w:sz="0" w:space="0" w:color="auto"/>
        <w:bottom w:val="none" w:sz="0" w:space="0" w:color="auto"/>
        <w:right w:val="none" w:sz="0" w:space="0" w:color="auto"/>
      </w:divBdr>
    </w:div>
    <w:div w:id="672684913">
      <w:bodyDiv w:val="1"/>
      <w:marLeft w:val="0"/>
      <w:marRight w:val="0"/>
      <w:marTop w:val="0"/>
      <w:marBottom w:val="0"/>
      <w:divBdr>
        <w:top w:val="none" w:sz="0" w:space="0" w:color="auto"/>
        <w:left w:val="none" w:sz="0" w:space="0" w:color="auto"/>
        <w:bottom w:val="none" w:sz="0" w:space="0" w:color="auto"/>
        <w:right w:val="none" w:sz="0" w:space="0" w:color="auto"/>
      </w:divBdr>
    </w:div>
    <w:div w:id="897008846">
      <w:bodyDiv w:val="1"/>
      <w:marLeft w:val="0"/>
      <w:marRight w:val="0"/>
      <w:marTop w:val="0"/>
      <w:marBottom w:val="0"/>
      <w:divBdr>
        <w:top w:val="none" w:sz="0" w:space="0" w:color="auto"/>
        <w:left w:val="none" w:sz="0" w:space="0" w:color="auto"/>
        <w:bottom w:val="none" w:sz="0" w:space="0" w:color="auto"/>
        <w:right w:val="none" w:sz="0" w:space="0" w:color="auto"/>
      </w:divBdr>
    </w:div>
    <w:div w:id="1087462285">
      <w:bodyDiv w:val="1"/>
      <w:marLeft w:val="0"/>
      <w:marRight w:val="0"/>
      <w:marTop w:val="0"/>
      <w:marBottom w:val="0"/>
      <w:divBdr>
        <w:top w:val="none" w:sz="0" w:space="0" w:color="auto"/>
        <w:left w:val="none" w:sz="0" w:space="0" w:color="auto"/>
        <w:bottom w:val="none" w:sz="0" w:space="0" w:color="auto"/>
        <w:right w:val="none" w:sz="0" w:space="0" w:color="auto"/>
      </w:divBdr>
    </w:div>
    <w:div w:id="1131708229">
      <w:bodyDiv w:val="1"/>
      <w:marLeft w:val="0"/>
      <w:marRight w:val="0"/>
      <w:marTop w:val="0"/>
      <w:marBottom w:val="0"/>
      <w:divBdr>
        <w:top w:val="none" w:sz="0" w:space="0" w:color="auto"/>
        <w:left w:val="none" w:sz="0" w:space="0" w:color="auto"/>
        <w:bottom w:val="none" w:sz="0" w:space="0" w:color="auto"/>
        <w:right w:val="none" w:sz="0" w:space="0" w:color="auto"/>
      </w:divBdr>
    </w:div>
    <w:div w:id="1544976472">
      <w:bodyDiv w:val="1"/>
      <w:marLeft w:val="0"/>
      <w:marRight w:val="0"/>
      <w:marTop w:val="0"/>
      <w:marBottom w:val="0"/>
      <w:divBdr>
        <w:top w:val="none" w:sz="0" w:space="0" w:color="auto"/>
        <w:left w:val="none" w:sz="0" w:space="0" w:color="auto"/>
        <w:bottom w:val="none" w:sz="0" w:space="0" w:color="auto"/>
        <w:right w:val="none" w:sz="0" w:space="0" w:color="auto"/>
      </w:divBdr>
    </w:div>
    <w:div w:id="172925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D0968CEE23B54E90A24973A6F085D3" ma:contentTypeVersion="0" ma:contentTypeDescription="Create a new document." ma:contentTypeScope="" ma:versionID="4f37b0d68539ddd4a634b014d427169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45405-146C-431A-A416-C9B6F4163E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7C3B11-755E-4CDE-97A6-ED7AC8B8DC9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196C685-1B49-4594-AD1B-883A247D8BAA}"/>
</file>

<file path=customXml/itemProps3.xml><?xml version="1.0" encoding="utf-8"?>
<ds:datastoreItem xmlns:ds="http://schemas.openxmlformats.org/officeDocument/2006/customXml" ds:itemID="{ECBA4DEB-FE3C-4D63-8E3D-AA90F61F2C7C}">
  <ds:schemaRefs>
    <ds:schemaRef ds:uri="http://schemas.microsoft.com/sharepoint/v3/contenttype/forms"/>
  </ds:schemaRefs>
</ds:datastoreItem>
</file>

<file path=customXml/itemProps4.xml><?xml version="1.0" encoding="utf-8"?>
<ds:datastoreItem xmlns:ds="http://schemas.openxmlformats.org/officeDocument/2006/customXml" ds:itemID="{89CF6150-EAE6-440F-B641-05D8461A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1732</Words>
  <Characters>9878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Manalo, Vanessa</dc:creator>
  <cp:keywords/>
  <dc:description/>
  <cp:lastModifiedBy>Manalo, Vanessa</cp:lastModifiedBy>
  <cp:revision>2</cp:revision>
  <cp:lastPrinted>2022-12-01T01:27:00Z</cp:lastPrinted>
  <dcterms:created xsi:type="dcterms:W3CDTF">2022-12-08T21:43:00Z</dcterms:created>
  <dcterms:modified xsi:type="dcterms:W3CDTF">2022-12-08T21:43:00Z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0x010100FBD0968CEE23B54E90A24973A6F085D3</vt:lpwstr>
  </property>
  <property fmtid="{D5CDD505-2E9C-101B-9397-08002B2CF9AE}" pid="3" name="TrimRevisionNumber">
    <vt:i4>1</vt:i4>
  </property>
</Properties>
</file>