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752A0" w14:textId="77777777" w:rsidR="005D05D4" w:rsidRDefault="00F0405A" w:rsidP="00236253">
      <w:pPr>
        <w:pStyle w:val="BCRReporttitle"/>
        <w:spacing w:after="0"/>
        <w:rPr>
          <w:rFonts w:asciiTheme="minorHAnsi" w:hAnsiTheme="minorHAnsi" w:cstheme="minorHAnsi"/>
          <w:sz w:val="72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9E61F21" wp14:editId="0C453E8F">
            <wp:simplePos x="0" y="0"/>
            <wp:positionH relativeFrom="page">
              <wp:posOffset>9525</wp:posOffset>
            </wp:positionH>
            <wp:positionV relativeFrom="page">
              <wp:posOffset>-9525</wp:posOffset>
            </wp:positionV>
            <wp:extent cx="7559040" cy="10692130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-0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99F04" w14:textId="77777777" w:rsidR="005D05D4" w:rsidRDefault="005D05D4" w:rsidP="00236253">
      <w:pPr>
        <w:pStyle w:val="BCRReporttitle"/>
        <w:spacing w:after="0"/>
        <w:rPr>
          <w:rFonts w:asciiTheme="minorHAnsi" w:hAnsiTheme="minorHAnsi" w:cstheme="minorHAnsi"/>
          <w:sz w:val="72"/>
        </w:rPr>
      </w:pPr>
    </w:p>
    <w:p w14:paraId="3C061C98" w14:textId="77777777" w:rsidR="005D05D4" w:rsidRDefault="005D05D4" w:rsidP="00236253">
      <w:pPr>
        <w:pStyle w:val="BCRReporttitle"/>
        <w:spacing w:after="0"/>
        <w:rPr>
          <w:rFonts w:asciiTheme="minorHAnsi" w:hAnsiTheme="minorHAnsi" w:cstheme="minorHAnsi"/>
          <w:sz w:val="72"/>
        </w:rPr>
      </w:pPr>
    </w:p>
    <w:p w14:paraId="5183B947" w14:textId="77777777" w:rsidR="005D05D4" w:rsidRDefault="005D05D4" w:rsidP="00236253">
      <w:pPr>
        <w:pStyle w:val="BCRReporttitle"/>
        <w:spacing w:after="0"/>
        <w:rPr>
          <w:rFonts w:asciiTheme="minorHAnsi" w:hAnsiTheme="minorHAnsi" w:cstheme="minorHAnsi"/>
          <w:sz w:val="72"/>
        </w:rPr>
      </w:pPr>
    </w:p>
    <w:p w14:paraId="4567AC43" w14:textId="77777777" w:rsidR="005D05D4" w:rsidRDefault="005D05D4" w:rsidP="00236253">
      <w:pPr>
        <w:pStyle w:val="BCRReporttitle"/>
        <w:spacing w:after="0"/>
        <w:rPr>
          <w:rFonts w:asciiTheme="minorHAnsi" w:hAnsiTheme="minorHAnsi" w:cstheme="minorHAnsi"/>
          <w:sz w:val="72"/>
        </w:rPr>
      </w:pPr>
    </w:p>
    <w:p w14:paraId="35486D84" w14:textId="77777777" w:rsidR="005D05D4" w:rsidRDefault="005D05D4" w:rsidP="00236253">
      <w:pPr>
        <w:pStyle w:val="BCRReporttitle"/>
        <w:spacing w:after="0"/>
        <w:rPr>
          <w:rFonts w:asciiTheme="minorHAnsi" w:hAnsiTheme="minorHAnsi" w:cstheme="minorHAnsi"/>
          <w:sz w:val="72"/>
        </w:rPr>
      </w:pPr>
    </w:p>
    <w:p w14:paraId="369E3F5D" w14:textId="77777777" w:rsidR="005D05D4" w:rsidRDefault="005D05D4" w:rsidP="00236253">
      <w:pPr>
        <w:pStyle w:val="BCRReporttitle"/>
        <w:spacing w:after="0"/>
        <w:rPr>
          <w:rFonts w:asciiTheme="minorHAnsi" w:hAnsiTheme="minorHAnsi" w:cstheme="minorHAnsi"/>
          <w:sz w:val="72"/>
        </w:rPr>
      </w:pPr>
    </w:p>
    <w:p w14:paraId="6FF1A787" w14:textId="77777777" w:rsidR="005D05D4" w:rsidRPr="00BF5377" w:rsidRDefault="009633A2" w:rsidP="00236253">
      <w:pPr>
        <w:pStyle w:val="BCRReporttitle"/>
        <w:spacing w:after="0"/>
        <w:ind w:right="678"/>
      </w:pPr>
      <w:r>
        <w:t>Leading Indicators</w:t>
      </w:r>
    </w:p>
    <w:p w14:paraId="24B4D098" w14:textId="77777777" w:rsidR="005D05D4" w:rsidRDefault="00EC6654" w:rsidP="00236253">
      <w:pPr>
        <w:pStyle w:val="BCRBodytext"/>
        <w:spacing w:before="0"/>
        <w:rPr>
          <w:rFonts w:eastAsia="Times New Roman" w:cs="Times New Roman"/>
          <w:bCs/>
          <w:i/>
          <w:color w:val="AA0F14"/>
          <w:sz w:val="40"/>
          <w:szCs w:val="48"/>
        </w:rPr>
      </w:pPr>
      <w:r>
        <w:rPr>
          <w:rFonts w:eastAsia="Times New Roman" w:cs="Times New Roman"/>
          <w:bCs/>
          <w:i/>
          <w:color w:val="AA0F14"/>
          <w:sz w:val="40"/>
          <w:szCs w:val="48"/>
        </w:rPr>
        <w:t>Third</w:t>
      </w:r>
      <w:r w:rsidR="009633A2">
        <w:rPr>
          <w:rFonts w:eastAsia="Times New Roman" w:cs="Times New Roman"/>
          <w:bCs/>
          <w:i/>
          <w:color w:val="AA0F14"/>
          <w:sz w:val="40"/>
          <w:szCs w:val="48"/>
        </w:rPr>
        <w:t xml:space="preserve"> release</w:t>
      </w:r>
    </w:p>
    <w:p w14:paraId="47B31615" w14:textId="60CB0156" w:rsidR="00A03917" w:rsidRPr="009F0020" w:rsidRDefault="005B5DE1" w:rsidP="008124A2">
      <w:pPr>
        <w:pStyle w:val="BCRBodytext"/>
        <w:spacing w:before="0"/>
        <w:rPr>
          <w:rFonts w:cstheme="minorHAnsi"/>
          <w:i/>
          <w:color w:val="900000"/>
          <w:sz w:val="56"/>
          <w:szCs w:val="56"/>
        </w:rPr>
      </w:pPr>
      <w:r>
        <w:t>November</w:t>
      </w:r>
      <w:r w:rsidR="005D05D4">
        <w:t xml:space="preserve"> 2015</w:t>
      </w:r>
      <w:bookmarkStart w:id="0" w:name="_Toc402426282"/>
      <w:bookmarkStart w:id="1" w:name="_Toc403039642"/>
      <w:bookmarkStart w:id="2" w:name="_Toc405280737"/>
      <w:bookmarkStart w:id="3" w:name="_Toc409102230"/>
      <w:bookmarkStart w:id="4" w:name="_Toc409102315"/>
      <w:bookmarkStart w:id="5" w:name="_Toc409596362"/>
      <w:bookmarkEnd w:id="0"/>
      <w:bookmarkEnd w:id="1"/>
      <w:bookmarkEnd w:id="2"/>
      <w:bookmarkEnd w:id="3"/>
      <w:bookmarkEnd w:id="4"/>
      <w:bookmarkEnd w:id="5"/>
    </w:p>
    <w:p w14:paraId="3C630CAE" w14:textId="77777777" w:rsidR="00A03917" w:rsidRPr="009F0020" w:rsidRDefault="00A03917" w:rsidP="00236253">
      <w:pPr>
        <w:pStyle w:val="BodyText"/>
        <w:spacing w:before="0" w:after="0"/>
        <w:rPr>
          <w:rFonts w:cstheme="minorHAnsi"/>
        </w:rPr>
        <w:sectPr w:rsidR="00A03917" w:rsidRPr="009F0020" w:rsidSect="005D05D4">
          <w:headerReference w:type="default" r:id="rId12"/>
          <w:footerReference w:type="default" r:id="rId13"/>
          <w:pgSz w:w="11906" w:h="16838" w:code="9"/>
          <w:pgMar w:top="567" w:right="737" w:bottom="567" w:left="1560" w:header="284" w:footer="284" w:gutter="0"/>
          <w:cols w:space="708"/>
          <w:docGrid w:linePitch="360"/>
        </w:sectPr>
      </w:pPr>
    </w:p>
    <w:p w14:paraId="3EEA3C03" w14:textId="77777777" w:rsidR="00F95509" w:rsidRPr="00B44DB9" w:rsidRDefault="00F95509" w:rsidP="0053679E">
      <w:pPr>
        <w:pStyle w:val="Heading1"/>
        <w:rPr>
          <w:color w:val="C00000"/>
        </w:rPr>
      </w:pPr>
      <w:bookmarkStart w:id="6" w:name="_Toc411248736"/>
      <w:bookmarkStart w:id="7" w:name="_Toc402356892"/>
      <w:r w:rsidRPr="00B44DB9">
        <w:rPr>
          <w:color w:val="C00000"/>
        </w:rPr>
        <w:lastRenderedPageBreak/>
        <w:t xml:space="preserve">Introduction </w:t>
      </w:r>
      <w:bookmarkEnd w:id="6"/>
    </w:p>
    <w:p w14:paraId="3B0D1FE6" w14:textId="388E1936" w:rsidR="00EC6654" w:rsidRDefault="00EC6654" w:rsidP="00EC6654">
      <w:pPr>
        <w:pStyle w:val="BCRBodytext"/>
      </w:pPr>
      <w:r>
        <w:t xml:space="preserve">The Bureau of Communications Research (BCR) supports the development of good public policy and informed policy discussion for digital technologies, communications networks and services. </w:t>
      </w:r>
      <w:r w:rsidR="00852ACC">
        <w:t>To help achieve these outcomes</w:t>
      </w:r>
      <w:r>
        <w:t xml:space="preserve">, </w:t>
      </w:r>
      <w:r w:rsidR="00F941BC">
        <w:t>the BCR’s</w:t>
      </w:r>
      <w:r>
        <w:t xml:space="preserve"> leading indicators </w:t>
      </w:r>
      <w:r w:rsidR="00F941BC">
        <w:t xml:space="preserve">framework </w:t>
      </w:r>
      <w:r>
        <w:t>project is generating snapshots around recent data releases to build insights into the communications sector.</w:t>
      </w:r>
    </w:p>
    <w:p w14:paraId="018D881C" w14:textId="6BE90AF0" w:rsidR="00514363" w:rsidRDefault="00EC6654" w:rsidP="00EC6654">
      <w:pPr>
        <w:pStyle w:val="BCRBodytext"/>
        <w:rPr>
          <w:rFonts w:eastAsiaTheme="majorEastAsia" w:cstheme="majorBidi"/>
        </w:rPr>
      </w:pPr>
      <w:r>
        <w:t>In this release we profile how improved access to the internet through Wi-Fi networks is enabling consumers to access information more convenient</w:t>
      </w:r>
      <w:r w:rsidR="00AE3D7B">
        <w:t>ly;</w:t>
      </w:r>
      <w:r>
        <w:t xml:space="preserve"> and how fixed</w:t>
      </w:r>
      <w:r w:rsidR="00AE3D7B">
        <w:t xml:space="preserve"> </w:t>
      </w:r>
      <w:r>
        <w:t xml:space="preserve">line </w:t>
      </w:r>
      <w:r w:rsidR="00F941BC">
        <w:t xml:space="preserve">broadband network </w:t>
      </w:r>
      <w:r>
        <w:t>access is facilitating faster speed and driving the demand for data.</w:t>
      </w:r>
    </w:p>
    <w:bookmarkEnd w:id="7"/>
    <w:p w14:paraId="2DAB4D93" w14:textId="77777777" w:rsidR="00236253" w:rsidRPr="00B44DB9" w:rsidRDefault="00EC6654" w:rsidP="00D24DE7">
      <w:pPr>
        <w:pStyle w:val="Heading1"/>
        <w:rPr>
          <w:color w:val="C00000"/>
        </w:rPr>
      </w:pPr>
      <w:r w:rsidRPr="00B44DB9">
        <w:rPr>
          <w:color w:val="C00000"/>
        </w:rPr>
        <w:t>Mobility is supported by increased access to Wi-Fi</w:t>
      </w:r>
    </w:p>
    <w:p w14:paraId="1FCBCB1C" w14:textId="0DF669DA" w:rsidR="00852ACC" w:rsidRDefault="00EC6654" w:rsidP="00804C39">
      <w:pPr>
        <w:pStyle w:val="BodyText"/>
      </w:pPr>
      <w:r>
        <w:t>Reliable and convenient access to Wi-Fi is seen as an essential service by consumers</w:t>
      </w:r>
      <w:r w:rsidR="00804C39">
        <w:t>, with many preferring Wi-Fi to connect their smartphones and other internet enabled</w:t>
      </w:r>
      <w:r w:rsidR="00852ACC">
        <w:t xml:space="preserve"> </w:t>
      </w:r>
      <w:r w:rsidR="00804C39">
        <w:t>devices.</w:t>
      </w:r>
      <w:r w:rsidR="00804C39">
        <w:rPr>
          <w:rStyle w:val="FootnoteReference"/>
        </w:rPr>
        <w:footnoteReference w:id="2"/>
      </w:r>
      <w:r w:rsidR="00852ACC">
        <w:t xml:space="preserve"> </w:t>
      </w:r>
    </w:p>
    <w:p w14:paraId="556E5BC9" w14:textId="58367AC7" w:rsidR="00EC6654" w:rsidRDefault="00EC6654" w:rsidP="00EC6654">
      <w:pPr>
        <w:pStyle w:val="BodyText"/>
      </w:pPr>
      <w:r>
        <w:t xml:space="preserve">Telecommunications providers </w:t>
      </w:r>
      <w:r w:rsidR="00804C39">
        <w:t xml:space="preserve">are responding to the potential of Wi-Fi connectivity to transform business models. </w:t>
      </w:r>
      <w:r>
        <w:t xml:space="preserve">Globally, </w:t>
      </w:r>
      <w:r w:rsidR="00804C39">
        <w:t xml:space="preserve">there is an increasing </w:t>
      </w:r>
      <w:r>
        <w:t xml:space="preserve">number of wireless start-ups who </w:t>
      </w:r>
      <w:r w:rsidR="00804C39">
        <w:t>are leveraging Wi-Fi to disrupt traditional approaches to delivering communication services. These operators are</w:t>
      </w:r>
      <w:r w:rsidR="0089431C">
        <w:t xml:space="preserve"> </w:t>
      </w:r>
      <w:r>
        <w:t>transition</w:t>
      </w:r>
      <w:r w:rsidR="00804C39">
        <w:t>ing</w:t>
      </w:r>
      <w:r>
        <w:t xml:space="preserve"> calls, texts and data via Wi-Fi rather than th</w:t>
      </w:r>
      <w:r w:rsidR="00B05FAE">
        <w:t>e traditional cellular network.</w:t>
      </w:r>
      <w:r w:rsidR="000038C8">
        <w:rPr>
          <w:rStyle w:val="FootnoteReference"/>
        </w:rPr>
        <w:footnoteReference w:id="3"/>
      </w:r>
    </w:p>
    <w:p w14:paraId="05C4241C" w14:textId="66559CAF" w:rsidR="00EC6654" w:rsidRDefault="00EC6654" w:rsidP="00EC6654">
      <w:pPr>
        <w:pStyle w:val="BodyText"/>
      </w:pPr>
      <w:r>
        <w:t>In August 2015, Optus launched a service that allows voice and text over a Wi-Fi network via an app.</w:t>
      </w:r>
      <w:r w:rsidR="000038C8">
        <w:rPr>
          <w:rStyle w:val="FootnoteReference"/>
        </w:rPr>
        <w:footnoteReference w:id="4"/>
      </w:r>
      <w:r>
        <w:t xml:space="preserve"> </w:t>
      </w:r>
      <w:proofErr w:type="gramStart"/>
      <w:r w:rsidR="00804C39">
        <w:t>This</w:t>
      </w:r>
      <w:proofErr w:type="gramEnd"/>
      <w:r w:rsidR="00804C39">
        <w:t xml:space="preserve"> </w:t>
      </w:r>
      <w:r>
        <w:t>gives suppliers the opportunity to manage demand between their mobile and fixed</w:t>
      </w:r>
      <w:r w:rsidR="00AE3D7B">
        <w:t xml:space="preserve"> </w:t>
      </w:r>
      <w:r>
        <w:t>line networks</w:t>
      </w:r>
      <w:r w:rsidR="00852ACC">
        <w:t xml:space="preserve">. It also </w:t>
      </w:r>
      <w:r w:rsidR="003C289F">
        <w:t>provides an alternative to popular apps such as Skype, WhatsApp and Viber which provide low cost voice and text over Wi-Fi and mobile networks</w:t>
      </w:r>
      <w:r w:rsidR="00852ACC">
        <w:t>.</w:t>
      </w:r>
      <w:r w:rsidR="003C289F">
        <w:rPr>
          <w:rStyle w:val="FootnoteReference"/>
        </w:rPr>
        <w:footnoteReference w:id="5"/>
      </w:r>
      <w:r w:rsidR="003C289F">
        <w:t xml:space="preserve"> </w:t>
      </w:r>
      <w:r w:rsidR="00804C39">
        <w:t xml:space="preserve">Competitors are also exploring opportunities for voice </w:t>
      </w:r>
      <w:r w:rsidR="003C289F">
        <w:t xml:space="preserve">delivered over Wi-Fi networks, including </w:t>
      </w:r>
      <w:r w:rsidR="00852ACC">
        <w:t xml:space="preserve">on a ‘native network’ basis </w:t>
      </w:r>
      <w:r w:rsidR="003C289F">
        <w:t>without the need for an app.</w:t>
      </w:r>
      <w:r w:rsidR="003C289F">
        <w:rPr>
          <w:rStyle w:val="FootnoteReference"/>
        </w:rPr>
        <w:footnoteReference w:id="6"/>
      </w:r>
      <w:r w:rsidR="003C289F">
        <w:t xml:space="preserve"> </w:t>
      </w:r>
    </w:p>
    <w:p w14:paraId="50AA03D6" w14:textId="28053501" w:rsidR="00EC6654" w:rsidRPr="00EC6654" w:rsidRDefault="009B7244" w:rsidP="00EC6654">
      <w:pPr>
        <w:pStyle w:val="BodyText"/>
      </w:pPr>
      <w:r>
        <w:t>F</w:t>
      </w:r>
      <w:r w:rsidR="00EC6654">
        <w:t xml:space="preserve">orecasts </w:t>
      </w:r>
      <w:r w:rsidR="00CD6256">
        <w:t xml:space="preserve">produced by </w:t>
      </w:r>
      <w:r w:rsidR="00CD6256" w:rsidRPr="00CD6256">
        <w:t xml:space="preserve">wireless research specialist </w:t>
      </w:r>
      <w:proofErr w:type="spellStart"/>
      <w:r w:rsidR="00CD6256" w:rsidRPr="00CD6256">
        <w:t>Maravedis</w:t>
      </w:r>
      <w:proofErr w:type="spellEnd"/>
      <w:r w:rsidR="00CD6256" w:rsidRPr="00CD6256">
        <w:t xml:space="preserve"> Rethink</w:t>
      </w:r>
      <w:r w:rsidR="00CD6256">
        <w:t xml:space="preserve"> for </w:t>
      </w:r>
      <w:r w:rsidR="00CD6256" w:rsidRPr="00CD6256">
        <w:t xml:space="preserve">Wi-Fi hotspot aggregator </w:t>
      </w:r>
      <w:proofErr w:type="spellStart"/>
      <w:r w:rsidR="00CD6256">
        <w:t>iPass</w:t>
      </w:r>
      <w:proofErr w:type="spellEnd"/>
      <w:r w:rsidR="00CD6256">
        <w:t xml:space="preserve"> </w:t>
      </w:r>
      <w:r w:rsidR="00EC6654">
        <w:t xml:space="preserve">show the availability of public Wi-Fi globally </w:t>
      </w:r>
      <w:r w:rsidR="00CD6256">
        <w:t xml:space="preserve">is expected to </w:t>
      </w:r>
      <w:r w:rsidR="00EC6654">
        <w:t>grow 700 per cent in four years, from 48</w:t>
      </w:r>
      <w:r w:rsidR="00CD6256">
        <w:t> </w:t>
      </w:r>
      <w:r w:rsidR="00EC6654">
        <w:t xml:space="preserve">million in 2014 to </w:t>
      </w:r>
      <w:r w:rsidR="00AE3D7B">
        <w:t xml:space="preserve">more than </w:t>
      </w:r>
      <w:r w:rsidR="00EC6654">
        <w:t>340 million by 2018</w:t>
      </w:r>
      <w:r w:rsidR="00410B74">
        <w:t xml:space="preserve"> (see Figure 1)</w:t>
      </w:r>
      <w:r w:rsidR="00EC6654">
        <w:t xml:space="preserve">. This represents a shift in access to public Wi-Fi from one in every 150 people in 2014, to nearly one in every </w:t>
      </w:r>
      <w:r w:rsidR="00AE3D7B">
        <w:t xml:space="preserve">20 </w:t>
      </w:r>
      <w:r w:rsidR="00EC6654">
        <w:t>by 2018</w:t>
      </w:r>
      <w:r w:rsidR="00B05FAE">
        <w:t>.</w:t>
      </w:r>
      <w:r w:rsidR="000038C8">
        <w:rPr>
          <w:rStyle w:val="FootnoteReference"/>
        </w:rPr>
        <w:footnoteReference w:id="7"/>
      </w:r>
      <w:r w:rsidR="00CD6256">
        <w:t xml:space="preserve"> </w:t>
      </w:r>
    </w:p>
    <w:p w14:paraId="25621564" w14:textId="77777777" w:rsidR="003C289F" w:rsidRDefault="003C289F" w:rsidP="00236253">
      <w:pPr>
        <w:pStyle w:val="BCRBodytext"/>
        <w:spacing w:before="0"/>
        <w:rPr>
          <w:rFonts w:eastAsia="Calibri" w:cs="Times New Roman"/>
          <w:b/>
          <w:bCs/>
          <w:color w:val="808080" w:themeColor="background1" w:themeShade="80"/>
        </w:rPr>
      </w:pPr>
    </w:p>
    <w:p w14:paraId="3EDB5F57" w14:textId="77777777" w:rsidR="003C289F" w:rsidRDefault="003C289F" w:rsidP="00236253">
      <w:pPr>
        <w:pStyle w:val="BCRBodytext"/>
        <w:spacing w:before="0"/>
        <w:rPr>
          <w:rFonts w:eastAsia="Calibri" w:cs="Times New Roman"/>
          <w:b/>
          <w:bCs/>
          <w:color w:val="808080" w:themeColor="background1" w:themeShade="80"/>
        </w:rPr>
      </w:pPr>
    </w:p>
    <w:p w14:paraId="00E5676C" w14:textId="77777777" w:rsidR="0089431C" w:rsidRDefault="0089431C" w:rsidP="00236253">
      <w:pPr>
        <w:pStyle w:val="BCRBodytext"/>
        <w:spacing w:before="0"/>
        <w:rPr>
          <w:rFonts w:eastAsia="Calibri" w:cs="Times New Roman"/>
          <w:b/>
          <w:bCs/>
          <w:color w:val="808080" w:themeColor="background1" w:themeShade="80"/>
        </w:rPr>
      </w:pPr>
    </w:p>
    <w:p w14:paraId="7BBD5367" w14:textId="77777777" w:rsidR="0089431C" w:rsidRDefault="0089431C" w:rsidP="00236253">
      <w:pPr>
        <w:pStyle w:val="BCRBodytext"/>
        <w:spacing w:before="0"/>
        <w:rPr>
          <w:rFonts w:eastAsia="Calibri" w:cs="Times New Roman"/>
          <w:b/>
          <w:bCs/>
          <w:color w:val="808080" w:themeColor="background1" w:themeShade="80"/>
        </w:rPr>
      </w:pPr>
    </w:p>
    <w:p w14:paraId="293586F7" w14:textId="77777777" w:rsidR="0089431C" w:rsidRDefault="0089431C" w:rsidP="00236253">
      <w:pPr>
        <w:pStyle w:val="BCRBodytext"/>
        <w:spacing w:before="0"/>
        <w:rPr>
          <w:rFonts w:eastAsia="Calibri" w:cs="Times New Roman"/>
          <w:b/>
          <w:bCs/>
          <w:color w:val="808080" w:themeColor="background1" w:themeShade="80"/>
        </w:rPr>
      </w:pPr>
    </w:p>
    <w:p w14:paraId="05876A01" w14:textId="77777777" w:rsidR="00EC6654" w:rsidRPr="0054625C" w:rsidRDefault="00EC6654" w:rsidP="00236253">
      <w:pPr>
        <w:pStyle w:val="BCRBodytext"/>
        <w:spacing w:before="0"/>
        <w:rPr>
          <w:rFonts w:eastAsia="Calibri" w:cs="Times New Roman"/>
          <w:b/>
          <w:bCs/>
          <w:color w:val="808080" w:themeColor="background1" w:themeShade="80"/>
        </w:rPr>
      </w:pPr>
      <w:r w:rsidRPr="0054625C">
        <w:rPr>
          <w:rFonts w:eastAsia="Calibri" w:cs="Times New Roman"/>
          <w:b/>
          <w:bCs/>
          <w:color w:val="808080" w:themeColor="background1" w:themeShade="80"/>
        </w:rPr>
        <w:lastRenderedPageBreak/>
        <w:t>Figure 1: Growth in public Wi-Fi deployed worldwide</w:t>
      </w:r>
    </w:p>
    <w:p w14:paraId="36FA6BA6" w14:textId="77777777" w:rsidR="00EC6654" w:rsidRDefault="00AA62C5" w:rsidP="00236253">
      <w:pPr>
        <w:pStyle w:val="BCRBodytext"/>
        <w:spacing w:before="0"/>
        <w:rPr>
          <w:rFonts w:eastAsia="Calibri" w:cs="Times New Roman"/>
          <w:b/>
          <w:bCs/>
          <w:color w:val="808080" w:themeColor="background1" w:themeShade="80"/>
          <w:sz w:val="18"/>
          <w:szCs w:val="18"/>
        </w:rPr>
      </w:pPr>
      <w:r w:rsidRPr="00AA62C5">
        <w:rPr>
          <w:noProof/>
          <w:lang w:eastAsia="en-AU"/>
        </w:rPr>
        <w:drawing>
          <wp:inline distT="0" distB="0" distL="0" distR="0" wp14:anchorId="577DBA4E" wp14:editId="0D6131AF">
            <wp:extent cx="5731510" cy="2180590"/>
            <wp:effectExtent l="0" t="0" r="2540" b="0"/>
            <wp:docPr id="5" name="Picture 5" descr="The availability of public Wi-Fi globally is expected to grow 700 per cent in four years, from 48 million in 2014 to over 340 million by 2018." title="Growth in public Wi-Fi deployed world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09D7D" w14:textId="77777777" w:rsidR="00236253" w:rsidRPr="0019681D" w:rsidRDefault="00B05FAE" w:rsidP="00236253">
      <w:pPr>
        <w:pStyle w:val="BCRBodytext"/>
        <w:spacing w:before="0"/>
        <w:rPr>
          <w:i/>
          <w:sz w:val="18"/>
          <w:szCs w:val="18"/>
        </w:rPr>
      </w:pPr>
      <w:r w:rsidRPr="0019681D">
        <w:rPr>
          <w:i/>
          <w:sz w:val="18"/>
          <w:szCs w:val="18"/>
        </w:rPr>
        <w:t xml:space="preserve">Source: Derived by the Bureau of Communications Research using data from </w:t>
      </w:r>
      <w:proofErr w:type="spellStart"/>
      <w:r w:rsidRPr="0019681D">
        <w:rPr>
          <w:i/>
          <w:sz w:val="18"/>
          <w:szCs w:val="18"/>
        </w:rPr>
        <w:t>iPass</w:t>
      </w:r>
      <w:proofErr w:type="spellEnd"/>
    </w:p>
    <w:p w14:paraId="72A6AA9C" w14:textId="10D9F620" w:rsidR="00EE7E4A" w:rsidRDefault="00EE7E4A" w:rsidP="00EE7E4A">
      <w:pPr>
        <w:pStyle w:val="BCRBodytext"/>
        <w:spacing w:before="0"/>
        <w:rPr>
          <w:rStyle w:val="Hyperlink"/>
          <w:color w:val="auto"/>
          <w:u w:val="none"/>
        </w:rPr>
      </w:pPr>
      <w:r w:rsidRPr="00EE7E4A">
        <w:rPr>
          <w:rStyle w:val="Hyperlink"/>
          <w:color w:val="auto"/>
          <w:u w:val="none"/>
        </w:rPr>
        <w:t>In November 2014,</w:t>
      </w:r>
      <w:r>
        <w:rPr>
          <w:rStyle w:val="Hyperlink"/>
          <w:color w:val="auto"/>
          <w:u w:val="none"/>
        </w:rPr>
        <w:t xml:space="preserve"> </w:t>
      </w:r>
      <w:r w:rsidRPr="00EE7E4A">
        <w:rPr>
          <w:rStyle w:val="Hyperlink"/>
          <w:color w:val="auto"/>
          <w:u w:val="none"/>
        </w:rPr>
        <w:t>Telstra launched a free public Wi-Fi trial during which half a million gigabytes of data</w:t>
      </w:r>
      <w:r w:rsidR="006C5966">
        <w:rPr>
          <w:rStyle w:val="Hyperlink"/>
          <w:color w:val="auto"/>
          <w:u w:val="none"/>
        </w:rPr>
        <w:t xml:space="preserve"> was drawn from </w:t>
      </w:r>
      <w:r w:rsidR="00155C02">
        <w:rPr>
          <w:rStyle w:val="Hyperlink"/>
          <w:color w:val="auto"/>
          <w:u w:val="none"/>
        </w:rPr>
        <w:t>150 hotspots</w:t>
      </w:r>
      <w:r w:rsidRPr="00EE7E4A">
        <w:rPr>
          <w:rStyle w:val="Hyperlink"/>
          <w:color w:val="auto"/>
          <w:u w:val="none"/>
        </w:rPr>
        <w:t xml:space="preserve">. </w:t>
      </w:r>
      <w:r w:rsidR="00410B74">
        <w:rPr>
          <w:rStyle w:val="Hyperlink"/>
          <w:color w:val="auto"/>
          <w:u w:val="none"/>
        </w:rPr>
        <w:t>By May 201</w:t>
      </w:r>
      <w:r w:rsidR="004D1DF6">
        <w:rPr>
          <w:rStyle w:val="Hyperlink"/>
          <w:color w:val="auto"/>
          <w:u w:val="none"/>
        </w:rPr>
        <w:t>5</w:t>
      </w:r>
      <w:r w:rsidR="00410B74">
        <w:rPr>
          <w:rStyle w:val="Hyperlink"/>
          <w:color w:val="auto"/>
          <w:u w:val="none"/>
        </w:rPr>
        <w:t xml:space="preserve"> the trial had grown to 2,600 hotspots</w:t>
      </w:r>
      <w:r w:rsidR="00410B74" w:rsidRPr="00155C02">
        <w:t xml:space="preserve"> </w:t>
      </w:r>
      <w:r w:rsidR="00410B74" w:rsidRPr="00155C02">
        <w:rPr>
          <w:rStyle w:val="Hyperlink"/>
          <w:color w:val="auto"/>
          <w:u w:val="none"/>
        </w:rPr>
        <w:t>across the country</w:t>
      </w:r>
      <w:r w:rsidR="00410B74">
        <w:rPr>
          <w:rStyle w:val="Hyperlink"/>
          <w:color w:val="auto"/>
          <w:u w:val="none"/>
        </w:rPr>
        <w:t xml:space="preserve"> </w:t>
      </w:r>
      <w:r w:rsidRPr="00EE7E4A">
        <w:rPr>
          <w:rStyle w:val="Hyperlink"/>
          <w:color w:val="auto"/>
          <w:u w:val="none"/>
        </w:rPr>
        <w:t>signall</w:t>
      </w:r>
      <w:r w:rsidR="00410B74">
        <w:rPr>
          <w:rStyle w:val="Hyperlink"/>
          <w:color w:val="auto"/>
          <w:u w:val="none"/>
        </w:rPr>
        <w:t>ing</w:t>
      </w:r>
      <w:r w:rsidRPr="00EE7E4A">
        <w:rPr>
          <w:rStyle w:val="Hyperlink"/>
          <w:color w:val="auto"/>
          <w:u w:val="none"/>
        </w:rPr>
        <w:t xml:space="preserve"> strong demand for a service that</w:t>
      </w:r>
      <w:r>
        <w:rPr>
          <w:rStyle w:val="Hyperlink"/>
          <w:color w:val="auto"/>
          <w:u w:val="none"/>
        </w:rPr>
        <w:t xml:space="preserve"> </w:t>
      </w:r>
      <w:r w:rsidRPr="00EE7E4A">
        <w:rPr>
          <w:rStyle w:val="Hyperlink"/>
          <w:color w:val="auto"/>
          <w:u w:val="none"/>
        </w:rPr>
        <w:t>provides increased accessibility</w:t>
      </w:r>
      <w:r w:rsidR="000038C8">
        <w:rPr>
          <w:rStyle w:val="Hyperlink"/>
          <w:color w:val="auto"/>
          <w:u w:val="none"/>
        </w:rPr>
        <w:t xml:space="preserve"> and versatility for consumers</w:t>
      </w:r>
      <w:r w:rsidR="00155C02">
        <w:rPr>
          <w:rStyle w:val="Hyperlink"/>
          <w:color w:val="auto"/>
          <w:u w:val="none"/>
        </w:rPr>
        <w:t xml:space="preserve"> </w:t>
      </w:r>
      <w:r w:rsidR="00410B74">
        <w:rPr>
          <w:rStyle w:val="Hyperlink"/>
          <w:color w:val="auto"/>
          <w:u w:val="none"/>
        </w:rPr>
        <w:t>(see Figure 2</w:t>
      </w:r>
      <w:r w:rsidR="00410B74" w:rsidRPr="00EE7E4A">
        <w:rPr>
          <w:rStyle w:val="Hyperlink"/>
          <w:color w:val="auto"/>
          <w:u w:val="none"/>
        </w:rPr>
        <w:t>)</w:t>
      </w:r>
      <w:r w:rsidR="000038C8">
        <w:rPr>
          <w:rStyle w:val="Hyperlink"/>
          <w:color w:val="auto"/>
          <w:u w:val="none"/>
        </w:rPr>
        <w:t>.</w:t>
      </w:r>
      <w:r w:rsidR="000038C8">
        <w:rPr>
          <w:rStyle w:val="FootnoteReference"/>
        </w:rPr>
        <w:footnoteReference w:id="8"/>
      </w:r>
      <w:r>
        <w:rPr>
          <w:rStyle w:val="Hyperlink"/>
          <w:color w:val="auto"/>
          <w:u w:val="none"/>
        </w:rPr>
        <w:t xml:space="preserve"> </w:t>
      </w:r>
    </w:p>
    <w:p w14:paraId="429E4D29" w14:textId="77777777" w:rsidR="00EE7E4A" w:rsidRPr="0054625C" w:rsidRDefault="00EE7E4A" w:rsidP="00EE7E4A">
      <w:pPr>
        <w:pStyle w:val="Figurecaption"/>
        <w:rPr>
          <w:rStyle w:val="FigurecaptionCharChar"/>
          <w:b/>
          <w:sz w:val="22"/>
          <w:szCs w:val="22"/>
        </w:rPr>
      </w:pPr>
      <w:r w:rsidRPr="0054625C">
        <w:rPr>
          <w:rStyle w:val="FigurecaptionCharChar"/>
          <w:b/>
          <w:sz w:val="22"/>
          <w:szCs w:val="22"/>
        </w:rPr>
        <w:t>Figure 2:</w:t>
      </w:r>
      <w:r w:rsidRPr="0054625C">
        <w:rPr>
          <w:rStyle w:val="FigurecaptionCharChar"/>
          <w:b/>
          <w:sz w:val="22"/>
          <w:szCs w:val="22"/>
        </w:rPr>
        <w:tab/>
        <w:t>Public Wi-Fi hotspots across Australia deployed by Telstra</w:t>
      </w:r>
    </w:p>
    <w:p w14:paraId="4E02E440" w14:textId="77777777" w:rsidR="00EE7E4A" w:rsidRPr="00B05FAE" w:rsidRDefault="00AA62C5" w:rsidP="00EE7E4A">
      <w:r w:rsidRPr="00AA62C5">
        <w:rPr>
          <w:noProof/>
          <w:lang w:eastAsia="en-AU"/>
        </w:rPr>
        <w:drawing>
          <wp:inline distT="0" distB="0" distL="0" distR="0" wp14:anchorId="64BBB6E7" wp14:editId="10649BD4">
            <wp:extent cx="5731510" cy="2668270"/>
            <wp:effectExtent l="0" t="0" r="2540" b="0"/>
            <wp:docPr id="4" name="Picture 4" descr="In November 2014, Telstra offered 150 hot spots on it's public Wi-Fi trial. By May 2015 the trial had grown to 2,600 hotspots across the country. At the launch of the network, in June 2015, there were nearly 4000 hot sposts available." title="Public Wi-Fi hotspots across Australia deployed by Tel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B5A98" w14:textId="77777777" w:rsidR="00EE7E4A" w:rsidRDefault="00EE7E4A" w:rsidP="00EE7E4A">
      <w:pPr>
        <w:pStyle w:val="Caption"/>
        <w:rPr>
          <w:rStyle w:val="BCRBodytextChar"/>
          <w:color w:val="auto"/>
        </w:rPr>
      </w:pPr>
      <w:r w:rsidRPr="001A3C18">
        <w:rPr>
          <w:rStyle w:val="BCRBodytextChar"/>
          <w:color w:val="auto"/>
        </w:rPr>
        <w:t xml:space="preserve">Source: </w:t>
      </w:r>
      <w:r w:rsidRPr="00B05FAE">
        <w:rPr>
          <w:rStyle w:val="BCRBodytextChar"/>
          <w:color w:val="auto"/>
        </w:rPr>
        <w:t>Derived by the Bureau of Communications Research using data from Telstra</w:t>
      </w:r>
    </w:p>
    <w:p w14:paraId="48CF4FE9" w14:textId="0264D986" w:rsidR="003C289F" w:rsidRDefault="003C289F" w:rsidP="003C289F">
      <w:pPr>
        <w:pStyle w:val="BCRBodytext"/>
        <w:spacing w:before="0"/>
        <w:rPr>
          <w:rStyle w:val="Hyperlink"/>
          <w:color w:val="auto"/>
          <w:u w:val="none"/>
        </w:rPr>
      </w:pPr>
      <w:r w:rsidRPr="00EE7E4A">
        <w:rPr>
          <w:rStyle w:val="Hyperlink"/>
          <w:color w:val="auto"/>
          <w:u w:val="none"/>
        </w:rPr>
        <w:t xml:space="preserve">Following the success of the trial, on 30 June 2015 Telstra launched its </w:t>
      </w:r>
      <w:r>
        <w:rPr>
          <w:rStyle w:val="Hyperlink"/>
          <w:color w:val="auto"/>
          <w:u w:val="none"/>
        </w:rPr>
        <w:t xml:space="preserve">Telstra </w:t>
      </w:r>
      <w:r w:rsidRPr="00EE7E4A">
        <w:rPr>
          <w:rStyle w:val="Hyperlink"/>
          <w:color w:val="auto"/>
          <w:u w:val="none"/>
        </w:rPr>
        <w:t xml:space="preserve">Air </w:t>
      </w:r>
      <w:r>
        <w:rPr>
          <w:rStyle w:val="Hyperlink"/>
          <w:color w:val="auto"/>
          <w:u w:val="none"/>
        </w:rPr>
        <w:t>n</w:t>
      </w:r>
      <w:r w:rsidRPr="00EE7E4A">
        <w:rPr>
          <w:rStyle w:val="Hyperlink"/>
          <w:color w:val="auto"/>
          <w:u w:val="none"/>
        </w:rPr>
        <w:t>ationwide Wi-Fi</w:t>
      </w:r>
      <w:r>
        <w:rPr>
          <w:rStyle w:val="Hyperlink"/>
          <w:color w:val="auto"/>
          <w:u w:val="none"/>
        </w:rPr>
        <w:t xml:space="preserve"> </w:t>
      </w:r>
      <w:r w:rsidRPr="00EE7E4A">
        <w:rPr>
          <w:rStyle w:val="Hyperlink"/>
          <w:color w:val="auto"/>
          <w:u w:val="none"/>
        </w:rPr>
        <w:t>network. The program splits a Telstra subscribed private network into two: one for existing</w:t>
      </w:r>
      <w:r>
        <w:rPr>
          <w:rStyle w:val="Hyperlink"/>
          <w:color w:val="auto"/>
          <w:u w:val="none"/>
        </w:rPr>
        <w:t xml:space="preserve"> </w:t>
      </w:r>
      <w:r w:rsidRPr="00EE7E4A">
        <w:rPr>
          <w:rStyle w:val="Hyperlink"/>
          <w:color w:val="auto"/>
          <w:u w:val="none"/>
        </w:rPr>
        <w:t xml:space="preserve">subscribers, and the second for </w:t>
      </w:r>
      <w:r>
        <w:rPr>
          <w:rStyle w:val="Hyperlink"/>
          <w:color w:val="auto"/>
          <w:u w:val="none"/>
        </w:rPr>
        <w:t xml:space="preserve">Telstra </w:t>
      </w:r>
      <w:r w:rsidRPr="00EE7E4A">
        <w:rPr>
          <w:rStyle w:val="Hyperlink"/>
          <w:color w:val="auto"/>
          <w:u w:val="none"/>
        </w:rPr>
        <w:t>Air subscribers (limited to at a maximum speed of two</w:t>
      </w:r>
      <w:r>
        <w:rPr>
          <w:rStyle w:val="Hyperlink"/>
          <w:color w:val="auto"/>
          <w:u w:val="none"/>
        </w:rPr>
        <w:t xml:space="preserve"> </w:t>
      </w:r>
      <w:r w:rsidRPr="00EE7E4A">
        <w:rPr>
          <w:rStyle w:val="Hyperlink"/>
          <w:color w:val="auto"/>
          <w:u w:val="none"/>
        </w:rPr>
        <w:t>megabits per second). This has vastly increased the availability of Wi-Fi</w:t>
      </w:r>
      <w:r w:rsidR="00852ACC">
        <w:rPr>
          <w:rStyle w:val="Hyperlink"/>
          <w:color w:val="auto"/>
          <w:u w:val="none"/>
        </w:rPr>
        <w:t xml:space="preserve">, adding to existing large scale Wi-Fi networks and hotspots available across Australia. </w:t>
      </w:r>
      <w:r w:rsidRPr="00EE7E4A">
        <w:rPr>
          <w:rStyle w:val="Hyperlink"/>
          <w:color w:val="auto"/>
          <w:u w:val="none"/>
        </w:rPr>
        <w:t>By shifting mobile traffic off mobile networks and on to fixed</w:t>
      </w:r>
      <w:r w:rsidR="00AE3D7B">
        <w:rPr>
          <w:rStyle w:val="Hyperlink"/>
          <w:color w:val="auto"/>
          <w:u w:val="none"/>
        </w:rPr>
        <w:t xml:space="preserve"> </w:t>
      </w:r>
      <w:r w:rsidRPr="00EE7E4A">
        <w:rPr>
          <w:rStyle w:val="Hyperlink"/>
          <w:color w:val="auto"/>
          <w:u w:val="none"/>
        </w:rPr>
        <w:t>line ones instead, subscribers</w:t>
      </w:r>
      <w:r>
        <w:rPr>
          <w:rStyle w:val="Hyperlink"/>
          <w:color w:val="auto"/>
          <w:u w:val="none"/>
        </w:rPr>
        <w:t xml:space="preserve"> </w:t>
      </w:r>
      <w:r w:rsidRPr="00EE7E4A">
        <w:rPr>
          <w:rStyle w:val="Hyperlink"/>
          <w:color w:val="auto"/>
          <w:u w:val="none"/>
        </w:rPr>
        <w:t>can maximise the utility from their fixed</w:t>
      </w:r>
      <w:r w:rsidR="00AE3D7B">
        <w:rPr>
          <w:rStyle w:val="Hyperlink"/>
          <w:color w:val="auto"/>
          <w:u w:val="none"/>
        </w:rPr>
        <w:t xml:space="preserve"> </w:t>
      </w:r>
      <w:r w:rsidRPr="00EE7E4A">
        <w:rPr>
          <w:rStyle w:val="Hyperlink"/>
          <w:color w:val="auto"/>
          <w:u w:val="none"/>
        </w:rPr>
        <w:t>line subscription, for example, through their mobile</w:t>
      </w:r>
      <w:r>
        <w:rPr>
          <w:rStyle w:val="Hyperlink"/>
          <w:color w:val="auto"/>
          <w:u w:val="none"/>
        </w:rPr>
        <w:t xml:space="preserve"> device.</w:t>
      </w:r>
    </w:p>
    <w:p w14:paraId="54397D8D" w14:textId="441D1549" w:rsidR="00EE7E4A" w:rsidRDefault="00EE7E4A" w:rsidP="00EE7E4A">
      <w:pPr>
        <w:pStyle w:val="BCRBodytext"/>
        <w:spacing w:before="0"/>
        <w:rPr>
          <w:rStyle w:val="Hyperlink"/>
          <w:color w:val="auto"/>
          <w:u w:val="none"/>
        </w:rPr>
      </w:pPr>
      <w:r w:rsidRPr="00EE7E4A">
        <w:rPr>
          <w:rStyle w:val="Hyperlink"/>
          <w:color w:val="auto"/>
          <w:u w:val="none"/>
        </w:rPr>
        <w:lastRenderedPageBreak/>
        <w:t xml:space="preserve">Restructuring how people access the internet is </w:t>
      </w:r>
      <w:r w:rsidR="00E06448">
        <w:rPr>
          <w:rStyle w:val="Hyperlink"/>
          <w:color w:val="auto"/>
          <w:u w:val="none"/>
        </w:rPr>
        <w:t xml:space="preserve">providing new opportunities for </w:t>
      </w:r>
      <w:r w:rsidRPr="00EE7E4A">
        <w:rPr>
          <w:rStyle w:val="Hyperlink"/>
          <w:color w:val="auto"/>
          <w:u w:val="none"/>
        </w:rPr>
        <w:t>how consume</w:t>
      </w:r>
      <w:r w:rsidR="00E06448">
        <w:rPr>
          <w:rStyle w:val="Hyperlink"/>
          <w:color w:val="auto"/>
          <w:u w:val="none"/>
        </w:rPr>
        <w:t>rs access and download</w:t>
      </w:r>
      <w:r>
        <w:rPr>
          <w:rStyle w:val="Hyperlink"/>
          <w:color w:val="auto"/>
          <w:u w:val="none"/>
        </w:rPr>
        <w:t xml:space="preserve"> </w:t>
      </w:r>
      <w:r w:rsidR="0054625C">
        <w:rPr>
          <w:rStyle w:val="Hyperlink"/>
          <w:color w:val="auto"/>
          <w:u w:val="none"/>
        </w:rPr>
        <w:t xml:space="preserve">data. An </w:t>
      </w:r>
      <w:r w:rsidRPr="00EE7E4A">
        <w:rPr>
          <w:rStyle w:val="Hyperlink"/>
          <w:color w:val="auto"/>
          <w:u w:val="none"/>
        </w:rPr>
        <w:t>example of this can be seen in the way tourists are consuming data</w:t>
      </w:r>
      <w:r>
        <w:rPr>
          <w:rStyle w:val="Hyperlink"/>
          <w:color w:val="auto"/>
          <w:u w:val="none"/>
        </w:rPr>
        <w:t xml:space="preserve"> </w:t>
      </w:r>
      <w:r w:rsidRPr="00EE7E4A">
        <w:rPr>
          <w:rStyle w:val="Hyperlink"/>
          <w:color w:val="auto"/>
          <w:u w:val="none"/>
        </w:rPr>
        <w:t xml:space="preserve">(see Table 1). </w:t>
      </w:r>
    </w:p>
    <w:p w14:paraId="3C92773E" w14:textId="5D6710F4" w:rsidR="00EE7E4A" w:rsidRDefault="00EE7E4A" w:rsidP="00EE7E4A">
      <w:pPr>
        <w:pStyle w:val="BCRBodytext"/>
        <w:spacing w:before="0"/>
        <w:rPr>
          <w:rStyle w:val="Hyperlink"/>
          <w:color w:val="auto"/>
          <w:u w:val="none"/>
        </w:rPr>
      </w:pPr>
      <w:r w:rsidRPr="00EE7E4A">
        <w:rPr>
          <w:rStyle w:val="Hyperlink"/>
          <w:color w:val="auto"/>
          <w:u w:val="none"/>
        </w:rPr>
        <w:t xml:space="preserve">In 2014, information accessed by tourists using smartphones increased </w:t>
      </w:r>
      <w:r w:rsidR="00500D47">
        <w:rPr>
          <w:rStyle w:val="Hyperlink"/>
          <w:color w:val="auto"/>
          <w:u w:val="none"/>
        </w:rPr>
        <w:t>40</w:t>
      </w:r>
      <w:r w:rsidRPr="00EE7E4A">
        <w:rPr>
          <w:rStyle w:val="Hyperlink"/>
          <w:color w:val="auto"/>
          <w:u w:val="none"/>
        </w:rPr>
        <w:t xml:space="preserve"> per cent,</w:t>
      </w:r>
      <w:r>
        <w:rPr>
          <w:rStyle w:val="Hyperlink"/>
          <w:color w:val="auto"/>
          <w:u w:val="none"/>
        </w:rPr>
        <w:t xml:space="preserve"> </w:t>
      </w:r>
      <w:r w:rsidRPr="00EE7E4A">
        <w:rPr>
          <w:rStyle w:val="Hyperlink"/>
          <w:color w:val="auto"/>
          <w:u w:val="none"/>
        </w:rPr>
        <w:t>year-on-year. In contrast, fixed</w:t>
      </w:r>
      <w:r w:rsidR="00AE3D7B">
        <w:rPr>
          <w:rStyle w:val="Hyperlink"/>
          <w:color w:val="auto"/>
          <w:u w:val="none"/>
        </w:rPr>
        <w:t xml:space="preserve"> </w:t>
      </w:r>
      <w:r w:rsidRPr="00EE7E4A">
        <w:rPr>
          <w:rStyle w:val="Hyperlink"/>
          <w:color w:val="auto"/>
          <w:u w:val="none"/>
        </w:rPr>
        <w:t>line access via an internet café or kiosk fell 2</w:t>
      </w:r>
      <w:r w:rsidR="00500D47">
        <w:rPr>
          <w:rStyle w:val="Hyperlink"/>
          <w:color w:val="auto"/>
          <w:u w:val="none"/>
        </w:rPr>
        <w:t>3</w:t>
      </w:r>
      <w:r w:rsidRPr="00EE7E4A">
        <w:rPr>
          <w:rStyle w:val="Hyperlink"/>
          <w:color w:val="auto"/>
          <w:u w:val="none"/>
        </w:rPr>
        <w:t xml:space="preserve"> per cent and</w:t>
      </w:r>
      <w:r>
        <w:rPr>
          <w:rStyle w:val="Hyperlink"/>
          <w:color w:val="auto"/>
          <w:u w:val="none"/>
        </w:rPr>
        <w:t xml:space="preserve"> </w:t>
      </w:r>
      <w:r w:rsidR="00500D47">
        <w:rPr>
          <w:rStyle w:val="Hyperlink"/>
          <w:color w:val="auto"/>
          <w:u w:val="none"/>
        </w:rPr>
        <w:t>19</w:t>
      </w:r>
      <w:r w:rsidR="000038C8">
        <w:rPr>
          <w:rStyle w:val="Hyperlink"/>
          <w:color w:val="auto"/>
          <w:u w:val="none"/>
        </w:rPr>
        <w:t xml:space="preserve"> per cent, respectively.</w:t>
      </w:r>
      <w:r w:rsidR="000038C8">
        <w:rPr>
          <w:rStyle w:val="FootnoteReference"/>
        </w:rPr>
        <w:footnoteReference w:id="9"/>
      </w:r>
      <w:r w:rsidRPr="00EE7E4A">
        <w:rPr>
          <w:rStyle w:val="Hyperlink"/>
          <w:color w:val="auto"/>
          <w:u w:val="none"/>
        </w:rPr>
        <w:t xml:space="preserve"> Smartphones offer a platform for tourists to effectively utilise the</w:t>
      </w:r>
      <w:r>
        <w:rPr>
          <w:rStyle w:val="Hyperlink"/>
          <w:color w:val="auto"/>
          <w:u w:val="none"/>
        </w:rPr>
        <w:t xml:space="preserve"> </w:t>
      </w:r>
      <w:r w:rsidRPr="00EE7E4A">
        <w:rPr>
          <w:rStyle w:val="Hyperlink"/>
          <w:color w:val="auto"/>
          <w:u w:val="none"/>
        </w:rPr>
        <w:t>increased access provided by public Wi-Fi.</w:t>
      </w:r>
    </w:p>
    <w:p w14:paraId="6AB3B314" w14:textId="34E9EEBC" w:rsidR="0057752A" w:rsidRDefault="0057752A" w:rsidP="00EE7E4A">
      <w:r>
        <w:rPr>
          <w:noProof/>
          <w:lang w:eastAsia="en-AU"/>
        </w:rPr>
        <w:drawing>
          <wp:inline distT="0" distB="0" distL="0" distR="0" wp14:anchorId="0879D607" wp14:editId="15D7568A">
            <wp:extent cx="5731510" cy="2324100"/>
            <wp:effectExtent l="0" t="0" r="2540" b="0"/>
            <wp:docPr id="1" name="Picture 1" descr="For smartphone users: accessing maps has increased 40%, accessing timetables has increased 34%, accessing destination guides has increased 45%, accessing restaurant guides has increased 37%, accessing attraction guides has increased 39%. The total increase has been 40%.&#10;&#10;For Internet cafe users: accessing maps reduced 20%, accessing timetables has reduced  23%, accessing destination guides has reduced 6%, accessing restaurant guides has reduced  24%, accessing attraction guides has reduced  24%. The total reduction has been 23%.&#10;&#10;For Internet kiok users: accessing maps reduced 16%, accessing timetables has reduced 13%, accessing destination guides has reduced 14%, accessing restaurant guides has reduced  16%, accessing attraction guides has reduced  21%. The total reduction has been 19%." title="Accessing the internet by smartphone as the preferred choice,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4FB77" w14:textId="2F9E45F1" w:rsidR="0089431C" w:rsidRDefault="0089431C" w:rsidP="00EE7E4A">
      <w:r w:rsidRPr="001F2912">
        <w:t>With the rollout of programs such as Telstra’s Air network</w:t>
      </w:r>
      <w:r w:rsidR="00852ACC">
        <w:t>, a</w:t>
      </w:r>
      <w:r w:rsidRPr="001F2912">
        <w:t xml:space="preserve"> quasi-fixed mobile convergence (FMC) program which removes differences between fixed and mobile networks, a </w:t>
      </w:r>
      <w:r w:rsidR="00852ACC">
        <w:t>better</w:t>
      </w:r>
      <w:r w:rsidRPr="001F2912">
        <w:t xml:space="preserve"> experience will be provided to customers by creating seamless services using a combination of fixed broadband and local access wireless technologies to meet their needs in home, offices, and on the go.</w:t>
      </w:r>
      <w:r w:rsidR="00A10DC4">
        <w:rPr>
          <w:rStyle w:val="FootnoteReference"/>
        </w:rPr>
        <w:footnoteReference w:id="10"/>
      </w:r>
    </w:p>
    <w:p w14:paraId="7F132612" w14:textId="65EDFBF3" w:rsidR="00236253" w:rsidRPr="00B44DB9" w:rsidRDefault="00EE7E4A" w:rsidP="00D24DE7">
      <w:pPr>
        <w:pStyle w:val="Heading1"/>
        <w:rPr>
          <w:color w:val="C00000"/>
        </w:rPr>
      </w:pPr>
      <w:r w:rsidRPr="00B44DB9">
        <w:rPr>
          <w:color w:val="C00000"/>
        </w:rPr>
        <w:t>Fixed</w:t>
      </w:r>
      <w:r w:rsidR="00AE3D7B">
        <w:rPr>
          <w:color w:val="C00000"/>
        </w:rPr>
        <w:t xml:space="preserve"> </w:t>
      </w:r>
      <w:r w:rsidRPr="00B44DB9">
        <w:rPr>
          <w:color w:val="C00000"/>
        </w:rPr>
        <w:t>line access dominates the way we consume data</w:t>
      </w:r>
    </w:p>
    <w:p w14:paraId="1CA86FA9" w14:textId="60FB1132" w:rsidR="00EE7E4A" w:rsidRDefault="00EE7E4A" w:rsidP="00EE7E4A">
      <w:pPr>
        <w:pStyle w:val="BCRBodytext"/>
      </w:pPr>
      <w:r w:rsidRPr="00A8459A">
        <w:t xml:space="preserve">In this section we assess how application innovation and usage, particularly streaming applications, and faster-speed technology is providing the catalyst for increased </w:t>
      </w:r>
      <w:r w:rsidR="00BE5618" w:rsidRPr="00A8459A">
        <w:t>demand for more data over fixed </w:t>
      </w:r>
      <w:r w:rsidRPr="00A8459A">
        <w:t xml:space="preserve">line networks: </w:t>
      </w:r>
      <w:r w:rsidRPr="004A1B66">
        <w:t>data downloaded inc</w:t>
      </w:r>
      <w:r w:rsidR="00790768" w:rsidRPr="004A1B66">
        <w:t xml:space="preserve">reased from </w:t>
      </w:r>
      <w:r w:rsidR="0031520B" w:rsidRPr="004A1B66">
        <w:t>140,000</w:t>
      </w:r>
      <w:r w:rsidR="00BE5618" w:rsidRPr="004A1B66">
        <w:t xml:space="preserve"> </w:t>
      </w:r>
      <w:r w:rsidR="0052577C" w:rsidRPr="004A1B66">
        <w:t>terabytes</w:t>
      </w:r>
      <w:r w:rsidRPr="004A1B66">
        <w:t xml:space="preserve"> for the three months ended </w:t>
      </w:r>
      <w:r w:rsidR="00790768" w:rsidRPr="004A1B66">
        <w:t>June </w:t>
      </w:r>
      <w:r w:rsidR="00E364DC">
        <w:t>2010</w:t>
      </w:r>
      <w:r w:rsidRPr="004A1B66">
        <w:t>, to 1.</w:t>
      </w:r>
      <w:r w:rsidR="00BE5618" w:rsidRPr="004A1B66">
        <w:t>35</w:t>
      </w:r>
      <w:r w:rsidRPr="004A1B66">
        <w:t xml:space="preserve"> million </w:t>
      </w:r>
      <w:r w:rsidR="0052577C">
        <w:t>terabytes</w:t>
      </w:r>
      <w:r w:rsidR="00AE3D7B" w:rsidRPr="004A1B66">
        <w:t xml:space="preserve"> </w:t>
      </w:r>
      <w:r w:rsidRPr="004A1B66">
        <w:t>for the three</w:t>
      </w:r>
      <w:bookmarkStart w:id="8" w:name="_GoBack"/>
      <w:bookmarkEnd w:id="8"/>
      <w:r w:rsidRPr="004A1B66">
        <w:t xml:space="preserve"> months ended </w:t>
      </w:r>
      <w:r w:rsidR="00790768" w:rsidRPr="004A1B66">
        <w:t>June</w:t>
      </w:r>
      <w:r w:rsidRPr="004A1B66">
        <w:t xml:space="preserve"> 201</w:t>
      </w:r>
      <w:r w:rsidR="00790768" w:rsidRPr="004A1B66">
        <w:t>5</w:t>
      </w:r>
      <w:r w:rsidRPr="004A1B66">
        <w:t>.</w:t>
      </w:r>
    </w:p>
    <w:p w14:paraId="04D06843" w14:textId="510615AC" w:rsidR="0089431C" w:rsidRDefault="00EE7E4A" w:rsidP="00EE7E4A">
      <w:pPr>
        <w:pStyle w:val="BCRBodytext"/>
      </w:pPr>
      <w:r w:rsidRPr="00A8459A">
        <w:t xml:space="preserve">In comparison, the volume of data downloaded via </w:t>
      </w:r>
      <w:r w:rsidR="00C51A68">
        <w:t>wireless devices</w:t>
      </w:r>
      <w:r w:rsidR="0002417D">
        <w:t xml:space="preserve"> </w:t>
      </w:r>
      <w:r w:rsidRPr="00A8459A">
        <w:t xml:space="preserve">was </w:t>
      </w:r>
      <w:r w:rsidR="00C51A68">
        <w:t>approximately 39,000</w:t>
      </w:r>
      <w:r w:rsidRPr="00A8459A">
        <w:t xml:space="preserve"> </w:t>
      </w:r>
      <w:r w:rsidR="0052577C">
        <w:t>terabytes</w:t>
      </w:r>
      <w:r w:rsidR="00AE3D7B">
        <w:t xml:space="preserve"> </w:t>
      </w:r>
      <w:r w:rsidR="00852ACC">
        <w:t>at June 2015</w:t>
      </w:r>
      <w:r w:rsidRPr="00A8459A">
        <w:t xml:space="preserve">. This represents </w:t>
      </w:r>
      <w:r w:rsidR="00C51A68">
        <w:t>less than</w:t>
      </w:r>
      <w:r w:rsidR="00C51A68" w:rsidRPr="00A8459A">
        <w:t xml:space="preserve"> </w:t>
      </w:r>
      <w:r w:rsidR="00C51A68">
        <w:t>three</w:t>
      </w:r>
      <w:r w:rsidR="00C51A68" w:rsidRPr="00A8459A">
        <w:t xml:space="preserve"> </w:t>
      </w:r>
      <w:r w:rsidRPr="00A8459A">
        <w:t>per cent when assessed ag</w:t>
      </w:r>
      <w:r w:rsidR="000038C8" w:rsidRPr="00A8459A">
        <w:t>ainst fixed</w:t>
      </w:r>
      <w:r w:rsidR="00AE3D7B">
        <w:t xml:space="preserve"> </w:t>
      </w:r>
      <w:r w:rsidR="000038C8" w:rsidRPr="00A8459A">
        <w:t>line data consumed</w:t>
      </w:r>
      <w:r w:rsidR="0089431C" w:rsidRPr="00A8459A">
        <w:t>.</w:t>
      </w:r>
      <w:r w:rsidR="0089431C">
        <w:t xml:space="preserve"> </w:t>
      </w:r>
      <w:r w:rsidR="00A10DC4">
        <w:rPr>
          <w:rStyle w:val="FootnoteReference"/>
        </w:rPr>
        <w:footnoteReference w:id="11"/>
      </w:r>
    </w:p>
    <w:p w14:paraId="4A3C78DA" w14:textId="717A46F1" w:rsidR="00917145" w:rsidRDefault="00EE7E4A" w:rsidP="00EE7E4A">
      <w:pPr>
        <w:pStyle w:val="BCRBodytext"/>
      </w:pPr>
      <w:r w:rsidRPr="00A8459A">
        <w:t xml:space="preserve">When comparing the volume </w:t>
      </w:r>
      <w:r w:rsidR="003C3DA4" w:rsidRPr="00A8459A">
        <w:t>of data downloaded</w:t>
      </w:r>
      <w:r w:rsidR="003C3DA4">
        <w:t xml:space="preserve"> across fixed</w:t>
      </w:r>
      <w:r w:rsidR="00AE3D7B">
        <w:t xml:space="preserve"> </w:t>
      </w:r>
      <w:r>
        <w:t>line against mobile wireless for the period 2009</w:t>
      </w:r>
      <w:r w:rsidR="003C3DA4">
        <w:t xml:space="preserve"> to 20</w:t>
      </w:r>
      <w:r>
        <w:t>1</w:t>
      </w:r>
      <w:r w:rsidR="003C3DA4">
        <w:t>5</w:t>
      </w:r>
      <w:r>
        <w:t xml:space="preserve">, the proportion of fixed line grew eight percentage points, from 89 per cent to an </w:t>
      </w:r>
      <w:r w:rsidR="0089431C">
        <w:t>almost saturated 97 per cent.</w:t>
      </w:r>
    </w:p>
    <w:p w14:paraId="6E97ED9A" w14:textId="50CF406F" w:rsidR="00BD5226" w:rsidRPr="002F3124" w:rsidRDefault="00EE7E4A" w:rsidP="00EE7E4A">
      <w:r>
        <w:lastRenderedPageBreak/>
        <w:t>Changes in technology and consumer behaviour, as well as lower access prices, are seeing consumers shifting to fixed</w:t>
      </w:r>
      <w:r w:rsidR="00AE3D7B">
        <w:t xml:space="preserve"> </w:t>
      </w:r>
      <w:r>
        <w:t xml:space="preserve">line services that offer higher speeds and download limits. For instance, increased access to services such as ecommerce, audio streaming and </w:t>
      </w:r>
      <w:r w:rsidR="00AE3D7B">
        <w:t>s</w:t>
      </w:r>
      <w:r w:rsidR="00852ACC">
        <w:t xml:space="preserve">ubscription </w:t>
      </w:r>
      <w:r w:rsidR="00AE3D7B">
        <w:t>v</w:t>
      </w:r>
      <w:r w:rsidR="00852ACC">
        <w:t xml:space="preserve">ideo </w:t>
      </w:r>
      <w:r w:rsidR="00AE3D7B">
        <w:t>o</w:t>
      </w:r>
      <w:r w:rsidR="00852ACC">
        <w:t xml:space="preserve">n </w:t>
      </w:r>
      <w:r w:rsidR="00AE3D7B">
        <w:t>d</w:t>
      </w:r>
      <w:r w:rsidR="00852ACC">
        <w:t>emand (SVOD)</w:t>
      </w:r>
      <w:r>
        <w:t xml:space="preserve"> indicates consumers’ ever-increasing bandwidth appetite. </w:t>
      </w:r>
      <w:r w:rsidR="00BD5226">
        <w:t xml:space="preserve">Traffic data from IX Australia demonstrates the demand for SVOD services. </w:t>
      </w:r>
      <w:r w:rsidR="00500D47">
        <w:t>Following the launch of Netflix, peering traffic through IX Australia jumped fifty per cent</w:t>
      </w:r>
      <w:r w:rsidR="00AE3D7B">
        <w:t>—</w:t>
      </w:r>
      <w:r w:rsidR="00500D47">
        <w:t>from 4</w:t>
      </w:r>
      <w:r w:rsidR="00AE3D7B">
        <w:t xml:space="preserve"> gigabytes per second</w:t>
      </w:r>
      <w:r w:rsidR="00500D47">
        <w:t xml:space="preserve"> to 8</w:t>
      </w:r>
      <w:r w:rsidR="00AE3D7B">
        <w:t xml:space="preserve"> gigabytes per second</w:t>
      </w:r>
      <w:r w:rsidR="00500D47">
        <w:t>.</w:t>
      </w:r>
      <w:r w:rsidR="00500D47">
        <w:rPr>
          <w:rStyle w:val="FootnoteReference"/>
        </w:rPr>
        <w:footnoteReference w:id="12"/>
      </w:r>
    </w:p>
    <w:p w14:paraId="55831A7D" w14:textId="09D42CD0" w:rsidR="00EE7E4A" w:rsidRDefault="00D27798" w:rsidP="00EE7E4A">
      <w:r w:rsidRPr="002F3124">
        <w:t>P</w:t>
      </w:r>
      <w:r w:rsidR="00821922" w:rsidRPr="002F3124">
        <w:t>rogressive access to higher access speeds coupled with an increase in connected devices per capita</w:t>
      </w:r>
      <w:r w:rsidR="00821922">
        <w:t xml:space="preserve"> has led to an increase in </w:t>
      </w:r>
      <w:r>
        <w:t>broadband</w:t>
      </w:r>
      <w:r w:rsidR="00821922">
        <w:t xml:space="preserve"> subscribers, which has driven stronger growth in data volumes.</w:t>
      </w:r>
      <w:r w:rsidR="00AE3D7B">
        <w:t xml:space="preserve"> </w:t>
      </w:r>
      <w:r w:rsidR="00500D47">
        <w:t xml:space="preserve">Based on </w:t>
      </w:r>
      <w:r w:rsidR="00826EF1">
        <w:t>research</w:t>
      </w:r>
      <w:r w:rsidR="00500D47">
        <w:t xml:space="preserve"> by </w:t>
      </w:r>
      <w:r w:rsidR="005546C2">
        <w:t>Roy </w:t>
      </w:r>
      <w:r w:rsidR="00D32A85">
        <w:t>Morgan</w:t>
      </w:r>
      <w:r w:rsidR="00500D47">
        <w:t>, it is likely that SVOD will be the overwhelming force driving households’ data consumption.</w:t>
      </w:r>
      <w:r w:rsidR="00D32A85">
        <w:t xml:space="preserve"> </w:t>
      </w:r>
      <w:r w:rsidR="00500D47">
        <w:t xml:space="preserve">Roy Morgan </w:t>
      </w:r>
      <w:r w:rsidR="00D32A85">
        <w:t>estimate</w:t>
      </w:r>
      <w:r w:rsidR="00826EF1">
        <w:t xml:space="preserve">d </w:t>
      </w:r>
      <w:r w:rsidR="009C6DC6">
        <w:t>that 737,000</w:t>
      </w:r>
      <w:r w:rsidR="00500D47">
        <w:t xml:space="preserve"> </w:t>
      </w:r>
      <w:r w:rsidR="00826EF1" w:rsidRPr="00826EF1">
        <w:t>homes</w:t>
      </w:r>
      <w:r w:rsidR="00826EF1">
        <w:t xml:space="preserve"> were connected to Netflix</w:t>
      </w:r>
      <w:r w:rsidR="0002417D">
        <w:t xml:space="preserve"> with 1.</w:t>
      </w:r>
      <w:r w:rsidR="00500D47">
        <w:t>89</w:t>
      </w:r>
      <w:r w:rsidR="0002417D">
        <w:t>2</w:t>
      </w:r>
      <w:r w:rsidR="007E2F10">
        <w:t> </w:t>
      </w:r>
      <w:r w:rsidR="0002417D">
        <w:t>million viewers</w:t>
      </w:r>
      <w:r w:rsidR="00500D47">
        <w:t xml:space="preserve"> by July 2015</w:t>
      </w:r>
      <w:r w:rsidR="00A10DC4">
        <w:rPr>
          <w:rStyle w:val="FootnoteReference"/>
        </w:rPr>
        <w:footnoteReference w:id="13"/>
      </w:r>
      <w:r w:rsidR="00826EF1">
        <w:t xml:space="preserve">. Additionally, </w:t>
      </w:r>
      <w:r w:rsidR="00EE7E4A">
        <w:t xml:space="preserve">market research </w:t>
      </w:r>
      <w:r w:rsidR="00826EF1">
        <w:t xml:space="preserve">by Stan </w:t>
      </w:r>
      <w:r w:rsidR="00EE7E4A">
        <w:t>shows that demand for its product may rise to four million households within four years. If such growth across SVOD eventuates then exponential growth across fixed</w:t>
      </w:r>
      <w:r w:rsidR="00D677B9">
        <w:t xml:space="preserve"> </w:t>
      </w:r>
      <w:r w:rsidR="00EE7E4A">
        <w:t>line download volumes will be realised.</w:t>
      </w:r>
    </w:p>
    <w:p w14:paraId="7C1CD735" w14:textId="69BA03B6" w:rsidR="00785830" w:rsidRDefault="002F3124" w:rsidP="001F2912">
      <w:pPr>
        <w:rPr>
          <w:rStyle w:val="FigurecaptionCharChar"/>
          <w:bCs w:val="0"/>
          <w:sz w:val="22"/>
          <w:szCs w:val="22"/>
        </w:rPr>
      </w:pPr>
      <w:r>
        <w:t>Using the two factors identified</w:t>
      </w:r>
      <w:r w:rsidR="00D677B9">
        <w:t>—</w:t>
      </w:r>
      <w:r>
        <w:t>subscriber density and download volumes</w:t>
      </w:r>
      <w:r w:rsidR="00D677B9">
        <w:t>—</w:t>
      </w:r>
      <w:r>
        <w:t xml:space="preserve">as well as fundamental technology principles such as Moore’s Law, the </w:t>
      </w:r>
      <w:r w:rsidR="00D677B9">
        <w:t xml:space="preserve">Bureau of Communications Research </w:t>
      </w:r>
      <w:r>
        <w:t xml:space="preserve">expects that by December 2015 data download volumes will increase </w:t>
      </w:r>
      <w:r w:rsidR="007E2F10">
        <w:t xml:space="preserve">(from 1.35 million </w:t>
      </w:r>
      <w:r w:rsidR="0052577C">
        <w:t>terabytes</w:t>
      </w:r>
      <w:r w:rsidR="00D677B9">
        <w:t xml:space="preserve"> </w:t>
      </w:r>
      <w:r w:rsidR="007E2F10">
        <w:t xml:space="preserve">in June 2015) </w:t>
      </w:r>
      <w:r>
        <w:t>to approximately 1.6</w:t>
      </w:r>
      <w:r w:rsidR="007E2F10">
        <w:t> </w:t>
      </w:r>
      <w:r>
        <w:t>million</w:t>
      </w:r>
      <w:r w:rsidR="00AA3E24">
        <w:t>.</w:t>
      </w:r>
      <w:r w:rsidR="0031689F">
        <w:t xml:space="preserve"> </w:t>
      </w:r>
      <w:r>
        <w:t>Refer Figure</w:t>
      </w:r>
      <w:r w:rsidR="009417E6">
        <w:t> </w:t>
      </w:r>
      <w:r>
        <w:t>3.</w:t>
      </w:r>
    </w:p>
    <w:p w14:paraId="797911C6" w14:textId="77777777" w:rsidR="00EE7E4A" w:rsidRPr="00B90F4E" w:rsidRDefault="00EE7E4A" w:rsidP="00EE7E4A">
      <w:pPr>
        <w:pStyle w:val="Figurecaption"/>
        <w:rPr>
          <w:rStyle w:val="FigurecaptionCharChar"/>
          <w:b/>
          <w:sz w:val="22"/>
          <w:szCs w:val="22"/>
        </w:rPr>
      </w:pPr>
      <w:r w:rsidRPr="00B90F4E">
        <w:rPr>
          <w:rStyle w:val="FigurecaptionCharChar"/>
          <w:b/>
          <w:sz w:val="22"/>
          <w:szCs w:val="22"/>
        </w:rPr>
        <w:t>Figure 3:</w:t>
      </w:r>
      <w:r w:rsidRPr="00B90F4E">
        <w:rPr>
          <w:rStyle w:val="FigurecaptionCharChar"/>
          <w:b/>
          <w:sz w:val="22"/>
          <w:szCs w:val="22"/>
        </w:rPr>
        <w:tab/>
      </w:r>
      <w:r w:rsidR="00FF35BC" w:rsidRPr="00B90F4E">
        <w:rPr>
          <w:rStyle w:val="FigurecaptionCharChar"/>
          <w:b/>
          <w:sz w:val="22"/>
          <w:szCs w:val="22"/>
        </w:rPr>
        <w:t>Broadband subscribers</w:t>
      </w:r>
      <w:r w:rsidRPr="00B90F4E">
        <w:rPr>
          <w:rStyle w:val="FigurecaptionCharChar"/>
          <w:b/>
          <w:sz w:val="22"/>
          <w:szCs w:val="22"/>
        </w:rPr>
        <w:t xml:space="preserve"> versus data downloaded volume</w:t>
      </w:r>
      <w:r w:rsidR="00FF35BC" w:rsidRPr="00B90F4E">
        <w:rPr>
          <w:rStyle w:val="FigurecaptionCharChar"/>
          <w:b/>
          <w:sz w:val="22"/>
          <w:szCs w:val="22"/>
        </w:rPr>
        <w:t>, 1999 to 2015</w:t>
      </w:r>
    </w:p>
    <w:p w14:paraId="34ABCD25" w14:textId="77777777" w:rsidR="00EE7E4A" w:rsidRPr="00B05FAE" w:rsidRDefault="003371BD" w:rsidP="00EE7E4A">
      <w:r>
        <w:rPr>
          <w:noProof/>
          <w:lang w:eastAsia="en-AU"/>
        </w:rPr>
        <w:drawing>
          <wp:inline distT="0" distB="0" distL="0" distR="0" wp14:anchorId="4F2F18F6" wp14:editId="5CDD84B6">
            <wp:extent cx="6009530" cy="2831466"/>
            <wp:effectExtent l="0" t="0" r="0" b="6985"/>
            <wp:docPr id="2" name="Picture 2" descr="In December 2009 there were 8 Million broadband subscribers. By June 2015 there were 12.67 million broadband subscribers.&#10;&#10;In December 2009 the Data downloaded was 0.11 million TBs. By June 2015, the data downloaded had risen to 1.35 million TBs.&#10;&#10;BCR forecasts that data downloadsed will reach 1.6 million TBs by December 2015&#10;&#10;" title="Broadband subscribers versus data downloaded volume, 1999 t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191" cy="2840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E9D3CA" w14:textId="77777777" w:rsidR="0019681D" w:rsidRDefault="00EE7E4A" w:rsidP="00EE7E4A">
      <w:pPr>
        <w:pStyle w:val="Caption"/>
        <w:rPr>
          <w:rStyle w:val="BCRBodytextChar"/>
          <w:color w:val="auto"/>
        </w:rPr>
      </w:pPr>
      <w:r w:rsidRPr="001A3C18">
        <w:rPr>
          <w:rStyle w:val="BCRBodytextChar"/>
          <w:color w:val="auto"/>
        </w:rPr>
        <w:t xml:space="preserve">Source: </w:t>
      </w:r>
      <w:r w:rsidRPr="00EE7E4A">
        <w:rPr>
          <w:rStyle w:val="BCRBodytextChar"/>
          <w:color w:val="auto"/>
        </w:rPr>
        <w:t>Derived by the Bureau of Communications Research using data from the ABS Internet Activity Survey (ABS cat no</w:t>
      </w:r>
      <w:r>
        <w:rPr>
          <w:rStyle w:val="BCRBodytextChar"/>
          <w:color w:val="auto"/>
        </w:rPr>
        <w:t xml:space="preserve"> </w:t>
      </w:r>
      <w:r w:rsidRPr="00EE7E4A">
        <w:rPr>
          <w:rStyle w:val="BCRBodytextChar"/>
          <w:color w:val="auto"/>
        </w:rPr>
        <w:t>8153.0)</w:t>
      </w:r>
      <w:r w:rsidR="0019681D">
        <w:rPr>
          <w:rStyle w:val="BCRBodytextChar"/>
          <w:color w:val="auto"/>
        </w:rPr>
        <w:t xml:space="preserve">; </w:t>
      </w:r>
    </w:p>
    <w:p w14:paraId="0902F69F" w14:textId="77777777" w:rsidR="00785830" w:rsidRPr="00852ACC" w:rsidRDefault="00785830" w:rsidP="001F2912">
      <w:pPr>
        <w:pStyle w:val="BodyText"/>
      </w:pPr>
    </w:p>
    <w:p w14:paraId="51BBF7D2" w14:textId="77777777" w:rsidR="00EE7E4A" w:rsidRPr="00B44DB9" w:rsidRDefault="00EE7E4A" w:rsidP="00EE7E4A">
      <w:pPr>
        <w:pStyle w:val="Heading1"/>
        <w:rPr>
          <w:color w:val="C00000"/>
        </w:rPr>
      </w:pPr>
      <w:r w:rsidRPr="00B44DB9">
        <w:rPr>
          <w:color w:val="C00000"/>
        </w:rPr>
        <w:lastRenderedPageBreak/>
        <w:t>What does this all mean?</w:t>
      </w:r>
    </w:p>
    <w:p w14:paraId="331F06C3" w14:textId="05429CE8" w:rsidR="00EE7E4A" w:rsidRDefault="00EE7E4A" w:rsidP="00EE7E4A">
      <w:pPr>
        <w:pStyle w:val="BCRBodytext"/>
      </w:pPr>
      <w:r>
        <w:t>For the consumer, demand for increased mobility will drive further supply of public Wi-Fi.</w:t>
      </w:r>
      <w:r w:rsidR="000038C8">
        <w:t xml:space="preserve"> </w:t>
      </w:r>
      <w:r>
        <w:t>However, fixed</w:t>
      </w:r>
      <w:r w:rsidR="00D677B9">
        <w:t xml:space="preserve"> </w:t>
      </w:r>
      <w:r>
        <w:t xml:space="preserve">line access will continue to drive </w:t>
      </w:r>
      <w:r w:rsidR="00A07CD2">
        <w:t>increasing</w:t>
      </w:r>
      <w:r>
        <w:t xml:space="preserve"> data</w:t>
      </w:r>
      <w:r w:rsidR="00A07CD2">
        <w:t xml:space="preserve"> consumption rates</w:t>
      </w:r>
      <w:r>
        <w:t>.</w:t>
      </w:r>
    </w:p>
    <w:p w14:paraId="5DE6A402" w14:textId="4E1012F7" w:rsidR="00EE7E4A" w:rsidRDefault="00EE7E4A" w:rsidP="001F2912">
      <w:pPr>
        <w:pStyle w:val="BCRBodytext"/>
      </w:pPr>
      <w:r>
        <w:t xml:space="preserve">For the operator, benefits will centre on offloading traffic from their mobile </w:t>
      </w:r>
      <w:r w:rsidR="0031520B">
        <w:t xml:space="preserve">to </w:t>
      </w:r>
      <w:r>
        <w:t>Wi-Fi network</w:t>
      </w:r>
      <w:r w:rsidR="0031520B">
        <w:t>s</w:t>
      </w:r>
      <w:r>
        <w:t>.</w:t>
      </w:r>
      <w:r w:rsidR="0031520B">
        <w:t xml:space="preserve"> As well as reducing costly mobile network investments, these traffic management techniques will help customer retention by improving coverage and overall network performance. </w:t>
      </w:r>
      <w:r>
        <w:t>When it comes</w:t>
      </w:r>
      <w:r w:rsidR="000038C8">
        <w:t xml:space="preserve"> </w:t>
      </w:r>
      <w:r>
        <w:t>to Telstra’s Air program, the offset will be sacrificing a percentage of its mobile margin in</w:t>
      </w:r>
      <w:r w:rsidR="000038C8">
        <w:t xml:space="preserve"> </w:t>
      </w:r>
      <w:r>
        <w:t>order to differentiate itself from other providers</w:t>
      </w:r>
      <w:r w:rsidR="00785830">
        <w:t>.</w:t>
      </w:r>
      <w:r w:rsidR="00A10DC4">
        <w:rPr>
          <w:rStyle w:val="FootnoteReference"/>
        </w:rPr>
        <w:footnoteReference w:id="14"/>
      </w:r>
    </w:p>
    <w:p w14:paraId="42392182" w14:textId="77777777" w:rsidR="00241755" w:rsidRPr="00B44DB9" w:rsidRDefault="00241755" w:rsidP="00D24DE7">
      <w:pPr>
        <w:pStyle w:val="Heading1"/>
        <w:rPr>
          <w:color w:val="C00000"/>
        </w:rPr>
      </w:pPr>
      <w:r w:rsidRPr="00B44DB9">
        <w:rPr>
          <w:color w:val="C00000"/>
        </w:rPr>
        <w:t>End note</w:t>
      </w:r>
    </w:p>
    <w:p w14:paraId="24C7536B" w14:textId="678A2EEB" w:rsidR="00241755" w:rsidRDefault="00241755" w:rsidP="00D24DE7">
      <w:pPr>
        <w:pStyle w:val="BCRBodytext"/>
      </w:pPr>
      <w:r>
        <w:t>Using the current set of indicators to gauge investment, growth and consumption patterns provides a snapshot of the industry and could foreshadow future trends. However, the communications sector is dynamic and continually evolving</w:t>
      </w:r>
      <w:r w:rsidR="00450775">
        <w:t>. T</w:t>
      </w:r>
      <w:r w:rsidRPr="006C3A6F">
        <w:t xml:space="preserve">he value of particular indicators </w:t>
      </w:r>
      <w:r w:rsidR="00450775">
        <w:t xml:space="preserve">needs to be reassessed </w:t>
      </w:r>
      <w:r w:rsidRPr="006C3A6F">
        <w:t xml:space="preserve">and </w:t>
      </w:r>
      <w:r w:rsidR="00172923">
        <w:t xml:space="preserve">the </w:t>
      </w:r>
      <w:r w:rsidR="00D677B9">
        <w:t xml:space="preserve">Bureau of Communications Research </w:t>
      </w:r>
      <w:r w:rsidR="00450775">
        <w:t xml:space="preserve">is seeking </w:t>
      </w:r>
      <w:r w:rsidRPr="006C3A6F">
        <w:t xml:space="preserve">new </w:t>
      </w:r>
      <w:r>
        <w:t>measures</w:t>
      </w:r>
      <w:r w:rsidRPr="006C3A6F">
        <w:t xml:space="preserve"> </w:t>
      </w:r>
      <w:r w:rsidR="00450775">
        <w:t xml:space="preserve">to be identified </w:t>
      </w:r>
      <w:r w:rsidR="00F647EB">
        <w:t xml:space="preserve">to </w:t>
      </w:r>
      <w:r w:rsidRPr="006C3A6F">
        <w:t>provide insights into new and emerging areas</w:t>
      </w:r>
      <w:r>
        <w:t>.</w:t>
      </w:r>
      <w:r w:rsidR="00387326">
        <w:t xml:space="preserve"> </w:t>
      </w:r>
    </w:p>
    <w:p w14:paraId="0DD7E586" w14:textId="3B36E7E1" w:rsidR="00785830" w:rsidRPr="0019681D" w:rsidRDefault="00785830" w:rsidP="00785830">
      <w:pPr>
        <w:pStyle w:val="BCRBodytext"/>
      </w:pPr>
      <w:r>
        <w:t xml:space="preserve">The development of a Leading Indicators framework is an early area of work for the </w:t>
      </w:r>
      <w:r w:rsidR="00D677B9">
        <w:t>Bureau of Communications Research</w:t>
      </w:r>
      <w:r>
        <w:t>. The framework will continually evolve through engagement with key stakeholders to determine the most effective and relevant indicators for the communications sector.</w:t>
      </w:r>
    </w:p>
    <w:p w14:paraId="33024A38" w14:textId="3790339C" w:rsidR="00241755" w:rsidRPr="0019681D" w:rsidRDefault="00241755" w:rsidP="001F2912">
      <w:pPr>
        <w:pStyle w:val="FootnoteText"/>
      </w:pPr>
    </w:p>
    <w:sectPr w:rsidR="00241755" w:rsidRPr="0019681D" w:rsidSect="00D24DE7">
      <w:footerReference w:type="default" r:id="rId18"/>
      <w:pgSz w:w="11906" w:h="16838"/>
      <w:pgMar w:top="1440" w:right="1440" w:bottom="1440" w:left="1440" w:header="708" w:footer="6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21561" w14:textId="77777777" w:rsidR="004A1B66" w:rsidRDefault="004A1B66">
      <w:pPr>
        <w:spacing w:before="0"/>
      </w:pPr>
      <w:r>
        <w:separator/>
      </w:r>
    </w:p>
  </w:endnote>
  <w:endnote w:type="continuationSeparator" w:id="0">
    <w:p w14:paraId="5014C97B" w14:textId="77777777" w:rsidR="004A1B66" w:rsidRDefault="004A1B66">
      <w:pPr>
        <w:spacing w:before="0"/>
      </w:pPr>
      <w:r>
        <w:continuationSeparator/>
      </w:r>
    </w:p>
  </w:endnote>
  <w:endnote w:type="continuationNotice" w:id="1">
    <w:p w14:paraId="4971E486" w14:textId="77777777" w:rsidR="004A1B66" w:rsidRDefault="004A1B6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5ADCE" w14:textId="77777777" w:rsidR="00F54D56" w:rsidRPr="00EF2B86" w:rsidRDefault="00F54D56" w:rsidP="00B40B53">
    <w:pPr>
      <w:pStyle w:val="Footer"/>
      <w:tabs>
        <w:tab w:val="right" w:pos="10773"/>
      </w:tabs>
      <w:ind w:left="-993"/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19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9DE7A" w14:textId="77777777" w:rsidR="00F54D56" w:rsidRDefault="00F54D56">
        <w:pPr>
          <w:pStyle w:val="Footer"/>
        </w:pPr>
        <w:r w:rsidRPr="00D41600">
          <w:rPr>
            <w:sz w:val="16"/>
          </w:rPr>
          <w:fldChar w:fldCharType="begin"/>
        </w:r>
        <w:r w:rsidRPr="00D41600">
          <w:rPr>
            <w:sz w:val="16"/>
          </w:rPr>
          <w:instrText xml:space="preserve"> PAGE   \* MERGEFORMAT </w:instrText>
        </w:r>
        <w:r w:rsidRPr="00D41600">
          <w:rPr>
            <w:sz w:val="16"/>
          </w:rPr>
          <w:fldChar w:fldCharType="separate"/>
        </w:r>
        <w:r w:rsidR="00937D5F">
          <w:rPr>
            <w:noProof/>
            <w:sz w:val="16"/>
          </w:rPr>
          <w:t>5</w:t>
        </w:r>
        <w:r w:rsidRPr="00D41600">
          <w:rPr>
            <w:noProof/>
            <w:sz w:val="16"/>
          </w:rPr>
          <w:fldChar w:fldCharType="end"/>
        </w:r>
        <w:r>
          <w:rPr>
            <w:noProof/>
          </w:rPr>
          <w:t xml:space="preserve"> 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  <w:sz w:val="16"/>
          </w:rPr>
          <w:t xml:space="preserve">Leading Indicators - </w:t>
        </w:r>
        <w:r w:rsidR="00F81AA9">
          <w:rPr>
            <w:noProof/>
            <w:sz w:val="16"/>
          </w:rPr>
          <w:t>October</w:t>
        </w:r>
        <w:r>
          <w:rPr>
            <w:noProof/>
            <w:sz w:val="16"/>
          </w:rPr>
          <w:t xml:space="preserve"> </w:t>
        </w:r>
        <w:r w:rsidRPr="00D41600">
          <w:rPr>
            <w:noProof/>
            <w:sz w:val="16"/>
          </w:rPr>
          <w:t>201</w:t>
        </w:r>
        <w:r>
          <w:rPr>
            <w:noProof/>
            <w:sz w:val="16"/>
          </w:rPr>
          <w:t>5</w:t>
        </w:r>
      </w:p>
    </w:sdtContent>
  </w:sdt>
  <w:p w14:paraId="5878ADC9" w14:textId="77777777" w:rsidR="00F54D56" w:rsidRDefault="00F54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B5C86" w14:textId="77777777" w:rsidR="004A1B66" w:rsidRDefault="004A1B66">
      <w:pPr>
        <w:spacing w:before="0"/>
      </w:pPr>
      <w:r>
        <w:separator/>
      </w:r>
    </w:p>
  </w:footnote>
  <w:footnote w:type="continuationSeparator" w:id="0">
    <w:p w14:paraId="432AD770" w14:textId="77777777" w:rsidR="004A1B66" w:rsidRDefault="004A1B66">
      <w:pPr>
        <w:spacing w:before="0"/>
      </w:pPr>
      <w:r>
        <w:continuationSeparator/>
      </w:r>
    </w:p>
  </w:footnote>
  <w:footnote w:type="continuationNotice" w:id="1">
    <w:p w14:paraId="1F6EAB51" w14:textId="77777777" w:rsidR="004A1B66" w:rsidRDefault="004A1B66">
      <w:pPr>
        <w:spacing w:before="0"/>
      </w:pPr>
    </w:p>
  </w:footnote>
  <w:footnote w:id="2">
    <w:p w14:paraId="4B7DB13D" w14:textId="17C1C491" w:rsidR="00804C39" w:rsidRDefault="00804C39">
      <w:pPr>
        <w:pStyle w:val="FootnoteText"/>
      </w:pPr>
      <w:r>
        <w:rPr>
          <w:rStyle w:val="FootnoteReference"/>
        </w:rPr>
        <w:footnoteRef/>
      </w:r>
      <w:r>
        <w:t xml:space="preserve"> Cisco, </w:t>
      </w:r>
      <w:proofErr w:type="gramStart"/>
      <w:r>
        <w:t>What</w:t>
      </w:r>
      <w:proofErr w:type="gramEnd"/>
      <w:r>
        <w:t xml:space="preserve"> do consumers want from Wi-Fi? March 2012, pp. 5-6.</w:t>
      </w:r>
    </w:p>
  </w:footnote>
  <w:footnote w:id="3">
    <w:p w14:paraId="30055EA2" w14:textId="77777777" w:rsidR="000038C8" w:rsidRDefault="000038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A00B4" w:rsidRPr="000A00B4">
        <w:t>2015, ‘Change is in the air’, The Economist, 20 Ju</w:t>
      </w:r>
      <w:r w:rsidR="00E22F8D">
        <w:t>ne, pp. 60–62. (No author given</w:t>
      </w:r>
      <w:r w:rsidR="000A00B4" w:rsidRPr="000A00B4">
        <w:t>)</w:t>
      </w:r>
      <w:r w:rsidR="00E22F8D">
        <w:t>.</w:t>
      </w:r>
    </w:p>
  </w:footnote>
  <w:footnote w:id="4">
    <w:p w14:paraId="590C2ECA" w14:textId="77777777" w:rsidR="000038C8" w:rsidRDefault="000038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22F8D" w:rsidRPr="00E22F8D">
        <w:t>Wilton, P 2015, ‘Optus launces voice, SMS over Wi-Fi’, 12 August, Communications Day</w:t>
      </w:r>
    </w:p>
  </w:footnote>
  <w:footnote w:id="5">
    <w:p w14:paraId="436BCF3A" w14:textId="77777777" w:rsidR="003C289F" w:rsidRDefault="003C28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Patkar</w:t>
      </w:r>
      <w:proofErr w:type="spellEnd"/>
      <w:r>
        <w:t>, ‘</w:t>
      </w:r>
      <w:r w:rsidRPr="003C289F">
        <w:t>WhatsApp Voice Call: Everything You Need to Know</w:t>
      </w:r>
      <w:r>
        <w:t xml:space="preserve">’, 23 April 215, </w:t>
      </w:r>
      <w:proofErr w:type="spellStart"/>
      <w:r>
        <w:t>makeuseof</w:t>
      </w:r>
      <w:proofErr w:type="spellEnd"/>
    </w:p>
  </w:footnote>
  <w:footnote w:id="6">
    <w:p w14:paraId="19F9C7BA" w14:textId="77777777" w:rsidR="003C289F" w:rsidRDefault="003C289F" w:rsidP="003C28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Sadauskas</w:t>
      </w:r>
      <w:proofErr w:type="spellEnd"/>
      <w:r>
        <w:t xml:space="preserve">, A, ‘Optus launches voice over </w:t>
      </w:r>
      <w:proofErr w:type="spellStart"/>
      <w:r>
        <w:t>wi-fi</w:t>
      </w:r>
      <w:proofErr w:type="spellEnd"/>
      <w:r>
        <w:t xml:space="preserve"> for Android, iPhones’ 11 August 2015, </w:t>
      </w:r>
      <w:proofErr w:type="spellStart"/>
      <w:r>
        <w:t>itnews</w:t>
      </w:r>
      <w:proofErr w:type="spellEnd"/>
    </w:p>
  </w:footnote>
  <w:footnote w:id="7">
    <w:p w14:paraId="1E6FF461" w14:textId="77777777" w:rsidR="000038C8" w:rsidRDefault="000038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77136">
        <w:t xml:space="preserve">This forecast </w:t>
      </w:r>
      <w:r w:rsidR="006C5966">
        <w:t xml:space="preserve">is based on assumptions including innovation and uptake of new technology, geographical </w:t>
      </w:r>
      <w:r w:rsidR="00410B74">
        <w:t>usage</w:t>
      </w:r>
      <w:r w:rsidR="006C5966">
        <w:t xml:space="preserve">, community versus commercial </w:t>
      </w:r>
      <w:r w:rsidR="00410B74">
        <w:t>rates</w:t>
      </w:r>
      <w:r w:rsidR="006C5966">
        <w:t>, and</w:t>
      </w:r>
      <w:r w:rsidR="00410B74">
        <w:t xml:space="preserve"> expected</w:t>
      </w:r>
      <w:r w:rsidR="006C5966">
        <w:t xml:space="preserve"> introduction of Wi-Fi by mode of transport and verticals such as </w:t>
      </w:r>
      <w:r w:rsidR="006C5966" w:rsidRPr="006C5966">
        <w:t>café</w:t>
      </w:r>
      <w:r w:rsidR="006C5966">
        <w:t>s,</w:t>
      </w:r>
      <w:r w:rsidR="006C5966" w:rsidRPr="006C5966">
        <w:t xml:space="preserve"> bars and restaurants</w:t>
      </w:r>
      <w:r w:rsidR="00410B74">
        <w:t>.</w:t>
      </w:r>
      <w:r w:rsidR="00E22F8D" w:rsidRPr="00E22F8D">
        <w:t xml:space="preserve"> </w:t>
      </w:r>
      <w:r w:rsidR="006C5966">
        <w:t xml:space="preserve">For additional information refer </w:t>
      </w:r>
      <w:r w:rsidR="00E22F8D" w:rsidRPr="00E22F8D">
        <w:t>www.rethink-wireless.com</w:t>
      </w:r>
    </w:p>
  </w:footnote>
  <w:footnote w:id="8">
    <w:p w14:paraId="47FEDD7E" w14:textId="77777777" w:rsidR="000038C8" w:rsidRDefault="000038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E22F8D" w:rsidRPr="00E22F8D">
        <w:t>Ramli</w:t>
      </w:r>
      <w:proofErr w:type="spellEnd"/>
      <w:r w:rsidR="00E22F8D" w:rsidRPr="00E22F8D">
        <w:t>, D 2015, ‘Telstra launches cheaper broadband plans to counter rivals’, 26 June, The</w:t>
      </w:r>
      <w:r w:rsidR="00E22F8D">
        <w:t xml:space="preserve"> Age Business Day</w:t>
      </w:r>
    </w:p>
  </w:footnote>
  <w:footnote w:id="9">
    <w:p w14:paraId="1ABA1E75" w14:textId="791BC33F" w:rsidR="0089431C" w:rsidRDefault="000038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22F8D" w:rsidRPr="00E22F8D">
        <w:t>Table 1 reflects information accessed and not data downloaded</w:t>
      </w:r>
      <w:r w:rsidR="00A10DC4">
        <w:t>.</w:t>
      </w:r>
    </w:p>
  </w:footnote>
  <w:footnote w:id="10">
    <w:p w14:paraId="6031188A" w14:textId="4360B960" w:rsidR="00A10DC4" w:rsidRDefault="00A10DC4">
      <w:pPr>
        <w:pStyle w:val="FootnoteText"/>
      </w:pPr>
      <w:r>
        <w:rPr>
          <w:rStyle w:val="FootnoteReference"/>
        </w:rPr>
        <w:footnoteRef/>
      </w:r>
      <w:r>
        <w:t xml:space="preserve"> Fixed</w:t>
      </w:r>
      <w:r w:rsidR="00AE3D7B">
        <w:t xml:space="preserve"> </w:t>
      </w:r>
      <w:r>
        <w:t>mobile convergence refers to services that interact with and use both the fixed</w:t>
      </w:r>
      <w:r w:rsidR="00AE3D7B">
        <w:t xml:space="preserve"> </w:t>
      </w:r>
      <w:r>
        <w:t>line networks and the mobile networks. In this case, FMC is limited to Telstra’s network.</w:t>
      </w:r>
    </w:p>
  </w:footnote>
  <w:footnote w:id="11">
    <w:p w14:paraId="5ED98E20" w14:textId="577D94D2" w:rsidR="00A10DC4" w:rsidRDefault="00A10D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A68">
        <w:t xml:space="preserve">Wireless includes satellite, fixed wireless, mobile wireless via a </w:t>
      </w:r>
      <w:proofErr w:type="spellStart"/>
      <w:r w:rsidRPr="00C51A68">
        <w:t>datacard</w:t>
      </w:r>
      <w:proofErr w:type="spellEnd"/>
      <w:r w:rsidRPr="00C51A68">
        <w:t xml:space="preserve">, dongle, USB modem or tablet SIM card and other wireless broadband. </w:t>
      </w:r>
      <w:r>
        <w:t xml:space="preserve">This estimate </w:t>
      </w:r>
      <w:r w:rsidRPr="00C51A68">
        <w:t>excludes data downloaded via mobile handsets.</w:t>
      </w:r>
    </w:p>
  </w:footnote>
  <w:footnote w:id="12">
    <w:p w14:paraId="2AA6B6F5" w14:textId="202D4F29" w:rsidR="00785830" w:rsidRDefault="00500D47">
      <w:pPr>
        <w:pStyle w:val="FootnoteText"/>
      </w:pPr>
      <w:r>
        <w:rPr>
          <w:rStyle w:val="FootnoteReference"/>
        </w:rPr>
        <w:footnoteRef/>
      </w:r>
      <w:r>
        <w:t xml:space="preserve"> Grubb, ‘These graphs show the impact Netflix is having on the Australian Market’, 2 April 2015, Sydney </w:t>
      </w:r>
      <w:r w:rsidR="00D677B9">
        <w:t>Morning</w:t>
      </w:r>
      <w:r>
        <w:t xml:space="preserve"> Heral</w:t>
      </w:r>
      <w:r w:rsidR="00A10DC4">
        <w:t>d</w:t>
      </w:r>
    </w:p>
  </w:footnote>
  <w:footnote w:id="13">
    <w:p w14:paraId="66189029" w14:textId="77777777" w:rsidR="00A10DC4" w:rsidRDefault="00A10DC4" w:rsidP="00A10DC4">
      <w:pPr>
        <w:pStyle w:val="FootnoteText"/>
      </w:pPr>
      <w:r>
        <w:rPr>
          <w:rStyle w:val="FootnoteReference"/>
        </w:rPr>
        <w:footnoteRef/>
      </w:r>
      <w:r>
        <w:t xml:space="preserve"> ‘Foxtel loses share as Netflix expands pay and subscription TV market’, Roy Morgan Research, August 2015</w:t>
      </w:r>
    </w:p>
    <w:p w14:paraId="657CC294" w14:textId="32C26139" w:rsidR="00A10DC4" w:rsidRDefault="00A10DC4">
      <w:pPr>
        <w:pStyle w:val="FootnoteText"/>
      </w:pPr>
    </w:p>
  </w:footnote>
  <w:footnote w:id="14">
    <w:p w14:paraId="581CD484" w14:textId="206D964A" w:rsidR="00A10DC4" w:rsidRDefault="00A10D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2F8D">
        <w:t xml:space="preserve">Knight, E 2014, ‘Why Telstra wants to </w:t>
      </w:r>
      <w:proofErr w:type="spellStart"/>
      <w:r w:rsidRPr="00E22F8D">
        <w:t>Wi</w:t>
      </w:r>
      <w:r w:rsidR="00AB2C8D">
        <w:t>-</w:t>
      </w:r>
      <w:r w:rsidRPr="00E22F8D">
        <w:t>fi</w:t>
      </w:r>
      <w:proofErr w:type="spellEnd"/>
      <w:r w:rsidRPr="00E22F8D">
        <w:t xml:space="preserve"> Austra</w:t>
      </w:r>
      <w:r>
        <w:t>lia’, The Sydney Morning Herald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EE71C" w14:textId="77777777" w:rsidR="00F54D56" w:rsidRDefault="00F54D56" w:rsidP="00B40B53">
    <w:pPr>
      <w:pStyle w:val="Header"/>
      <w:tabs>
        <w:tab w:val="right" w:pos="10773"/>
      </w:tabs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66F"/>
    <w:multiLevelType w:val="hybridMultilevel"/>
    <w:tmpl w:val="7910B5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89A"/>
    <w:multiLevelType w:val="hybridMultilevel"/>
    <w:tmpl w:val="D5E2F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2280"/>
    <w:multiLevelType w:val="hybridMultilevel"/>
    <w:tmpl w:val="7B364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3D3B"/>
    <w:multiLevelType w:val="hybridMultilevel"/>
    <w:tmpl w:val="9808D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39DD"/>
    <w:multiLevelType w:val="hybridMultilevel"/>
    <w:tmpl w:val="43E4D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B2CCF"/>
    <w:multiLevelType w:val="hybridMultilevel"/>
    <w:tmpl w:val="FC26C666"/>
    <w:lvl w:ilvl="0" w:tplc="ABAA4E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3A5C"/>
    <w:multiLevelType w:val="hybridMultilevel"/>
    <w:tmpl w:val="486608E8"/>
    <w:lvl w:ilvl="0" w:tplc="38D8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2F6"/>
    <w:multiLevelType w:val="hybridMultilevel"/>
    <w:tmpl w:val="750E09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067544"/>
    <w:multiLevelType w:val="hybridMultilevel"/>
    <w:tmpl w:val="B930DACA"/>
    <w:lvl w:ilvl="0" w:tplc="38D8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61DE4"/>
    <w:multiLevelType w:val="hybridMultilevel"/>
    <w:tmpl w:val="DBE0B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03BC7"/>
    <w:multiLevelType w:val="hybridMultilevel"/>
    <w:tmpl w:val="267849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570C1"/>
    <w:multiLevelType w:val="hybridMultilevel"/>
    <w:tmpl w:val="E2DE1BCA"/>
    <w:lvl w:ilvl="0" w:tplc="38D8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F0E4C"/>
    <w:multiLevelType w:val="hybridMultilevel"/>
    <w:tmpl w:val="591AA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76D36"/>
    <w:multiLevelType w:val="multilevel"/>
    <w:tmpl w:val="0C240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776"/>
        <w:sz w:val="22"/>
      </w:rPr>
    </w:lvl>
    <w:lvl w:ilvl="1">
      <w:start w:val="1"/>
      <w:numFmt w:val="bullet"/>
      <w:lvlRestart w:val="0"/>
      <w:lvlText w:val="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  <w:b/>
        <w:i w:val="0"/>
        <w:color w:val="931638"/>
        <w:sz w:val="24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93163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240538B"/>
    <w:multiLevelType w:val="hybridMultilevel"/>
    <w:tmpl w:val="4ED6F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F15D0"/>
    <w:multiLevelType w:val="hybridMultilevel"/>
    <w:tmpl w:val="DFDA6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12C8E"/>
    <w:multiLevelType w:val="hybridMultilevel"/>
    <w:tmpl w:val="56487AC6"/>
    <w:lvl w:ilvl="0" w:tplc="277C2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E7B87"/>
    <w:multiLevelType w:val="hybridMultilevel"/>
    <w:tmpl w:val="724099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264331"/>
    <w:multiLevelType w:val="hybridMultilevel"/>
    <w:tmpl w:val="FE243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17B55"/>
    <w:multiLevelType w:val="hybridMultilevel"/>
    <w:tmpl w:val="768EA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D278B"/>
    <w:multiLevelType w:val="hybridMultilevel"/>
    <w:tmpl w:val="FDBA7B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CD6"/>
    <w:multiLevelType w:val="hybridMultilevel"/>
    <w:tmpl w:val="35AEB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86D4F"/>
    <w:multiLevelType w:val="hybridMultilevel"/>
    <w:tmpl w:val="9A308A32"/>
    <w:lvl w:ilvl="0" w:tplc="006ED1EE">
      <w:start w:val="1"/>
      <w:numFmt w:val="bullet"/>
      <w:pStyle w:val="Bullet2"/>
      <w:lvlText w:val="•"/>
      <w:lvlJc w:val="left"/>
      <w:pPr>
        <w:ind w:left="1287" w:hanging="360"/>
      </w:pPr>
      <w:rPr>
        <w:rFonts w:ascii="Calibri" w:hAnsi="Calibri" w:hint="default"/>
        <w:color w:val="72C7E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1651FF2"/>
    <w:multiLevelType w:val="hybridMultilevel"/>
    <w:tmpl w:val="412A66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30F6E"/>
    <w:multiLevelType w:val="hybridMultilevel"/>
    <w:tmpl w:val="2892D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125A1"/>
    <w:multiLevelType w:val="hybridMultilevel"/>
    <w:tmpl w:val="412A66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F2D55"/>
    <w:multiLevelType w:val="hybridMultilevel"/>
    <w:tmpl w:val="93B28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B2AAF"/>
    <w:multiLevelType w:val="hybridMultilevel"/>
    <w:tmpl w:val="47E45974"/>
    <w:lvl w:ilvl="0" w:tplc="0C09000F">
      <w:start w:val="1"/>
      <w:numFmt w:val="decimal"/>
      <w:lvlText w:val="%1."/>
      <w:lvlJc w:val="left"/>
      <w:pPr>
        <w:ind w:left="456" w:hanging="456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9B27D5"/>
    <w:multiLevelType w:val="multilevel"/>
    <w:tmpl w:val="C2FA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3D0B0F"/>
    <w:multiLevelType w:val="hybridMultilevel"/>
    <w:tmpl w:val="99EA1D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8480F"/>
    <w:multiLevelType w:val="hybridMultilevel"/>
    <w:tmpl w:val="9320C114"/>
    <w:lvl w:ilvl="0" w:tplc="92BA80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D31029"/>
    <w:multiLevelType w:val="multilevel"/>
    <w:tmpl w:val="75E44F74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2776"/>
        <w:sz w:val="22"/>
      </w:rPr>
    </w:lvl>
    <w:lvl w:ilvl="1">
      <w:start w:val="1"/>
      <w:numFmt w:val="bullet"/>
      <w:lvlRestart w:val="0"/>
      <w:lvlText w:val="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  <w:b/>
        <w:i w:val="0"/>
        <w:color w:val="931638"/>
        <w:sz w:val="24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93163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6BD0364"/>
    <w:multiLevelType w:val="hybridMultilevel"/>
    <w:tmpl w:val="DFC64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586D"/>
    <w:multiLevelType w:val="hybridMultilevel"/>
    <w:tmpl w:val="3B98ABCC"/>
    <w:lvl w:ilvl="0" w:tplc="B0007CB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97F08"/>
    <w:multiLevelType w:val="hybridMultilevel"/>
    <w:tmpl w:val="427C1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2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7"/>
  </w:num>
  <w:num w:numId="7">
    <w:abstractNumId w:val="21"/>
  </w:num>
  <w:num w:numId="8">
    <w:abstractNumId w:val="28"/>
  </w:num>
  <w:num w:numId="9">
    <w:abstractNumId w:val="19"/>
  </w:num>
  <w:num w:numId="10">
    <w:abstractNumId w:val="31"/>
  </w:num>
  <w:num w:numId="11">
    <w:abstractNumId w:val="1"/>
  </w:num>
  <w:num w:numId="12">
    <w:abstractNumId w:val="4"/>
  </w:num>
  <w:num w:numId="13">
    <w:abstractNumId w:val="26"/>
  </w:num>
  <w:num w:numId="14">
    <w:abstractNumId w:val="22"/>
  </w:num>
  <w:num w:numId="15">
    <w:abstractNumId w:val="10"/>
  </w:num>
  <w:num w:numId="16">
    <w:abstractNumId w:val="25"/>
  </w:num>
  <w:num w:numId="17">
    <w:abstractNumId w:val="23"/>
  </w:num>
  <w:num w:numId="18">
    <w:abstractNumId w:val="3"/>
  </w:num>
  <w:num w:numId="19">
    <w:abstractNumId w:val="32"/>
  </w:num>
  <w:num w:numId="20">
    <w:abstractNumId w:val="20"/>
  </w:num>
  <w:num w:numId="21">
    <w:abstractNumId w:val="34"/>
  </w:num>
  <w:num w:numId="22">
    <w:abstractNumId w:val="17"/>
  </w:num>
  <w:num w:numId="23">
    <w:abstractNumId w:val="29"/>
  </w:num>
  <w:num w:numId="24">
    <w:abstractNumId w:val="5"/>
  </w:num>
  <w:num w:numId="25">
    <w:abstractNumId w:val="15"/>
  </w:num>
  <w:num w:numId="26">
    <w:abstractNumId w:val="14"/>
  </w:num>
  <w:num w:numId="27">
    <w:abstractNumId w:val="12"/>
  </w:num>
  <w:num w:numId="28">
    <w:abstractNumId w:val="32"/>
  </w:num>
  <w:num w:numId="29">
    <w:abstractNumId w:val="9"/>
  </w:num>
  <w:num w:numId="30">
    <w:abstractNumId w:val="24"/>
  </w:num>
  <w:num w:numId="31">
    <w:abstractNumId w:val="8"/>
  </w:num>
  <w:num w:numId="32">
    <w:abstractNumId w:val="6"/>
  </w:num>
  <w:num w:numId="33">
    <w:abstractNumId w:val="11"/>
  </w:num>
  <w:num w:numId="34">
    <w:abstractNumId w:val="30"/>
  </w:num>
  <w:num w:numId="35">
    <w:abstractNumId w:val="0"/>
  </w:num>
  <w:num w:numId="36">
    <w:abstractNumId w:val="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17"/>
    <w:rsid w:val="000038C8"/>
    <w:rsid w:val="00007FE2"/>
    <w:rsid w:val="00016BB8"/>
    <w:rsid w:val="00017EB8"/>
    <w:rsid w:val="00021276"/>
    <w:rsid w:val="00021C56"/>
    <w:rsid w:val="0002417D"/>
    <w:rsid w:val="00027226"/>
    <w:rsid w:val="00027F33"/>
    <w:rsid w:val="000522AF"/>
    <w:rsid w:val="00053589"/>
    <w:rsid w:val="000577C0"/>
    <w:rsid w:val="000776DE"/>
    <w:rsid w:val="00080591"/>
    <w:rsid w:val="00082B3E"/>
    <w:rsid w:val="000A00B4"/>
    <w:rsid w:val="000A0C5B"/>
    <w:rsid w:val="000A2D60"/>
    <w:rsid w:val="000A402D"/>
    <w:rsid w:val="000A5FA7"/>
    <w:rsid w:val="000B048C"/>
    <w:rsid w:val="000B0E69"/>
    <w:rsid w:val="000C002F"/>
    <w:rsid w:val="000C0900"/>
    <w:rsid w:val="000C47FF"/>
    <w:rsid w:val="000C5EDC"/>
    <w:rsid w:val="000D5CAB"/>
    <w:rsid w:val="000D69C2"/>
    <w:rsid w:val="000D768C"/>
    <w:rsid w:val="000E6BC2"/>
    <w:rsid w:val="000F2100"/>
    <w:rsid w:val="000F30EB"/>
    <w:rsid w:val="000F316A"/>
    <w:rsid w:val="000F4558"/>
    <w:rsid w:val="000F7CA1"/>
    <w:rsid w:val="00104D3D"/>
    <w:rsid w:val="00107E0F"/>
    <w:rsid w:val="00125B62"/>
    <w:rsid w:val="0013165B"/>
    <w:rsid w:val="00137805"/>
    <w:rsid w:val="0014201B"/>
    <w:rsid w:val="00143438"/>
    <w:rsid w:val="00145DA7"/>
    <w:rsid w:val="00147464"/>
    <w:rsid w:val="00150092"/>
    <w:rsid w:val="00151304"/>
    <w:rsid w:val="00155C02"/>
    <w:rsid w:val="00160924"/>
    <w:rsid w:val="00161750"/>
    <w:rsid w:val="0016311F"/>
    <w:rsid w:val="00172923"/>
    <w:rsid w:val="00175A94"/>
    <w:rsid w:val="00177866"/>
    <w:rsid w:val="00182BCA"/>
    <w:rsid w:val="001910F0"/>
    <w:rsid w:val="001963C0"/>
    <w:rsid w:val="0019681D"/>
    <w:rsid w:val="00196C47"/>
    <w:rsid w:val="001A3C18"/>
    <w:rsid w:val="001A57E8"/>
    <w:rsid w:val="001A7645"/>
    <w:rsid w:val="001B046E"/>
    <w:rsid w:val="001D197F"/>
    <w:rsid w:val="001D4862"/>
    <w:rsid w:val="001D5141"/>
    <w:rsid w:val="001D69AA"/>
    <w:rsid w:val="001D752D"/>
    <w:rsid w:val="001E1CBA"/>
    <w:rsid w:val="001E2B62"/>
    <w:rsid w:val="001F14A1"/>
    <w:rsid w:val="001F2912"/>
    <w:rsid w:val="001F38D5"/>
    <w:rsid w:val="001F5C59"/>
    <w:rsid w:val="001F724A"/>
    <w:rsid w:val="001F7876"/>
    <w:rsid w:val="00203881"/>
    <w:rsid w:val="00204129"/>
    <w:rsid w:val="00204654"/>
    <w:rsid w:val="00206BED"/>
    <w:rsid w:val="00207CF6"/>
    <w:rsid w:val="00217335"/>
    <w:rsid w:val="00222750"/>
    <w:rsid w:val="00226B67"/>
    <w:rsid w:val="00236253"/>
    <w:rsid w:val="00241755"/>
    <w:rsid w:val="00241CEF"/>
    <w:rsid w:val="0025045C"/>
    <w:rsid w:val="00255033"/>
    <w:rsid w:val="0026160E"/>
    <w:rsid w:val="00270727"/>
    <w:rsid w:val="00282477"/>
    <w:rsid w:val="00296D08"/>
    <w:rsid w:val="002976BC"/>
    <w:rsid w:val="002A157C"/>
    <w:rsid w:val="002A2EA0"/>
    <w:rsid w:val="002A526B"/>
    <w:rsid w:val="002A7C24"/>
    <w:rsid w:val="002B121B"/>
    <w:rsid w:val="002B4EAD"/>
    <w:rsid w:val="002B5096"/>
    <w:rsid w:val="002B5920"/>
    <w:rsid w:val="002C6AA7"/>
    <w:rsid w:val="002D0B87"/>
    <w:rsid w:val="002D4396"/>
    <w:rsid w:val="002D52A6"/>
    <w:rsid w:val="002D5A13"/>
    <w:rsid w:val="002D6230"/>
    <w:rsid w:val="002D67B9"/>
    <w:rsid w:val="002F12AE"/>
    <w:rsid w:val="002F3124"/>
    <w:rsid w:val="00310978"/>
    <w:rsid w:val="003125EE"/>
    <w:rsid w:val="0031520B"/>
    <w:rsid w:val="0031689F"/>
    <w:rsid w:val="00322726"/>
    <w:rsid w:val="00323309"/>
    <w:rsid w:val="00327352"/>
    <w:rsid w:val="00334E3E"/>
    <w:rsid w:val="003371BD"/>
    <w:rsid w:val="003404BB"/>
    <w:rsid w:val="0034199B"/>
    <w:rsid w:val="00344ACE"/>
    <w:rsid w:val="00346567"/>
    <w:rsid w:val="00347459"/>
    <w:rsid w:val="00347C6F"/>
    <w:rsid w:val="00350409"/>
    <w:rsid w:val="00354782"/>
    <w:rsid w:val="00356171"/>
    <w:rsid w:val="00371626"/>
    <w:rsid w:val="00375282"/>
    <w:rsid w:val="00380AB4"/>
    <w:rsid w:val="00382E1C"/>
    <w:rsid w:val="00387326"/>
    <w:rsid w:val="00391DE9"/>
    <w:rsid w:val="00395D5E"/>
    <w:rsid w:val="00397DA4"/>
    <w:rsid w:val="003A2EB2"/>
    <w:rsid w:val="003B4ADB"/>
    <w:rsid w:val="003B6BA2"/>
    <w:rsid w:val="003B7E3D"/>
    <w:rsid w:val="003C0FE9"/>
    <w:rsid w:val="003C289F"/>
    <w:rsid w:val="003C3DA4"/>
    <w:rsid w:val="003E4A41"/>
    <w:rsid w:val="003E7187"/>
    <w:rsid w:val="003E73A0"/>
    <w:rsid w:val="003F45DF"/>
    <w:rsid w:val="003F7365"/>
    <w:rsid w:val="00401921"/>
    <w:rsid w:val="00402845"/>
    <w:rsid w:val="00402D3C"/>
    <w:rsid w:val="00403175"/>
    <w:rsid w:val="00404FD1"/>
    <w:rsid w:val="004072CD"/>
    <w:rsid w:val="00410149"/>
    <w:rsid w:val="00410B74"/>
    <w:rsid w:val="00423463"/>
    <w:rsid w:val="00423C5B"/>
    <w:rsid w:val="00430C01"/>
    <w:rsid w:val="00433C2A"/>
    <w:rsid w:val="00440B56"/>
    <w:rsid w:val="0044596D"/>
    <w:rsid w:val="00450775"/>
    <w:rsid w:val="004516ED"/>
    <w:rsid w:val="00466E8C"/>
    <w:rsid w:val="004752FD"/>
    <w:rsid w:val="00475361"/>
    <w:rsid w:val="004806AA"/>
    <w:rsid w:val="004817BD"/>
    <w:rsid w:val="00491C07"/>
    <w:rsid w:val="004927AC"/>
    <w:rsid w:val="0049484A"/>
    <w:rsid w:val="00494FDD"/>
    <w:rsid w:val="004A1B66"/>
    <w:rsid w:val="004A3A4E"/>
    <w:rsid w:val="004A4279"/>
    <w:rsid w:val="004A50A5"/>
    <w:rsid w:val="004B04C2"/>
    <w:rsid w:val="004B27BE"/>
    <w:rsid w:val="004B3CE6"/>
    <w:rsid w:val="004B6FD5"/>
    <w:rsid w:val="004C12B0"/>
    <w:rsid w:val="004C7712"/>
    <w:rsid w:val="004D1DF6"/>
    <w:rsid w:val="004D5BAD"/>
    <w:rsid w:val="004E1989"/>
    <w:rsid w:val="004E34F3"/>
    <w:rsid w:val="004E4BCC"/>
    <w:rsid w:val="004E54B4"/>
    <w:rsid w:val="004E6F36"/>
    <w:rsid w:val="004F01A3"/>
    <w:rsid w:val="004F2452"/>
    <w:rsid w:val="004F26FE"/>
    <w:rsid w:val="00500D47"/>
    <w:rsid w:val="005046A7"/>
    <w:rsid w:val="00514363"/>
    <w:rsid w:val="00516814"/>
    <w:rsid w:val="00516FCC"/>
    <w:rsid w:val="00522101"/>
    <w:rsid w:val="005249DB"/>
    <w:rsid w:val="0052577C"/>
    <w:rsid w:val="00526297"/>
    <w:rsid w:val="0053679E"/>
    <w:rsid w:val="00544D84"/>
    <w:rsid w:val="0054625C"/>
    <w:rsid w:val="00553467"/>
    <w:rsid w:val="00554399"/>
    <w:rsid w:val="005546C2"/>
    <w:rsid w:val="00562EFA"/>
    <w:rsid w:val="00564991"/>
    <w:rsid w:val="00575373"/>
    <w:rsid w:val="0057752A"/>
    <w:rsid w:val="00580C53"/>
    <w:rsid w:val="00581FE4"/>
    <w:rsid w:val="005903A1"/>
    <w:rsid w:val="0059226C"/>
    <w:rsid w:val="00593CB6"/>
    <w:rsid w:val="005A3DD3"/>
    <w:rsid w:val="005A74BF"/>
    <w:rsid w:val="005B5DE1"/>
    <w:rsid w:val="005B7990"/>
    <w:rsid w:val="005C2122"/>
    <w:rsid w:val="005C3676"/>
    <w:rsid w:val="005D05D4"/>
    <w:rsid w:val="005D469D"/>
    <w:rsid w:val="005F000A"/>
    <w:rsid w:val="005F05C4"/>
    <w:rsid w:val="005F0FA5"/>
    <w:rsid w:val="005F2CEA"/>
    <w:rsid w:val="005F300A"/>
    <w:rsid w:val="00600191"/>
    <w:rsid w:val="00602638"/>
    <w:rsid w:val="00612D4A"/>
    <w:rsid w:val="00615738"/>
    <w:rsid w:val="0062147B"/>
    <w:rsid w:val="00621B58"/>
    <w:rsid w:val="0062580A"/>
    <w:rsid w:val="00626E40"/>
    <w:rsid w:val="00631ADF"/>
    <w:rsid w:val="00631F4C"/>
    <w:rsid w:val="006333E5"/>
    <w:rsid w:val="006507B0"/>
    <w:rsid w:val="006511FF"/>
    <w:rsid w:val="006535B6"/>
    <w:rsid w:val="00656EAB"/>
    <w:rsid w:val="00667FF1"/>
    <w:rsid w:val="00674888"/>
    <w:rsid w:val="006748EF"/>
    <w:rsid w:val="00676C1B"/>
    <w:rsid w:val="00677DD1"/>
    <w:rsid w:val="00684E0F"/>
    <w:rsid w:val="00686401"/>
    <w:rsid w:val="00693833"/>
    <w:rsid w:val="006A0A90"/>
    <w:rsid w:val="006A21CC"/>
    <w:rsid w:val="006A38E6"/>
    <w:rsid w:val="006B0D12"/>
    <w:rsid w:val="006B2E64"/>
    <w:rsid w:val="006B5EAD"/>
    <w:rsid w:val="006C5966"/>
    <w:rsid w:val="006D557E"/>
    <w:rsid w:val="006E04A4"/>
    <w:rsid w:val="006E1630"/>
    <w:rsid w:val="006E6314"/>
    <w:rsid w:val="006E78D9"/>
    <w:rsid w:val="007034B0"/>
    <w:rsid w:val="00705922"/>
    <w:rsid w:val="00705E71"/>
    <w:rsid w:val="007061A1"/>
    <w:rsid w:val="007128B2"/>
    <w:rsid w:val="007135AA"/>
    <w:rsid w:val="00715652"/>
    <w:rsid w:val="00722104"/>
    <w:rsid w:val="007408D7"/>
    <w:rsid w:val="00741E54"/>
    <w:rsid w:val="0074242A"/>
    <w:rsid w:val="00742E12"/>
    <w:rsid w:val="00743F70"/>
    <w:rsid w:val="00767B22"/>
    <w:rsid w:val="00770FF7"/>
    <w:rsid w:val="00780E91"/>
    <w:rsid w:val="00785830"/>
    <w:rsid w:val="00787F69"/>
    <w:rsid w:val="00790768"/>
    <w:rsid w:val="007963DC"/>
    <w:rsid w:val="007A2A46"/>
    <w:rsid w:val="007A2C0F"/>
    <w:rsid w:val="007B0997"/>
    <w:rsid w:val="007C0219"/>
    <w:rsid w:val="007C1053"/>
    <w:rsid w:val="007C2096"/>
    <w:rsid w:val="007C4B2D"/>
    <w:rsid w:val="007D32F0"/>
    <w:rsid w:val="007E0CC1"/>
    <w:rsid w:val="007E0D60"/>
    <w:rsid w:val="007E2F10"/>
    <w:rsid w:val="007E384E"/>
    <w:rsid w:val="007E4E9D"/>
    <w:rsid w:val="007F4983"/>
    <w:rsid w:val="007F5C4F"/>
    <w:rsid w:val="00804C39"/>
    <w:rsid w:val="00810865"/>
    <w:rsid w:val="008124A2"/>
    <w:rsid w:val="00821922"/>
    <w:rsid w:val="00826EF1"/>
    <w:rsid w:val="0083206E"/>
    <w:rsid w:val="00836EC4"/>
    <w:rsid w:val="00844A1D"/>
    <w:rsid w:val="00852ACC"/>
    <w:rsid w:val="00853A45"/>
    <w:rsid w:val="0085409D"/>
    <w:rsid w:val="0085414D"/>
    <w:rsid w:val="008571E2"/>
    <w:rsid w:val="0087169B"/>
    <w:rsid w:val="00874B45"/>
    <w:rsid w:val="00881A6C"/>
    <w:rsid w:val="008846FE"/>
    <w:rsid w:val="0089431C"/>
    <w:rsid w:val="00894951"/>
    <w:rsid w:val="008B0B04"/>
    <w:rsid w:val="008C0240"/>
    <w:rsid w:val="008C1F6E"/>
    <w:rsid w:val="008D6E68"/>
    <w:rsid w:val="008F16AE"/>
    <w:rsid w:val="008F2265"/>
    <w:rsid w:val="008F3D2C"/>
    <w:rsid w:val="008F6171"/>
    <w:rsid w:val="008F7394"/>
    <w:rsid w:val="008F770D"/>
    <w:rsid w:val="008F78CB"/>
    <w:rsid w:val="0090050D"/>
    <w:rsid w:val="00900BD6"/>
    <w:rsid w:val="009134DD"/>
    <w:rsid w:val="0091673D"/>
    <w:rsid w:val="00917145"/>
    <w:rsid w:val="0091773B"/>
    <w:rsid w:val="00917994"/>
    <w:rsid w:val="009203E4"/>
    <w:rsid w:val="00925C0F"/>
    <w:rsid w:val="00937AF1"/>
    <w:rsid w:val="00937D5F"/>
    <w:rsid w:val="009413DC"/>
    <w:rsid w:val="009417E6"/>
    <w:rsid w:val="009425B8"/>
    <w:rsid w:val="0095495C"/>
    <w:rsid w:val="00957AD0"/>
    <w:rsid w:val="009633A2"/>
    <w:rsid w:val="009704EA"/>
    <w:rsid w:val="009737D0"/>
    <w:rsid w:val="00977510"/>
    <w:rsid w:val="00977CDC"/>
    <w:rsid w:val="009917E2"/>
    <w:rsid w:val="00992FFA"/>
    <w:rsid w:val="009A5E9A"/>
    <w:rsid w:val="009A7B3C"/>
    <w:rsid w:val="009B7244"/>
    <w:rsid w:val="009B792A"/>
    <w:rsid w:val="009C6DC6"/>
    <w:rsid w:val="009D38BD"/>
    <w:rsid w:val="009E305B"/>
    <w:rsid w:val="009E5269"/>
    <w:rsid w:val="009E6D43"/>
    <w:rsid w:val="00A00FB2"/>
    <w:rsid w:val="00A03917"/>
    <w:rsid w:val="00A03E97"/>
    <w:rsid w:val="00A07CD2"/>
    <w:rsid w:val="00A10DC4"/>
    <w:rsid w:val="00A236DC"/>
    <w:rsid w:val="00A31B25"/>
    <w:rsid w:val="00A46C1A"/>
    <w:rsid w:val="00A55D6C"/>
    <w:rsid w:val="00A63236"/>
    <w:rsid w:val="00A77CE6"/>
    <w:rsid w:val="00A80362"/>
    <w:rsid w:val="00A8459A"/>
    <w:rsid w:val="00A86A2F"/>
    <w:rsid w:val="00AA07AE"/>
    <w:rsid w:val="00AA10F7"/>
    <w:rsid w:val="00AA3E24"/>
    <w:rsid w:val="00AA62C5"/>
    <w:rsid w:val="00AA64B5"/>
    <w:rsid w:val="00AB0834"/>
    <w:rsid w:val="00AB2C8D"/>
    <w:rsid w:val="00AB791F"/>
    <w:rsid w:val="00AD11CC"/>
    <w:rsid w:val="00AD2032"/>
    <w:rsid w:val="00AD62BF"/>
    <w:rsid w:val="00AE3D7B"/>
    <w:rsid w:val="00AE56D7"/>
    <w:rsid w:val="00AF370C"/>
    <w:rsid w:val="00B02F69"/>
    <w:rsid w:val="00B044EF"/>
    <w:rsid w:val="00B05FAE"/>
    <w:rsid w:val="00B14297"/>
    <w:rsid w:val="00B14FF9"/>
    <w:rsid w:val="00B17B0C"/>
    <w:rsid w:val="00B22185"/>
    <w:rsid w:val="00B36858"/>
    <w:rsid w:val="00B36F59"/>
    <w:rsid w:val="00B40B53"/>
    <w:rsid w:val="00B44DB9"/>
    <w:rsid w:val="00B4526D"/>
    <w:rsid w:val="00B5346E"/>
    <w:rsid w:val="00B53AC8"/>
    <w:rsid w:val="00B53C7D"/>
    <w:rsid w:val="00B6528A"/>
    <w:rsid w:val="00B77136"/>
    <w:rsid w:val="00B80E82"/>
    <w:rsid w:val="00B90F4E"/>
    <w:rsid w:val="00B96045"/>
    <w:rsid w:val="00B963F7"/>
    <w:rsid w:val="00B97A60"/>
    <w:rsid w:val="00BA6355"/>
    <w:rsid w:val="00BA70D2"/>
    <w:rsid w:val="00BB1F92"/>
    <w:rsid w:val="00BB46E6"/>
    <w:rsid w:val="00BC4F4D"/>
    <w:rsid w:val="00BC70EA"/>
    <w:rsid w:val="00BD4C6C"/>
    <w:rsid w:val="00BD5226"/>
    <w:rsid w:val="00BE5618"/>
    <w:rsid w:val="00BF2957"/>
    <w:rsid w:val="00BF49EF"/>
    <w:rsid w:val="00C0195B"/>
    <w:rsid w:val="00C044D9"/>
    <w:rsid w:val="00C119AE"/>
    <w:rsid w:val="00C12EFF"/>
    <w:rsid w:val="00C20479"/>
    <w:rsid w:val="00C20CE2"/>
    <w:rsid w:val="00C26E82"/>
    <w:rsid w:val="00C300E8"/>
    <w:rsid w:val="00C31036"/>
    <w:rsid w:val="00C31722"/>
    <w:rsid w:val="00C4678F"/>
    <w:rsid w:val="00C50EC8"/>
    <w:rsid w:val="00C51A68"/>
    <w:rsid w:val="00C57BAF"/>
    <w:rsid w:val="00C63A30"/>
    <w:rsid w:val="00C729D7"/>
    <w:rsid w:val="00C80E59"/>
    <w:rsid w:val="00C8574A"/>
    <w:rsid w:val="00C95110"/>
    <w:rsid w:val="00C96AE0"/>
    <w:rsid w:val="00C9760B"/>
    <w:rsid w:val="00CA7AF8"/>
    <w:rsid w:val="00CC0680"/>
    <w:rsid w:val="00CC0782"/>
    <w:rsid w:val="00CC71F0"/>
    <w:rsid w:val="00CD6256"/>
    <w:rsid w:val="00CF59E2"/>
    <w:rsid w:val="00D01DD8"/>
    <w:rsid w:val="00D06B76"/>
    <w:rsid w:val="00D11284"/>
    <w:rsid w:val="00D14143"/>
    <w:rsid w:val="00D14382"/>
    <w:rsid w:val="00D15D99"/>
    <w:rsid w:val="00D234C9"/>
    <w:rsid w:val="00D238F8"/>
    <w:rsid w:val="00D24DE7"/>
    <w:rsid w:val="00D27798"/>
    <w:rsid w:val="00D32A85"/>
    <w:rsid w:val="00D33B7C"/>
    <w:rsid w:val="00D37992"/>
    <w:rsid w:val="00D41600"/>
    <w:rsid w:val="00D52353"/>
    <w:rsid w:val="00D53EC9"/>
    <w:rsid w:val="00D62426"/>
    <w:rsid w:val="00D6546E"/>
    <w:rsid w:val="00D677B9"/>
    <w:rsid w:val="00D76B18"/>
    <w:rsid w:val="00D815CB"/>
    <w:rsid w:val="00D841A5"/>
    <w:rsid w:val="00D9147E"/>
    <w:rsid w:val="00DA6EAA"/>
    <w:rsid w:val="00DB02B0"/>
    <w:rsid w:val="00DB391C"/>
    <w:rsid w:val="00DB5A42"/>
    <w:rsid w:val="00DB6061"/>
    <w:rsid w:val="00DB60A7"/>
    <w:rsid w:val="00DD23C2"/>
    <w:rsid w:val="00DD67B6"/>
    <w:rsid w:val="00DD68E6"/>
    <w:rsid w:val="00DD6DF1"/>
    <w:rsid w:val="00DE0424"/>
    <w:rsid w:val="00DE3460"/>
    <w:rsid w:val="00DE534E"/>
    <w:rsid w:val="00DE66DC"/>
    <w:rsid w:val="00DE7541"/>
    <w:rsid w:val="00DE7686"/>
    <w:rsid w:val="00DF2DA9"/>
    <w:rsid w:val="00E0207C"/>
    <w:rsid w:val="00E06448"/>
    <w:rsid w:val="00E126F5"/>
    <w:rsid w:val="00E12786"/>
    <w:rsid w:val="00E13285"/>
    <w:rsid w:val="00E141CE"/>
    <w:rsid w:val="00E17856"/>
    <w:rsid w:val="00E22F8D"/>
    <w:rsid w:val="00E25893"/>
    <w:rsid w:val="00E32A8B"/>
    <w:rsid w:val="00E36358"/>
    <w:rsid w:val="00E364DC"/>
    <w:rsid w:val="00E44807"/>
    <w:rsid w:val="00E473CA"/>
    <w:rsid w:val="00E52094"/>
    <w:rsid w:val="00E5769E"/>
    <w:rsid w:val="00E62E21"/>
    <w:rsid w:val="00E646EB"/>
    <w:rsid w:val="00E70E12"/>
    <w:rsid w:val="00E71DFB"/>
    <w:rsid w:val="00E8147D"/>
    <w:rsid w:val="00E850DA"/>
    <w:rsid w:val="00EA079D"/>
    <w:rsid w:val="00EA3FA9"/>
    <w:rsid w:val="00EA7613"/>
    <w:rsid w:val="00EB13DC"/>
    <w:rsid w:val="00EB286A"/>
    <w:rsid w:val="00EB6510"/>
    <w:rsid w:val="00EC2BB6"/>
    <w:rsid w:val="00EC3AAF"/>
    <w:rsid w:val="00EC6654"/>
    <w:rsid w:val="00ED2F53"/>
    <w:rsid w:val="00EE03E9"/>
    <w:rsid w:val="00EE23ED"/>
    <w:rsid w:val="00EE2531"/>
    <w:rsid w:val="00EE36F5"/>
    <w:rsid w:val="00EE4117"/>
    <w:rsid w:val="00EE7E4A"/>
    <w:rsid w:val="00EF35C7"/>
    <w:rsid w:val="00EF4243"/>
    <w:rsid w:val="00F01A7F"/>
    <w:rsid w:val="00F0405A"/>
    <w:rsid w:val="00F0581F"/>
    <w:rsid w:val="00F11225"/>
    <w:rsid w:val="00F1142E"/>
    <w:rsid w:val="00F2279C"/>
    <w:rsid w:val="00F22AC6"/>
    <w:rsid w:val="00F27623"/>
    <w:rsid w:val="00F36A5E"/>
    <w:rsid w:val="00F41DFC"/>
    <w:rsid w:val="00F43A91"/>
    <w:rsid w:val="00F54D56"/>
    <w:rsid w:val="00F647EB"/>
    <w:rsid w:val="00F66059"/>
    <w:rsid w:val="00F66B0A"/>
    <w:rsid w:val="00F67518"/>
    <w:rsid w:val="00F74BE1"/>
    <w:rsid w:val="00F74EB1"/>
    <w:rsid w:val="00F81AA9"/>
    <w:rsid w:val="00F8450C"/>
    <w:rsid w:val="00F872DA"/>
    <w:rsid w:val="00F87765"/>
    <w:rsid w:val="00F9076E"/>
    <w:rsid w:val="00F93FE8"/>
    <w:rsid w:val="00F941BC"/>
    <w:rsid w:val="00F95509"/>
    <w:rsid w:val="00F96669"/>
    <w:rsid w:val="00FA0159"/>
    <w:rsid w:val="00FA2D08"/>
    <w:rsid w:val="00FA6444"/>
    <w:rsid w:val="00FB3341"/>
    <w:rsid w:val="00FB346B"/>
    <w:rsid w:val="00FB51C4"/>
    <w:rsid w:val="00FC1F4B"/>
    <w:rsid w:val="00FC210B"/>
    <w:rsid w:val="00FC663E"/>
    <w:rsid w:val="00FD1BA1"/>
    <w:rsid w:val="00FD693C"/>
    <w:rsid w:val="00FE4DA1"/>
    <w:rsid w:val="00FF10C0"/>
    <w:rsid w:val="00FF35BC"/>
    <w:rsid w:val="00FF5A60"/>
    <w:rsid w:val="00FF5A8A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7F49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917"/>
    <w:pPr>
      <w:spacing w:before="240" w:after="0" w:line="240" w:lineRule="auto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53679E"/>
    <w:pPr>
      <w:keepNext/>
      <w:keepLines/>
      <w:spacing w:before="120" w:line="400" w:lineRule="atLeast"/>
      <w:outlineLvl w:val="0"/>
    </w:pPr>
    <w:rPr>
      <w:rFonts w:eastAsiaTheme="majorEastAsia" w:cstheme="majorBidi"/>
      <w:bCs/>
      <w:color w:val="0F293A"/>
      <w:sz w:val="36"/>
      <w:szCs w:val="28"/>
    </w:rPr>
  </w:style>
  <w:style w:type="paragraph" w:styleId="Heading2">
    <w:name w:val="heading 2"/>
    <w:basedOn w:val="BCRHead3"/>
    <w:next w:val="Normal"/>
    <w:link w:val="Heading2Char"/>
    <w:uiPriority w:val="9"/>
    <w:unhideWhenUsed/>
    <w:qFormat/>
    <w:rsid w:val="005D05D4"/>
    <w:pPr>
      <w:outlineLvl w:val="1"/>
    </w:pPr>
  </w:style>
  <w:style w:type="paragraph" w:styleId="Heading3">
    <w:name w:val="heading 3"/>
    <w:basedOn w:val="BCRHead4"/>
    <w:next w:val="Normal"/>
    <w:link w:val="Heading3Char"/>
    <w:uiPriority w:val="9"/>
    <w:unhideWhenUsed/>
    <w:qFormat/>
    <w:rsid w:val="00EB13DC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13DC"/>
    <w:pPr>
      <w:keepNext/>
      <w:keepLines/>
      <w:spacing w:after="60"/>
      <w:outlineLvl w:val="3"/>
    </w:pPr>
    <w:rPr>
      <w:rFonts w:asciiTheme="majorHAnsi" w:eastAsia="Times New Roman" w:hAnsiTheme="majorHAnsi" w:cstheme="majorBidi"/>
      <w:b/>
      <w:i/>
      <w:iCs/>
      <w:color w:val="0D0D0D" w:themeColor="text1" w:themeTint="F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39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7AC"/>
    <w:rPr>
      <w:rFonts w:eastAsiaTheme="majorEastAsia" w:cstheme="majorBidi"/>
      <w:bCs/>
      <w:color w:val="0F293A"/>
      <w:sz w:val="36"/>
      <w:szCs w:val="28"/>
    </w:rPr>
  </w:style>
  <w:style w:type="paragraph" w:styleId="BodyText">
    <w:name w:val="Body Text"/>
    <w:basedOn w:val="Normal"/>
    <w:link w:val="BodyTextChar"/>
    <w:rsid w:val="00A03917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A03917"/>
    <w:rPr>
      <w:rFonts w:ascii="Calibri" w:hAnsi="Calibri"/>
    </w:rPr>
  </w:style>
  <w:style w:type="paragraph" w:customStyle="1" w:styleId="Titleheading">
    <w:name w:val="Title heading"/>
    <w:basedOn w:val="Normal"/>
    <w:next w:val="BodyText"/>
    <w:uiPriority w:val="15"/>
    <w:qFormat/>
    <w:rsid w:val="00A03917"/>
    <w:pPr>
      <w:keepNext/>
      <w:keepLines/>
      <w:spacing w:before="0" w:after="120"/>
      <w:outlineLvl w:val="0"/>
    </w:pPr>
    <w:rPr>
      <w:rFonts w:eastAsia="Times New Roman" w:cs="Times New Roman"/>
      <w:b/>
      <w:bCs/>
      <w:color w:val="0F293A"/>
      <w:sz w:val="60"/>
      <w:szCs w:val="48"/>
    </w:rPr>
  </w:style>
  <w:style w:type="paragraph" w:customStyle="1" w:styleId="Titlesub-heading">
    <w:name w:val="Title sub-heading"/>
    <w:basedOn w:val="Normal"/>
    <w:next w:val="BodyText"/>
    <w:uiPriority w:val="15"/>
    <w:qFormat/>
    <w:rsid w:val="00A03917"/>
    <w:pPr>
      <w:keepNext/>
      <w:keepLines/>
      <w:spacing w:before="0" w:after="120"/>
      <w:outlineLvl w:val="0"/>
    </w:pPr>
    <w:rPr>
      <w:rFonts w:eastAsia="Times New Roman" w:cs="Times New Roman"/>
      <w:bCs/>
      <w:i/>
      <w:color w:val="0F293A"/>
      <w:sz w:val="40"/>
      <w:szCs w:val="48"/>
      <w:lang w:val="en-US"/>
    </w:rPr>
  </w:style>
  <w:style w:type="paragraph" w:styleId="Header">
    <w:name w:val="header"/>
    <w:basedOn w:val="Normal"/>
    <w:link w:val="HeaderChar"/>
    <w:uiPriority w:val="99"/>
    <w:rsid w:val="00A03917"/>
    <w:pPr>
      <w:tabs>
        <w:tab w:val="center" w:pos="4513"/>
        <w:tab w:val="right" w:pos="9026"/>
      </w:tabs>
      <w:spacing w:before="0"/>
    </w:pPr>
    <w:rPr>
      <w:color w:val="00728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03917"/>
    <w:rPr>
      <w:rFonts w:ascii="Calibri" w:hAnsi="Calibri"/>
      <w:color w:val="00728F"/>
      <w:sz w:val="20"/>
    </w:rPr>
  </w:style>
  <w:style w:type="paragraph" w:styleId="Footer">
    <w:name w:val="footer"/>
    <w:basedOn w:val="Normal"/>
    <w:link w:val="FooterChar"/>
    <w:uiPriority w:val="99"/>
    <w:rsid w:val="00A03917"/>
    <w:pPr>
      <w:pBdr>
        <w:top w:val="single" w:sz="4" w:space="3" w:color="F79620"/>
      </w:pBdr>
      <w:tabs>
        <w:tab w:val="center" w:pos="4513"/>
        <w:tab w:val="right" w:pos="9026"/>
      </w:tabs>
    </w:pPr>
    <w:rPr>
      <w:color w:val="6E6E6E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3917"/>
    <w:rPr>
      <w:rFonts w:ascii="Calibri" w:hAnsi="Calibri"/>
      <w:color w:val="6E6E6E"/>
      <w:sz w:val="20"/>
    </w:rPr>
  </w:style>
  <w:style w:type="paragraph" w:styleId="ListParagraph">
    <w:name w:val="List Paragraph"/>
    <w:basedOn w:val="Normal"/>
    <w:uiPriority w:val="34"/>
    <w:qFormat/>
    <w:rsid w:val="00A03917"/>
    <w:pPr>
      <w:ind w:left="720"/>
      <w:contextualSpacing/>
    </w:pPr>
  </w:style>
  <w:style w:type="paragraph" w:customStyle="1" w:styleId="Documenttype">
    <w:name w:val="Document type"/>
    <w:basedOn w:val="Normal"/>
    <w:uiPriority w:val="17"/>
    <w:qFormat/>
    <w:rsid w:val="00A03917"/>
    <w:pPr>
      <w:spacing w:before="120"/>
      <w:jc w:val="right"/>
    </w:pPr>
    <w:rPr>
      <w:rFonts w:ascii="Cambria" w:eastAsiaTheme="majorEastAsia" w:hAnsi="Cambria" w:cstheme="majorBidi"/>
      <w:b/>
      <w:color w:val="00728F"/>
      <w:kern w:val="28"/>
      <w:sz w:val="24"/>
      <w:szCs w:val="52"/>
    </w:rPr>
  </w:style>
  <w:style w:type="paragraph" w:styleId="NormalWeb">
    <w:name w:val="Normal (Web)"/>
    <w:basedOn w:val="Normal"/>
    <w:uiPriority w:val="99"/>
    <w:unhideWhenUsed/>
    <w:rsid w:val="00C044D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5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404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21">
    <w:name w:val="Grid Table 4 - Accent 21"/>
    <w:basedOn w:val="TableNormal"/>
    <w:uiPriority w:val="49"/>
    <w:rsid w:val="003404B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7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6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6D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6DE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6D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DE"/>
    <w:rPr>
      <w:rFonts w:ascii="Segoe UI" w:hAnsi="Segoe UI" w:cs="Segoe UI"/>
      <w:sz w:val="18"/>
      <w:szCs w:val="18"/>
    </w:rPr>
  </w:style>
  <w:style w:type="paragraph" w:customStyle="1" w:styleId="BoldPara">
    <w:name w:val="Bold Para"/>
    <w:basedOn w:val="Normal"/>
    <w:next w:val="BodyText"/>
    <w:link w:val="BoldParaChar"/>
    <w:rsid w:val="00347C6F"/>
    <w:pPr>
      <w:jc w:val="both"/>
    </w:pPr>
    <w:rPr>
      <w:rFonts w:eastAsia="Times New Roman" w:cs="Times New Roman"/>
      <w:b/>
      <w:color w:val="002776"/>
      <w:szCs w:val="24"/>
    </w:rPr>
  </w:style>
  <w:style w:type="character" w:styleId="FootnoteReference">
    <w:name w:val="footnote reference"/>
    <w:basedOn w:val="DefaultParagraphFont"/>
    <w:uiPriority w:val="99"/>
    <w:semiHidden/>
    <w:rsid w:val="00347C6F"/>
    <w:rPr>
      <w:rFonts w:ascii="Arial" w:hAnsi="Arial"/>
      <w:sz w:val="18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47C6F"/>
    <w:pPr>
      <w:spacing w:before="120" w:after="60"/>
      <w:jc w:val="both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7C6F"/>
    <w:rPr>
      <w:rFonts w:eastAsia="Times New Roman" w:cs="Times New Roman"/>
      <w:sz w:val="18"/>
      <w:szCs w:val="20"/>
    </w:rPr>
  </w:style>
  <w:style w:type="character" w:customStyle="1" w:styleId="BoldParaChar">
    <w:name w:val="Bold Para Char"/>
    <w:basedOn w:val="DefaultParagraphFont"/>
    <w:link w:val="BoldPara"/>
    <w:locked/>
    <w:rsid w:val="00347C6F"/>
    <w:rPr>
      <w:rFonts w:ascii="Calibri" w:eastAsia="Times New Roman" w:hAnsi="Calibri" w:cs="Times New Roman"/>
      <w:b/>
      <w:color w:val="002776"/>
      <w:szCs w:val="24"/>
    </w:rPr>
  </w:style>
  <w:style w:type="paragraph" w:customStyle="1" w:styleId="Bullet1">
    <w:name w:val="Bullet 1"/>
    <w:basedOn w:val="Normal"/>
    <w:link w:val="Bullet1Char"/>
    <w:qFormat/>
    <w:rsid w:val="00344ACE"/>
    <w:pPr>
      <w:numPr>
        <w:numId w:val="10"/>
      </w:numPr>
      <w:spacing w:before="60"/>
      <w:jc w:val="both"/>
    </w:pPr>
    <w:rPr>
      <w:rFonts w:eastAsia="Times New Roman" w:cs="Arial"/>
      <w:szCs w:val="20"/>
      <w:lang w:eastAsia="en-AU"/>
    </w:rPr>
  </w:style>
  <w:style w:type="character" w:customStyle="1" w:styleId="Bullet1Char">
    <w:name w:val="Bullet 1 Char"/>
    <w:basedOn w:val="DefaultParagraphFont"/>
    <w:link w:val="Bullet1"/>
    <w:rsid w:val="00344ACE"/>
    <w:rPr>
      <w:rFonts w:ascii="Calibri" w:eastAsia="Times New Roman" w:hAnsi="Calibri" w:cs="Arial"/>
      <w:szCs w:val="20"/>
      <w:lang w:eastAsia="en-AU"/>
    </w:rPr>
  </w:style>
  <w:style w:type="paragraph" w:customStyle="1" w:styleId="Default">
    <w:name w:val="Default"/>
    <w:rsid w:val="003B4A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D05D4"/>
    <w:rPr>
      <w:rFonts w:ascii="Calibri" w:hAnsi="Calibri"/>
      <w:color w:val="AA0F14"/>
      <w:sz w:val="30"/>
      <w:szCs w:val="32"/>
    </w:rPr>
  </w:style>
  <w:style w:type="paragraph" w:customStyle="1" w:styleId="Bullet2">
    <w:name w:val="Bullet 2"/>
    <w:basedOn w:val="Normal"/>
    <w:qFormat/>
    <w:rsid w:val="002C6AA7"/>
    <w:pPr>
      <w:numPr>
        <w:numId w:val="14"/>
      </w:numPr>
      <w:spacing w:before="60"/>
      <w:ind w:left="1134" w:hanging="567"/>
      <w:jc w:val="both"/>
    </w:pPr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A4279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33C2A"/>
    <w:pPr>
      <w:spacing w:before="0" w:after="200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B13DC"/>
    <w:rPr>
      <w:rFonts w:asciiTheme="majorHAnsi" w:eastAsia="Times New Roman" w:hAnsiTheme="majorHAnsi" w:cstheme="majorBidi"/>
      <w:b/>
      <w:i/>
      <w:iCs/>
      <w:color w:val="0D0D0D" w:themeColor="text1" w:themeTint="F2"/>
      <w:lang w:val="en-US"/>
    </w:rPr>
  </w:style>
  <w:style w:type="character" w:styleId="Emphasis">
    <w:name w:val="Emphasis"/>
    <w:basedOn w:val="DefaultParagraphFont"/>
    <w:uiPriority w:val="20"/>
    <w:qFormat/>
    <w:rsid w:val="00D6546E"/>
    <w:rPr>
      <w:i/>
      <w:iCs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D6546E"/>
    <w:pPr>
      <w:spacing w:before="0" w:after="200" w:line="27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3679E"/>
    <w:pPr>
      <w:spacing w:line="259" w:lineRule="auto"/>
      <w:outlineLvl w:val="9"/>
    </w:pPr>
    <w:rPr>
      <w:rFonts w:asciiTheme="majorHAnsi" w:hAnsiTheme="majorHAnsi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25B62"/>
    <w:pPr>
      <w:tabs>
        <w:tab w:val="right" w:leader="dot" w:pos="9016"/>
      </w:tabs>
      <w:spacing w:before="0"/>
      <w:ind w:firstLine="220"/>
    </w:pPr>
    <w:rPr>
      <w:noProof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E13285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EB13DC"/>
    <w:rPr>
      <w:rFonts w:ascii="Calibri" w:hAnsi="Calibri"/>
      <w:b/>
      <w:color w:val="0E293A"/>
      <w:sz w:val="26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4E1989"/>
    <w:pPr>
      <w:tabs>
        <w:tab w:val="right" w:leader="dot" w:pos="9016"/>
      </w:tabs>
      <w:spacing w:after="100"/>
      <w:ind w:left="709"/>
    </w:pPr>
  </w:style>
  <w:style w:type="character" w:customStyle="1" w:styleId="Heading5Char">
    <w:name w:val="Heading 5 Char"/>
    <w:basedOn w:val="DefaultParagraphFont"/>
    <w:link w:val="Heading5"/>
    <w:uiPriority w:val="9"/>
    <w:rsid w:val="00DB391C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0805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04FD1"/>
    <w:pPr>
      <w:spacing w:after="0" w:line="240" w:lineRule="auto"/>
    </w:pPr>
  </w:style>
  <w:style w:type="paragraph" w:customStyle="1" w:styleId="BCRReporttitle">
    <w:name w:val="BCR Report title"/>
    <w:basedOn w:val="Normal"/>
    <w:qFormat/>
    <w:rsid w:val="005D05D4"/>
    <w:pPr>
      <w:keepNext/>
      <w:keepLines/>
      <w:spacing w:before="0" w:after="120"/>
      <w:outlineLvl w:val="0"/>
    </w:pPr>
    <w:rPr>
      <w:rFonts w:ascii="Calibri" w:eastAsia="Times New Roman" w:hAnsi="Calibri" w:cs="Times New Roman"/>
      <w:b/>
      <w:bCs/>
      <w:color w:val="0E293A"/>
      <w:sz w:val="60"/>
      <w:szCs w:val="48"/>
    </w:rPr>
  </w:style>
  <w:style w:type="paragraph" w:customStyle="1" w:styleId="BCRBodytext">
    <w:name w:val="BCR Body text"/>
    <w:link w:val="BCRBodytextChar"/>
    <w:qFormat/>
    <w:rsid w:val="0053679E"/>
    <w:pPr>
      <w:spacing w:before="240" w:after="120" w:line="240" w:lineRule="auto"/>
    </w:pPr>
    <w:rPr>
      <w:rFonts w:ascii="Calibri" w:hAnsi="Calibri"/>
    </w:rPr>
  </w:style>
  <w:style w:type="character" w:customStyle="1" w:styleId="BCRBodytextChar">
    <w:name w:val="BCR Body text Char"/>
    <w:basedOn w:val="DefaultParagraphFont"/>
    <w:link w:val="BCRBodytext"/>
    <w:rsid w:val="00894951"/>
    <w:rPr>
      <w:rFonts w:ascii="Calibri" w:hAnsi="Calibri"/>
    </w:rPr>
  </w:style>
  <w:style w:type="paragraph" w:customStyle="1" w:styleId="BCRHead3">
    <w:name w:val="BCR Head 3"/>
    <w:basedOn w:val="Normal"/>
    <w:qFormat/>
    <w:rsid w:val="005D05D4"/>
    <w:pPr>
      <w:spacing w:after="240"/>
    </w:pPr>
    <w:rPr>
      <w:rFonts w:ascii="Calibri" w:hAnsi="Calibri"/>
      <w:color w:val="AA0F14"/>
      <w:sz w:val="30"/>
      <w:szCs w:val="32"/>
    </w:rPr>
  </w:style>
  <w:style w:type="paragraph" w:customStyle="1" w:styleId="BCRHead4">
    <w:name w:val="BCR Head 4"/>
    <w:qFormat/>
    <w:rsid w:val="005D05D4"/>
    <w:pPr>
      <w:spacing w:before="240" w:after="0" w:line="240" w:lineRule="auto"/>
    </w:pPr>
    <w:rPr>
      <w:rFonts w:ascii="Calibri" w:hAnsi="Calibri"/>
      <w:b/>
      <w:color w:val="0E293A"/>
      <w:sz w:val="26"/>
      <w:szCs w:val="32"/>
    </w:rPr>
  </w:style>
  <w:style w:type="table" w:customStyle="1" w:styleId="GridTable1Light1">
    <w:name w:val="Grid Table 1 Light1"/>
    <w:basedOn w:val="TableNormal"/>
    <w:uiPriority w:val="46"/>
    <w:rsid w:val="002417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igurecaption">
    <w:name w:val="Figure caption"/>
    <w:basedOn w:val="Caption"/>
    <w:next w:val="Normal"/>
    <w:link w:val="FigurecaptionCharChar"/>
    <w:uiPriority w:val="10"/>
    <w:qFormat/>
    <w:rsid w:val="00491C07"/>
    <w:pPr>
      <w:keepNext/>
      <w:tabs>
        <w:tab w:val="left" w:pos="1021"/>
      </w:tabs>
      <w:spacing w:before="240" w:after="120"/>
      <w:ind w:left="1021" w:hanging="1021"/>
    </w:pPr>
    <w:rPr>
      <w:rFonts w:ascii="Calibri" w:eastAsia="Calibri" w:hAnsi="Calibri" w:cs="Times New Roman"/>
      <w:b/>
      <w:bCs/>
      <w:i w:val="0"/>
      <w:iCs w:val="0"/>
      <w:color w:val="808080" w:themeColor="background1" w:themeShade="80"/>
    </w:rPr>
  </w:style>
  <w:style w:type="character" w:customStyle="1" w:styleId="FigurecaptionCharChar">
    <w:name w:val="Figure caption Char Char"/>
    <w:link w:val="Figurecaption"/>
    <w:uiPriority w:val="10"/>
    <w:locked/>
    <w:rsid w:val="00491C07"/>
    <w:rPr>
      <w:rFonts w:ascii="Calibri" w:eastAsia="Calibri" w:hAnsi="Calibri" w:cs="Times New Roman"/>
      <w:b/>
      <w:bCs/>
      <w:color w:val="808080" w:themeColor="background1" w:themeShade="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10F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0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1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1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26DF5B2D28947A64F5EF013DE8830" ma:contentTypeVersion="0" ma:contentTypeDescription="Create a new document." ma:contentTypeScope="" ma:versionID="4390b61120cc25eb91ab56a7031914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E1818-6C4C-4457-887C-555C50A9A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80A0B-D60C-476B-9E45-501D55BC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53455-DAB5-4610-8034-E11A94FAA6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FABDC3-681A-488E-A39B-467B20C6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14C469B1.dotm</Template>
  <TotalTime>0</TotalTime>
  <Pages>6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Leading Indicators (Revised November Release)</vt:lpstr>
    </vt:vector>
  </TitlesOfParts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 Indicators (Revised November Release)</dc:title>
  <dc:creator/>
  <cp:lastModifiedBy/>
  <cp:revision>1</cp:revision>
  <dcterms:created xsi:type="dcterms:W3CDTF">2015-11-05T22:23:00Z</dcterms:created>
  <dcterms:modified xsi:type="dcterms:W3CDTF">2015-11-05T22:24:00Z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0x0101001A526DF5B2D28947A64F5EF013DE8830</vt:lpwstr>
  </property>
  <property fmtid="{D5CDD505-2E9C-101B-9397-08002B2CF9AE}" pid="3" name="TrimRevisionNumber">
    <vt:i4>5</vt:i4>
  </property>
</Properties>
</file>